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577850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 w:lineRule="exact"/>
        <w:rPr>
          <w:sz w:val="24"/>
          <w:szCs w:val="24"/>
          <w:color w:val="auto"/>
        </w:rPr>
      </w:pPr>
    </w:p>
    <w:p>
      <w:pPr>
        <w:ind w:left="660" w:right="240" w:hanging="652"/>
        <w:spacing w:after="0" w:line="254"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122" w:lineRule="exact"/>
        <w:rPr>
          <w:sz w:val="24"/>
          <w:szCs w:val="24"/>
          <w:color w:val="auto"/>
        </w:rPr>
      </w:pPr>
    </w:p>
    <w:p>
      <w:pPr>
        <w:ind w:left="660" w:right="220" w:hanging="652"/>
        <w:spacing w:after="0" w:line="269"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001-34972</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1"/>
              </w:rPr>
              <w:t>Delaware</w:t>
            </w:r>
          </w:p>
        </w:tc>
        <w:tc>
          <w:tcPr>
            <w:tcW w:w="4500" w:type="dxa"/>
            <w:vAlign w:val="bottom"/>
          </w:tcPr>
          <w:p>
            <w:pPr>
              <w:jc w:val="right"/>
              <w:ind w:right="39"/>
              <w:spacing w:after="0"/>
              <w:rPr>
                <w:sz w:val="20"/>
                <w:szCs w:val="20"/>
                <w:color w:val="auto"/>
              </w:rPr>
            </w:pPr>
            <w:r>
              <w:rPr>
                <w:rFonts w:ascii="Arial" w:cs="Arial" w:eastAsia="Arial" w:hAnsi="Arial"/>
                <w:sz w:val="18"/>
                <w:szCs w:val="18"/>
                <w:b w:val="1"/>
                <w:bCs w:val="1"/>
                <w:color w:val="auto"/>
              </w:rPr>
              <w:t>26-2634160</w:t>
            </w:r>
          </w:p>
        </w:tc>
      </w:tr>
      <w:tr>
        <w:trPr>
          <w:trHeight w:val="180"/>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3"/>
              </w:rPr>
              <w:t>(State or other jurisdiction of</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4"/>
              </w:rPr>
              <w:t>incorporation or organization)</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4500" w:type="dxa"/>
            <w:vAlign w:val="bottom"/>
          </w:tcPr>
          <w:p>
            <w:pPr>
              <w:jc w:val="right"/>
              <w:ind w:right="259"/>
              <w:spacing w:after="0"/>
              <w:rPr>
                <w:sz w:val="20"/>
                <w:szCs w:val="20"/>
                <w:color w:val="auto"/>
              </w:rPr>
            </w:pPr>
            <w:r>
              <w:rPr>
                <w:rFonts w:ascii="Arial" w:cs="Arial" w:eastAsia="Arial" w:hAnsi="Arial"/>
                <w:sz w:val="18"/>
                <w:szCs w:val="18"/>
                <w:b w:val="1"/>
                <w:bCs w:val="1"/>
                <w:color w:val="auto"/>
              </w:rPr>
              <w:t>22102</w:t>
            </w:r>
          </w:p>
        </w:tc>
      </w:tr>
      <w:tr>
        <w:trPr>
          <w:trHeight w:val="218"/>
        </w:trPr>
        <w:tc>
          <w:tcPr>
            <w:tcW w:w="3600" w:type="dxa"/>
            <w:vAlign w:val="bottom"/>
          </w:tcPr>
          <w:p>
            <w:pPr>
              <w:jc w:val="center"/>
              <w:ind w:right="2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8"/>
              </w:rPr>
              <w:t>(Zip Code)</w:t>
            </w:r>
          </w:p>
        </w:tc>
      </w:tr>
      <w:tr>
        <w:trPr>
          <w:trHeight w:val="275"/>
        </w:trPr>
        <w:tc>
          <w:tcPr>
            <w:tcW w:w="3600" w:type="dxa"/>
            <w:vAlign w:val="bottom"/>
          </w:tcPr>
          <w:p>
            <w:pPr>
              <w:spacing w:after="0"/>
              <w:rPr>
                <w:sz w:val="23"/>
                <w:szCs w:val="23"/>
                <w:color w:val="auto"/>
              </w:rPr>
            </w:pPr>
          </w:p>
        </w:tc>
        <w:tc>
          <w:tcPr>
            <w:tcW w:w="4500" w:type="dxa"/>
            <w:vAlign w:val="bottom"/>
          </w:tcPr>
          <w:p>
            <w:pPr>
              <w:jc w:val="right"/>
              <w:ind w:right="2919"/>
              <w:spacing w:after="0"/>
              <w:rPr>
                <w:sz w:val="20"/>
                <w:szCs w:val="20"/>
                <w:color w:val="auto"/>
              </w:rPr>
            </w:pPr>
            <w:r>
              <w:rPr>
                <w:rFonts w:ascii="Arial" w:cs="Arial" w:eastAsia="Arial" w:hAnsi="Arial"/>
                <w:sz w:val="18"/>
                <w:szCs w:val="18"/>
                <w:b w:val="1"/>
                <w:bCs w:val="1"/>
                <w:color w:val="auto"/>
              </w:rPr>
              <w:t>(703) 902-5000</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10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ectPr>
          <w:pgSz w:w="11900" w:h="16838" w:orient="portrait"/>
          <w:cols w:equalWidth="0" w:num="1">
            <w:col w:w="11420"/>
          </w:cols>
          <w:pgMar w:left="240" w:top="922"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760" w:space="720"/>
            <w:col w:w="4620" w:space="720"/>
            <w:col w:w="2140" w:space="720"/>
            <w:col w:w="740"/>
          </w:cols>
          <w:pgMar w:left="240" w:top="922"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0" w:lineRule="exact"/>
        <w:rPr>
          <w:sz w:val="24"/>
          <w:szCs w:val="24"/>
          <w:color w:val="auto"/>
        </w:rPr>
      </w:pPr>
    </w:p>
    <w:p>
      <w:pPr>
        <w:sectPr>
          <w:pgSz w:w="11900" w:h="16838" w:orient="portrait"/>
          <w:cols w:equalWidth="0" w:num="5">
            <w:col w:w="1760" w:space="720"/>
            <w:col w:w="160" w:space="100"/>
            <w:col w:w="4360" w:space="720"/>
            <w:col w:w="2140" w:space="720"/>
            <w:col w:w="740"/>
          </w:cols>
          <w:pgMar w:left="240" w:top="922"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1" w:lineRule="exact"/>
        <w:rPr>
          <w:sz w:val="24"/>
          <w:szCs w:val="24"/>
          <w:color w:val="auto"/>
        </w:rPr>
      </w:pPr>
    </w:p>
    <w:p>
      <w:pPr>
        <w:sectPr>
          <w:pgSz w:w="11900" w:h="16838" w:orient="portrait"/>
          <w:cols w:equalWidth="0" w:num="4">
            <w:col w:w="8180" w:space="220"/>
            <w:col w:w="260" w:space="100"/>
            <w:col w:w="160" w:space="180"/>
            <w:col w:w="2320"/>
          </w:cols>
          <w:pgMar w:left="240" w:top="922" w:right="239" w:bottom="1440" w:gutter="0" w:footer="0" w:header="0"/>
          <w:type w:val="continuous"/>
        </w:sect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4200" w:type="dxa"/>
            <w:vAlign w:val="bottom"/>
          </w:tcPr>
          <w:p>
            <w:pPr>
              <w:jc w:val="right"/>
              <w:ind w:right="396"/>
              <w:spacing w:after="0"/>
              <w:rPr>
                <w:sz w:val="20"/>
                <w:szCs w:val="20"/>
                <w:color w:val="auto"/>
              </w:rPr>
            </w:pPr>
            <w:r>
              <w:rPr>
                <w:rFonts w:ascii="Arial" w:cs="Arial" w:eastAsia="Arial" w:hAnsi="Arial"/>
                <w:sz w:val="14"/>
                <w:szCs w:val="14"/>
                <w:b w:val="1"/>
                <w:bCs w:val="1"/>
                <w:color w:val="auto"/>
              </w:rPr>
              <w:t>Shares Outstanding</w:t>
            </w:r>
          </w:p>
        </w:tc>
      </w:tr>
      <w:tr>
        <w:trPr>
          <w:trHeight w:val="192"/>
        </w:trPr>
        <w:tc>
          <w:tcPr>
            <w:tcW w:w="5360" w:type="dxa"/>
            <w:vAlign w:val="bottom"/>
          </w:tcPr>
          <w:p>
            <w:pPr>
              <w:spacing w:after="0"/>
              <w:rPr>
                <w:sz w:val="16"/>
                <w:szCs w:val="16"/>
                <w:color w:val="auto"/>
              </w:rPr>
            </w:pPr>
          </w:p>
        </w:tc>
        <w:tc>
          <w:tcPr>
            <w:tcW w:w="4200" w:type="dxa"/>
            <w:vAlign w:val="bottom"/>
          </w:tcPr>
          <w:p>
            <w:pPr>
              <w:jc w:val="right"/>
              <w:ind w:right="436"/>
              <w:spacing w:after="0"/>
              <w:rPr>
                <w:sz w:val="20"/>
                <w:szCs w:val="20"/>
                <w:color w:val="auto"/>
              </w:rPr>
            </w:pPr>
            <w:r>
              <w:rPr>
                <w:rFonts w:ascii="Arial" w:cs="Arial" w:eastAsia="Arial" w:hAnsi="Arial"/>
                <w:sz w:val="14"/>
                <w:szCs w:val="14"/>
                <w:b w:val="1"/>
                <w:bCs w:val="1"/>
                <w:color w:val="auto"/>
              </w:rPr>
              <w:t>as of July 25, 2014</w:t>
            </w:r>
          </w:p>
        </w:tc>
      </w:tr>
      <w:tr>
        <w:trPr>
          <w:trHeight w:val="256"/>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4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144,642,022</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Class B Non-Voting Common Stock</w:t>
            </w:r>
          </w:p>
        </w:tc>
        <w:tc>
          <w:tcPr>
            <w:tcW w:w="4200" w:type="dxa"/>
            <w:vAlign w:val="bottom"/>
          </w:tcPr>
          <w:p>
            <w:pPr>
              <w:jc w:val="right"/>
              <w:spacing w:after="0"/>
              <w:rPr>
                <w:sz w:val="20"/>
                <w:szCs w:val="20"/>
                <w:color w:val="auto"/>
              </w:rPr>
            </w:pPr>
            <w:r>
              <w:rPr>
                <w:rFonts w:ascii="Arial" w:cs="Arial" w:eastAsia="Arial" w:hAnsi="Arial"/>
                <w:sz w:val="18"/>
                <w:szCs w:val="18"/>
                <w:color w:val="auto"/>
              </w:rPr>
              <w:t>525,370</w:t>
            </w:r>
          </w:p>
        </w:tc>
      </w:tr>
      <w:tr>
        <w:trPr>
          <w:trHeight w:val="27"/>
        </w:trPr>
        <w:tc>
          <w:tcPr>
            <w:tcW w:w="5360" w:type="dxa"/>
            <w:vAlign w:val="bottom"/>
          </w:tcPr>
          <w:p>
            <w:pPr>
              <w:spacing w:after="0"/>
              <w:rPr>
                <w:sz w:val="2"/>
                <w:szCs w:val="2"/>
                <w:color w:val="auto"/>
              </w:rPr>
            </w:pPr>
          </w:p>
        </w:tc>
        <w:tc>
          <w:tcPr>
            <w:tcW w:w="42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4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914,101</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Class E Special Voting Common Stock</w:t>
            </w:r>
          </w:p>
        </w:tc>
        <w:tc>
          <w:tcPr>
            <w:tcW w:w="4200" w:type="dxa"/>
            <w:vAlign w:val="bottom"/>
          </w:tcPr>
          <w:p>
            <w:pPr>
              <w:jc w:val="right"/>
              <w:spacing w:after="0"/>
              <w:rPr>
                <w:sz w:val="20"/>
                <w:szCs w:val="20"/>
                <w:color w:val="auto"/>
              </w:rPr>
            </w:pPr>
            <w:r>
              <w:rPr>
                <w:rFonts w:ascii="Arial" w:cs="Arial" w:eastAsia="Arial" w:hAnsi="Arial"/>
                <w:sz w:val="18"/>
                <w:szCs w:val="18"/>
                <w:color w:val="auto"/>
              </w:rPr>
              <w:t>4,419,184</w:t>
            </w:r>
          </w:p>
        </w:tc>
      </w:tr>
    </w:tbl>
    <w:p>
      <w:pPr>
        <w:sectPr>
          <w:pgSz w:w="11900" w:h="16838" w:orient="portrait"/>
          <w:cols w:equalWidth="0" w:num="1">
            <w:col w:w="11420"/>
          </w:cols>
          <w:pgMar w:left="240" w:top="922"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gridSpan w:val="13"/>
          </w:tcPr>
          <w:p>
            <w:pPr>
              <w:spacing w:after="0"/>
              <w:rPr>
                <w:sz w:val="20"/>
                <w:szCs w:val="20"/>
                <w:color w:val="auto"/>
              </w:rPr>
            </w:pPr>
            <w:r>
              <w:rPr>
                <w:rFonts w:ascii="Arial" w:cs="Arial" w:eastAsia="Arial" w:hAnsi="Arial"/>
                <w:sz w:val="18"/>
                <w:szCs w:val="18"/>
                <w:b w:val="1"/>
                <w:bCs w:val="1"/>
                <w:color w:val="auto"/>
              </w:rPr>
              <w:t>TABLE OF CONTENTS</w:t>
            </w:r>
          </w:p>
        </w:tc>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8480" w:type="dxa"/>
            <w:vAlign w:val="bottom"/>
            <w:gridSpan w:val="13"/>
          </w:tcPr>
          <w:p>
            <w:pPr>
              <w:ind w:left="4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2920" w:type="dxa"/>
            <w:vAlign w:val="bottom"/>
            <w:gridSpan w:val="3"/>
          </w:tcPr>
          <w:p>
            <w:pPr>
              <w:jc w:val="right"/>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1</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Financial Statements</w:t>
              </w:r>
            </w:hyperlink>
          </w:p>
        </w:tc>
        <w:tc>
          <w:tcPr>
            <w:tcW w:w="5220" w:type="dxa"/>
            <w:vAlign w:val="bottom"/>
            <w:gridSpan w:val="5"/>
          </w:tcPr>
          <w:p>
            <w:pPr>
              <w:spacing w:after="0"/>
              <w:rPr>
                <w:sz w:val="24"/>
                <w:szCs w:val="24"/>
                <w:color w:val="auto"/>
              </w:rPr>
            </w:pPr>
          </w:p>
        </w:tc>
        <w:tc>
          <w:tcPr>
            <w:tcW w:w="28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3">
              <w:r>
                <w:rPr>
                  <w:rFonts w:ascii="Arial" w:cs="Arial" w:eastAsia="Arial" w:hAnsi="Arial"/>
                  <w:sz w:val="18"/>
                  <w:szCs w:val="18"/>
                  <w:b w:val="1"/>
                  <w:bCs w:val="1"/>
                  <w:color w:val="0000EE"/>
                  <w:w w:val="79"/>
                </w:rPr>
                <w:t>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840" w:type="dxa"/>
            <w:vAlign w:val="bottom"/>
            <w:gridSpan w:val="11"/>
          </w:tcPr>
          <w:p>
            <w:pPr>
              <w:spacing w:after="0"/>
              <w:rPr>
                <w:rFonts w:ascii="Arial" w:cs="Arial" w:eastAsia="Arial" w:hAnsi="Arial"/>
                <w:sz w:val="18"/>
                <w:szCs w:val="18"/>
                <w:b w:val="1"/>
                <w:bCs w:val="1"/>
                <w:color w:val="0000EE"/>
                <w:w w:val="89"/>
              </w:rPr>
            </w:pPr>
            <w:hyperlink w:anchor="page16">
              <w:r>
                <w:rPr>
                  <w:rFonts w:ascii="Arial" w:cs="Arial" w:eastAsia="Arial" w:hAnsi="Arial"/>
                  <w:sz w:val="18"/>
                  <w:szCs w:val="18"/>
                  <w:b w:val="1"/>
                  <w:bCs w:val="1"/>
                  <w:color w:val="0000EE"/>
                  <w:w w:val="89"/>
                </w:rPr>
                <w:t>Management's Discussion and Analysis of Financial Condition and Results of Operations</w:t>
              </w:r>
            </w:hyperlink>
          </w:p>
        </w:tc>
        <w:tc>
          <w:tcPr>
            <w:tcW w:w="2920" w:type="dxa"/>
            <w:vAlign w:val="bottom"/>
            <w:gridSpan w:val="3"/>
          </w:tcPr>
          <w:p>
            <w:pPr>
              <w:jc w:val="right"/>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15</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220" w:type="dxa"/>
            <w:vAlign w:val="bottom"/>
            <w:tcBorders>
              <w:left w:val="single" w:sz="8" w:color="0000EE"/>
            </w:tcBorders>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6840" w:type="dxa"/>
            <w:vAlign w:val="bottom"/>
            <w:gridSpan w:val="11"/>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Quantitative and Qualitative Disclosures About Market Risk</w:t>
              </w:r>
            </w:hyperlink>
          </w:p>
        </w:tc>
        <w:tc>
          <w:tcPr>
            <w:tcW w:w="2920" w:type="dxa"/>
            <w:vAlign w:val="bottom"/>
            <w:gridSpan w:val="3"/>
          </w:tcPr>
          <w:p>
            <w:pPr>
              <w:jc w:val="right"/>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29</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220" w:type="dxa"/>
            <w:vAlign w:val="bottom"/>
            <w:tcBorders>
              <w:left w:val="single" w:sz="8" w:color="0000EE"/>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920" w:type="dxa"/>
            <w:vAlign w:val="bottom"/>
            <w:gridSpan w:val="8"/>
          </w:tcPr>
          <w:p>
            <w:pPr>
              <w:spacing w:after="0"/>
              <w:rPr>
                <w:rFonts w:ascii="Arial" w:cs="Arial" w:eastAsia="Arial" w:hAnsi="Arial"/>
                <w:sz w:val="18"/>
                <w:szCs w:val="18"/>
                <w:b w:val="1"/>
                <w:bCs w:val="1"/>
                <w:color w:val="0000EE"/>
                <w:w w:val="88"/>
              </w:rPr>
            </w:pPr>
            <w:hyperlink w:anchor="page31">
              <w:r>
                <w:rPr>
                  <w:rFonts w:ascii="Arial" w:cs="Arial" w:eastAsia="Arial" w:hAnsi="Arial"/>
                  <w:sz w:val="18"/>
                  <w:szCs w:val="18"/>
                  <w:b w:val="1"/>
                  <w:bCs w:val="1"/>
                  <w:color w:val="0000EE"/>
                  <w:w w:val="88"/>
                </w:rPr>
                <w:t>Controls and Procedures</w:t>
              </w:r>
            </w:hyperlink>
          </w:p>
        </w:tc>
        <w:tc>
          <w:tcPr>
            <w:tcW w:w="2700" w:type="dxa"/>
            <w:vAlign w:val="bottom"/>
            <w:gridSpan w:val="2"/>
          </w:tcPr>
          <w:p>
            <w:pPr>
              <w:spacing w:after="0"/>
              <w:rPr>
                <w:sz w:val="24"/>
                <w:szCs w:val="24"/>
                <w:color w:val="auto"/>
              </w:rPr>
            </w:pPr>
          </w:p>
        </w:tc>
        <w:tc>
          <w:tcPr>
            <w:tcW w:w="2220" w:type="dxa"/>
            <w:vAlign w:val="bottom"/>
          </w:tcPr>
          <w:p>
            <w:pPr>
              <w:spacing w:after="0"/>
              <w:rPr>
                <w:sz w:val="24"/>
                <w:szCs w:val="24"/>
                <w:color w:val="auto"/>
              </w:rPr>
            </w:pPr>
          </w:p>
        </w:tc>
        <w:tc>
          <w:tcPr>
            <w:tcW w:w="2920" w:type="dxa"/>
            <w:vAlign w:val="bottom"/>
            <w:gridSpan w:val="3"/>
          </w:tcPr>
          <w:p>
            <w:pPr>
              <w:jc w:val="right"/>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29</w:t>
              </w:r>
            </w:hyperlink>
          </w:p>
        </w:tc>
      </w:tr>
      <w:tr>
        <w:trPr>
          <w:trHeight w:val="20"/>
        </w:trPr>
        <w:tc>
          <w:tcPr>
            <w:tcW w:w="164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8480" w:type="dxa"/>
            <w:vAlign w:val="bottom"/>
            <w:gridSpan w:val="13"/>
          </w:tcPr>
          <w:p>
            <w:pPr>
              <w:ind w:left="40"/>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Other Information</w:t>
              </w:r>
            </w:hyperlink>
          </w:p>
        </w:tc>
        <w:tc>
          <w:tcPr>
            <w:tcW w:w="2920" w:type="dxa"/>
            <w:vAlign w:val="bottom"/>
            <w:gridSpan w:val="3"/>
          </w:tcPr>
          <w:p>
            <w:pPr>
              <w:jc w:val="right"/>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31</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6840" w:type="dxa"/>
            <w:vAlign w:val="bottom"/>
            <w:gridSpan w:val="11"/>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Legal Proceedings</w:t>
              </w:r>
            </w:hyperlink>
          </w:p>
        </w:tc>
        <w:tc>
          <w:tcPr>
            <w:tcW w:w="2920" w:type="dxa"/>
            <w:vAlign w:val="bottom"/>
            <w:gridSpan w:val="3"/>
          </w:tcPr>
          <w:p>
            <w:pPr>
              <w:jc w:val="right"/>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31</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980" w:type="dxa"/>
            <w:vAlign w:val="bottom"/>
            <w:gridSpan w:val="3"/>
          </w:tcPr>
          <w:p>
            <w:pPr>
              <w:spacing w:after="0"/>
              <w:rPr>
                <w:rFonts w:ascii="Arial" w:cs="Arial" w:eastAsia="Arial" w:hAnsi="Arial"/>
                <w:sz w:val="18"/>
                <w:szCs w:val="18"/>
                <w:b w:val="1"/>
                <w:bCs w:val="1"/>
                <w:color w:val="0000EE"/>
                <w:w w:val="88"/>
              </w:rPr>
            </w:pPr>
            <w:hyperlink w:anchor="page33">
              <w:r>
                <w:rPr>
                  <w:rFonts w:ascii="Arial" w:cs="Arial" w:eastAsia="Arial" w:hAnsi="Arial"/>
                  <w:sz w:val="18"/>
                  <w:szCs w:val="18"/>
                  <w:b w:val="1"/>
                  <w:bCs w:val="1"/>
                  <w:color w:val="0000EE"/>
                  <w:w w:val="88"/>
                </w:rPr>
                <w:t>Risk Factors</w:t>
              </w:r>
            </w:hyperlink>
          </w:p>
        </w:tc>
        <w:tc>
          <w:tcPr>
            <w:tcW w:w="420" w:type="dxa"/>
            <w:vAlign w:val="bottom"/>
          </w:tcPr>
          <w:p>
            <w:pPr>
              <w:spacing w:after="0"/>
              <w:rPr>
                <w:sz w:val="24"/>
                <w:szCs w:val="24"/>
                <w:color w:val="auto"/>
              </w:rPr>
            </w:pPr>
          </w:p>
        </w:tc>
        <w:tc>
          <w:tcPr>
            <w:tcW w:w="5440" w:type="dxa"/>
            <w:vAlign w:val="bottom"/>
            <w:gridSpan w:val="7"/>
          </w:tcPr>
          <w:p>
            <w:pPr>
              <w:spacing w:after="0"/>
              <w:rPr>
                <w:sz w:val="24"/>
                <w:szCs w:val="24"/>
                <w:color w:val="auto"/>
              </w:rPr>
            </w:pPr>
          </w:p>
        </w:tc>
        <w:tc>
          <w:tcPr>
            <w:tcW w:w="2920" w:type="dxa"/>
            <w:vAlign w:val="bottom"/>
            <w:gridSpan w:val="3"/>
          </w:tcPr>
          <w:p>
            <w:pPr>
              <w:jc w:val="right"/>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31</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840" w:type="dxa"/>
            <w:vAlign w:val="bottom"/>
            <w:gridSpan w:val="11"/>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Unregistered Sales of Equity Securities and Use Of Proceeds</w:t>
              </w:r>
            </w:hyperlink>
          </w:p>
        </w:tc>
        <w:tc>
          <w:tcPr>
            <w:tcW w:w="2920" w:type="dxa"/>
            <w:vAlign w:val="bottom"/>
            <w:gridSpan w:val="3"/>
          </w:tcPr>
          <w:p>
            <w:pPr>
              <w:jc w:val="right"/>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31</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4620" w:type="dxa"/>
            <w:vAlign w:val="bottom"/>
            <w:gridSpan w:val="10"/>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Defaults Upon Senior Securities</w:t>
              </w:r>
            </w:hyperlink>
          </w:p>
        </w:tc>
        <w:tc>
          <w:tcPr>
            <w:tcW w:w="2220" w:type="dxa"/>
            <w:vAlign w:val="bottom"/>
          </w:tcPr>
          <w:p>
            <w:pPr>
              <w:spacing w:after="0"/>
              <w:rPr>
                <w:sz w:val="24"/>
                <w:szCs w:val="24"/>
                <w:color w:val="auto"/>
              </w:rPr>
            </w:pPr>
          </w:p>
        </w:tc>
        <w:tc>
          <w:tcPr>
            <w:tcW w:w="2920" w:type="dxa"/>
            <w:vAlign w:val="bottom"/>
            <w:gridSpan w:val="3"/>
          </w:tcPr>
          <w:p>
            <w:pPr>
              <w:jc w:val="right"/>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31</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7"/>
          </w:tcPr>
          <w:p>
            <w:pPr>
              <w:spacing w:after="0"/>
              <w:rPr>
                <w:rFonts w:ascii="Arial" w:cs="Arial" w:eastAsia="Arial" w:hAnsi="Arial"/>
                <w:sz w:val="18"/>
                <w:szCs w:val="18"/>
                <w:b w:val="1"/>
                <w:bCs w:val="1"/>
                <w:color w:val="0000EE"/>
                <w:w w:val="87"/>
              </w:rPr>
            </w:pPr>
            <w:hyperlink w:anchor="page33">
              <w:r>
                <w:rPr>
                  <w:rFonts w:ascii="Arial" w:cs="Arial" w:eastAsia="Arial" w:hAnsi="Arial"/>
                  <w:sz w:val="18"/>
                  <w:szCs w:val="18"/>
                  <w:b w:val="1"/>
                  <w:bCs w:val="1"/>
                  <w:color w:val="0000EE"/>
                  <w:w w:val="87"/>
                </w:rPr>
                <w:t>Mine Safety Disclosures</w:t>
              </w:r>
            </w:hyperlink>
          </w:p>
        </w:tc>
        <w:tc>
          <w:tcPr>
            <w:tcW w:w="600" w:type="dxa"/>
            <w:vAlign w:val="bottom"/>
            <w:gridSpan w:val="2"/>
          </w:tcPr>
          <w:p>
            <w:pPr>
              <w:spacing w:after="0"/>
              <w:rPr>
                <w:sz w:val="24"/>
                <w:szCs w:val="24"/>
                <w:color w:val="auto"/>
              </w:rPr>
            </w:pPr>
          </w:p>
        </w:tc>
        <w:tc>
          <w:tcPr>
            <w:tcW w:w="4400" w:type="dxa"/>
            <w:vAlign w:val="bottom"/>
            <w:gridSpan w:val="2"/>
          </w:tcPr>
          <w:p>
            <w:pPr>
              <w:spacing w:after="0"/>
              <w:rPr>
                <w:sz w:val="24"/>
                <w:szCs w:val="24"/>
                <w:color w:val="auto"/>
              </w:rPr>
            </w:pPr>
          </w:p>
        </w:tc>
        <w:tc>
          <w:tcPr>
            <w:tcW w:w="2920" w:type="dxa"/>
            <w:vAlign w:val="bottom"/>
            <w:gridSpan w:val="3"/>
          </w:tcPr>
          <w:p>
            <w:pPr>
              <w:jc w:val="right"/>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31</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1840" w:type="dxa"/>
            <w:vAlign w:val="bottom"/>
            <w:gridSpan w:val="7"/>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Other Information</w:t>
              </w:r>
            </w:hyperlink>
          </w:p>
        </w:tc>
        <w:tc>
          <w:tcPr>
            <w:tcW w:w="5000" w:type="dxa"/>
            <w:vAlign w:val="bottom"/>
            <w:gridSpan w:val="4"/>
          </w:tcPr>
          <w:p>
            <w:pPr>
              <w:spacing w:after="0"/>
              <w:rPr>
                <w:sz w:val="24"/>
                <w:szCs w:val="24"/>
                <w:color w:val="auto"/>
              </w:rPr>
            </w:pPr>
          </w:p>
        </w:tc>
        <w:tc>
          <w:tcPr>
            <w:tcW w:w="2920" w:type="dxa"/>
            <w:vAlign w:val="bottom"/>
            <w:gridSpan w:val="3"/>
          </w:tcPr>
          <w:p>
            <w:pPr>
              <w:jc w:val="right"/>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31</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5400" w:type="dxa"/>
            <w:vAlign w:val="bottom"/>
            <w:gridSpan w:val="6"/>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1440" w:type="dxa"/>
            <w:vAlign w:val="bottom"/>
            <w:gridSpan w:val="5"/>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Exhibits</w:t>
              </w:r>
            </w:hyperlink>
          </w:p>
        </w:tc>
        <w:tc>
          <w:tcPr>
            <w:tcW w:w="5400" w:type="dxa"/>
            <w:vAlign w:val="bottom"/>
            <w:gridSpan w:val="6"/>
          </w:tcPr>
          <w:p>
            <w:pPr>
              <w:spacing w:after="0"/>
              <w:rPr>
                <w:sz w:val="24"/>
                <w:szCs w:val="24"/>
                <w:color w:val="auto"/>
              </w:rPr>
            </w:pPr>
          </w:p>
        </w:tc>
        <w:tc>
          <w:tcPr>
            <w:tcW w:w="2920" w:type="dxa"/>
            <w:vAlign w:val="bottom"/>
            <w:gridSpan w:val="3"/>
          </w:tcPr>
          <w:p>
            <w:pPr>
              <w:jc w:val="right"/>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32</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769"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r>
              <w:rPr>
                <w:rFonts w:ascii="Arial" w:cs="Arial" w:eastAsia="Arial" w:hAnsi="Arial"/>
                <w:sz w:val="18"/>
                <w:szCs w:val="18"/>
                <w:b w:val="1"/>
                <w:bCs w:val="1"/>
                <w:i w:val="1"/>
                <w:iCs w:val="1"/>
                <w:color w:val="auto"/>
                <w:w w:val="91"/>
              </w:rPr>
              <w:t>.</w:t>
            </w:r>
          </w:p>
        </w:tc>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BOOZ ALLEN HAMILTON HOLDING CORPORATION</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220" w:type="dxa"/>
            <w:vAlign w:val="bottom"/>
          </w:tcPr>
          <w:p>
            <w:pPr>
              <w:spacing w:after="0"/>
              <w:rPr>
                <w:sz w:val="24"/>
                <w:szCs w:val="24"/>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(Amounts in thousands, except</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jc w:val="right"/>
              <w:ind w:right="550"/>
              <w:spacing w:after="0"/>
              <w:rPr>
                <w:sz w:val="20"/>
                <w:szCs w:val="20"/>
                <w:color w:val="auto"/>
              </w:rPr>
            </w:pPr>
            <w:r>
              <w:rPr>
                <w:rFonts w:ascii="Arial" w:cs="Arial" w:eastAsia="Arial" w:hAnsi="Arial"/>
                <w:sz w:val="16"/>
                <w:szCs w:val="16"/>
                <w:b w:val="1"/>
                <w:bCs w:val="1"/>
                <w:color w:val="auto"/>
              </w:rPr>
              <w:t>share and per share data)</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330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319,448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259,994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897,542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916,737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79,246</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1,300,753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1,255,977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117,930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129,427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218,461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220,887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1,273,560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1,273,789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52,709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60,738</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2,963,413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2,940,818</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41,500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73,688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478,363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488,807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280,610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331,440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23,169</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855,969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917,104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1,613,645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1,585,231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263,950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266,847</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2,733,564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2,769,182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16)</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145,392,320 shares at</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88"/>
              </w:rPr>
              <w:t>June 30, 2014 and 143,962,073 shares at March 31, 2014; outstanding, 144,564,873 shares at June 30, 2014</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and 143,352,448 shares at March 31, 2014</w:t>
            </w:r>
          </w:p>
        </w:tc>
        <w:tc>
          <w:tcPr>
            <w:tcW w:w="2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Non-voting common stock, Class B — $0.01 par value — authorized, 16,000,000 shares; issued and</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525,370 shares at June 30, 2014 and 582,080 shares at March 31, 2014</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Restricted common stock, Class C — $0.01 par value — authorized, 5,000,000 shares; issued and</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outstanding, 914,101 shares at June 30, 2014 and 935,871 shares at March 31, 2014</w:t>
            </w:r>
          </w:p>
        </w:tc>
        <w:tc>
          <w:tcPr>
            <w:tcW w:w="2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Special voting common stock, Class E — $0.003 par value — authorized, 25,000,000 shares; issued and</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4,419,184 shares at June 30, 2014 and 4,424,814 shares at March 31, 2014</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Treasury stock, at cost — 827,447 shares at June 30, 2014 and 609,625 shares at March 31, 2014</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(10,153)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151,949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144,269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97,755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42,688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229,849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171,636</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2,963,413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2,940,818</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5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26"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20" w:type="dxa"/>
            <w:vAlign w:val="bottom"/>
            <w:gridSpan w:val="4"/>
          </w:tcPr>
          <w:p>
            <w:pPr>
              <w:jc w:val="right"/>
              <w:ind w:right="711"/>
              <w:spacing w:after="0" w:line="153" w:lineRule="exact"/>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except per share data)</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1,322,297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1,427,691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645,001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701,472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350,972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397,888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171,328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16,232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18,330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1,183,274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1,289,018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139,023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138,673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119,049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118,015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47,934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47,702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71,115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70,313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(Note 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Dividends declared per share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69" w:right="239" w:bottom="1440" w:gutter="0" w:footer="0" w:header="0"/>
        </w:sectPr>
      </w:pPr>
    </w:p>
    <w:bookmarkStart w:id="4" w:name="page5"/>
    <w:bookmarkEnd w:id="4"/>
    <w:p>
      <w:pPr>
        <w:jc w:val="center"/>
        <w:spacing w:after="0" w:line="321"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p>
      <w:pPr>
        <w:spacing w:after="0" w:line="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196"/>
        </w:trPr>
        <w:tc>
          <w:tcPr>
            <w:tcW w:w="8340" w:type="dxa"/>
            <w:vAlign w:val="bottom"/>
          </w:tcPr>
          <w:p>
            <w:pPr>
              <w:spacing w:after="0"/>
              <w:rPr>
                <w:sz w:val="17"/>
                <w:szCs w:val="17"/>
                <w:color w:val="auto"/>
              </w:rPr>
            </w:pPr>
          </w:p>
        </w:tc>
        <w:tc>
          <w:tcPr>
            <w:tcW w:w="3080" w:type="dxa"/>
            <w:vAlign w:val="bottom"/>
            <w:gridSpan w:val="5"/>
          </w:tcPr>
          <w:p>
            <w:pPr>
              <w:jc w:val="right"/>
              <w:ind w:right="714"/>
              <w:spacing w:after="0"/>
              <w:rPr>
                <w:sz w:val="20"/>
                <w:szCs w:val="20"/>
                <w:color w:val="auto"/>
              </w:rPr>
            </w:pPr>
            <w:r>
              <w:rPr>
                <w:rFonts w:ascii="Arial" w:cs="Arial" w:eastAsia="Arial" w:hAnsi="Arial"/>
                <w:sz w:val="14"/>
                <w:szCs w:val="14"/>
                <w:b w:val="1"/>
                <w:bCs w:val="1"/>
                <w:color w:val="auto"/>
              </w:rPr>
              <w:t>(Amounts 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71,115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70,313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postretirement plan costs, net of tax</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424</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71,200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70,737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8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71,115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70,313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16,232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18,330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the exercise of stock options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 and loss on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Losses on dispositions and impairments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19,195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34,032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7,484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(72,400)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26,632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31,974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91,726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73,847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proceeds from 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 option exercises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the exercise of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Dividend equivalents paid to option holders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Repayment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(168,438)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(11,624)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debt issuance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168,438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34,975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259,994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350,384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319,448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385,359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8,736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16,604</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40,103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769"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69" w:right="2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NOTES TO UNAUDITED CONDENSED CONSOLIDATED FINANCIAL STATEMENTS (Amounts in tables in thousands, except share and per share data or unless otherwise noted) June 30, 2014</w:t>
      </w:r>
    </w:p>
    <w:p>
      <w:pPr>
        <w:spacing w:after="0" w:line="176" w:lineRule="exact"/>
        <w:rPr>
          <w:sz w:val="20"/>
          <w:szCs w:val="20"/>
          <w:color w:val="auto"/>
        </w:rPr>
      </w:pPr>
    </w:p>
    <w:p>
      <w:pPr>
        <w:ind w:left="260" w:right="9300" w:hanging="252"/>
        <w:spacing w:after="0" w:line="367" w:lineRule="auto"/>
        <w:tabs>
          <w:tab w:leader="none" w:pos="19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OVERVIEW </w:t>
      </w:r>
      <w:r>
        <w:rPr>
          <w:rFonts w:ascii="Arial" w:cs="Arial" w:eastAsia="Arial" w:hAnsi="Arial"/>
          <w:sz w:val="17"/>
          <w:szCs w:val="17"/>
          <w:b w:val="1"/>
          <w:bCs w:val="1"/>
          <w:i w:val="1"/>
          <w:iCs w:val="1"/>
          <w:color w:val="auto"/>
        </w:rPr>
        <w:t>Organization</w:t>
      </w:r>
    </w:p>
    <w:p>
      <w:pPr>
        <w:ind w:right="20" w:firstLine="405"/>
        <w:spacing w:after="0" w:line="276" w:lineRule="auto"/>
        <w:rPr>
          <w:sz w:val="20"/>
          <w:szCs w:val="20"/>
          <w:color w:val="auto"/>
        </w:rPr>
      </w:pPr>
      <w:r>
        <w:rPr>
          <w:rFonts w:ascii="Arial" w:cs="Arial" w:eastAsia="Arial" w:hAnsi="Arial"/>
          <w:sz w:val="17"/>
          <w:szCs w:val="17"/>
          <w:color w:val="auto"/>
        </w:rPr>
        <w:t>Booz Allen Hamilton Holding Corporation, including its wholly owned subsidiaries, or Holding or the Company, is an affiliate of The Carlyle Group, or Carlyle, and was incorporated in Delaware in May 2008. The Company provides management consulting, technology, and engineering services to the U.S. government in the defense, intelligence, and civil markets. Additionally, the Company provides its management and technology consulting services to major corporations, institutions, and not-for-profit organizations. The Company reports operating results and financial data in one operating segment. The Company is headquartered in McLean, Virginia, with approximately 22,100 employees as of June 30,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94"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The Company prepared the unaudited condensed consolidated financial statements in this Quarterly Report on Form 10-Q, or Quarterly Report, in accordance with accounting principles generally accepted in the United States, or U.S. GAAP, for interim financial information and with the instructions to Form 10-Q and Article 10 of Regulation S-X. As a result, certain information and footnote disclosures normally included in financial statements prepared in accordance with U.S. GAAP have been condensed or omitted. The Company followed the accounting policies used and disclosed in the consolidated financial statements included in the Annual Report on Form 10-K for the fiscal year ended March 31, 2014 filed with the Securities and Exchange Commission on May 22, 2014, or Annual Report, and policies stated within this Quarterly Report. The Company’s fiscal year ends on March 31 and unless otherwise noted, references to fiscal year or fiscal are for fiscal years ended March 31.</w:t>
      </w:r>
    </w:p>
    <w:p>
      <w:pPr>
        <w:spacing w:after="0" w:line="124"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The interim financial information in this Quarterly Report reflects all adjustments, consisting of normal recurring adjustments except as otherwise disclosed, necessary for a fair presentation of the Company’s results of operations for the interim periods. The results of operations for the three months ended June 30, 2014 are not necessarily indicative of results to be expected for the full fiscal year.</w:t>
      </w:r>
    </w:p>
    <w:p>
      <w:pPr>
        <w:spacing w:after="0" w:line="127"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allowance for doubtful accounts, contractual and regulatory reserves, valuation and lives of tangible and intangible assets, impairment of long-lived assets, accrued liabilities, revenue recognition, bonus and other incentive compensation, stock-based compensation, realization of deferred tax assets, provisions for income taxes, and postretirement obligations. Actual results experienced by the Company may differ materially from management's estimates.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 May 2014, the Financial Accounting Standards Board issued a new standard that will replace existing revenue recognition standards and significantly expand the disclosure requirements for revenue arrangements. The new standard will be effective for the Company beginning on April 1, 2017 (i.e., beginning with the first quarter fiscal 2018 interim financial statements). The new standard may be adopted retrospectively for all periods presented, or adopted using a modified retrospective approach. Under the retrospective approach, the fiscal 2017 and 2016 financial statements would be adjusted to reflect the effects of applying the new standard on those periods. Under the modified retrospective approach, the new standard would only be applied for the period beginning April 1, 2017 to new contracts and those contracts that are not yet complete at April 1, 2017, with a cumulative catch-up adjustment recorded to beginning retained earnings for existing contracts that still require performance. Management is currently evaluating the methods of adoption allowed by the new standard and the effect the standard is expected to have on the Company’s financial statements and related disclosures.</w:t>
      </w:r>
    </w:p>
    <w:p>
      <w:pPr>
        <w:spacing w:after="0" w:line="58"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Other recent accounting pronouncements issued by the FASB during the three months ended June 30, 2014 and through the filing date did not or are not believed by management to have a material impact on the Company's present or historical condensed consolidated financial statements.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2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3. EARNINGS PER SHARE</w:t>
      </w:r>
    </w:p>
    <w:p>
      <w:pPr>
        <w:spacing w:after="0" w:line="94"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11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 currently has outstanding shares of Class A Common Stock, Class B Non-Voting Common Stock, Class C Restricted Common Stock, and Class E Special Voting Common Stock. Class E Special Voting Common Stock shares are not included in the calculation of EPS as these shares represent voting rights only and are not entitled to participate in dividends or other distributions. Unvested Class A Restricted Common Stock holders are entitled to participate in non-forfeitable dividends or other distributions. These unvested shares participated in the Company's dividends declared and paid in the first quarter of fiscal 2014 and 2015.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316"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13335</wp:posOffset>
            </wp:positionV>
            <wp:extent cx="1732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87"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7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for basic computations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69,998</w:t>
            </w: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Weighted-average Class A Common Stock outstanding</w:t>
            </w:r>
          </w:p>
        </w:tc>
        <w:tc>
          <w:tcPr>
            <w:tcW w:w="2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w w:val="97"/>
              </w:rPr>
              <w:t>142,188,210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w w:val="97"/>
              </w:rPr>
              <w:t>135,538,602</w:t>
            </w:r>
          </w:p>
        </w:tc>
      </w:tr>
      <w:tr>
        <w:trPr>
          <w:trHeight w:val="27"/>
        </w:trPr>
        <w:tc>
          <w:tcPr>
            <w:tcW w:w="7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Class B Non-Voting Common Stock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1,348,912</w:t>
            </w: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Weighted-average Class C Restricted Common Stock outstanding</w:t>
            </w:r>
          </w:p>
        </w:tc>
        <w:tc>
          <w:tcPr>
            <w:tcW w:w="2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918,939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1,156,992</w:t>
            </w:r>
          </w:p>
        </w:tc>
      </w:tr>
      <w:tr>
        <w:trPr>
          <w:trHeight w:val="27"/>
        </w:trPr>
        <w:tc>
          <w:tcPr>
            <w:tcW w:w="7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weighted-average common shares outstanding for basic computations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143,645,419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138,044,506</w:t>
            </w: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Earnings for diluted computations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70,292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70,014</w:t>
            </w:r>
          </w:p>
        </w:tc>
      </w:tr>
      <w:tr>
        <w:trPr>
          <w:trHeight w:val="27"/>
        </w:trPr>
        <w:tc>
          <w:tcPr>
            <w:tcW w:w="7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5,981,749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9,193,243</w:t>
            </w:r>
          </w:p>
        </w:tc>
      </w:tr>
      <w:tr>
        <w:trPr>
          <w:trHeight w:val="237"/>
        </w:trPr>
        <w:tc>
          <w:tcPr>
            <w:tcW w:w="7220" w:type="dxa"/>
            <w:vAlign w:val="bottom"/>
          </w:tcPr>
          <w:p>
            <w:pPr>
              <w:ind w:left="380"/>
              <w:spacing w:after="0"/>
              <w:rPr>
                <w:sz w:val="20"/>
                <w:szCs w:val="20"/>
                <w:color w:val="auto"/>
              </w:rPr>
            </w:pPr>
            <w:r>
              <w:rPr>
                <w:rFonts w:ascii="Arial" w:cs="Arial" w:eastAsia="Arial" w:hAnsi="Arial"/>
                <w:sz w:val="18"/>
                <w:szCs w:val="18"/>
                <w:color w:val="auto"/>
              </w:rPr>
              <w:t>Average number of common shares outstanding for diluted computations</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7"/>
              </w:rPr>
              <w:t>149,627,168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7"/>
              </w:rPr>
              <w:t>147,237,749</w:t>
            </w:r>
          </w:p>
        </w:tc>
      </w:tr>
      <w:tr>
        <w:trPr>
          <w:trHeight w:val="27"/>
        </w:trPr>
        <w:tc>
          <w:tcPr>
            <w:tcW w:w="7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220" w:type="dxa"/>
            <w:vAlign w:val="bottom"/>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0.51</w:t>
            </w:r>
          </w:p>
        </w:tc>
      </w:tr>
      <w:tr>
        <w:trPr>
          <w:trHeight w:val="67"/>
        </w:trPr>
        <w:tc>
          <w:tcPr>
            <w:tcW w:w="72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56"/>
        </w:trPr>
        <w:tc>
          <w:tcPr>
            <w:tcW w:w="72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0.48</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(1) During the three months ended June 30, 2014 and 2013, approximately 1,700,000 and 600,000 participating securities were paid dividends totaling</w:t>
      </w:r>
    </w:p>
    <w:p>
      <w:pPr>
        <w:spacing w:after="0" w:line="3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$191,000 and $62,000, respectively. Additionally, for the three months ended June 30, 2014, undistributed earnings of $659,000 and $632,000 were allocated to the participating class of securities in basic and diluted earnings per share, respectively. For the three months ended June 30, 2013 there were undistributed earnings of $253,000 and $237,000 allocated to the participating class of securities in basic and diluted earnings per share, respectively. The allocated undistributed earnings and the dividends paid comprise the difference between net income presented on the condensed consolidated statements of operations for the three months ended June 30, 2014 and 2013 and earnings for basic computations.</w:t>
      </w:r>
    </w:p>
    <w:p>
      <w:pPr>
        <w:spacing w:after="0" w:line="34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EPS calculation for the three months ended June 30, 2014 and 2013 excludes 212,000 and 990,000 options, respectively, as their impact was anti-dilutive.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26"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4. ACCOUNTS RECEIVABLE, NET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receivable, net consisted of the following:</w:t>
      </w:r>
    </w:p>
    <w:p>
      <w:pPr>
        <w:spacing w:after="0" w:line="3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409,537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395,509</w:t>
            </w: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489,010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522,685</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(1,457)</w:t>
            </w:r>
          </w:p>
        </w:tc>
      </w:tr>
      <w:tr>
        <w:trPr>
          <w:trHeight w:val="27"/>
        </w:trPr>
        <w:tc>
          <w:tcPr>
            <w:tcW w:w="6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897,542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916,737</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Long-term</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receivables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22,877</w:t>
            </w:r>
          </w:p>
        </w:tc>
      </w:tr>
      <w:tr>
        <w:trPr>
          <w:trHeight w:val="237"/>
        </w:trPr>
        <w:tc>
          <w:tcPr>
            <w:tcW w:w="662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915,024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939,614</w:t>
            </w:r>
          </w:p>
        </w:tc>
      </w:tr>
      <w:tr>
        <w:trPr>
          <w:trHeight w:val="27"/>
        </w:trPr>
        <w:tc>
          <w:tcPr>
            <w:tcW w:w="6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Unbilled amounts represent sales for which billings have not been presented to customers at quarter-end or year-end. These amounts are usually billed and collected within one year. Long-term unbilled receivables not anticipated to be billed and collected within one year, which are primarily related to retainage, holdbacks, and long-term rate settlements to be billed at contract closeout, are included in other long-term assets as accounts receivable in the accompanying condensed consolidated balance sheets. The Company recognized a provision (benefit) for doubtful accounts (including certain unbilled reserves) of $(452,000) and $2.0 million for the three months ended June 30, 2014 and 2013, respectively. Because the Company's accounts receivable are primarily with the U.S. Government and its agencies, the Company does not have material exposure to accounts receivable credit risk.</w:t>
      </w:r>
    </w:p>
    <w:p>
      <w:pPr>
        <w:spacing w:after="0" w:line="161" w:lineRule="exact"/>
        <w:rPr>
          <w:sz w:val="20"/>
          <w:szCs w:val="20"/>
          <w:color w:val="auto"/>
        </w:rPr>
      </w:pPr>
    </w:p>
    <w:p>
      <w:pPr>
        <w:ind w:left="440" w:right="5560" w:hanging="432"/>
        <w:spacing w:after="0" w:line="660" w:lineRule="auto"/>
        <w:tabs>
          <w:tab w:leader="none" w:pos="188"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tbl>
      <w:tblPr>
        <w:tblLayout w:type="fixed"/>
        <w:tblInd w:w="0" w:type="dxa"/>
        <w:tblCellMar>
          <w:top w:w="0" w:type="dxa"/>
          <w:left w:w="0" w:type="dxa"/>
          <w:bottom w:w="0" w:type="dxa"/>
          <w:right w:w="0" w:type="dxa"/>
        </w:tblCellMar>
      </w:tblPr>
      <w:tr>
        <w:trPr>
          <w:trHeight w:val="149"/>
        </w:trPr>
        <w:tc>
          <w:tcPr>
            <w:tcW w:w="5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2"/>
                <w:szCs w:val="12"/>
                <w:color w:val="auto"/>
              </w:rPr>
            </w:pPr>
          </w:p>
        </w:tc>
        <w:tc>
          <w:tcPr>
            <w:tcW w:w="1220" w:type="dxa"/>
            <w:vAlign w:val="bottom"/>
          </w:tcPr>
          <w:p>
            <w:pPr>
              <w:jc w:val="right"/>
              <w:ind w:right="357"/>
              <w:spacing w:after="0" w:line="149" w:lineRule="exact"/>
              <w:rPr>
                <w:sz w:val="20"/>
                <w:szCs w:val="20"/>
                <w:color w:val="auto"/>
              </w:rPr>
            </w:pPr>
            <w:r>
              <w:rPr>
                <w:rFonts w:ascii="Arial" w:cs="Arial" w:eastAsia="Arial" w:hAnsi="Arial"/>
                <w:sz w:val="14"/>
                <w:szCs w:val="14"/>
                <w:b w:val="1"/>
                <w:bCs w:val="1"/>
                <w:color w:val="auto"/>
              </w:rPr>
              <w:t>March 31,</w:t>
            </w:r>
          </w:p>
        </w:tc>
      </w:tr>
      <w:tr>
        <w:trPr>
          <w:trHeight w:val="192"/>
        </w:trPr>
        <w:tc>
          <w:tcPr>
            <w:tcW w:w="5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payables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265,079</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234,562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223,728</w:t>
            </w:r>
          </w:p>
        </w:tc>
      </w:tr>
      <w:tr>
        <w:trPr>
          <w:trHeight w:val="27"/>
        </w:trPr>
        <w:tc>
          <w:tcPr>
            <w:tcW w:w="5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478,363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488,807</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Accrued expenses consisted primarily of the Company’s reserve related to potential cost disallowance in conjunction with government audits. Refer to Note 16 for further discussion of this reserve.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COMPENSATION AND BENEFITS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3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CCEEFF"/>
            </w:tcBorders>
          </w:tcPr>
          <w:p>
            <w:pPr>
              <w:spacing w:after="0"/>
              <w:rPr>
                <w:sz w:val="16"/>
                <w:szCs w:val="16"/>
                <w:color w:val="auto"/>
              </w:rPr>
            </w:pPr>
          </w:p>
        </w:tc>
        <w:tc>
          <w:tcPr>
            <w:tcW w:w="2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2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75,423</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2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49,141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43,405</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25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119,705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117,626</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Stock-based compensation liability (Note 13)</w:t>
            </w:r>
          </w:p>
        </w:tc>
        <w:tc>
          <w:tcPr>
            <w:tcW w:w="2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37,885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39,922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w:t>
            </w:r>
          </w:p>
        </w:tc>
        <w:tc>
          <w:tcPr>
            <w:tcW w:w="25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27,547</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Other</w:t>
            </w:r>
          </w:p>
        </w:tc>
        <w:tc>
          <w:tcPr>
            <w:tcW w:w="2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29,788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27,517</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2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280,610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331,440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CCEEFF"/>
            </w:tcBorders>
            <w:vMerge w:val="restart"/>
          </w:tcPr>
          <w:p>
            <w:pPr>
              <w:jc w:val="right"/>
              <w:ind w:right="1650"/>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06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526"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7. DEBT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consisted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1015"/>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March 31, 2014</w:t>
            </w:r>
          </w:p>
        </w:tc>
      </w:tr>
      <w:tr>
        <w:trPr>
          <w:trHeight w:val="152"/>
        </w:trPr>
        <w:tc>
          <w:tcPr>
            <w:tcW w:w="4900" w:type="dxa"/>
            <w:vAlign w:val="bottom"/>
          </w:tcPr>
          <w:p>
            <w:pPr>
              <w:spacing w:after="0"/>
              <w:rPr>
                <w:sz w:val="13"/>
                <w:szCs w:val="13"/>
                <w:color w:val="auto"/>
              </w:rPr>
            </w:pPr>
          </w:p>
        </w:tc>
        <w:tc>
          <w:tcPr>
            <w:tcW w:w="96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3"/>
                <w:szCs w:val="13"/>
                <w:color w:val="auto"/>
              </w:rPr>
            </w:pPr>
          </w:p>
        </w:tc>
        <w:tc>
          <w:tcPr>
            <w:tcW w:w="100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r>
      <w:tr>
        <w:trPr>
          <w:trHeight w:val="192"/>
        </w:trPr>
        <w:tc>
          <w:tcPr>
            <w:tcW w:w="49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Balance</w:t>
            </w: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826,515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660,317</w:t>
            </w:r>
          </w:p>
        </w:tc>
      </w:tr>
      <w:tr>
        <w:trPr>
          <w:trHeight w:val="24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Term Loan B</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828,630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6"/>
              </w:rPr>
              <w:t>3.75%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998,602</w:t>
            </w:r>
          </w:p>
        </w:tc>
      </w:tr>
      <w:tr>
        <w:trPr>
          <w:trHeight w:val="27"/>
        </w:trPr>
        <w:tc>
          <w:tcPr>
            <w:tcW w:w="4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1,655,145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1,658,919</w:t>
            </w:r>
          </w:p>
        </w:tc>
      </w:tr>
      <w:tr>
        <w:trPr>
          <w:trHeight w:val="243"/>
        </w:trPr>
        <w:tc>
          <w:tcPr>
            <w:tcW w:w="5860" w:type="dxa"/>
            <w:vAlign w:val="bottom"/>
            <w:gridSpan w:val="2"/>
          </w:tcPr>
          <w:p>
            <w:pPr>
              <w:ind w:left="700"/>
              <w:spacing w:after="0"/>
              <w:rPr>
                <w:sz w:val="20"/>
                <w:szCs w:val="20"/>
                <w:color w:val="auto"/>
              </w:rPr>
            </w:pPr>
            <w:r>
              <w:rPr>
                <w:rFonts w:ascii="Arial" w:cs="Arial" w:eastAsia="Arial" w:hAnsi="Arial"/>
                <w:sz w:val="18"/>
                <w:szCs w:val="18"/>
                <w:color w:val="auto"/>
              </w:rPr>
              <w:t>Less: Current portion of long-term debt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(41,500)</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(73,688)</w:t>
            </w:r>
          </w:p>
        </w:tc>
      </w:tr>
      <w:tr>
        <w:trPr>
          <w:trHeight w:val="27"/>
        </w:trPr>
        <w:tc>
          <w:tcPr>
            <w:tcW w:w="4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Long-term debt, net of current portion</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1,613,645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1,585,231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On May 7, 2014, the Company entered into the Second Amendment to the Credit Agreement, dated as of July 31, 2012 (as previously amended by the First Amendment to the Credit Agreement, dated as of August 16, 2013). Prior to the Second Amendment, approximately $661.6 million of Term Loan A and $1,009.6 million of Term Loan B was outstanding. Pursuant to the Second Amendment, the Company increased its borrowing under Term Loan A by approximately $168.4 million, the proceeds of which were used to pay outstanding principal on the Term Loan B. Following the Second Amendment, $830.0 million of Term Loan A and $841.2 million of Term Loan B were outstanding under the Credit Agreement. The rates for Term Loan A and Term Loan B, as amended, remain unchanged. The Second Amendment also extended the maturity date of Term Loan A and the revolving credit facility to May 31, 2019. The maturity date for Term Loan B remained unchanged. The Company also amended its existing debt covenants to provide for greater operational and financial flexibility.</w:t>
      </w:r>
    </w:p>
    <w:p>
      <w:pPr>
        <w:spacing w:after="0" w:line="19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connection with the Second Amendment, the Company accelerated the amortization of ratable portions of the Debt Issuance Costs, or DIC, and Original Issue Discount, or OID, associated with the prior senior secured loan facilities of $1.2 million. These expenses are reflected in other expense, net for the three months ended June 30, 2014. Furthermore, the Company expensed third party debt issuance costs of $2.0 million that did not qualify for deferral and are reflected in general and administrative costs for the three months ended June 30, 2014.</w:t>
      </w:r>
    </w:p>
    <w:p>
      <w:pPr>
        <w:spacing w:after="0" w:line="18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of June 30, 2014, the Credit Agreement, as amended, provided the Company with an $830.0 million Term Loan A and an $841.2 million Term Loan B, and a $500.0 million revolving credit facility, with a sublimit for letters of credit of $100.0 million. The outstanding obligations under the Credit Agreement, as amended, are secured by a security interest in substantially all of the assets of the Company, subject to certain exceptions set forth in the Credit Agreement, as amended, and related documentation.</w:t>
      </w:r>
    </w:p>
    <w:p>
      <w:pPr>
        <w:spacing w:after="0" w:line="187" w:lineRule="exact"/>
        <w:rPr>
          <w:sz w:val="20"/>
          <w:szCs w:val="20"/>
          <w:color w:val="auto"/>
        </w:rPr>
      </w:pPr>
    </w:p>
    <w:p>
      <w:pPr>
        <w:ind w:right="360" w:firstLine="405"/>
        <w:spacing w:after="0" w:line="297" w:lineRule="auto"/>
        <w:rPr>
          <w:sz w:val="20"/>
          <w:szCs w:val="20"/>
          <w:color w:val="auto"/>
        </w:rPr>
      </w:pPr>
      <w:r>
        <w:rPr>
          <w:rFonts w:ascii="Arial" w:cs="Arial" w:eastAsia="Arial" w:hAnsi="Arial"/>
          <w:sz w:val="16"/>
          <w:szCs w:val="16"/>
          <w:color w:val="auto"/>
        </w:rPr>
        <w:t>The Credit Agreement, as amended, requires quarterly principal payments of 1.25% of the stated principal amount of Term Loan A, with annual incremental increases to 1.875%, 2.50%, 3.125%, and 13.0%, prior to Term Loan A's maturity date of May 31, 2019. As a result of paying approximately $168.4 million of Term Loan B principal in connection with the Second Amendment, no additional principal payments are required until the remaining balance is due on Term Loan B's maturity date of July 31, 2019. The revolving credit facility matures on May 31, 2019, at which time any outstanding principal balance is due in full. As of June 30, 2014 and March 31, 2014, there were no amounts outstanding on the revolving credit facility.</w:t>
      </w:r>
    </w:p>
    <w:p>
      <w:pPr>
        <w:spacing w:after="0" w:line="158" w:lineRule="exact"/>
        <w:rPr>
          <w:sz w:val="20"/>
          <w:szCs w:val="20"/>
          <w:color w:val="auto"/>
        </w:rPr>
      </w:pPr>
    </w:p>
    <w:p>
      <w:pPr>
        <w:jc w:val="both"/>
        <w:ind w:right="220" w:firstLine="405"/>
        <w:spacing w:after="0" w:line="259" w:lineRule="auto"/>
        <w:rPr>
          <w:sz w:val="20"/>
          <w:szCs w:val="20"/>
          <w:color w:val="auto"/>
        </w:rPr>
      </w:pPr>
      <w:r>
        <w:rPr>
          <w:rFonts w:ascii="Arial" w:cs="Arial" w:eastAsia="Arial" w:hAnsi="Arial"/>
          <w:sz w:val="18"/>
          <w:szCs w:val="18"/>
          <w:color w:val="auto"/>
        </w:rPr>
        <w:t>The interest rate on borrowings under Term Loan A is LIBOR plus a 2.50% spread. The spread ranges from 2.00% to 2.75% based on the Company's total leverage ratio. The interest rate on borrowings under Term Loan B is LIBOR plus a 3.0% spread with a 0.75% floor. The spread ranges from 2.00% to 3.00% based upon either an ABR or LIBOR borrowing. The revolving credit facility margin and commitment fee are subject to the leveraged based pricing grid, as set forth in the Credit Agreement, as amended.</w:t>
      </w:r>
    </w:p>
    <w:p>
      <w:pPr>
        <w:spacing w:after="0" w:line="133"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total outstanding debt balance is recorded in the accompanying condensed consolidated balance sheets, net of unamortized discount of $16.0 million and $12.3 million as of June 30, 2014 and March 31, 2014,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2014 and March 31, 2014, the Company was in compliance with all of the Credit Agreement's debt covenants.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2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8. INCOME TAXES</w:t>
      </w:r>
    </w:p>
    <w:p>
      <w:pPr>
        <w:spacing w:after="0" w:line="9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Company’s effective income tax rate was 40.3% and 40.4% for the three months ended June 30, 2014 and 2013, respectively. The effective tax rate of 40.3% differs from the statutory rate of 35.0% due to state income taxes and the effect of permanent rate differences, which primarily relate to meals and entertainment.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LONG-TERM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76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reserve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57,413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57,406</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26,598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28,527</w:t>
            </w:r>
          </w:p>
        </w:tc>
      </w:tr>
      <w:tr>
        <w:trPr>
          <w:trHeight w:val="27"/>
        </w:trPr>
        <w:tc>
          <w:tcPr>
            <w:tcW w:w="7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liability (Note 13)</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25,966</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Deferred payment obligation</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60,214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60,444</w:t>
            </w:r>
          </w:p>
        </w:tc>
      </w:tr>
      <w:tr>
        <w:trPr>
          <w:trHeight w:val="27"/>
        </w:trPr>
        <w:tc>
          <w:tcPr>
            <w:tcW w:w="7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benefit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81,834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80,527</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11,925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13,977</w:t>
            </w:r>
          </w:p>
        </w:tc>
      </w:tr>
      <w:tr>
        <w:trPr>
          <w:trHeight w:val="27"/>
        </w:trPr>
        <w:tc>
          <w:tcPr>
            <w:tcW w:w="7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long-term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263,950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266,847</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As of June 30, 2014 and March 31, 2014, the Company recorded a stock-based compensation liability of $63.9 million and $65.9 million, respectively, including $37.9 million and $39.9 million, respectively, expected to be paid within one year, related to special dividends paid in July and December 2009, June 2012, August 2012, November 2013, and February 2014. Rollover options vested and not yet exercised that would have had an exercise price below zero as a result of the dividends were reduced to one cent, with the remaining reduction to be paid in cash upon exercise of the options. Payments of the special dividends to EIP option holders is linked to vesting. Refer to Note 13 for further discussion of the special dividends.</w:t>
      </w:r>
    </w:p>
    <w:p>
      <w:pPr>
        <w:spacing w:after="0" w:line="154" w:lineRule="exact"/>
        <w:rPr>
          <w:sz w:val="20"/>
          <w:szCs w:val="20"/>
          <w:color w:val="auto"/>
        </w:rPr>
      </w:pPr>
    </w:p>
    <w:p>
      <w:pPr>
        <w:ind w:left="340" w:right="8560" w:hanging="332"/>
        <w:spacing w:after="0" w:line="346" w:lineRule="auto"/>
        <w:tabs>
          <w:tab w:leader="none" w:pos="28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Defined Contribution Plan</w:t>
      </w:r>
    </w:p>
    <w:p>
      <w:pPr>
        <w:spacing w:after="0" w:line="1"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Effective April 1, 2014 the Company transitioned from a discretionary employer contribution to an annual matching contribution of up to 6% of eligible annual income as determined by the Internal Revenue Code for the ECAP. Total expense recognized under ECAP was $27.3 million and $41.6 million for the three months ended June 30, 2014 and 2013, respectively. The Company-paid contributions were $21.6 million and $43.2 million for the three months ended June 30, 2014 and 2013, respectively.</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maintains and administers a postretirement medical plan and a defined benefit retirement plan for current, retired, and resigned officers.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163"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13335</wp:posOffset>
            </wp:positionV>
            <wp:extent cx="20237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87"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74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1,186</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924</w:t>
            </w:r>
          </w:p>
        </w:tc>
      </w:tr>
      <w:tr>
        <w:trPr>
          <w:trHeight w:val="27"/>
        </w:trPr>
        <w:tc>
          <w:tcPr>
            <w:tcW w:w="7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713</w:t>
            </w:r>
          </w:p>
        </w:tc>
      </w:tr>
      <w:tr>
        <w:trPr>
          <w:trHeight w:val="237"/>
        </w:trPr>
        <w:tc>
          <w:tcPr>
            <w:tcW w:w="7480" w:type="dxa"/>
            <w:vAlign w:val="bottom"/>
          </w:tcPr>
          <w:p>
            <w:pPr>
              <w:ind w:left="380"/>
              <w:spacing w:after="0"/>
              <w:rPr>
                <w:sz w:val="20"/>
                <w:szCs w:val="20"/>
                <w:color w:val="auto"/>
              </w:rPr>
            </w:pPr>
            <w:r>
              <w:rPr>
                <w:rFonts w:ascii="Arial" w:cs="Arial" w:eastAsia="Arial" w:hAnsi="Arial"/>
                <w:sz w:val="18"/>
                <w:szCs w:val="18"/>
                <w:color w:val="auto"/>
              </w:rPr>
              <w:t>Total postretirement medical expense</w:t>
            </w: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2,823</w:t>
            </w:r>
          </w:p>
        </w:tc>
      </w:tr>
      <w:tr>
        <w:trPr>
          <w:trHeight w:val="27"/>
        </w:trPr>
        <w:tc>
          <w:tcPr>
            <w:tcW w:w="74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7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80" w:firstLine="405"/>
        <w:spacing w:after="0" w:line="277" w:lineRule="auto"/>
        <w:rPr>
          <w:sz w:val="20"/>
          <w:szCs w:val="20"/>
          <w:color w:val="auto"/>
        </w:rPr>
      </w:pPr>
      <w:r>
        <w:rPr>
          <w:rFonts w:ascii="Arial" w:cs="Arial" w:eastAsia="Arial" w:hAnsi="Arial"/>
          <w:sz w:val="18"/>
          <w:szCs w:val="18"/>
          <w:color w:val="auto"/>
        </w:rPr>
        <w:t>As of June 30, 2014 and March 31, 2014, the unfunded status of the post-retirement medical plan was $77.5 million and $75.9 million, respectively, which is included in other long-term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526" w:right="3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22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All amounts recorded in other comprehensive loss are related to the Company's pension plan. The following table represents a rollforward of amounts recognized in accumulated other comprehensive loss, net of tax:</w:t>
      </w:r>
    </w:p>
    <w:p>
      <w:pPr>
        <w:spacing w:after="0" w:line="108"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13335</wp:posOffset>
            </wp:positionV>
            <wp:extent cx="2101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7"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73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2013</w:t>
            </w: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(6,636)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(13,787)</w:t>
            </w:r>
          </w:p>
        </w:tc>
      </w:tr>
      <w:tr>
        <w:trPr>
          <w:trHeight w:val="243"/>
        </w:trPr>
        <w:tc>
          <w:tcPr>
            <w:tcW w:w="7380" w:type="dxa"/>
            <w:vAlign w:val="bottom"/>
          </w:tcPr>
          <w:p>
            <w:pPr>
              <w:ind w:left="200"/>
              <w:spacing w:after="0"/>
              <w:rPr>
                <w:sz w:val="20"/>
                <w:szCs w:val="20"/>
                <w:color w:val="auto"/>
              </w:rPr>
            </w:pPr>
            <w:r>
              <w:rPr>
                <w:rFonts w:ascii="Arial" w:cs="Arial" w:eastAsia="Arial" w:hAnsi="Arial"/>
                <w:sz w:val="18"/>
                <w:szCs w:val="18"/>
                <w:color w:val="auto"/>
              </w:rPr>
              <w:t>Other comprehensive income (loss) before reclassifications</w:t>
            </w:r>
          </w:p>
        </w:tc>
        <w:tc>
          <w:tcPr>
            <w:tcW w:w="10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reclassified from accumulated other comprehensive loss</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w:t>
            </w:r>
          </w:p>
        </w:tc>
      </w:tr>
      <w:tr>
        <w:trPr>
          <w:trHeight w:val="237"/>
        </w:trPr>
        <w:tc>
          <w:tcPr>
            <w:tcW w:w="7380" w:type="dxa"/>
            <w:vAlign w:val="bottom"/>
          </w:tcPr>
          <w:p>
            <w:pPr>
              <w:ind w:left="320"/>
              <w:spacing w:after="0"/>
              <w:rPr>
                <w:sz w:val="20"/>
                <w:szCs w:val="20"/>
                <w:color w:val="auto"/>
              </w:rPr>
            </w:pPr>
            <w:r>
              <w:rPr>
                <w:rFonts w:ascii="Arial" w:cs="Arial" w:eastAsia="Arial" w:hAnsi="Arial"/>
                <w:sz w:val="18"/>
                <w:szCs w:val="18"/>
                <w:color w:val="auto"/>
              </w:rPr>
              <w:t>Net current-period other comprehensive loss</w:t>
            </w:r>
          </w:p>
        </w:tc>
        <w:tc>
          <w:tcPr>
            <w:tcW w:w="10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424</w:t>
            </w:r>
          </w:p>
        </w:tc>
      </w:tr>
      <w:tr>
        <w:trPr>
          <w:trHeight w:val="27"/>
        </w:trPr>
        <w:tc>
          <w:tcPr>
            <w:tcW w:w="73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(6,551)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(13,363)</w:t>
            </w:r>
          </w:p>
        </w:tc>
      </w:tr>
      <w:tr>
        <w:trPr>
          <w:trHeight w:val="20"/>
        </w:trPr>
        <w:tc>
          <w:tcPr>
            <w:tcW w:w="7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163"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13335</wp:posOffset>
            </wp:positionV>
            <wp:extent cx="2101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7"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r>
      <w:tr>
        <w:trPr>
          <w:trHeight w:val="243"/>
        </w:trPr>
        <w:tc>
          <w:tcPr>
            <w:tcW w:w="7380" w:type="dxa"/>
            <w:vAlign w:val="bottom"/>
          </w:tcPr>
          <w:p>
            <w:pPr>
              <w:ind w:left="140"/>
              <w:spacing w:after="0"/>
              <w:rPr>
                <w:sz w:val="20"/>
                <w:szCs w:val="20"/>
                <w:color w:val="auto"/>
              </w:rPr>
            </w:pPr>
            <w:r>
              <w:rPr>
                <w:rFonts w:ascii="Arial" w:cs="Arial" w:eastAsia="Arial" w:hAnsi="Arial"/>
                <w:sz w:val="18"/>
                <w:szCs w:val="18"/>
                <w:color w:val="auto"/>
              </w:rPr>
              <w:t>Amortization of net actuarial loss included in net periodic benefit cost (See Note 10)</w:t>
            </w: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before tax</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713</w:t>
            </w:r>
          </w:p>
        </w:tc>
      </w:tr>
      <w:tr>
        <w:trPr>
          <w:trHeight w:val="243"/>
        </w:trPr>
        <w:tc>
          <w:tcPr>
            <w:tcW w:w="7380" w:type="dxa"/>
            <w:vAlign w:val="bottom"/>
          </w:tcPr>
          <w:p>
            <w:pPr>
              <w:ind w:left="480"/>
              <w:spacing w:after="0"/>
              <w:rPr>
                <w:sz w:val="20"/>
                <w:szCs w:val="20"/>
                <w:color w:val="auto"/>
              </w:rPr>
            </w:pPr>
            <w:r>
              <w:rPr>
                <w:rFonts w:ascii="Arial" w:cs="Arial" w:eastAsia="Arial" w:hAnsi="Arial"/>
                <w:sz w:val="18"/>
                <w:szCs w:val="18"/>
                <w:color w:val="auto"/>
              </w:rPr>
              <w:t>Tax benefit</w:t>
            </w:r>
          </w:p>
        </w:tc>
        <w:tc>
          <w:tcPr>
            <w:tcW w:w="10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7"/>
        </w:trPr>
        <w:tc>
          <w:tcPr>
            <w:tcW w:w="73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of tax</w:t>
            </w: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424</w:t>
            </w:r>
          </w:p>
        </w:tc>
      </w:tr>
      <w:tr>
        <w:trPr>
          <w:trHeight w:val="20"/>
        </w:trPr>
        <w:tc>
          <w:tcPr>
            <w:tcW w:w="7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right="8820" w:hanging="332"/>
        <w:spacing w:after="0" w:line="346" w:lineRule="auto"/>
        <w:tabs>
          <w:tab w:leader="none" w:pos="28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Common Stock</w:t>
      </w:r>
    </w:p>
    <w:p>
      <w:pPr>
        <w:spacing w:after="0" w:line="1"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common stock shares activity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A</w:t>
            </w: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Class B</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Class C</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Class E</w:t>
            </w:r>
          </w:p>
        </w:tc>
        <w:tc>
          <w:tcPr>
            <w:tcW w:w="14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Non-Voting</w:t>
            </w: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Special Voting</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Common Stock</w:t>
            </w: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480" w:type="dxa"/>
            <w:vAlign w:val="bottom"/>
          </w:tcPr>
          <w:p>
            <w:pPr>
              <w:jc w:val="right"/>
              <w:ind w:right="473"/>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2013</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136,457,444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1,451,600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1,224,319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7,478,522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405,843</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spacing w:after="0"/>
              <w:rPr>
                <w:sz w:val="20"/>
                <w:szCs w:val="20"/>
                <w:color w:val="auto"/>
              </w:rPr>
            </w:pPr>
            <w:r>
              <w:rPr>
                <w:rFonts w:ascii="Arial" w:cs="Arial" w:eastAsia="Arial" w:hAnsi="Arial"/>
                <w:sz w:val="18"/>
                <w:szCs w:val="18"/>
                <w:color w:val="auto"/>
              </w:rPr>
              <w:t>1,047,160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5,299,501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(3,053,708)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Share exchange</w:t>
            </w:r>
          </w:p>
        </w:tc>
        <w:tc>
          <w:tcPr>
            <w:tcW w:w="1500" w:type="dxa"/>
            <w:vAlign w:val="bottom"/>
          </w:tcPr>
          <w:p>
            <w:pPr>
              <w:jc w:val="right"/>
              <w:spacing w:after="0"/>
              <w:rPr>
                <w:sz w:val="20"/>
                <w:szCs w:val="20"/>
                <w:color w:val="auto"/>
              </w:rPr>
            </w:pPr>
            <w:r>
              <w:rPr>
                <w:rFonts w:ascii="Arial" w:cs="Arial" w:eastAsia="Arial" w:hAnsi="Arial"/>
                <w:sz w:val="18"/>
                <w:szCs w:val="18"/>
                <w:color w:val="auto"/>
              </w:rPr>
              <w:t>1,157,968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(869,520)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(288,448)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 (1)</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203,782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2014</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143,962,073</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582,080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935,871</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4,424,814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609,625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1,155,339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196,428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(5,630)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exchange</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78,480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(56,710)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(21,770)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Repurchase of common stock (2)</w:t>
            </w:r>
          </w:p>
        </w:tc>
        <w:tc>
          <w:tcPr>
            <w:tcW w:w="150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217,822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145,392,320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525,370</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914,101</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4,419,184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827,447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6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Reflects shares repurchased on June 30, 2013 to cover the withholding taxes on restricted stock awards that vested on June 30, 2013 and shares repurchased on multiple dates for the withholding taxes on accelerated restricted stock vesting for departing officers.</w:t>
      </w:r>
    </w:p>
    <w:p>
      <w:pPr>
        <w:spacing w:after="0" w:line="146" w:lineRule="exact"/>
        <w:rPr>
          <w:rFonts w:ascii="Arial" w:cs="Arial" w:eastAsia="Arial" w:hAnsi="Arial"/>
          <w:sz w:val="17"/>
          <w:szCs w:val="17"/>
          <w:color w:val="auto"/>
        </w:rPr>
      </w:pPr>
    </w:p>
    <w:p>
      <w:pPr>
        <w:ind w:left="660" w:right="46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Reflects shares repurchased on June 30, 2014 to cover the withholding taxes on restricted stock awards that vested on June 30, 2014 and shares repurchased on multiple dates to cover the withholding taxes on accelerated restricted stock vesting for departing officers.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26" w:right="239" w:bottom="1440" w:gutter="0" w:footer="0" w:header="0"/>
        </w:sectPr>
      </w:pPr>
    </w:p>
    <w:bookmarkStart w:id="12" w:name="page13"/>
    <w:bookmarkEnd w:id="12"/>
    <w:p>
      <w:pPr>
        <w:ind w:right="800" w:firstLine="405"/>
        <w:spacing w:after="0" w:line="342" w:lineRule="auto"/>
        <w:rPr>
          <w:sz w:val="20"/>
          <w:szCs w:val="20"/>
          <w:color w:val="auto"/>
        </w:rPr>
      </w:pPr>
      <w:r>
        <w:rPr>
          <w:rFonts w:ascii="Arial" w:cs="Arial" w:eastAsia="Arial" w:hAnsi="Arial"/>
          <w:sz w:val="16"/>
          <w:szCs w:val="16"/>
          <w:color w:val="auto"/>
        </w:rPr>
        <w:t>For the quarterly offering period that closed on June 30, 2014, 63,183 Class A Common Stock shares were purchased by employees under the Company's Employee Stock Purchase Plan, or ESPP. As of the program's inception, 1,358,253 shares have been purchased by employees.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stock-based compensation expense recognized in the condensed consolidated statements of operations:</w:t>
      </w:r>
    </w:p>
    <w:p>
      <w:pPr>
        <w:spacing w:after="0" w:line="352"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13335</wp:posOffset>
            </wp:positionV>
            <wp:extent cx="2101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7"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73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1,477</w:t>
            </w: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4,025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3,669</w:t>
            </w:r>
          </w:p>
        </w:tc>
      </w:tr>
      <w:tr>
        <w:trPr>
          <w:trHeight w:val="27"/>
        </w:trPr>
        <w:tc>
          <w:tcPr>
            <w:tcW w:w="73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4420" w:right="80" w:hanging="3920"/>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condensed consolidated statements of operations by the following types of equity awards:</w:t>
      </w:r>
    </w:p>
    <w:p>
      <w:pPr>
        <w:spacing w:after="0" w:line="108"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13335</wp:posOffset>
            </wp:positionV>
            <wp:extent cx="2101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7"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73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r>
      <w:tr>
        <w:trPr>
          <w:trHeight w:val="250"/>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Equity Incentive Plan Options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1,194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2,102</w:t>
            </w:r>
          </w:p>
        </w:tc>
      </w:tr>
      <w:tr>
        <w:trPr>
          <w:trHeight w:val="243"/>
        </w:trPr>
        <w:tc>
          <w:tcPr>
            <w:tcW w:w="7380" w:type="dxa"/>
            <w:vAlign w:val="bottom"/>
          </w:tcPr>
          <w:p>
            <w:pPr>
              <w:ind w:left="140"/>
              <w:spacing w:after="0"/>
              <w:rPr>
                <w:sz w:val="20"/>
                <w:szCs w:val="20"/>
                <w:color w:val="auto"/>
              </w:rPr>
            </w:pPr>
            <w:r>
              <w:rPr>
                <w:rFonts w:ascii="Arial" w:cs="Arial" w:eastAsia="Arial" w:hAnsi="Arial"/>
                <w:sz w:val="18"/>
                <w:szCs w:val="18"/>
                <w:color w:val="auto"/>
              </w:rPr>
              <w:t>Class A Restricted Common Stock</w:t>
            </w: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4,868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2,407</w:t>
            </w:r>
          </w:p>
        </w:tc>
      </w:tr>
      <w:tr>
        <w:trPr>
          <w:trHeight w:val="27"/>
        </w:trPr>
        <w:tc>
          <w:tcPr>
            <w:tcW w:w="7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Rollover Options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w:t>
            </w:r>
          </w:p>
        </w:tc>
      </w:tr>
      <w:tr>
        <w:trPr>
          <w:trHeight w:val="243"/>
        </w:trPr>
        <w:tc>
          <w:tcPr>
            <w:tcW w:w="7380" w:type="dxa"/>
            <w:vAlign w:val="bottom"/>
          </w:tcPr>
          <w:p>
            <w:pPr>
              <w:ind w:left="140"/>
              <w:spacing w:after="0"/>
              <w:rPr>
                <w:sz w:val="20"/>
                <w:szCs w:val="20"/>
                <w:color w:val="auto"/>
              </w:rPr>
            </w:pPr>
            <w:r>
              <w:rPr>
                <w:rFonts w:ascii="Arial" w:cs="Arial" w:eastAsia="Arial" w:hAnsi="Arial"/>
                <w:sz w:val="18"/>
                <w:szCs w:val="18"/>
                <w:color w:val="auto"/>
              </w:rPr>
              <w:t>Class C Restricted Stock</w:t>
            </w:r>
          </w:p>
        </w:tc>
        <w:tc>
          <w:tcPr>
            <w:tcW w:w="106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59</w:t>
            </w:r>
          </w:p>
        </w:tc>
      </w:tr>
      <w:tr>
        <w:trPr>
          <w:trHeight w:val="27"/>
        </w:trPr>
        <w:tc>
          <w:tcPr>
            <w:tcW w:w="73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6,062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of June 30, 2014, there was $31.3 million of total unrecognized compensation cost related to unvested stock-based compensation agreements. The unrecognized compensation cost as of June 30, 2014 is expected to be amortized over 4.75 years. Absent the effect of accelerating stock compensation cost for any departures of employees who may continue to vest in their equity awards, the following table summarizes the unrecognized compensation cost and the weighted average period the cost is expected to be amortized.</w:t>
      </w:r>
    </w:p>
    <w:p>
      <w:pPr>
        <w:spacing w:after="0" w:line="192"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b w:val="1"/>
                <w:bCs w:val="1"/>
                <w:color w:val="auto"/>
              </w:rPr>
              <w:t>June 30, 2014</w:t>
            </w:r>
          </w:p>
        </w:tc>
      </w:tr>
      <w:tr>
        <w:trPr>
          <w:trHeight w:val="152"/>
        </w:trPr>
        <w:tc>
          <w:tcPr>
            <w:tcW w:w="6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jc w:val="right"/>
              <w:ind w:right="379"/>
              <w:spacing w:after="0" w:line="153" w:lineRule="exact"/>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3"/>
                <w:szCs w:val="13"/>
                <w:color w:val="auto"/>
              </w:rPr>
            </w:pPr>
          </w:p>
        </w:tc>
        <w:tc>
          <w:tcPr>
            <w:tcW w:w="2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 Average Remaining</w:t>
            </w:r>
          </w:p>
        </w:tc>
      </w:tr>
      <w:tr>
        <w:trPr>
          <w:trHeight w:val="192"/>
        </w:trPr>
        <w:tc>
          <w:tcPr>
            <w:tcW w:w="68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5"/>
              </w:rPr>
              <w:t>Compensation Cost</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Period to be Recognized</w:t>
            </w: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7,017</w:t>
            </w:r>
          </w:p>
        </w:tc>
        <w:tc>
          <w:tcPr>
            <w:tcW w:w="2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3.19</w:t>
            </w: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color w:val="auto"/>
              </w:rPr>
              <w:t>Class A Restricted Common Stock</w:t>
            </w:r>
          </w:p>
        </w:tc>
        <w:tc>
          <w:tcPr>
            <w:tcW w:w="180" w:type="dxa"/>
            <w:vAlign w:val="bottom"/>
          </w:tcPr>
          <w:p>
            <w:pPr>
              <w:spacing w:after="0"/>
              <w:rPr>
                <w:sz w:val="21"/>
                <w:szCs w:val="21"/>
                <w:color w:val="auto"/>
              </w:rPr>
            </w:pPr>
          </w:p>
        </w:tc>
        <w:tc>
          <w:tcPr>
            <w:tcW w:w="1560" w:type="dxa"/>
            <w:vAlign w:val="bottom"/>
          </w:tcPr>
          <w:p>
            <w:pPr>
              <w:jc w:val="right"/>
              <w:ind w:right="39"/>
              <w:spacing w:after="0"/>
              <w:rPr>
                <w:sz w:val="20"/>
                <w:szCs w:val="20"/>
                <w:color w:val="auto"/>
              </w:rPr>
            </w:pPr>
            <w:r>
              <w:rPr>
                <w:rFonts w:ascii="Arial" w:cs="Arial" w:eastAsia="Arial" w:hAnsi="Arial"/>
                <w:sz w:val="18"/>
                <w:szCs w:val="18"/>
                <w:color w:val="auto"/>
              </w:rPr>
              <w:t>24,302</w:t>
            </w:r>
          </w:p>
        </w:tc>
        <w:tc>
          <w:tcPr>
            <w:tcW w:w="22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3.39</w:t>
            </w:r>
          </w:p>
        </w:tc>
      </w:tr>
      <w:tr>
        <w:trPr>
          <w:trHeight w:val="27"/>
        </w:trPr>
        <w:tc>
          <w:tcPr>
            <w:tcW w:w="6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69"/>
        </w:trPr>
        <w:tc>
          <w:tcPr>
            <w:tcW w:w="6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31,319</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90"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On May 21, 2014, 121,379 options were granted under the Amended and Restated Equity Incentive Plan, or EIP. The estimated fair value of the grant was $5.19, resulting in a total fair value of $630,000. The fair value of our Class A Common Stock on May 21, 2014 at the time of the option grant, was $22.17.</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June 23, 2014, 80,389 options were granted under the EIP. The estimated fair value of the grant was $5.10, resulting in a total fair value of $410,000.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Class A Common Stock on June 23, 2014 at the time of the option grant, was $21.57.</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2014, there were 6,924,833 EIP options outstanding, of which 2,348,134 were unvested.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2" w:right="239" w:bottom="1440" w:gutter="0" w:footer="0" w:header="0"/>
        </w:sectPr>
      </w:pPr>
    </w:p>
    <w:bookmarkStart w:id="13" w:name="page14"/>
    <w:bookmarkEnd w:id="13"/>
    <w:p>
      <w:pPr>
        <w:ind w:left="260"/>
        <w:spacing w:after="0"/>
        <w:rPr>
          <w:sz w:val="20"/>
          <w:szCs w:val="20"/>
          <w:color w:val="auto"/>
        </w:rPr>
      </w:pPr>
      <w:r>
        <w:rPr>
          <w:rFonts w:ascii="Arial" w:cs="Arial" w:eastAsia="Arial" w:hAnsi="Arial"/>
          <w:sz w:val="18"/>
          <w:szCs w:val="18"/>
          <w:i w:val="1"/>
          <w:iCs w:val="1"/>
          <w:color w:val="auto"/>
        </w:rPr>
        <w:t>Grants of Class A Restricted Common Stock</w:t>
      </w:r>
    </w:p>
    <w:p>
      <w:pPr>
        <w:spacing w:after="0" w:line="17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On May 2, 2014, the Board of Directors granted 896,060 shares of Class A Restricted Stock to certain senior executives. The aggregate value of this award was estimated at $21.0 million based on the stock price of $23.45 on the grant date.</w:t>
      </w:r>
    </w:p>
    <w:p>
      <w:pPr>
        <w:spacing w:after="0" w:line="116"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On June 23, 2014, the Board of Directors granted 196,095 shares of Class A Restricted Stock to certain newly hired partners. The aggregate value was estimated at $4.2 million based on the stock price of $21.57 on the grant date.</w:t>
      </w:r>
    </w:p>
    <w:p>
      <w:pPr>
        <w:spacing w:after="0" w:line="35"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As permitted under the terms of the EIP, the Compensation Committee as Administrator of the Plan, authorized the withholding of taxes not to exceed the minimum statutory withholding amount, through the surrender of shares of Class A Common Stock issuable upon the vesting or accelerated vesting of Restricted Stock. For those holders who elected to participate, the Company repurchased a total of 217,822 shares and recorded them as treasury shares at a cost of $4.6 million during the three months ended June 30, 2014.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Dividends</w:t>
      </w:r>
    </w:p>
    <w:p>
      <w:pPr>
        <w:spacing w:after="0" w:line="9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Board of Directors, as the Administrator of the Officers' Rollover Stock Plan and the Amended and Restated Equity Incentive Plan have discretion in how to effect the required adjustment to keep option holders whole in the event of a distribution of dividends that triggers certain anti-dilution clauses within the respective plans. In the event the Board of Directors elect to grant option holders a cash payment equal to the amount of the special dividend, the Company accrues a stock-based compensation liability as the respective option's stock compensation expense is recorded in the condensed consolidated statement of operations. This obligation will be settled on the options' mandatory exercise date for Rollover options and on the later of the date the dividend is paid or vesting for the EIP options. The stock-based compensation liability includes all special dividends declared.</w:t>
      </w:r>
    </w:p>
    <w:p>
      <w:pPr>
        <w:spacing w:after="0" w:line="26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Total compensation expense recorded in conjunction with the payment of the dividend equivalents to holders of unvested EIP options for the three months ended June 30, 2014 was $111,000. Future compensation expense related to the payment of the dividend equivalents to holders of EIP options not yet recognized in the statement of operations is $798,000 and is expected to be recognized over 3.0 years.</w:t>
      </w:r>
    </w:p>
    <w:p>
      <w:pPr>
        <w:spacing w:after="0" w:line="262"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As of June 30, 2014 and March 31, 2014, the Company calculated a total recorded and unrecorded stock-based compensation liability of $70.3 million and $73.1 million, respectively, related to the special dividends paid in July 2009, December 2009, June 2012, August 2012, November 2013 and February 2014. The recorded stock-based compensation liability is as follows: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June 30, 2014</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March 31, 2014</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3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Rollover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Rollover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rPr>
              <w:t>EIP Options</w:t>
            </w:r>
          </w:p>
        </w:tc>
        <w:tc>
          <w:tcPr>
            <w:tcW w:w="10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Options</w:t>
            </w:r>
          </w:p>
        </w:tc>
        <w:tc>
          <w:tcPr>
            <w:tcW w:w="24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EIP Options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liability (1)</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39,922</w:t>
            </w: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Long-term portion of liability (2)</w:t>
            </w:r>
          </w:p>
        </w:tc>
        <w:tc>
          <w:tcPr>
            <w:tcW w:w="32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25,966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25,966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25,966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25,966</w:t>
            </w:r>
          </w:p>
        </w:tc>
      </w:tr>
      <w:tr>
        <w:trPr>
          <w:trHeight w:val="27"/>
        </w:trPr>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3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63,851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65,888</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Included in accrued compensation and benefits (Note 6).</w:t>
      </w:r>
    </w:p>
    <w:p>
      <w:pPr>
        <w:spacing w:after="0" w:line="90" w:lineRule="exact"/>
        <w:rPr>
          <w:rFonts w:ascii="Arial" w:cs="Arial" w:eastAsia="Arial" w:hAnsi="Arial"/>
          <w:sz w:val="18"/>
          <w:szCs w:val="18"/>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Included in other long-term liabilities (Note 9).</w:t>
      </w:r>
    </w:p>
    <w:p>
      <w:pPr>
        <w:spacing w:after="0" w:line="90"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As of June 30, 2014, $6.4 million related to EIP options will be recorded as liabilities as the options vest over the next 4.75 years. As of March 31, 2014, there was an unrecognized liability of $7.2 million related to EIP options. There is no unrecorded liability related to Rollover options as of June 30, 2014 or March 31, 2014, as the Rollover options are fully vested.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INSTRUMENTS</w:t>
      </w:r>
    </w:p>
    <w:p>
      <w:pPr>
        <w:spacing w:after="0" w:line="12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9"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A financial instrument's level within the fair value hierarchy is based on the lowest level of input that is significant to the fair value measurement. The following tables set forth by level represent the fair value of the Company's cash and cash equivalents as of June 30, 2014.</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773" w:right="259" w:bottom="1440" w:gutter="0" w:footer="0" w:header="0"/>
        </w:sectPr>
      </w:pPr>
    </w:p>
    <w:bookmarkStart w:id="14" w:name="page15"/>
    <w:bookmarkEnd w:id="14"/>
    <w:p>
      <w:pPr>
        <w:ind w:left="6640"/>
        <w:spacing w:after="0"/>
        <w:rPr>
          <w:sz w:val="20"/>
          <w:szCs w:val="20"/>
          <w:color w:val="auto"/>
        </w:rPr>
      </w:pPr>
      <w:r>
        <w:rPr>
          <w:rFonts w:ascii="Arial" w:cs="Arial" w:eastAsia="Arial" w:hAnsi="Arial"/>
          <w:sz w:val="16"/>
          <w:szCs w:val="16"/>
          <w:b w:val="1"/>
          <w:bCs w:val="1"/>
          <w:color w:val="auto"/>
        </w:rPr>
        <w:t>Fair Value of Cash and Cash Equivalents as of June 30, 2014</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520" w:type="dxa"/>
            <w:vAlign w:val="bottom"/>
            <w:tcBorders>
              <w:top w:val="single" w:sz="8" w:color="CCEEFF"/>
              <w:bottom w:val="single" w:sz="8" w:color="CCEEFF"/>
            </w:tcBorders>
            <w:shd w:val="clear" w:color="auto" w:fill="CCEEFF"/>
          </w:tcPr>
          <w:p>
            <w:pPr>
              <w:spacing w:after="0"/>
              <w:rPr>
                <w:sz w:val="24"/>
                <w:szCs w:val="24"/>
                <w:color w:val="auto"/>
              </w:rPr>
            </w:pPr>
          </w:p>
        </w:tc>
        <w:tc>
          <w:tcPr>
            <w:tcW w:w="1260" w:type="dxa"/>
            <w:vAlign w:val="bottom"/>
            <w:tcBorders>
              <w:top w:val="single" w:sz="8" w:color="auto"/>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Level 1</w:t>
            </w:r>
          </w:p>
        </w:tc>
        <w:tc>
          <w:tcPr>
            <w:tcW w:w="1260" w:type="dxa"/>
            <w:vAlign w:val="bottom"/>
            <w:tcBorders>
              <w:top w:val="single" w:sz="8" w:color="auto"/>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Level 2</w:t>
            </w:r>
          </w:p>
        </w:tc>
        <w:tc>
          <w:tcPr>
            <w:tcW w:w="1240" w:type="dxa"/>
            <w:vAlign w:val="bottom"/>
            <w:tcBorders>
              <w:top w:val="single" w:sz="8" w:color="auto"/>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8"/>
              </w:rPr>
              <w:t>Level 3</w:t>
            </w:r>
          </w:p>
        </w:tc>
        <w:tc>
          <w:tcPr>
            <w:tcW w:w="1140" w:type="dxa"/>
            <w:vAlign w:val="bottom"/>
            <w:tcBorders>
              <w:top w:val="single" w:sz="8" w:color="auto"/>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$48,346</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$48,346</w:t>
            </w:r>
          </w:p>
        </w:tc>
      </w:tr>
      <w:tr>
        <w:trPr>
          <w:trHeight w:val="27"/>
        </w:trPr>
        <w:tc>
          <w:tcPr>
            <w:tcW w:w="6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 (1)</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$271,102</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$271,102</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Total cash and cash equivalents</w:t>
            </w: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$48,346</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$271,102</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$319,448</w:t>
            </w:r>
          </w:p>
        </w:tc>
      </w:tr>
      <w:tr>
        <w:trPr>
          <w:trHeight w:val="20"/>
        </w:trPr>
        <w:tc>
          <w:tcPr>
            <w:tcW w:w="6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 forth by levels represents the fair value of the Company's cash and cash equivalents as of March 31, 2014.</w:t>
      </w:r>
    </w:p>
    <w:p>
      <w:pPr>
        <w:spacing w:after="0" w:line="167"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4100" w:type="dxa"/>
            <w:vAlign w:val="bottom"/>
            <w:gridSpan w:val="7"/>
          </w:tcPr>
          <w:p>
            <w:pPr>
              <w:ind w:left="480"/>
              <w:spacing w:after="0"/>
              <w:rPr>
                <w:sz w:val="20"/>
                <w:szCs w:val="20"/>
                <w:color w:val="auto"/>
              </w:rPr>
            </w:pPr>
            <w:r>
              <w:rPr>
                <w:rFonts w:ascii="Arial" w:cs="Arial" w:eastAsia="Arial" w:hAnsi="Arial"/>
                <w:sz w:val="18"/>
                <w:szCs w:val="18"/>
                <w:b w:val="1"/>
                <w:bCs w:val="1"/>
                <w:color w:val="auto"/>
              </w:rPr>
              <w:t>Fair Value of Cash and Cash Equivalents</w:t>
            </w:r>
          </w:p>
        </w:tc>
      </w:tr>
      <w:tr>
        <w:trPr>
          <w:trHeight w:val="234"/>
        </w:trPr>
        <w:tc>
          <w:tcPr>
            <w:tcW w:w="5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4"/>
          </w:tcPr>
          <w:p>
            <w:pPr>
              <w:ind w:left="200"/>
              <w:spacing w:after="0"/>
              <w:rPr>
                <w:sz w:val="20"/>
                <w:szCs w:val="20"/>
                <w:color w:val="auto"/>
              </w:rPr>
            </w:pPr>
            <w:r>
              <w:rPr>
                <w:rFonts w:ascii="Arial" w:cs="Arial" w:eastAsia="Arial" w:hAnsi="Arial"/>
                <w:sz w:val="18"/>
                <w:szCs w:val="18"/>
                <w:b w:val="1"/>
                <w:bCs w:val="1"/>
                <w:color w:val="auto"/>
              </w:rPr>
              <w:t>as of March 31, 2014</w:t>
            </w:r>
          </w:p>
        </w:tc>
        <w:tc>
          <w:tcPr>
            <w:tcW w:w="940" w:type="dxa"/>
            <w:vAlign w:val="bottom"/>
          </w:tcPr>
          <w:p>
            <w:pPr>
              <w:spacing w:after="0"/>
              <w:rPr>
                <w:sz w:val="20"/>
                <w:szCs w:val="20"/>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5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Level 1</w:t>
            </w:r>
          </w:p>
        </w:tc>
        <w:tc>
          <w:tcPr>
            <w:tcW w:w="1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Level 2</w:t>
            </w:r>
          </w:p>
        </w:tc>
        <w:tc>
          <w:tcPr>
            <w:tcW w:w="10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1"/>
              </w:rPr>
              <w:t>Level 3</w:t>
            </w:r>
          </w:p>
        </w:tc>
        <w:tc>
          <w:tcPr>
            <w:tcW w:w="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w:t>
            </w: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$37,886</w:t>
            </w:r>
          </w:p>
        </w:tc>
        <w:tc>
          <w:tcPr>
            <w:tcW w:w="120" w:type="dxa"/>
            <w:vAlign w:val="bottom"/>
          </w:tcPr>
          <w:p>
            <w:pPr>
              <w:spacing w:after="0"/>
              <w:rPr>
                <w:sz w:val="20"/>
                <w:szCs w:val="20"/>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$37,886</w:t>
            </w:r>
          </w:p>
        </w:tc>
      </w:tr>
      <w:tr>
        <w:trPr>
          <w:trHeight w:val="27"/>
        </w:trPr>
        <w:tc>
          <w:tcPr>
            <w:tcW w:w="5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 (1)</w:t>
            </w: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$222,108</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$222,108</w:t>
            </w:r>
          </w:p>
        </w:tc>
      </w:tr>
      <w:tr>
        <w:trPr>
          <w:trHeight w:val="257"/>
        </w:trPr>
        <w:tc>
          <w:tcPr>
            <w:tcW w:w="5120" w:type="dxa"/>
            <w:vAlign w:val="bottom"/>
          </w:tcPr>
          <w:p>
            <w:pPr>
              <w:ind w:left="20"/>
              <w:spacing w:after="0"/>
              <w:rPr>
                <w:sz w:val="20"/>
                <w:szCs w:val="20"/>
                <w:color w:val="auto"/>
              </w:rPr>
            </w:pPr>
            <w:r>
              <w:rPr>
                <w:rFonts w:ascii="Arial" w:cs="Arial" w:eastAsia="Arial" w:hAnsi="Arial"/>
                <w:sz w:val="18"/>
                <w:szCs w:val="18"/>
                <w:color w:val="auto"/>
              </w:rPr>
              <w:t>Total cash and cash equivalents</w:t>
            </w: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$37,886</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$222,108</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$259,994</w:t>
            </w:r>
          </w:p>
        </w:tc>
      </w:tr>
      <w:tr>
        <w:trPr>
          <w:trHeight w:val="20"/>
        </w:trPr>
        <w:tc>
          <w:tcPr>
            <w:tcW w:w="5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6"/>
          <w:szCs w:val="16"/>
          <w:color w:val="auto"/>
        </w:rPr>
        <w:t>Level two cash and cash equivalents are invested in money market funds that are intended to maintain a stable net asset value of $1.00 per share by</w:t>
      </w:r>
    </w:p>
    <w:p>
      <w:pPr>
        <w:spacing w:after="0" w:line="49" w:lineRule="exact"/>
        <w:rPr>
          <w:rFonts w:ascii="Arial" w:cs="Arial" w:eastAsia="Arial" w:hAnsi="Arial"/>
          <w:sz w:val="18"/>
          <w:szCs w:val="18"/>
          <w:color w:val="auto"/>
        </w:rPr>
      </w:pPr>
    </w:p>
    <w:p>
      <w:pPr>
        <w:ind w:right="120"/>
        <w:spacing w:after="0" w:line="293" w:lineRule="auto"/>
        <w:rPr>
          <w:rFonts w:ascii="Arial" w:cs="Arial" w:eastAsia="Arial" w:hAnsi="Arial"/>
          <w:sz w:val="18"/>
          <w:szCs w:val="18"/>
          <w:color w:val="auto"/>
        </w:rPr>
      </w:pPr>
      <w:r>
        <w:rPr>
          <w:rFonts w:ascii="Arial" w:cs="Arial" w:eastAsia="Arial" w:hAnsi="Arial"/>
          <w:sz w:val="18"/>
          <w:szCs w:val="18"/>
          <w:color w:val="auto"/>
        </w:rPr>
        <w:t>investing in liquid, high quality U.S. dollar-denominated money market instruments. Depending on our short-term liquidity needs, we make regular transfers between money market funds and other cash equivalents.</w:t>
      </w:r>
    </w:p>
    <w:p>
      <w:pPr>
        <w:spacing w:after="0" w:line="4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fair value of the Company's trade accounts receivable and accounts payable approximates its carrying value at June 30, 2014 and March 31, 2014 because of the short-term nature of these instruments. The fair value of the Company's debt instruments approximates its carrying value at June 30, 2014 and March 31, 2014. The fair value of debt is determined based on interest rates available for debt with terms and maturities similar to the Company's existing debt arrangements (Level 2 inputs).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w:t>
      </w:r>
    </w:p>
    <w:p>
      <w:pPr>
        <w:spacing w:after="0" w:line="337"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The Carlyle Group is the controlling shareholder of the Company. From time to time, and in the ordinary course of business: (1) other Carlyle portfolio companies engage the Company as a subcontractor or service provider, and (2) the Company engages other Carlyle portfolio companies as subcontractors or service providers. Revenue and cost associated with these related parties for the three months ended June 30, 2014 were $212,000 and $163,000, respectively. Revenue and cost associated with these related parties for the three months ended June 30, 2013 were $96,000 and $82,000, respectively.</w:t>
      </w:r>
    </w:p>
    <w:p>
      <w:pPr>
        <w:spacing w:after="0" w:line="316"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In addition, investment vehicles affiliated with The Carlyle Group participated in a lender syndicate in the Company’s outstanding debt in the amounts of $45.0 million and $55.5 million at June 30, 2014 and March 31, 2014, respectively. The participation by such investment vehicles in the syndication of the Company's debt was done on an arm’s length basis.</w:t>
      </w:r>
    </w:p>
    <w:p>
      <w:pPr>
        <w:spacing w:after="0" w:line="34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July 31, 2008, the Company entered into a management agreement, or Management Agreement, with TC Group V US, L.L.C., or TC Group, a company affiliated with Carlyle. On June 7, 2012, TC Group assigned all of its right, title and interest in, and obligations under, the management agreement to Carlyle Investment Management L.L.C., or Carlyle Investment Management. In accordance with the Management Agreement, Carlyle Investment Management provides the Company with advisory, consulting, and other services and the Company pays Carlyle Investment Management an aggregate annual fee of $1.0 million, plus expenses. For the three months ended June 30, 2014 and 2013, the Company incurred $250,000 in advisory fees in each period.</w:t>
      </w:r>
    </w:p>
    <w:p>
      <w:pPr>
        <w:spacing w:after="0" w:line="189" w:lineRule="exact"/>
        <w:rPr>
          <w:sz w:val="20"/>
          <w:szCs w:val="20"/>
          <w:color w:val="auto"/>
        </w:rPr>
      </w:pPr>
    </w:p>
    <w:p>
      <w:pPr>
        <w:ind w:left="260" w:right="7700" w:hanging="252"/>
        <w:spacing w:after="0" w:line="346" w:lineRule="auto"/>
        <w:tabs>
          <w:tab w:leader="none" w:pos="287"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1" w:lineRule="exact"/>
        <w:rPr>
          <w:sz w:val="20"/>
          <w:szCs w:val="20"/>
          <w:color w:val="auto"/>
        </w:rPr>
      </w:pPr>
    </w:p>
    <w:p>
      <w:pPr>
        <w:ind w:right="260" w:firstLine="405"/>
        <w:spacing w:after="0" w:line="272" w:lineRule="auto"/>
        <w:rPr>
          <w:sz w:val="20"/>
          <w:szCs w:val="20"/>
          <w:color w:val="auto"/>
        </w:rPr>
      </w:pPr>
      <w:r>
        <w:rPr>
          <w:rFonts w:ascii="Arial" w:cs="Arial" w:eastAsia="Arial" w:hAnsi="Arial"/>
          <w:sz w:val="17"/>
          <w:szCs w:val="17"/>
          <w:color w:val="auto"/>
        </w:rPr>
        <w:t>As a result of the July 2008 acquisition, as described in the Company’s Annual Report, the Company assigned a total of nine leases to Booz &amp; Co, which has subsequently changed its name to Strategy&amp;. The facilities are located in New York, New York; Troy, Michigan; Florham Park, New Jersey; Parsippany, New Jersey; Houston, Texas; Chicago, Illinois; Cleveland, Ohio; Dallas, Texas; and London, England. The Company remains liable for the Chicago and London leases under the terms of the original leases should Strategy&amp; default on its obligations. All other leases assigned to Strategy&amp; have expired. There were no events of default under these leases as of June 30, 2014 or March 31, 2014. The maximum potential amount of undiscounted future payments is $13.3 million, and the leases expire in November 2015 and March 2017. Based on the Company’s assessment of the likelihood of future payment, no amounts have been recorded related to the Company’s contingent liability on such leases.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96" w:right="239" w:bottom="1440" w:gutter="0" w:footer="0" w:header="0"/>
        </w:sectPr>
      </w:pPr>
    </w:p>
    <w:bookmarkStart w:id="15" w:name="page16"/>
    <w:bookmarkEnd w:id="15"/>
    <w:p>
      <w:pPr>
        <w:ind w:left="26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90" w:lineRule="exact"/>
        <w:rPr>
          <w:sz w:val="20"/>
          <w:szCs w:val="20"/>
          <w:color w:val="auto"/>
        </w:rPr>
      </w:pPr>
    </w:p>
    <w:p>
      <w:pPr>
        <w:ind w:right="80" w:firstLine="405"/>
        <w:spacing w:after="0" w:line="268" w:lineRule="auto"/>
        <w:rPr>
          <w:sz w:val="20"/>
          <w:szCs w:val="20"/>
          <w:color w:val="auto"/>
        </w:rPr>
      </w:pPr>
      <w:r>
        <w:rPr>
          <w:rFonts w:ascii="Arial" w:cs="Arial" w:eastAsia="Arial" w:hAnsi="Arial"/>
          <w:sz w:val="17"/>
          <w:szCs w:val="17"/>
          <w:color w:val="auto"/>
        </w:rPr>
        <w:t>For the three months ended June 30, 2014 approximately 98% of the Company’s revenue was generated from contracts with U.S. government agencies or other U.S. government contractors, and approximately 99% for the three months ended June 30, 2013. Contracts with the U.S. government are subject to extensive legal and regulatory requirements and, from time to time and in the ordinary course of business, agencies of the U.S. government investigate whether the Company’s operations are conducted in accordance with these requirements and the terms of the relevant contracts by using investigative techniques such as subpoenas or civil investigative demands. U.S. government investigations of the Company, whether related to the Company’s U.S. government contracts or conducted for other reasons, could result in administrative, civil, or criminal liabilities, including repayments, fines, or penalties being imposed upon the Company, or could lead to suspension or debarment from future U.S. government contracting. Management believes it has adequately reserved for any losses that may be experienced from any investigation of which it is aware. The Defense Contract Management Agency Administrative Contracting Officer has negotiated annual final indirect cost rates through fiscal year 2007. Audits of subsequent years may result in cost reductions and/or penalties. Management believes it has adequately reserved for any losses that may be experienced from any such reductions and/or penalties. As of June 30, 2014 and March 31, 2014, the Company has recorded a liability of approximately $189.0 million and $189.8 million, respectively, for its current best estimate of amounts to be refunded to customers for potential adjustments from such audits or reviews of contract costs incurred subsequent to fiscal year 2007. During the three months ended June 30, 2014, the Company recorded a $7.9 million decrease to the liability to adjust for the potential allowability of certain indirect costs.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 million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June 30, 2014, there are no material amounts accrued in the condensed consolidated financial statements related to these proceedings.</w:t>
      </w:r>
    </w:p>
    <w:p>
      <w:pPr>
        <w:spacing w:after="0" w:line="111"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Six former officers and stockholders who had departed the firm prior to July 31, 2008, the date on which we became majority owned by Carlyle and certain of its affiliated investment funds, as described in the Company’s Annual Report, or the Acquisition, have filed a total of nine suits in various jurisdictions, with original filing dates ranging from July 3, 2008 through December 15, 2009 (three of which were amended on July 2, 2010 and then further amended into one consolidated complaint on September 7, 2010) against the Company and certain of the Company’s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Three of these suits have been dismissed with all appeals exhausted. Five of the remaining suits are pending in the United States District Court for the Southern District of New York, and the sixth is pending in the United States District Court for the Southern District of California. As of June 30, 2014 and March 31, 2014, the aggregate alleged damages sought in the six remaining suits was approximately $348.7 million ($291.5 million of which is sought to be trebled pursuant to RICO) plus punitive damages, costs, and fees.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right="60" w:firstLine="648"/>
        <w:spacing w:after="0" w:line="323" w:lineRule="auto"/>
        <w:rPr>
          <w:sz w:val="20"/>
          <w:szCs w:val="20"/>
          <w:color w:val="auto"/>
        </w:rPr>
      </w:pPr>
      <w:r>
        <w:rPr>
          <w:rFonts w:ascii="Arial" w:cs="Arial" w:eastAsia="Arial" w:hAnsi="Arial"/>
          <w:sz w:val="17"/>
          <w:szCs w:val="17"/>
          <w:color w:val="auto"/>
        </w:rPr>
        <w:t>On July 30, 2014, the Company announced a special cash dividend of $1.00 per share, payable on August 29, 2014 to shareholders of record on August 11, 2014. The Board of Directors, acting as the Administrator of the Officers' Rollover Stock Plan and the Amended and Restated Equity Incentive Plan, made a determination to adjust the outstanding Rollover and EIP options for the special dividend to prevent the dilution of the options. The adjustment is in the form of a $1.00 dividend equivalent. Holders of the Rollover Options will receive a cash payment equal to the amount of the special dividend on the exercise of the option during the options' mandatory exercise period. Holders of EIP options will receive a cash payment equal to the amount of the special dividend payable on August 29, 2014 or the vesting of the EIP option, whichever is later.</w:t>
      </w: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773" w:right="299" w:bottom="1440" w:gutter="0" w:footer="0" w:header="0"/>
        </w:sectPr>
      </w:pPr>
    </w:p>
    <w:bookmarkStart w:id="16" w:name="page17"/>
    <w:bookmarkEnd w:id="16"/>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2014 filed with the Securities and Exchange Commission on May 22, 2014,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fiscal year ends March 31 and, unless otherwise noted, references to years or fiscal are for fiscal years ended March 31. See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We are a leading provider of management consulting, technology, and engineering services to the U.S. government in the defense, intelligence, and civil markets. Additionally, we provide our management and technology consulting services to major corporations, institutions, and not-for-profit organizations. We are a well-known, trusted and long-term partner to our clients, who seek our expertise and objective advice to address their most important and complex problems. Leveraging our 100-year consulting heritage and a talent base of approximately 22,100 people, we deploy our deep domain knowledge, functional expertise, and experience to help our clients achieve their objectives. We have a collaborative culture, supported by our operating model, which helps our professionals identify and respond to emerging trends across the markets we serve and deliver enduring results for our clients. Today, we serve substantially all of the cabinet-level departments of the U.S. government. Our major clients include the Department of Defense, all branches of the U.S. military, the U.S. Intelligence Community, and civil agencies such as the Department of Homeland Security, the Department of Energy, the Department of Health and Human Services, the Department of the Treasury, and the Environmental Protection Agency. We support these clients in addressing complex and pressing challenges such as combating global terrorism, improving cyber capabilities, transforming the healthcare system, improving efficiency and managing change within the government, and protecting the environment. In the commercial sector, we serve U.S. clients primarily in the financial services, healthcare, and energy markets, and international clients, primarily in the Middle East.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121"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During the first quarter of fiscal 2015 we continued to see positive signals in the federal contracting environment, despite revenue declines. Proposal volume continued at levels higher than seen in the previous comparable period and award activity was seasonally strong to include growth in funded backlog. The Company continued to effectively manage indirect costs during the three months ended June 30, 2014, including a continuing focus on management of our capacity to balance the supply of consulting staff with market demand. This effective management of indirect costs supports the Company's continued investment in growth areas including the expansion of our commercial and international markets.</w:t>
      </w:r>
    </w:p>
    <w:p>
      <w:pPr>
        <w:spacing w:after="0" w:line="3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Positive signals provide some optimism for the future, but the quarter reflected the remaining challenges in the market as procurement organizations began to emerge from the effects of the continuing resolution that was lifted in January of 2014. Revenue decreased 7.4% from the three months ended June 30, 2013 to the three months ended June 30, 2014 as a result of lower demand driven by continued spending caution by federal government clients which has resulted in reductions in consulting staff headcount over the past twelve months. The decline in consulting staff headcount led to fewer billable hours in total. While our headcount has decreased, the Company has maintained a high level of productivity of consulting staff. The revenue decline period over period was also attributable to a reduction in billable expenses due to a decline in our use of subcontractors and other direct expenses incurred to perform on contracts.</w:t>
      </w:r>
    </w:p>
    <w:p>
      <w:pPr>
        <w:spacing w:after="0" w:line="13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Operating income increased 0.3% to $139.0 million in the three months ended June 30, 2014 from $138.7 million in the three months ended June 30, 2013 which reflects an 80 basis point increase in operating margin to 10.5% from 9.7% in the comparable period, which is consistent with the Company’s focus on continued margin improvement. The improvement in operating margin period over period was due to maintaining relatively consistent contract profitability and a continuation of disciplined cost management of indirect spending despite a reduction in headcount which led to reduced revenue as discussed above. The impact of revenue declines on operating income were mitigated by a decline in certain provisions for the potential recovery of allowable expenses recorded during the three months ended June 30, 2014 in comparison to the three months ended June 30, 2013. In addition, to a lesser extent, decreases in salaries and salary related benefits, including employer retirement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26" w:right="259" w:bottom="1440" w:gutter="0" w:footer="0" w:header="0"/>
        </w:sectPr>
      </w:pPr>
    </w:p>
    <w:bookmarkStart w:id="17" w:name="page18"/>
    <w:bookmarkEnd w:id="17"/>
    <w:p>
      <w:pPr>
        <w:ind w:right="100"/>
        <w:spacing w:after="0" w:line="259" w:lineRule="auto"/>
        <w:rPr>
          <w:sz w:val="20"/>
          <w:szCs w:val="20"/>
          <w:color w:val="auto"/>
        </w:rPr>
      </w:pPr>
      <w:r>
        <w:rPr>
          <w:rFonts w:ascii="Arial" w:cs="Arial" w:eastAsia="Arial" w:hAnsi="Arial"/>
          <w:sz w:val="18"/>
          <w:szCs w:val="18"/>
          <w:color w:val="auto"/>
        </w:rPr>
        <w:t>plan contributions and incentive compensation, and depreciation expense contributed to the change in operating margin. As discussed above, while the Company continues to focus on disciplined cost management of indirect spending, there was an increase in the level of bid and proposal volume and associated spending as compared to the prior year period to support our pursuit of new contract opportunities that are expected as we approach the end of the government fiscal year on September 30, 2014.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56" w:lineRule="exact"/>
        <w:rPr>
          <w:sz w:val="20"/>
          <w:szCs w:val="20"/>
          <w:color w:val="auto"/>
        </w:rPr>
      </w:pPr>
    </w:p>
    <w:p>
      <w:pPr>
        <w:ind w:right="80" w:firstLine="405"/>
        <w:spacing w:after="0" w:line="283" w:lineRule="auto"/>
        <w:rPr>
          <w:sz w:val="20"/>
          <w:szCs w:val="20"/>
          <w:color w:val="auto"/>
        </w:rPr>
      </w:pPr>
      <w:r>
        <w:rPr>
          <w:rFonts w:ascii="Arial" w:cs="Arial" w:eastAsia="Arial" w:hAnsi="Arial"/>
          <w:sz w:val="16"/>
          <w:szCs w:val="16"/>
          <w:color w:val="auto"/>
        </w:rPr>
        <w:t>We publicly disclose certain non-GAAP financial measurements, including Adjusted Operating Income, Adjusted EBITDA,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Adjusted Operating Income, Adjusted EBITDA, Adjusted Net Income, Adjusted Diluted EPS, and Free Cash Flow are not recognized measurements under accounting principles generally accepted in the United States, or GAAP, and when analyzing our performance or liquidity, as applicable, investors should</w:t>
      </w:r>
    </w:p>
    <w:p>
      <w:pPr>
        <w:spacing w:after="0" w:line="4" w:lineRule="exact"/>
        <w:rPr>
          <w:sz w:val="20"/>
          <w:szCs w:val="20"/>
          <w:color w:val="auto"/>
        </w:rPr>
      </w:pPr>
    </w:p>
    <w:p>
      <w:pPr>
        <w:ind w:right="200" w:firstLine="8"/>
        <w:spacing w:after="0" w:line="292" w:lineRule="auto"/>
        <w:tabs>
          <w:tab w:leader="none" w:pos="2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evaluate each adjustment in our reconciliation of operating and net income to Adjusted Operating Income, Adjusted EBITDA and Adjusted Net Income, and net cash provided by operating activities to Free Cash Flows, and the explanatory footnotes regarding those adjustments, (ii) use Adjusted Operating Income, Adjusted EBITDA, Adjusted Net Income, and Adjusted Diluted EPS in addition to, and not as an alternative to, operating income, net income or diluted EPS, as a measure of operating results, and (iii) use Free Cash Flows in addition to, and not as an alternative to, net cash provided by operating activities as a measure of liquidity, each as defined under GAAP. We have defined the aforementioned non-GAAP measures as follows:</w:t>
      </w:r>
    </w:p>
    <w:p>
      <w:pPr>
        <w:spacing w:after="0" w:line="200" w:lineRule="exact"/>
        <w:rPr>
          <w:rFonts w:ascii="Arial" w:cs="Arial" w:eastAsia="Arial" w:hAnsi="Arial"/>
          <w:sz w:val="16"/>
          <w:szCs w:val="16"/>
          <w:color w:val="auto"/>
        </w:rPr>
      </w:pPr>
    </w:p>
    <w:p>
      <w:pPr>
        <w:spacing w:after="0" w:line="233" w:lineRule="exact"/>
        <w:rPr>
          <w:rFonts w:ascii="Arial" w:cs="Arial" w:eastAsia="Arial" w:hAnsi="Arial"/>
          <w:sz w:val="16"/>
          <w:szCs w:val="16"/>
          <w:color w:val="auto"/>
        </w:rPr>
      </w:pPr>
    </w:p>
    <w:p>
      <w:pPr>
        <w:ind w:left="1300" w:right="20" w:hanging="644"/>
        <w:spacing w:after="0" w:line="30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"Adjusted Operating Income" represents operating income before (i) certain stock option-based and other equity-based compensation expenses, (ii) adjustments related to the amortization of intangible assets, and (iii) any extraordinary, unusual, or non-recurring items.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208" w:lineRule="exact"/>
        <w:rPr>
          <w:rFonts w:ascii="Arial" w:cs="Arial" w:eastAsia="Arial" w:hAnsi="Arial"/>
          <w:sz w:val="16"/>
          <w:szCs w:val="16"/>
          <w:color w:val="auto"/>
        </w:rPr>
      </w:pPr>
    </w:p>
    <w:p>
      <w:pPr>
        <w:ind w:left="1300" w:hanging="644"/>
        <w:spacing w:after="0" w:line="297"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"Adjusted EBITDA" represents net income before income taxes, net interest and other expense, and depreciation and amortization and before certain other items, including: (i) certain stock option-based and other equity-based compensation expenses, (ii) transaction costs, fees, losses, and expenses, including fees associated with debt prepayments, and (iii) any extraordinary, unusual, or non-recurring items. We prepare Adjusted EBITDA to eliminate the impact of items we do not consider indicative of ongoing operating performance due to their inherent unusual, extraordinary, or non-recurring nature or because they result from an event of a similar nature.</w:t>
      </w:r>
    </w:p>
    <w:p>
      <w:pPr>
        <w:spacing w:after="0" w:line="212" w:lineRule="exact"/>
        <w:rPr>
          <w:rFonts w:ascii="Arial" w:cs="Arial" w:eastAsia="Arial" w:hAnsi="Arial"/>
          <w:sz w:val="16"/>
          <w:szCs w:val="16"/>
          <w:color w:val="auto"/>
        </w:rPr>
      </w:pPr>
    </w:p>
    <w:p>
      <w:pPr>
        <w:ind w:left="1300" w:right="120" w:hanging="644"/>
        <w:spacing w:after="0" w:line="293"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"Adjusted Net Income" represents net income before: (i) certain stock option-based and other equity-based compensation expenses, (ii) transaction costs, fees, losses, and expenses, including fees associated with debt prepayments, (iii) adjustments related to the amortization of intangible assets, (iv) amortization or write-off of debt issuance costs and write-off of original issue discount, and (v) any extraordinary, unusual, or non-recurring items, in each case net of the tax effect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218" w:lineRule="exact"/>
        <w:rPr>
          <w:rFonts w:ascii="Arial" w:cs="Arial" w:eastAsia="Arial" w:hAnsi="Arial"/>
          <w:sz w:val="16"/>
          <w:szCs w:val="16"/>
          <w:color w:val="auto"/>
        </w:rPr>
      </w:pPr>
    </w:p>
    <w:p>
      <w:pPr>
        <w:ind w:left="1300" w:hanging="644"/>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financial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692" w:right="259" w:bottom="1440" w:gutter="0" w:footer="0" w:header="0"/>
        </w:sectPr>
      </w:pPr>
    </w:p>
    <w:bookmarkStart w:id="18" w:name="page19"/>
    <w:bookmarkEnd w:id="18"/>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"Free Cash Flow" represents the net cash generated from operating activities less the impact of purchases of property and equipment.</w:t>
      </w:r>
    </w:p>
    <w:p>
      <w:pPr>
        <w:spacing w:after="0" w:line="24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Below is a reconciliation of Adjusted Operating Income, Adjusted EBITDA, Adjusted Net Income, Adjusted Diluted EPS, and Free Cash Flow to the most directly comparable financial measure calculated and presented in accordance with GAAP.</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40" w:type="dxa"/>
            <w:vAlign w:val="bottom"/>
            <w:gridSpan w:val="3"/>
          </w:tcPr>
          <w:p>
            <w:pPr>
              <w:jc w:val="center"/>
              <w:ind w:left="612"/>
              <w:spacing w:after="0"/>
              <w:rPr>
                <w:sz w:val="20"/>
                <w:szCs w:val="20"/>
                <w:color w:val="auto"/>
              </w:rPr>
            </w:pPr>
            <w:r>
              <w:rPr>
                <w:rFonts w:ascii="Arial" w:cs="Arial" w:eastAsia="Arial" w:hAnsi="Arial"/>
                <w:sz w:val="14"/>
                <w:szCs w:val="14"/>
                <w:b w:val="1"/>
                <w:bCs w:val="1"/>
                <w:color w:val="auto"/>
                <w:w w:val="95"/>
              </w:rPr>
              <w:t>Three Months Ended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center"/>
              <w:ind w:left="612"/>
              <w:spacing w:after="0"/>
              <w:rPr>
                <w:sz w:val="20"/>
                <w:szCs w:val="20"/>
                <w:color w:val="auto"/>
              </w:rPr>
            </w:pPr>
            <w:r>
              <w:rPr>
                <w:rFonts w:ascii="Arial" w:cs="Arial" w:eastAsia="Arial" w:hAnsi="Arial"/>
                <w:sz w:val="14"/>
                <w:szCs w:val="14"/>
                <w:b w:val="1"/>
                <w:bCs w:val="1"/>
                <w:color w:val="auto"/>
                <w:w w:val="92"/>
              </w:rPr>
              <w:t>June 30,</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80" w:type="dxa"/>
            <w:vAlign w:val="bottom"/>
          </w:tcPr>
          <w:p>
            <w:pPr>
              <w:ind w:left="40"/>
              <w:spacing w:after="0"/>
              <w:rPr>
                <w:sz w:val="20"/>
                <w:szCs w:val="20"/>
                <w:color w:val="auto"/>
              </w:rPr>
            </w:pPr>
            <w:r>
              <w:rPr>
                <w:rFonts w:ascii="Arial" w:cs="Arial" w:eastAsia="Arial" w:hAnsi="Arial"/>
                <w:sz w:val="14"/>
                <w:szCs w:val="14"/>
                <w:b w:val="1"/>
                <w:bCs w:val="1"/>
                <w:color w:val="auto"/>
              </w:rPr>
              <w:t>(Amounts in thousands, except share and per share data)</w:t>
            </w: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7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40" w:type="dxa"/>
            <w:vAlign w:val="bottom"/>
            <w:gridSpan w:val="3"/>
          </w:tcPr>
          <w:p>
            <w:pPr>
              <w:jc w:val="center"/>
              <w:ind w:left="612"/>
              <w:spacing w:after="0"/>
              <w:rPr>
                <w:sz w:val="20"/>
                <w:szCs w:val="20"/>
                <w:color w:val="auto"/>
              </w:rPr>
            </w:pPr>
            <w:r>
              <w:rPr>
                <w:rFonts w:ascii="Arial" w:cs="Arial" w:eastAsia="Arial" w:hAnsi="Arial"/>
                <w:sz w:val="14"/>
                <w:szCs w:val="14"/>
                <w:b w:val="1"/>
                <w:bCs w:val="1"/>
                <w:color w:val="auto"/>
                <w:w w:val="97"/>
              </w:rPr>
              <w:t>(Unaudited)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139,023</w:t>
            </w:r>
          </w:p>
        </w:tc>
        <w:tc>
          <w:tcPr>
            <w:tcW w:w="10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138,673</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Amortization of intangible assets (b)</w:t>
            </w:r>
          </w:p>
        </w:tc>
        <w:tc>
          <w:tcPr>
            <w:tcW w:w="4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expenses (c)</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2,039</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480" w:type="dxa"/>
            <w:vAlign w:val="bottom"/>
          </w:tcPr>
          <w:p>
            <w:pPr>
              <w:ind w:left="720"/>
              <w:spacing w:after="0"/>
              <w:rPr>
                <w:sz w:val="20"/>
                <w:szCs w:val="20"/>
                <w:color w:val="auto"/>
              </w:rPr>
            </w:pPr>
            <w:r>
              <w:rPr>
                <w:rFonts w:ascii="Arial" w:cs="Arial" w:eastAsia="Arial" w:hAnsi="Arial"/>
                <w:sz w:val="18"/>
                <w:szCs w:val="18"/>
                <w:color w:val="auto"/>
              </w:rPr>
              <w:t>Adjusted Operating Income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142,118</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141,880</w:t>
            </w:r>
          </w:p>
        </w:tc>
        <w:tc>
          <w:tcPr>
            <w:tcW w:w="0" w:type="dxa"/>
            <w:vAlign w:val="bottom"/>
          </w:tcPr>
          <w:p>
            <w:pPr>
              <w:spacing w:after="0"/>
              <w:rPr>
                <w:sz w:val="1"/>
                <w:szCs w:val="1"/>
                <w:color w:val="auto"/>
              </w:rPr>
            </w:pPr>
          </w:p>
        </w:tc>
      </w:tr>
      <w:tr>
        <w:trPr>
          <w:trHeight w:val="67"/>
        </w:trPr>
        <w:tc>
          <w:tcPr>
            <w:tcW w:w="748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EBITDA &amp; Adjusted EBITDA</w:t>
            </w:r>
          </w:p>
        </w:tc>
        <w:tc>
          <w:tcPr>
            <w:tcW w:w="4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71,115</w:t>
            </w:r>
          </w:p>
        </w:tc>
        <w:tc>
          <w:tcPr>
            <w:tcW w:w="10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70,313</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47,934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47,702</w:t>
            </w:r>
          </w:p>
        </w:tc>
        <w:tc>
          <w:tcPr>
            <w:tcW w:w="0" w:type="dxa"/>
            <w:vAlign w:val="bottom"/>
          </w:tcPr>
          <w:p>
            <w:pPr>
              <w:spacing w:after="0"/>
              <w:rPr>
                <w:sz w:val="1"/>
                <w:szCs w:val="1"/>
                <w:color w:val="auto"/>
              </w:rPr>
            </w:pP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Interest and other, net</w:t>
            </w:r>
          </w:p>
        </w:tc>
        <w:tc>
          <w:tcPr>
            <w:tcW w:w="4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19,974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20,658</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16,232</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18,330</w:t>
            </w:r>
          </w:p>
        </w:tc>
        <w:tc>
          <w:tcPr>
            <w:tcW w:w="0" w:type="dxa"/>
            <w:vAlign w:val="bottom"/>
          </w:tcPr>
          <w:p>
            <w:pPr>
              <w:spacing w:after="0"/>
              <w:rPr>
                <w:sz w:val="1"/>
                <w:szCs w:val="1"/>
                <w:color w:val="auto"/>
              </w:rPr>
            </w:pPr>
          </w:p>
        </w:tc>
      </w:tr>
      <w:tr>
        <w:trPr>
          <w:trHeight w:val="237"/>
        </w:trPr>
        <w:tc>
          <w:tcPr>
            <w:tcW w:w="7480" w:type="dxa"/>
            <w:vAlign w:val="bottom"/>
          </w:tcPr>
          <w:p>
            <w:pPr>
              <w:ind w:left="720"/>
              <w:spacing w:after="0"/>
              <w:rPr>
                <w:sz w:val="20"/>
                <w:szCs w:val="20"/>
                <w:color w:val="auto"/>
              </w:rPr>
            </w:pPr>
            <w:r>
              <w:rPr>
                <w:rFonts w:ascii="Arial" w:cs="Arial" w:eastAsia="Arial" w:hAnsi="Arial"/>
                <w:sz w:val="18"/>
                <w:szCs w:val="18"/>
                <w:color w:val="auto"/>
              </w:rPr>
              <w:t>EBITDA</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155,255</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157,003</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Transaction expenses (c)</w:t>
            </w:r>
          </w:p>
        </w:tc>
        <w:tc>
          <w:tcPr>
            <w:tcW w:w="4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EBITDA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157,294</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158,097</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71,115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70,313</w:t>
            </w:r>
          </w:p>
        </w:tc>
        <w:tc>
          <w:tcPr>
            <w:tcW w:w="0" w:type="dxa"/>
            <w:vAlign w:val="bottom"/>
          </w:tcPr>
          <w:p>
            <w:pPr>
              <w:spacing w:after="0"/>
              <w:rPr>
                <w:sz w:val="1"/>
                <w:szCs w:val="1"/>
                <w:color w:val="auto"/>
              </w:rPr>
            </w:pP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4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 (b)</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Transaction expenses (c)</w:t>
            </w:r>
          </w:p>
        </w:tc>
        <w:tc>
          <w:tcPr>
            <w:tcW w:w="4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or write-off of debt issuance costs and write-off of original issue discount</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Adjustments for tax effect (d)</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(2,302)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Net Income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74,568</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73,227</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Diluted Earnings Per Share</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number of diluted shares outstanding</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149,627,168</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147,237,749</w:t>
            </w:r>
          </w:p>
        </w:tc>
        <w:tc>
          <w:tcPr>
            <w:tcW w:w="0" w:type="dxa"/>
            <w:vAlign w:val="bottom"/>
          </w:tcPr>
          <w:p>
            <w:pPr>
              <w:spacing w:after="0"/>
              <w:rPr>
                <w:sz w:val="1"/>
                <w:szCs w:val="1"/>
                <w:color w:val="auto"/>
              </w:rPr>
            </w:pPr>
          </w:p>
        </w:tc>
      </w:tr>
      <w:tr>
        <w:trPr>
          <w:trHeight w:val="237"/>
        </w:trPr>
        <w:tc>
          <w:tcPr>
            <w:tcW w:w="7480" w:type="dxa"/>
            <w:vAlign w:val="bottom"/>
          </w:tcPr>
          <w:p>
            <w:pPr>
              <w:ind w:left="380"/>
              <w:spacing w:after="0"/>
              <w:rPr>
                <w:sz w:val="20"/>
                <w:szCs w:val="20"/>
                <w:color w:val="auto"/>
              </w:rPr>
            </w:pPr>
            <w:r>
              <w:rPr>
                <w:rFonts w:ascii="Arial" w:cs="Arial" w:eastAsia="Arial" w:hAnsi="Arial"/>
                <w:sz w:val="18"/>
                <w:szCs w:val="18"/>
                <w:color w:val="auto"/>
              </w:rPr>
              <w:t>Adjusted Net Income Per Diluted Share (e)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0.50</w:t>
            </w: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67"/>
        </w:trPr>
        <w:tc>
          <w:tcPr>
            <w:tcW w:w="748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Free Cash Flow</w:t>
            </w:r>
          </w:p>
        </w:tc>
        <w:tc>
          <w:tcPr>
            <w:tcW w:w="4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91,726</w:t>
            </w:r>
          </w:p>
        </w:tc>
        <w:tc>
          <w:tcPr>
            <w:tcW w:w="10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73,847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Purchases of property and equipment</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37"/>
        </w:trPr>
        <w:tc>
          <w:tcPr>
            <w:tcW w:w="7480" w:type="dxa"/>
            <w:vAlign w:val="bottom"/>
          </w:tcPr>
          <w:p>
            <w:pPr>
              <w:ind w:left="720"/>
              <w:spacing w:after="0"/>
              <w:rPr>
                <w:sz w:val="20"/>
                <w:szCs w:val="20"/>
                <w:color w:val="auto"/>
              </w:rPr>
            </w:pPr>
            <w:r>
              <w:rPr>
                <w:rFonts w:ascii="Arial" w:cs="Arial" w:eastAsia="Arial" w:hAnsi="Arial"/>
                <w:sz w:val="18"/>
                <w:szCs w:val="18"/>
                <w:color w:val="auto"/>
              </w:rPr>
              <w:t>Free Cash Flow</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89,074</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71,417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line="25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stock-based compensation expense for options for Class A Common Stock and restricted shares, in each case, issued in connection with the Acquisition of our Company by The Carlyle Group (the Acquisition) under the Officers' Rollover Stock Plan. Also reflects stock-based compensation expense for Equity Incentive Plan Class A Common Stock options issued in connection with the Acquisition under the Equity Incentive Plan.</w:t>
      </w:r>
    </w:p>
    <w:p>
      <w:pPr>
        <w:spacing w:after="0" w:line="2"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Acquisition.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debt refinancing costs incurred in connection with the refinancing transaction consummated on May 7, 2014.</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tax effect of adjustments at an assumed marginal tax rate of 40%.</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800" w:right="319" w:bottom="1440" w:gutter="0" w:footer="0" w:header="0"/>
        </w:sectPr>
      </w:pPr>
    </w:p>
    <w:bookmarkStart w:id="19" w:name="page20"/>
    <w:bookmarkEnd w:id="19"/>
    <w:p>
      <w:pPr>
        <w:ind w:left="660" w:right="2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an adjustment of approximately $823,000 and $299,000 of net earnings for the three months ended June 30, 2014 and 2013 respectively, associated with the application of the two-class method for computing diluted earnings per share.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following recent development occurred after June 30, 2014, which may cause our future results of operations to differ from our historical results of operations discussed under “— Results of Operations.”</w:t>
      </w:r>
    </w:p>
    <w:p>
      <w:pPr>
        <w:spacing w:after="0" w:line="19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July 30, 2014, we announced a special cash dividend of $1.00 per share, payable on August 29, 2014 to shareholders of record on August 11, 2014. The Board of Directors, acting as the Administrator of the Officers' Rollover Stock Plan and the EIP made a determination to adjust the outstanding Rollover and EIP options for the special dividend to prevent the dilution of the options. The adjustment is in the form of a $1.00 dividend equivalent. Holders of the Rollover Options will receive a cash payment equal to the amount of the special dividend on the exercise of the option during the options' mandatory exercise period. Holders of EIP options will receive a cash payment equal to the amount of the special dividend payable on August 29, 2014 or the vesting of the EIP option, whichever is later.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94"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9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116" w:lineRule="exact"/>
        <w:rPr>
          <w:sz w:val="20"/>
          <w:szCs w:val="20"/>
          <w:color w:val="auto"/>
        </w:rPr>
      </w:pPr>
    </w:p>
    <w:p>
      <w:pPr>
        <w:ind w:left="1300" w:right="6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116" w:lineRule="exact"/>
        <w:rPr>
          <w:rFonts w:ascii="Arial" w:cs="Arial" w:eastAsia="Arial" w:hAnsi="Arial"/>
          <w:sz w:val="18"/>
          <w:szCs w:val="18"/>
          <w:color w:val="auto"/>
        </w:rPr>
      </w:pPr>
    </w:p>
    <w:p>
      <w:pPr>
        <w:ind w:left="1300" w:right="10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overseas operations end, and continued increased spending on cyber-security, advanced analytics, technology integration and healthcare;</w:t>
      </w:r>
    </w:p>
    <w:p>
      <w:pPr>
        <w:spacing w:after="0" w:line="127" w:lineRule="exact"/>
        <w:rPr>
          <w:rFonts w:ascii="Arial" w:cs="Arial" w:eastAsia="Arial" w:hAnsi="Arial"/>
          <w:sz w:val="18"/>
          <w:szCs w:val="18"/>
          <w:color w:val="auto"/>
        </w:rPr>
      </w:pPr>
    </w:p>
    <w:p>
      <w:pPr>
        <w:ind w:left="1300" w:right="40" w:hanging="644"/>
        <w:spacing w:after="0" w:line="270"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cost cutting and efficiency initiatives, current and future budget reductions, continued implementation of Congressionally mandated automatic spending cuts, and other efforts to reduce U.S. government spending, which could cause clients to reduce or delay funding for orders for services or invest appropriated funds on a less consistent or rapid basis or not at all, particularly when considering long-term initiatives and in light of uncertainty around Congressional efforts to craft a long-term agreement on the U.S. government's ability to incur indebtedness in excess of its current limits and generally in the current political environment,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127" w:lineRule="exact"/>
        <w:rPr>
          <w:rFonts w:ascii="Arial" w:cs="Arial" w:eastAsia="Arial" w:hAnsi="Arial"/>
          <w:sz w:val="17"/>
          <w:szCs w:val="17"/>
          <w:color w:val="auto"/>
        </w:rPr>
      </w:pPr>
    </w:p>
    <w:p>
      <w:pPr>
        <w:ind w:left="1300" w:hanging="644"/>
        <w:spacing w:after="0" w:line="255"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and continued uncertainty around the timing, extent, nature and effect of Congressional and other U.S. government action to address budgetary constraints, the outcome of Congressional efforts to craft a long-term agreement on the U.S. government’s ability to incur indebtedness in excess of its current limits and the U.S. deficit, including, the required reductions under the Budget Control Act of 2011 (as amended by the American Taxpayer Relief Act of 2012 and the Consolidated Appropriations Act, 2014), which provides for automatic spending cuts totaling approximately $1.2 trillion between 2013 and 2021, and the extension of the Temporary Debt Limit Extension Act, which is currently scheduled to expire on March 15, 2015;</w:t>
      </w:r>
    </w:p>
    <w:p>
      <w:pPr>
        <w:spacing w:after="0" w:line="139"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the completion of future U.S. government’s budget processes, which have in the past and could in the future delay procurement of the products, services, and solutions we provide;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30" w:right="259" w:bottom="1440" w:gutter="0" w:footer="0" w:header="0"/>
        </w:sectPr>
      </w:pPr>
    </w:p>
    <w:bookmarkStart w:id="20" w:name="page21"/>
    <w:bookmarkEnd w:id="20"/>
    <w:p>
      <w:pPr>
        <w:ind w:left="1300" w:right="2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116" w:lineRule="exact"/>
        <w:rPr>
          <w:rFonts w:ascii="Arial" w:cs="Arial" w:eastAsia="Arial" w:hAnsi="Arial"/>
          <w:sz w:val="18"/>
          <w:szCs w:val="18"/>
          <w:color w:val="auto"/>
        </w:rPr>
      </w:pPr>
    </w:p>
    <w:p>
      <w:pPr>
        <w:ind w:left="1300" w:right="280" w:hanging="644"/>
        <w:spacing w:after="0" w:line="34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implementation by U.S. government agencies of approximately $64 billion and $90 billion in mandated 2014 and 2015 sequestration spending cuts, respectively, including an estimated $30 billion and $45 billion in cuts to the Department of Defense, respectively;</w:t>
      </w:r>
    </w:p>
    <w:p>
      <w:pPr>
        <w:spacing w:after="0" w:line="69" w:lineRule="exact"/>
        <w:rPr>
          <w:rFonts w:ascii="Arial" w:cs="Arial" w:eastAsia="Arial" w:hAnsi="Arial"/>
          <w:sz w:val="16"/>
          <w:szCs w:val="16"/>
          <w:color w:val="auto"/>
        </w:rPr>
      </w:pPr>
    </w:p>
    <w:p>
      <w:pPr>
        <w:ind w:left="1300" w:right="8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127"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116" w:lineRule="exact"/>
        <w:rPr>
          <w:rFonts w:ascii="Arial" w:cs="Arial" w:eastAsia="Arial" w:hAnsi="Arial"/>
          <w:sz w:val="18"/>
          <w:szCs w:val="18"/>
          <w:color w:val="auto"/>
        </w:rPr>
      </w:pPr>
    </w:p>
    <w:p>
      <w:pPr>
        <w:ind w:left="1300" w:right="220" w:hanging="644"/>
        <w:spacing w:after="0" w:line="31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92" w:lineRule="exact"/>
        <w:rPr>
          <w:rFonts w:ascii="Arial" w:cs="Arial" w:eastAsia="Arial" w:hAnsi="Arial"/>
          <w:sz w:val="16"/>
          <w:szCs w:val="16"/>
          <w:color w:val="auto"/>
        </w:rPr>
      </w:pPr>
    </w:p>
    <w:p>
      <w:pPr>
        <w:ind w:left="1300" w:right="38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116"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 result of the U.S. government's efforts to reduce outlays for contractor costs, we may see a continuing shift toward placement of our consulting staff at client site locations instead of our facilities, which generally results in lower billing rates and could have a negative impact on our revenue;</w:t>
      </w:r>
    </w:p>
    <w:p>
      <w:pPr>
        <w:spacing w:after="0" w:line="127" w:lineRule="exact"/>
        <w:rPr>
          <w:rFonts w:ascii="Arial" w:cs="Arial" w:eastAsia="Arial" w:hAnsi="Arial"/>
          <w:sz w:val="18"/>
          <w:szCs w:val="18"/>
          <w:color w:val="auto"/>
        </w:rPr>
      </w:pPr>
    </w:p>
    <w:p>
      <w:pPr>
        <w:ind w:left="1300" w:right="540" w:hanging="644"/>
        <w:spacing w:after="0" w:line="34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69" w:lineRule="exact"/>
        <w:rPr>
          <w:rFonts w:ascii="Arial" w:cs="Arial" w:eastAsia="Arial" w:hAnsi="Arial"/>
          <w:sz w:val="16"/>
          <w:szCs w:val="16"/>
          <w:color w:val="auto"/>
        </w:rPr>
      </w:pPr>
    </w:p>
    <w:p>
      <w:pPr>
        <w:ind w:left="1300" w:right="6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127"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competition from other government contractors and market entrants seeking to take advantage of certain of the trends identified above;</w:t>
      </w:r>
    </w:p>
    <w:p>
      <w:pPr>
        <w:spacing w:after="0" w:line="116"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published on June 24, 2014, which substantially further reduce the amount of allowable executive compensation under these contracts and extend these limitations to a larger segment of our executives and our entire contract base; and</w:t>
      </w:r>
    </w:p>
    <w:p>
      <w:pPr>
        <w:spacing w:after="0" w:line="132"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90"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of 2011 (as amended by the American Taxpayer Relief Act of 2012 and the Consolidated Appropriations Act, 2014), provides for automatic spending cuts totaling approximately $1.2 trillion between 2013 and 2021, and requires an estimated $500 billion in federal defense spending cuts over this time period. Under the Budget Control Act, as amended, approximately $64 billion and $90 billion in spending cuts are mandated for fiscal 2014 and 2015, respectively, and the Department of Defense has estimated its share of these cuts at $30 billion and $45 billion, respectively. 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21" w:name="page22"/>
    <w:bookmarkEnd w:id="21"/>
    <w:p>
      <w:pPr>
        <w:ind w:right="60"/>
        <w:spacing w:after="0" w:line="264" w:lineRule="auto"/>
        <w:rPr>
          <w:sz w:val="20"/>
          <w:szCs w:val="20"/>
          <w:color w:val="auto"/>
        </w:rPr>
      </w:pPr>
      <w:r>
        <w:rPr>
          <w:rFonts w:ascii="Arial" w:cs="Arial" w:eastAsia="Arial" w:hAnsi="Arial"/>
          <w:sz w:val="18"/>
          <w:szCs w:val="18"/>
          <w:color w:val="auto"/>
        </w:rPr>
        <w:t>reduction in the amount of services that we are contracted to provide to the Department of Defense could have a material adverse effect on our business and results of operations, and given the uncertainty of when and how these automatic reductions may be applied, we are unable to predict the nature or magnitude of the potential adverse effect.</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Types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hanging="655"/>
        <w:spacing w:after="0" w:line="270" w:lineRule="auto"/>
        <w:tabs>
          <w:tab w:leader="none" w:pos="19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Cost-Reimbursable Contracts. </w:t>
      </w:r>
      <w:r>
        <w:rPr>
          <w:rFonts w:ascii="Arial" w:cs="Arial" w:eastAsia="Arial" w:hAnsi="Arial"/>
          <w:sz w:val="17"/>
          <w:szCs w:val="17"/>
          <w:color w:val="auto"/>
        </w:rPr>
        <w:t>Cost-reimbursable contracts provide for the payment of allowable costs incurred during</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the contract, up to a ceiling based on the amount that has been funded, plus a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73" w:lineRule="exact"/>
        <w:rPr>
          <w:rFonts w:ascii="Arial" w:cs="Arial" w:eastAsia="Arial" w:hAnsi="Arial"/>
          <w:sz w:val="17"/>
          <w:szCs w:val="17"/>
          <w:color w:val="auto"/>
        </w:rPr>
      </w:pPr>
    </w:p>
    <w:p>
      <w:pPr>
        <w:ind w:left="1960" w:right="120" w:hanging="655"/>
        <w:spacing w:after="0" w:line="257" w:lineRule="auto"/>
        <w:tabs>
          <w:tab w:leader="none" w:pos="19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a time-and-materials contract,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billable material costs and billable out-of-pocket expenses inclusive of allocable indirect costs.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80" w:lineRule="exact"/>
        <w:rPr>
          <w:rFonts w:ascii="Arial" w:cs="Arial" w:eastAsia="Arial" w:hAnsi="Arial"/>
          <w:sz w:val="18"/>
          <w:szCs w:val="18"/>
          <w:i w:val="1"/>
          <w:iCs w:val="1"/>
          <w:color w:val="auto"/>
        </w:rPr>
      </w:pPr>
    </w:p>
    <w:p>
      <w:pPr>
        <w:ind w:left="1960" w:right="140" w:hanging="655"/>
        <w:spacing w:after="0" w:line="255" w:lineRule="auto"/>
        <w:tabs>
          <w:tab w:leader="none" w:pos="19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Under a fixed-price contract, we agree to perform the specified work for a pre-determined price.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193"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The table below presents the percentage of total revenue for each type of contract:</w:t>
      </w:r>
    </w:p>
    <w:p>
      <w:pPr>
        <w:spacing w:after="0" w:line="296"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13335</wp:posOffset>
            </wp:positionV>
            <wp:extent cx="18522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87" w:lineRule="exact"/>
        <w:rPr>
          <w:sz w:val="20"/>
          <w:szCs w:val="20"/>
          <w:color w:val="auto"/>
        </w:rPr>
      </w:pPr>
    </w:p>
    <w:tbl>
      <w:tblPr>
        <w:tblLayout w:type="fixed"/>
        <w:tblInd w:w="1560" w:type="dxa"/>
        <w:tblCellMar>
          <w:top w:w="0" w:type="dxa"/>
          <w:left w:w="0" w:type="dxa"/>
          <w:bottom w:w="0" w:type="dxa"/>
          <w:right w:w="0" w:type="dxa"/>
        </w:tblCellMar>
      </w:tblPr>
      <w:tr>
        <w:trPr>
          <w:trHeight w:val="192"/>
        </w:trPr>
        <w:tc>
          <w:tcPr>
            <w:tcW w:w="54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 (1)</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56%</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26%</w:t>
            </w:r>
          </w:p>
        </w:tc>
        <w:tc>
          <w:tcPr>
            <w:tcW w:w="12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30%</w:t>
            </w:r>
          </w:p>
        </w:tc>
      </w:tr>
      <w:tr>
        <w:trPr>
          <w:trHeight w:val="27"/>
        </w:trPr>
        <w:tc>
          <w:tcPr>
            <w:tcW w:w="5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 (2)</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14%</w:t>
            </w:r>
          </w:p>
        </w:tc>
      </w:tr>
      <w:tr>
        <w:trPr>
          <w:trHeight w:val="27"/>
        </w:trPr>
        <w:tc>
          <w:tcPr>
            <w:tcW w:w="54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both cost-plus-fixed-fee and cost-plus-award-fee contracts.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fixed-price level of effort contracts.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11" w:right="23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i w:val="1"/>
          <w:iCs w:val="1"/>
          <w:color w:val="auto"/>
        </w:rPr>
        <w:t>Contract Diversity and Revenue Mix</w:t>
      </w:r>
    </w:p>
    <w:p>
      <w:pPr>
        <w:spacing w:after="0" w:line="90"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and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139"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People</w:t>
      </w:r>
    </w:p>
    <w:p>
      <w:pPr>
        <w:spacing w:after="0" w:line="9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clients.We seek to achieve that result through recruitment and management of capacity and compensation. As of June 30, 2014 and 2013, we employed approximately 22,100 and 23,400 people, respectively, of which approximately 20,100 and 21,100, respectively, were consulting staff.</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Backlog</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333" w:lineRule="exact"/>
        <w:rPr>
          <w:sz w:val="20"/>
          <w:szCs w:val="20"/>
          <w:color w:val="auto"/>
        </w:rPr>
      </w:pPr>
    </w:p>
    <w:p>
      <w:pPr>
        <w:ind w:left="1300" w:right="76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278"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appropriated or otherwise authorized.</w:t>
      </w:r>
    </w:p>
    <w:p>
      <w:pPr>
        <w:spacing w:after="0" w:line="278" w:lineRule="exact"/>
        <w:rPr>
          <w:rFonts w:ascii="Arial" w:cs="Arial" w:eastAsia="Arial" w:hAnsi="Arial"/>
          <w:sz w:val="18"/>
          <w:szCs w:val="18"/>
          <w:color w:val="auto"/>
        </w:rPr>
      </w:pPr>
    </w:p>
    <w:p>
      <w:pPr>
        <w:ind w:left="1300" w:right="360" w:hanging="644"/>
        <w:spacing w:after="0" w:line="342"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Priced Options. </w:t>
      </w:r>
      <w:r>
        <w:rPr>
          <w:rFonts w:ascii="Arial" w:cs="Arial" w:eastAsia="Arial" w:hAnsi="Arial"/>
          <w:sz w:val="16"/>
          <w:szCs w:val="16"/>
          <w:color w:val="auto"/>
        </w:rPr>
        <w:t>Priced contract options represent 100% of the undiscounted revenue value of all future contract option periods under</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contracts that may be exercised at our clients’ option and for which funding has not been appropriated or otherwise authorized.</w:t>
      </w:r>
    </w:p>
    <w:p>
      <w:pPr>
        <w:spacing w:after="0" w:line="7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352"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03" w:lineRule="exact"/>
        <w:rPr>
          <w:sz w:val="20"/>
          <w:szCs w:val="20"/>
          <w:color w:val="auto"/>
        </w:rPr>
      </w:pPr>
    </w:p>
    <w:p>
      <w:pPr>
        <w:ind w:left="7400"/>
        <w:spacing w:after="0"/>
        <w:tabs>
          <w:tab w:leader="none" w:pos="906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5"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23495</wp:posOffset>
            </wp:positionV>
            <wp:extent cx="545401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4015" cy="17145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Backlog:</w:t>
      </w:r>
    </w:p>
    <w:p>
      <w:pPr>
        <w:spacing w:after="0" w:line="63"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2940" w:type="dxa"/>
            <w:vAlign w:val="bottom"/>
          </w:tcPr>
          <w:p>
            <w:pPr>
              <w:ind w:left="380"/>
              <w:spacing w:after="0"/>
              <w:rPr>
                <w:sz w:val="20"/>
                <w:szCs w:val="20"/>
                <w:color w:val="auto"/>
              </w:rPr>
            </w:pPr>
            <w:r>
              <w:rPr>
                <w:rFonts w:ascii="Arial" w:cs="Arial" w:eastAsia="Arial" w:hAnsi="Arial"/>
                <w:sz w:val="18"/>
                <w:szCs w:val="18"/>
                <w:color w:val="auto"/>
              </w:rPr>
              <w:t>Funded</w:t>
            </w:r>
          </w:p>
        </w:tc>
        <w:tc>
          <w:tcPr>
            <w:tcW w:w="3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 (1)</w:t>
            </w:r>
          </w:p>
        </w:tc>
        <w:tc>
          <w:tcPr>
            <w:tcW w:w="2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43"/>
        </w:trPr>
        <w:tc>
          <w:tcPr>
            <w:tcW w:w="2940" w:type="dxa"/>
            <w:vAlign w:val="bottom"/>
          </w:tcPr>
          <w:p>
            <w:pPr>
              <w:ind w:left="380"/>
              <w:spacing w:after="0"/>
              <w:rPr>
                <w:sz w:val="20"/>
                <w:szCs w:val="20"/>
                <w:color w:val="auto"/>
              </w:rPr>
            </w:pPr>
            <w:r>
              <w:rPr>
                <w:rFonts w:ascii="Arial" w:cs="Arial" w:eastAsia="Arial" w:hAnsi="Arial"/>
                <w:sz w:val="18"/>
                <w:szCs w:val="18"/>
                <w:color w:val="auto"/>
              </w:rPr>
              <w:t>Priced options</w:t>
            </w:r>
          </w:p>
        </w:tc>
        <w:tc>
          <w:tcPr>
            <w:tcW w:w="2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backlog</w:t>
            </w:r>
          </w:p>
        </w:tc>
        <w:tc>
          <w:tcPr>
            <w:tcW w:w="300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10,856</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Arial" w:cs="Arial" w:eastAsia="Arial" w:hAnsi="Arial"/>
                <w:sz w:val="18"/>
                <w:szCs w:val="18"/>
                <w:color w:val="auto"/>
              </w:rPr>
              <w:t>21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9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0" w:right="239" w:bottom="1440" w:gutter="0" w:footer="0" w:header="0"/>
        </w:sectPr>
      </w:pPr>
    </w:p>
    <w:bookmarkStart w:id="23" w:name="page24"/>
    <w:bookmarkEnd w:id="23"/>
    <w:p>
      <w:pPr>
        <w:ind w:left="1300" w:right="720" w:hanging="644"/>
        <w:spacing w:after="0" w:line="342"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Reflects a reduction by management to the revenue value of orders for services under one existing single award ID/IQ contract the Company has had for several years, based on an established pattern of funding under these contracts by the U.S. government.</w:t>
      </w:r>
    </w:p>
    <w:p>
      <w:pPr>
        <w:spacing w:after="0" w:line="70"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17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decreased by 10.8% from June 30, 2013 to June 30, 2014. Additions to funded backlog during the twelve months ended June 30, 2014 totaled $5.5 billion in comparison to $5.4 billion for the comparable period, as a result of the conversion of unfunded backlog to funded backlog, the award of new contracts and task orders under which funding was appropriated, and the exercise and subsequent funding of priced options. With the passing of the $1.1 trillion Consolidated Appropriations Act in January 2014, we expect the pace of contract awards to increase throughout the remainder of the U.S. government’s fiscal year ending September 30, 2014. We report internally on our backlog on a monthly basis and review backlog upon occurrence of certain events to determine if any adjustments are necessary.</w:t>
      </w:r>
    </w:p>
    <w:p>
      <w:pPr>
        <w:spacing w:after="0" w:line="166"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6.7% of funded backlog as of the end of any of the four fiscal quarters preceding the fiscal quarter ended June 30, 2014.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90"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279" w:lineRule="exact"/>
        <w:rPr>
          <w:sz w:val="20"/>
          <w:szCs w:val="20"/>
          <w:color w:val="auto"/>
        </w:rPr>
      </w:pPr>
    </w:p>
    <w:p>
      <w:pPr>
        <w:ind w:left="1300" w:right="58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224"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224"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indirect labor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functions, marketing and bid and proposal costs, and other discretionary spending.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30" w:right="239" w:bottom="1440" w:gutter="0" w:footer="0" w:header="0"/>
        </w:sectPr>
      </w:pPr>
    </w:p>
    <w:bookmarkStart w:id="24" w:name="page25"/>
    <w:bookmarkEnd w:id="24"/>
    <w:p>
      <w:pPr>
        <w:ind w:left="1300" w:right="20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94"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There have been no material changes during the period covered by this Quarterly Report to the information disclosed in the Critical Accounting Estimates and Policies section in Part II, “Item 7. Management’s Discussion and Analysis of Financial Condition and Results of Operations” of our Annual Report.</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 May 2014, the Financial Accounting Standards Board issued a new standard that will replace existing revenue recognition standards and significantly expand the disclosure requirements for revenue arrangements. The new standard will be effective for the Company beginning on April 1, 2017 (i.e., beginning with the first quarter fiscal 2018 interim financial statements). The new standard may be adopted retrospectively for all periods presented, or adopted using a modified retrospective approach. Under the retrospective approach, the fiscal 2017 and 2016 financial statements would be adjusted to reflect the effects of applying the new standard on those periods. Under the modified retrospective approach, the new standard would only be applied for the period beginning April 1, 2017 to new contracts and those contracts that are not yet complete at April 1, 2017, with a cumulative catch-up adjustment recorded to beginning retained earnings for existing contracts that still require performance. We are currently evaluating the methods of adoption allowed by the new standard and the effect the standard is expected to have on the Company’s financial statements and related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3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44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755"/>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44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21"/>
                <w:szCs w:val="21"/>
                <w:color w:val="auto"/>
              </w:rPr>
            </w:pPr>
          </w:p>
        </w:tc>
        <w:tc>
          <w:tcPr>
            <w:tcW w:w="1100" w:type="dxa"/>
            <w:vAlign w:val="bottom"/>
            <w:tcBorders>
              <w:right w:val="single" w:sz="8" w:color="auto"/>
            </w:tcBorders>
            <w:gridSpan w:val="2"/>
          </w:tcPr>
          <w:p>
            <w:pPr>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4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1,322,297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1,427,691</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2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2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645,001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701,472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442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2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350,972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397,888</w:t>
            </w:r>
          </w:p>
        </w:tc>
        <w:tc>
          <w:tcPr>
            <w:tcW w:w="1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2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171,069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171,328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4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16,232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18,330</w:t>
            </w:r>
          </w:p>
        </w:tc>
        <w:tc>
          <w:tcPr>
            <w:tcW w:w="1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2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1,183,274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1,289,018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139,023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138,673</w:t>
            </w: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1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(2,155.6)%</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119,049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118,015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47,934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47,702</w:t>
            </w:r>
          </w:p>
        </w:tc>
        <w:tc>
          <w:tcPr>
            <w:tcW w:w="1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71,115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70,313</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23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25" w:name="page26"/>
    <w:bookmarkEnd w:id="25"/>
    <w:p>
      <w:pPr>
        <w:ind w:left="260" w:right="4780"/>
        <w:spacing w:after="0" w:line="305" w:lineRule="auto"/>
        <w:rPr>
          <w:sz w:val="20"/>
          <w:szCs w:val="20"/>
          <w:color w:val="auto"/>
        </w:rPr>
      </w:pPr>
      <w:r>
        <w:rPr>
          <w:rFonts w:ascii="Arial" w:cs="Arial" w:eastAsia="Arial" w:hAnsi="Arial"/>
          <w:sz w:val="18"/>
          <w:szCs w:val="18"/>
          <w:b w:val="1"/>
          <w:bCs w:val="1"/>
          <w:i w:val="1"/>
          <w:iCs w:val="1"/>
          <w:color w:val="auto"/>
        </w:rPr>
        <w:t xml:space="preserve">Three Months Ended June 30, 2014 Compared to Three Months Ended June 30, 2013 </w:t>
      </w:r>
      <w:r>
        <w:rPr>
          <w:rFonts w:ascii="Arial" w:cs="Arial" w:eastAsia="Arial" w:hAnsi="Arial"/>
          <w:sz w:val="18"/>
          <w:szCs w:val="18"/>
          <w:i w:val="1"/>
          <w:iCs w:val="1"/>
          <w:color w:val="auto"/>
        </w:rPr>
        <w:t>Revenue</w:t>
      </w:r>
    </w:p>
    <w:p>
      <w:pPr>
        <w:spacing w:after="0" w:line="1"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Revenue decreased to $1,322.3 million from $1,427.7 million, or a 7.4% decrease as a result of lower demand driven by continued spending caution by federal government clients which resulted in reductions in consulting staff headcount. While the decline in consulting staff headcount led to fewer billable hours in total, the Company maintained a high level of productivity of consulting staff, which continues to help offset the headcount reductions and reduces the ratio of indirect costs to direct labor. The revenue decline period over period was also attributable to a reduction in billable expenses due to a decline in our use of subcontractors and other direct expenses incurred to perform on contracts. Conversions to funded backlog during the twelve months ended June 30, 2014 totaled $5.5 billion in comparison to $5.4 billion for the twelve months ended June 30, 2013. The revenue conversion was a result of the conversion of unfunded backlog to funded backlog, the award of new contracts and task orders under which funding was appropriated, and the exercise and subsequent funding of priced options.</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23" w:lineRule="exact"/>
        <w:rPr>
          <w:sz w:val="20"/>
          <w:szCs w:val="20"/>
          <w:color w:val="auto"/>
        </w:rPr>
      </w:pPr>
    </w:p>
    <w:p>
      <w:pPr>
        <w:ind w:right="20" w:firstLine="405"/>
        <w:spacing w:after="0" w:line="292" w:lineRule="auto"/>
        <w:rPr>
          <w:sz w:val="20"/>
          <w:szCs w:val="20"/>
          <w:color w:val="auto"/>
        </w:rPr>
      </w:pPr>
      <w:r>
        <w:rPr>
          <w:rFonts w:ascii="Arial" w:cs="Arial" w:eastAsia="Arial" w:hAnsi="Arial"/>
          <w:sz w:val="16"/>
          <w:szCs w:val="16"/>
          <w:color w:val="auto"/>
        </w:rPr>
        <w:t>Cost of revenue decreased to $645.0 million from $701.5 million, or an 8.1% decrease. This decrease was primarily due to a decrease in salaries and salary-related benefits of $41.0 million and a decrease in employer retirement plan contributions of $13.0 million. The decrease in salaries and salary-related benefits was primarily due to reduced headcount in direct consulting staff. The decrease in employer retirement plan contributions was due to a decrease in the Company's expected discretionary employer contribution percentage due to a change to the matching program effective April 1, 2014, as well as the reduced headcount noted above. Cost of revenue as a percentage of revenue was 48.8% for both the three months ended June 30, 2014 and 2013, respectively.</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23"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Billable expenses decreased to $351.0 million from $397.9 million, or an 11.8% decrease. The overall decrease was primarily due to decreases in subcontractor-related expenses and other direct expenses of $48.5 million incurred to perform on contracts. Direct subcontractor related expenses decreased due to lower demand. Billable expenses as a percentage of revenue were 26.5% and 27.9% for the three months ended June 30, 2014 and 2013, respectively.</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General and administrative expenses decreased to $171.1 million from $171.3 million, or a 0.2% decrease. This decrease was primarily due to a decrease in incentive compensation of $2.3 million and a decrease in employer retirement plan contributions of $1.3 million, offset by an increase in business-related transaction expenses of $2.9 million. The decrease in employer retirement plan contributions was due to a decrease in the Company's expected discretionary employer contribution percentage due to a change to a matching program effective April 1, 2014, as well as reduced headcount. General and administrative expenses as a percentage of revenue were 12.9% and 12.0% for the three months ended June 30, 2014 and 2013, respectively.</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23" w:lineRule="exact"/>
        <w:rPr>
          <w:sz w:val="20"/>
          <w:szCs w:val="20"/>
          <w:color w:val="auto"/>
        </w:rPr>
      </w:pPr>
    </w:p>
    <w:p>
      <w:pPr>
        <w:ind w:right="160" w:firstLine="405"/>
        <w:spacing w:after="0" w:line="261" w:lineRule="auto"/>
        <w:rPr>
          <w:sz w:val="20"/>
          <w:szCs w:val="20"/>
          <w:color w:val="auto"/>
        </w:rPr>
      </w:pPr>
      <w:r>
        <w:rPr>
          <w:rFonts w:ascii="Arial" w:cs="Arial" w:eastAsia="Arial" w:hAnsi="Arial"/>
          <w:sz w:val="18"/>
          <w:szCs w:val="18"/>
          <w:color w:val="auto"/>
        </w:rPr>
        <w:t>Depreciation and amortization decreased to $16.2 million from $18.3 million, or an 11.4% decrease primarily due to a decrease in capital expenditures over the past twelve months, which led to a decrease in depreciation and amortization for the current period.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Interest expense decreased to $18.9 million from $20.7 million, or an 8.9% decrease, primarily as a result of the First Amendment to the Credit Agreement consummated in August 2013 that repriced the outstanding Term Loan B indebtedness which generated a reduction in interest expense for the three months ended June 30, 2014 as compared to June 30, 2013.</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net</w:t>
      </w:r>
    </w:p>
    <w:p>
      <w:pPr>
        <w:spacing w:after="0" w:line="90"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Other, net changed from $0.1 million of income in the three months ended June 30, 2013 to $1.1 million of expense in the three months ended June 30, 2014, primarily due to the acceleration of expense of $1.2 million of Debt Issuance Costs (DIC) and Original Issue Discount (OID) as a result of the Second Amendment to the Credit Agreement in May 2014.</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Income tax expense increased to $47.9 million from $47.7 million, or a 0.5% increase, primarily due to an increase in pre-tax income.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96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firstLine="243"/>
        <w:spacing w:after="0" w:line="272" w:lineRule="auto"/>
        <w:rPr>
          <w:sz w:val="20"/>
          <w:szCs w:val="20"/>
          <w:color w:val="auto"/>
        </w:rPr>
      </w:pPr>
      <w:r>
        <w:rPr>
          <w:rFonts w:ascii="Arial" w:cs="Arial" w:eastAsia="Arial" w:hAnsi="Arial"/>
          <w:sz w:val="17"/>
          <w:szCs w:val="17"/>
          <w:color w:val="auto"/>
        </w:rPr>
        <w:t>We have historically been able to generate sufficient cash to fund our operations, debt payments, capital expenditures, and discretionary funding needs. We had $319.4 million and $260.0 million in cash and cash equivalents as of June 30, 2014 and March 31, 2014, respectively. However, due to fluctuations in cash flows, including as a result of the trends and developments described above under "—Factors and Trends Affecting Our Results of Operations" relating to U.S. government cost-cutting, reductions or delays in the U.S. government appropriations and spending process and other budgetary matters, it may be necessary from time-to-time in the future to borrow under our senior secured loan facilities to meet cash demands.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232"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279" w:lineRule="exact"/>
        <w:rPr>
          <w:rFonts w:ascii="Arial" w:cs="Arial" w:eastAsia="Arial" w:hAnsi="Arial"/>
          <w:sz w:val="18"/>
          <w:szCs w:val="18"/>
          <w:color w:val="auto"/>
        </w:rPr>
      </w:pPr>
    </w:p>
    <w:p>
      <w:pPr>
        <w:ind w:left="1300" w:right="58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senior secured loan facilities; and</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225"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From time to time we evaluate alternative uses for excess cash resources once our operating cash flow needs and required debt amortization have been met. Some of the possible uses of our remaining excess cash at any point in time may include funding acquisitions, further investment in our business and voluntary debt prepayments, as well as initiatives intended to return value to shareholders in the form of payment of special dividends and share repurchases. The Company is currently authorized by the Board of Directors to repurchase up to $30.0 million of our shares, of which no shares have been repurchased as of June 30, 2014. 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senior secured credit agreement, as amended, and other factors deemed relevant by our Board of Directors.</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cash distributions recognized in the condensed consolidated statement of cash flows:</w:t>
      </w:r>
    </w:p>
    <w:p>
      <w:pPr>
        <w:spacing w:after="0" w:line="200" w:lineRule="exact"/>
        <w:rPr>
          <w:sz w:val="20"/>
          <w:szCs w:val="20"/>
          <w:color w:val="auto"/>
        </w:rPr>
      </w:pPr>
    </w:p>
    <w:p>
      <w:pPr>
        <w:spacing w:after="0" w:line="246" w:lineRule="exact"/>
        <w:rPr>
          <w:sz w:val="20"/>
          <w:szCs w:val="20"/>
          <w:color w:val="auto"/>
        </w:rPr>
      </w:pPr>
    </w:p>
    <w:p>
      <w:pPr>
        <w:jc w:val="center"/>
        <w:ind w:left="4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5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13335</wp:posOffset>
            </wp:positionV>
            <wp:extent cx="1655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7" w:lineRule="exact"/>
        <w:rPr>
          <w:sz w:val="20"/>
          <w:szCs w:val="20"/>
          <w:color w:val="auto"/>
        </w:rPr>
      </w:pPr>
    </w:p>
    <w:tbl>
      <w:tblPr>
        <w:tblLayout w:type="fixed"/>
        <w:tblInd w:w="2140" w:type="dxa"/>
        <w:tblCellMar>
          <w:top w:w="0" w:type="dxa"/>
          <w:left w:w="0" w:type="dxa"/>
          <w:bottom w:w="0" w:type="dxa"/>
          <w:right w:w="0" w:type="dxa"/>
        </w:tblCellMar>
      </w:tblPr>
      <w:tr>
        <w:trPr>
          <w:trHeight w:val="192"/>
        </w:trPr>
        <w:tc>
          <w:tcPr>
            <w:tcW w:w="45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Recurring dividends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13,915</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Dividend equivalents (2)</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13,864</w:t>
            </w:r>
          </w:p>
        </w:tc>
      </w:tr>
      <w:tr>
        <w:trPr>
          <w:trHeight w:val="27"/>
        </w:trPr>
        <w:tc>
          <w:tcPr>
            <w:tcW w:w="4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distributions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27,779</w:t>
            </w:r>
          </w:p>
        </w:tc>
      </w:tr>
      <w:tr>
        <w:trPr>
          <w:trHeight w:val="20"/>
        </w:trPr>
        <w:tc>
          <w:tcPr>
            <w:tcW w:w="4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Amounts represent recurring dividends of $0.11 per share and $0.10 per share that were declared and paid during fiscal 2015 and fiscal 2014, respectively.</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special dividends declared and paid.</w:t>
      </w:r>
    </w:p>
    <w:p>
      <w:pPr>
        <w:spacing w:after="0" w:line="319" w:lineRule="exact"/>
        <w:rPr>
          <w:sz w:val="20"/>
          <w:szCs w:val="20"/>
          <w:color w:val="auto"/>
        </w:rPr>
      </w:pPr>
    </w:p>
    <w:p>
      <w:pPr>
        <w:ind w:firstLine="648"/>
        <w:spacing w:after="0" w:line="323" w:lineRule="auto"/>
        <w:rPr>
          <w:sz w:val="20"/>
          <w:szCs w:val="20"/>
          <w:color w:val="auto"/>
        </w:rPr>
      </w:pPr>
      <w:r>
        <w:rPr>
          <w:rFonts w:ascii="Arial" w:cs="Arial" w:eastAsia="Arial" w:hAnsi="Arial"/>
          <w:sz w:val="17"/>
          <w:szCs w:val="17"/>
          <w:color w:val="auto"/>
        </w:rPr>
        <w:t>On July 30, 2014, we announced a regular quarterly cash dividend in the amount of $0.11 per share and a special cash dividend of $1.00 per share, each payable on August 29, 2014 to shareholders of record on August 11, 2014. The Board of Directors, acting as the Administrator of the Officers' Rollover Stock Plan and the EIP made a determination to adjust the outstanding Rollover and EIP options for the special dividend to prevent the dilution of the options. The adjustment is in the form of a $1.00 dividend equivalent. Holders of the Rollover Options will receive a cash payment equal to the amount of the special dividend on the exercise of the option during the options' mandatory exercise period. Holders of EIP options will receive a cash payment equal to the amount of the special dividend payable on August 29, 2014 or the vesting of the EIP option, whichever is later.</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985" w:right="239" w:bottom="1440" w:gutter="0" w:footer="0" w:header="0"/>
        </w:sectPr>
      </w:pPr>
    </w:p>
    <w:bookmarkStart w:id="27" w:name="page28"/>
    <w:bookmarkEnd w:id="27"/>
    <w:p>
      <w:pPr>
        <w:ind w:firstLine="405"/>
        <w:spacing w:after="0" w:line="271" w:lineRule="auto"/>
        <w:rPr>
          <w:sz w:val="20"/>
          <w:szCs w:val="20"/>
          <w:color w:val="auto"/>
        </w:rPr>
      </w:pPr>
      <w:r>
        <w:rPr>
          <w:rFonts w:ascii="Arial" w:cs="Arial" w:eastAsia="Arial" w:hAnsi="Arial"/>
          <w:sz w:val="17"/>
          <w:szCs w:val="17"/>
          <w:color w:val="auto"/>
        </w:rPr>
        <w:t>For each special dividend declared, the Board of Directors, acting as the Administrator of the Officers' Rollover Stock Plan and the Equity Incentive Plan, as amended, is required to make a determination under the respective plan's antidilution provision to adjust the outstanding options. In the event the Board of Directors elects to grant option holders a cash payment equal to the amount of the special dividend, the Company accrues a stock-based compensation liability as the respective option's stock compensation expense is recorded in the statement of operations. This obligation will be settled on the options' mandatory exercise date for Rollover options and on the later of the date the dividend is paid or vesting for the EIP options. The stock-based compensation liability as of June 30, 2014 includes all special dividends declared through June 30, 2014. As of June 30, 2014 and March 31, 2014, the Company calculated a total recorded and unrecorded stock-based compensation liability of $70.3 million and $73.1 million, respectively, related to the special dividends paid in July 2009, December 2009, June 2012, August 2012, November 2013, and February 2014.</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111"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cost-plus-award-fee contracts. The total amount of our accounts receivable can vary significantly over time, but is generally sensitive to revenue levels. Total accounts receivable (billed and unbilled combined, net of allowance for doubtful accounts) days sales outstanding or DSO, which we calculate by dividing total accounts receivable by revenue per day during the relevant fiscal quarter, was 63 as of June 30, 2014 and 60 as of March 31, 2014.</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net cash flows for the periods presented:</w:t>
      </w:r>
    </w:p>
    <w:p>
      <w:pPr>
        <w:spacing w:after="0" w:line="163"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13335</wp:posOffset>
            </wp:positionV>
            <wp:extent cx="2470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87"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2013</w:t>
            </w:r>
          </w:p>
        </w:tc>
      </w:tr>
      <w:tr>
        <w:trPr>
          <w:trHeight w:val="244"/>
        </w:trPr>
        <w:tc>
          <w:tcPr>
            <w:tcW w:w="6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21"/>
                <w:szCs w:val="21"/>
                <w:color w:val="auto"/>
              </w:rPr>
            </w:pPr>
          </w:p>
        </w:tc>
        <w:tc>
          <w:tcPr>
            <w:tcW w:w="1400" w:type="dxa"/>
            <w:vAlign w:val="bottom"/>
          </w:tcPr>
          <w:p>
            <w:pPr>
              <w:jc w:val="right"/>
              <w:ind w:right="496"/>
              <w:spacing w:after="0"/>
              <w:rPr>
                <w:sz w:val="20"/>
                <w:szCs w:val="20"/>
                <w:color w:val="auto"/>
              </w:rPr>
            </w:pPr>
            <w:r>
              <w:rPr>
                <w:rFonts w:ascii="Arial" w:cs="Arial" w:eastAsia="Arial" w:hAnsi="Arial"/>
                <w:sz w:val="14"/>
                <w:szCs w:val="14"/>
                <w:b w:val="1"/>
                <w:bCs w:val="1"/>
                <w:color w:val="auto"/>
              </w:rPr>
              <w:t>(Unaudited)</w:t>
            </w:r>
          </w:p>
        </w:tc>
      </w:tr>
      <w:tr>
        <w:trPr>
          <w:trHeight w:val="209"/>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8"/>
                <w:szCs w:val="18"/>
                <w:color w:val="auto"/>
              </w:rPr>
            </w:pPr>
          </w:p>
        </w:tc>
      </w:tr>
      <w:tr>
        <w:trPr>
          <w:trHeight w:val="25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91,726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73,847</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(2,652)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(2,430)</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(36,442)</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Total increase in cash and cash equivalents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59,454</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34,975</w:t>
            </w:r>
          </w:p>
        </w:tc>
      </w:tr>
      <w:tr>
        <w:trPr>
          <w:trHeight w:val="27"/>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Operating Activities</w:t>
      </w:r>
    </w:p>
    <w:p>
      <w:pPr>
        <w:spacing w:after="0" w:line="90"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Net cash from operations is primarily affected by the overall profitability of our contracts, our ability to invoice and collect from clients in a timely manner, and our ability to manage our vendor payments. Net cash provided by operations was $91.7 million in the three months ended June 30, 2014 compared to $73.8 million in the same prior year period, or a 24.2% increase. The increase in net cash provided by operations was primarily due to a reduction in accrued compensation for bonuses in fiscal 2015 as compared to fiscal 2014 as well an increase in the change in the income taxes payable and accrued interest payable in the three months ended June 30, 2014 compared to the prior year period due to the timing of the estimated tax payment and required debt interest payment, respectively. This was partially offset by increased payments in accounts payable as well as a decline in certain provisions for the potential recovery of allowable expenses recorded during the three months ended June 30, 2014 in comparison to the three months ended June 30,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46" w:right="259" w:bottom="1440" w:gutter="0" w:footer="0" w:header="0"/>
        </w:sectPr>
      </w:pPr>
    </w:p>
    <w:bookmarkStart w:id="28" w:name="page29"/>
    <w:bookmarkEnd w:id="28"/>
    <w:p>
      <w:pPr>
        <w:ind w:left="260"/>
        <w:spacing w:after="0"/>
        <w:rPr>
          <w:sz w:val="20"/>
          <w:szCs w:val="20"/>
          <w:color w:val="auto"/>
        </w:rPr>
      </w:pPr>
      <w:r>
        <w:rPr>
          <w:rFonts w:ascii="Arial" w:cs="Arial" w:eastAsia="Arial" w:hAnsi="Arial"/>
          <w:sz w:val="18"/>
          <w:szCs w:val="18"/>
          <w:i w:val="1"/>
          <w:iCs w:val="1"/>
          <w:color w:val="auto"/>
        </w:rPr>
        <w:t>Net Cash from Investing Activities</w:t>
      </w:r>
    </w:p>
    <w:p>
      <w:pPr>
        <w:spacing w:after="0" w:line="11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Net cash used in investing activities was $2.7 million in the three months ended June 30, 2014 compared to $2.4 million in the same prior year period, or a 9.1% increase. The increase in net cash used in investing activities was due to an increase in capital expenditures.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Financing Activities</w:t>
      </w:r>
    </w:p>
    <w:p>
      <w:pPr>
        <w:spacing w:after="0" w:line="117" w:lineRule="exact"/>
        <w:rPr>
          <w:sz w:val="20"/>
          <w:szCs w:val="20"/>
          <w:color w:val="auto"/>
        </w:rPr>
      </w:pPr>
    </w:p>
    <w:p>
      <w:pPr>
        <w:ind w:right="400" w:firstLine="405"/>
        <w:spacing w:after="0" w:line="286" w:lineRule="auto"/>
        <w:rPr>
          <w:sz w:val="20"/>
          <w:szCs w:val="20"/>
          <w:color w:val="auto"/>
        </w:rPr>
      </w:pPr>
      <w:r>
        <w:rPr>
          <w:rFonts w:ascii="Arial" w:cs="Arial" w:eastAsia="Arial" w:hAnsi="Arial"/>
          <w:sz w:val="17"/>
          <w:szCs w:val="17"/>
          <w:color w:val="auto"/>
        </w:rPr>
        <w:t>Net cash used in financing activities was $29.6 million in the three months ended June 30, 2014 compared to $36.4 million in the same prior year period, or an 18.7% decrease. The decrease in net cash used in financing activities was primarily due to a decrease in dividend equivalents paid to option holders, partially offset by costs associated with the Second Amendment to the Credit Agreement consummated on May 7,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9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debt totaled $1,655.1 million and $1,658.9 million as of June 30, 2014 and March 31, 2014, respectively. The interest rate in effect for Term Loan A was 2.65% and for Term Loan B was 3.75% as of June 30, 2014, and 2.65% for Term Loan A and 3.75% for Term Loan B as of March 31, 2014. As of June 30, 2014 and March 31, 2014, there were no amounts outstanding under our revolving credit facility of $500.0 million. As of June 30, 2014 and March 31, 2014, the Company was in compliance with all of the Credit Agreement's debt covenants.</w:t>
      </w:r>
    </w:p>
    <w:p>
      <w:pPr>
        <w:spacing w:after="0" w:line="187"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On May 7, 2014 the Company entered into the Second Amendment to the Credit Agreement, dated as of July 31, 2012 (as previously amended by the First Amendment to the Credit Agreement, dated as of August 16, 2013). As of June 30, 2014, the Credit Agreement provided the Company with an $830.0 million Term Loan A and an $841.2 million Term Loan B, and a $500.0 million revolving credit facility, with a sublimit for letters of credit of $100.0 million.</w:t>
      </w:r>
    </w:p>
    <w:p>
      <w:pPr>
        <w:spacing w:after="0" w:line="93"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Absent any prepayment accelerations of Debt Issuance Costs, or DIC, or the effect of changes in interest rates, the following table summarizes the estimated annual amortization expense of DIC using the effective interest rate method:</w:t>
      </w:r>
    </w:p>
    <w:p>
      <w:pPr>
        <w:spacing w:after="0" w:line="200" w:lineRule="exact"/>
        <w:rPr>
          <w:sz w:val="20"/>
          <w:szCs w:val="20"/>
          <w:color w:val="auto"/>
        </w:rPr>
      </w:pPr>
    </w:p>
    <w:p>
      <w:pPr>
        <w:spacing w:after="0" w:line="354"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1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DIC Amortization Expense</w:t>
            </w:r>
          </w:p>
        </w:tc>
        <w:tc>
          <w:tcPr>
            <w:tcW w:w="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50"/>
        </w:trPr>
        <w:tc>
          <w:tcPr>
            <w:tcW w:w="16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1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(in thousands)</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1600" w:type="dxa"/>
            <w:vAlign w:val="bottom"/>
          </w:tcPr>
          <w:p>
            <w:pPr>
              <w:ind w:left="20"/>
              <w:spacing w:after="0"/>
              <w:rPr>
                <w:sz w:val="20"/>
                <w:szCs w:val="20"/>
                <w:color w:val="auto"/>
              </w:rPr>
            </w:pPr>
            <w:r>
              <w:rPr>
                <w:rFonts w:ascii="Arial" w:cs="Arial" w:eastAsia="Arial" w:hAnsi="Arial"/>
                <w:sz w:val="18"/>
                <w:szCs w:val="18"/>
                <w:color w:val="auto"/>
              </w:rPr>
              <w:t>Term Loan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7,348</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1,335</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1,733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1,622</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1,463</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87</w:t>
            </w:r>
          </w:p>
        </w:tc>
      </w:tr>
      <w:tr>
        <w:trPr>
          <w:trHeight w:val="27"/>
        </w:trPr>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B</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624</w:t>
            </w:r>
          </w:p>
        </w:tc>
      </w:tr>
      <w:tr>
        <w:trPr>
          <w:trHeight w:val="243"/>
        </w:trPr>
        <w:tc>
          <w:tcPr>
            <w:tcW w:w="1600" w:type="dxa"/>
            <w:vAlign w:val="bottom"/>
          </w:tcPr>
          <w:p>
            <w:pPr>
              <w:ind w:left="20"/>
              <w:spacing w:after="0"/>
              <w:rPr>
                <w:sz w:val="20"/>
                <w:szCs w:val="20"/>
                <w:color w:val="auto"/>
              </w:rPr>
            </w:pPr>
            <w:r>
              <w:rPr>
                <w:rFonts w:ascii="Arial" w:cs="Arial" w:eastAsia="Arial" w:hAnsi="Arial"/>
                <w:sz w:val="18"/>
                <w:szCs w:val="18"/>
                <w:color w:val="auto"/>
              </w:rPr>
              <w:t>Revolver</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9,118</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1,391</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1,858</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1,853</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1,853</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1,853</w:t>
            </w:r>
          </w:p>
        </w:tc>
        <w:tc>
          <w:tcPr>
            <w:tcW w:w="2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310</w:t>
            </w:r>
          </w:p>
        </w:tc>
      </w:tr>
      <w:tr>
        <w:trPr>
          <w:trHeight w:val="27"/>
        </w:trPr>
        <w:tc>
          <w:tcPr>
            <w:tcW w:w="1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1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25,125</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1,021</w:t>
            </w:r>
          </w:p>
        </w:tc>
      </w:tr>
      <w:tr>
        <w:trPr>
          <w:trHeight w:val="20"/>
        </w:trPr>
        <w:tc>
          <w:tcPr>
            <w:tcW w:w="1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firstLine="405"/>
        <w:spacing w:after="0" w:line="257"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Term Loan A, with annual incremental increases to 1.875%, 2.50%, 3.125%, and 13.0%, prior to Term Loan A's maturity date of May 31, 2019. As a result of paying approximately $168.4 million of Term Loan B principal during the May 7, 2014 Second Amendment, no additional principal payments are required until the remaining balance is due on Term Loan B's maturity date of July 31, 2019. The revolving credit facility matures on May 31, 2019, at which time any outstanding principal balance is due in full.</w:t>
      </w:r>
    </w:p>
    <w:p>
      <w:pPr>
        <w:spacing w:after="0" w:line="188" w:lineRule="exact"/>
        <w:rPr>
          <w:sz w:val="20"/>
          <w:szCs w:val="20"/>
          <w:color w:val="auto"/>
        </w:rPr>
      </w:pPr>
    </w:p>
    <w:p>
      <w:pPr>
        <w:jc w:val="both"/>
        <w:ind w:right="220" w:firstLine="405"/>
        <w:spacing w:after="0" w:line="259" w:lineRule="auto"/>
        <w:rPr>
          <w:sz w:val="20"/>
          <w:szCs w:val="20"/>
          <w:color w:val="auto"/>
        </w:rPr>
      </w:pPr>
      <w:r>
        <w:rPr>
          <w:rFonts w:ascii="Arial" w:cs="Arial" w:eastAsia="Arial" w:hAnsi="Arial"/>
          <w:sz w:val="18"/>
          <w:szCs w:val="18"/>
          <w:color w:val="auto"/>
        </w:rPr>
        <w:t>The interest rate on borrowings under Term Loan A is LIBOR plus a 2.50% spread. The spread ranges from 2.00% to 2.75% based on the Company's total leverage ratio. The interest rate on borrowings under Term Loan B is LIBOR plus a 3.0% spread with a 0.75% floor. The spread ranges from 2.00% to 3.00% based upon either an ABR or LIBOR borrowing. The revolving credit facility margin and commitment fee are subject to the leveraged based pricing grid, as set forth in the Credit Agreement, as amended.</w:t>
      </w:r>
    </w:p>
    <w:p>
      <w:pPr>
        <w:spacing w:after="0" w:line="18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connection with the Second Amendment, the Company accelerated the amortization of ratable portions of the DIC and OID associated with the prior senior secured loan facilities of $1.2 million. These expenses are reflected in other expense, net for the three months ended June 30, 2014. Furthermore, the Company expensed third party debt issuance costs of $2.0 million that did not qualify for deferral and are reflected in general and administrative costs for the three months ended June 30, 2014.</w:t>
      </w:r>
    </w:p>
    <w:p>
      <w:pPr>
        <w:spacing w:after="0" w:line="18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loans under the Credit Agreement, as amended, are secured by substantially all of our assets and none of such assets will be available to satisfy the claims of our general creditors. The Credit Agreement, as amended, contains customary representations and warranties and customary affirmative and negative covenants. The negative covenants are limited to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38" w:right="239" w:bottom="1440" w:gutter="0" w:footer="0" w:header="0"/>
        </w:sectPr>
      </w:pPr>
    </w:p>
    <w:bookmarkStart w:id="29" w:name="page30"/>
    <w:bookmarkEnd w:id="29"/>
    <w:p>
      <w:pPr>
        <w:ind w:right="60"/>
        <w:spacing w:after="0" w:line="255" w:lineRule="auto"/>
        <w:rPr>
          <w:sz w:val="20"/>
          <w:szCs w:val="20"/>
          <w:color w:val="auto"/>
        </w:rPr>
      </w:pPr>
      <w:r>
        <w:rPr>
          <w:rFonts w:ascii="Arial" w:cs="Arial" w:eastAsia="Arial" w:hAnsi="Arial"/>
          <w:sz w:val="18"/>
          <w:szCs w:val="18"/>
          <w:color w:val="auto"/>
        </w:rPr>
        <w:t>following, in each case subject to certain exceptions: a maximum net total leverage ratio; a minimum net interest coverage ratio; limitations on indebtedness and liens; mergers, consolidations or amalgamations, or liquidations, wind-ups or dissolutions; dispositions of property; restricted payments; investments; transactions with affiliates; sale and lease back transactions; change in fiscal periods; negative pledges; restrictive agreements; limitations on line of business; limitations on speculative hedging and limitations on changes of names and jurisdictions. In addition, we are required to meet certain financial covenants at each quarter end, namely Consolidated Net Total Leverage and Consolidated Net Interest Coverage Ratios. As of June 30, 2014, we were compliant with these covenants.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9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stockholders’ equity amounted to $229.8 million as of June 30, 2014, an increase of $58.2 million compared to stockholders’ equity of $171.6 million as of March 31, 2014, primarily due to net income of $71.1 million in the three months ended June 30, 2014, stock option exercises, common stock issuances, and stock-based compensation expense of $6.1 million. These increases were partially offset by $16.0 million in recurring dividend payments and a $4.6 million increase in treasury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2014, we did not have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94"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the three months ended June 30, 2014 and 2013 were $2.7 million and $2.4 million, respectively, and the majority of such capital expenditures related to facilities infrastructure, equipment, and information technology.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16 to our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9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This Quarterly Report on Form 10-Q, or Quarterly Report, including information incorporated by reference into this Quarterly Report, contains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w:t>
      </w:r>
    </w:p>
    <w:p>
      <w:pPr>
        <w:spacing w:after="0" w:line="138"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These risks and other factors include: cost cutting and efficiency initiatives, budget reductions, Congressionally mandated automatic spending cuts, and other efforts to reduce U.S. government spending, including automatic sequestration required by the Budget Control Act of 2011 (as amended by the American Taxpayer Relief Act of 2012 and the Consolidated Appropriations Act, 2014), which have reduced and delayed contract awards and funding for orders for services especially in the current political environment or otherwise negatively affect our ability to generate revenue under contract awards, including as a result of reduced staffing and hours of operation at U.S. government clients; delayed funding of our contracts due to uncertainty relating to and a possible failure of Congressional efforts to craft a long-term agreement on the U.S. government’s ability to incur indebtedness in excess of its current limits, or changes in the pattern or timing of government funding and spending (including those resulting from or related to cuts associated with sequestration or other budgetary cuts made in lieu of sequestration); current and continued uncertainty around the timing, extent, nature, and effect of ongoing Congressional and other U.S. government action to address budgetary constraints, including, but not limited to, uncertainty around the outcome of Congressional efforts to craft a long-term agreement on the U.S. government’s ability to incur indebtedness in excess of its current limits, and the U.S. deficit; any issue that compromises our relationships with the U.S. government or damages our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30" w:right="239" w:bottom="1440" w:gutter="0" w:footer="0" w:header="0"/>
        </w:sectPr>
      </w:pPr>
    </w:p>
    <w:bookmarkStart w:id="30" w:name="page31"/>
    <w:bookmarkEnd w:id="30"/>
    <w:p>
      <w:pPr>
        <w:spacing w:after="0" w:line="284" w:lineRule="auto"/>
        <w:rPr>
          <w:sz w:val="20"/>
          <w:szCs w:val="20"/>
          <w:color w:val="auto"/>
        </w:rPr>
      </w:pPr>
      <w:r>
        <w:rPr>
          <w:rFonts w:ascii="Arial" w:cs="Arial" w:eastAsia="Arial" w:hAnsi="Arial"/>
          <w:sz w:val="16"/>
          <w:szCs w:val="16"/>
          <w:color w:val="auto"/>
        </w:rPr>
        <w:t>professional reputation, including negative publicity concerning government contractors in general or us in particular; changes in U.S. government spending, including a continuation of efforts by the U.S. government to decrease spending for management support service contracts, and mission priorities that shift expenditures away from agencies or programs that we support; the size of our addressable markets and the amount of U.S. government spending on private contractors; failure to comply with numerous laws and regulations; our ability to compete effectively in the competitive bidding process and delays or losses of contract awards caused by competitors' protests of major contract awards received by us; the loss of General Services Administration Multiple Award schedule contracts, or GSA schedules, or our position as prime contractor on government-wide acquisition contract vehicles, or GWACs; changes in the mix of our contracts and our ability to accurately estimate or otherwise recover expenses, time, and resources for our contracts; our ability to generate revenue under certain of our contracts; our ability to realize the full value of and replenish our backlog and the timing of our receipt of revenue under contracts included in backlog; changes in estimates used in recognizing revenue; an inability to attract, train, or retain employees with the requisite skills, experience, and security clearances; an inability to hire, assimilate, and deploy enough employees to serve our clients under existing contracts; an inability to timely and effectively utilize our employees; failure by us or our employees to obtain and maintain necessary security clearances; the loss of members of senior management or failure to develop new leaders; misconduct or other improper activities from our employees or subcontractors, including the improper use or release of our clients' sensitive or classified information; increased insourcing by various U.S. government agencies due to changes in the definition of “inherently governmental” work, including proposals to limit contractor access to sensitive or classified information and work assignments; increased competition from other companies in our industry; failure to maintain strong relationships with other contractors; 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 continued efforts to change how the U.S. government reimburses compensation related and other expenses or otherwise limit such reimbursements, including recent rules that expand the scope of existing reimbursement limitations, such as a reduction in allowable annual employee compensation to certain contractors as a result of the Bipartisan Budget Act of 2013, and an increased risk of compensation being deemed unallowable or payments being withheld as a result of U.S. government audit, review or investigation; internal system or service failures and security breaches, including, but not limited to, those resulting from external cyber attacks on our network and internal systems; risks related to changes to our operating structure, capabilities, or strategy intended to address client needs, grow our business or respond to market developments; risks associated with new relationships, clients, capabilities, and service offerings in our U.S. and international businesses; failure to comply with special U.S. government laws and regulations relating to our international operations; risks related to our indebtedness and credit facilities which contain financial and operating covenants; the adoption by the U.S. government of new laws, rules, and regulations, such as those relating to organizational conflicts of interest issues or limits; risks related to completed and future acquisitions, including our ability to realize the expected benefits from such acquisitions; an inability to utilize existing or future tax benefits, including those related to our stock-based compensation expense, for any reason, including a change in law; variable purchasing patterns under U.S. government GSA schedules, blanket purchase agreements and indefinite delivery, indefinite quantity, or ID/IQ, contracts; and other risks and factors described in Part II, “Item 1A. Risk Factors” and elsewhere in this Quarterly Report.</w:t>
      </w:r>
    </w:p>
    <w:p>
      <w:pPr>
        <w:spacing w:after="0" w:line="331" w:lineRule="exact"/>
        <w:rPr>
          <w:sz w:val="20"/>
          <w:szCs w:val="20"/>
          <w:color w:val="auto"/>
        </w:rPr>
      </w:pPr>
    </w:p>
    <w:p>
      <w:pPr>
        <w:jc w:val="both"/>
        <w:ind w:right="80" w:firstLine="405"/>
        <w:spacing w:after="0" w:line="286" w:lineRule="auto"/>
        <w:rPr>
          <w:sz w:val="20"/>
          <w:szCs w:val="20"/>
          <w:color w:val="auto"/>
        </w:rPr>
      </w:pPr>
      <w:r>
        <w:rPr>
          <w:rFonts w:ascii="Arial" w:cs="Arial" w:eastAsia="Arial" w:hAnsi="Arial"/>
          <w:sz w:val="17"/>
          <w:szCs w:val="17"/>
          <w:color w:val="auto"/>
        </w:rPr>
        <w:t>In light of these risks, uncertainties and other factors, the forward-looking statements contained in this Quarterly Report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2014 filed with the Securities and Exchange Commission on May 22, 2014.</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2"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40"/>
          </w:cols>
          <w:pgMar w:left="240" w:top="769" w:right="61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On April 13, 2012, we entered into an Administrative Agreement with the U.S. Air Force, which lifted the proposed debarment of our San Antonio office and removed it from the U.S. government’s Excluded Parties List System. See our Form 10-K for the fiscal year ended March 31, 2012 for additional information.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 million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June 30, 2014 and March 31, 2014, there were no material amounts accrued in the condensed consolidated financial statements related to these proceedings.</w:t>
      </w:r>
    </w:p>
    <w:p>
      <w:pPr>
        <w:spacing w:after="0" w:line="131"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Six former officers and stockholders who had departed the firm prior to July 31, 2008, the date on which we became majority owned by The Carlyle Group and certain of its affiliated investment funds, as described in the Company’s Annual Report, or the Acquisition, have filed a total of nine suits in various jurisdictions, with original filing dates ranging from July 3, 2008 through December 15, 2009 (three of which were amended on July 2, 2010 and then further amended into one consolidated complaint on September 7, 2010), against us and certain of our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Three of these suits have been dismissed with all appeals exhausted. Five of the remaining suits are pending in the United States District Court for the Southern District of New York, and the sixth is pending in the United States District Court for the Southern District of California. The aggregate alleged damages sought in these six remaining suits is approximately $348.7 million ($291.5 million of which is sought to be trebled pursuant to RICO), plus punitive damages, costs, and fees.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26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risk factors disclosed in Part I, Item 1A, of our Annual Report on Form 10-K for the fiscal year ended March 31, 2014 filed with the Securities and Exchange Commission on May 22, 2014.</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26" w:right="2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60" w:type="dxa"/>
            <w:vAlign w:val="bottom"/>
          </w:tcPr>
          <w:p>
            <w:pPr>
              <w:spacing w:after="0"/>
              <w:rPr>
                <w:sz w:val="20"/>
                <w:szCs w:val="20"/>
                <w:color w:val="auto"/>
              </w:rPr>
            </w:pPr>
          </w:p>
        </w:tc>
        <w:tc>
          <w:tcPr>
            <w:tcW w:w="104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560" w:type="dxa"/>
            <w:vAlign w:val="bottom"/>
            <w:gridSpan w:val="3"/>
            <w:vMerge w:val="restart"/>
          </w:tcPr>
          <w:p>
            <w:pPr>
              <w:ind w:left="16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160" w:type="dxa"/>
            <w:vAlign w:val="bottom"/>
          </w:tcPr>
          <w:p>
            <w:pPr>
              <w:spacing w:after="0"/>
              <w:rPr>
                <w:sz w:val="11"/>
                <w:szCs w:val="11"/>
                <w:color w:val="auto"/>
              </w:rPr>
            </w:pPr>
          </w:p>
        </w:tc>
        <w:tc>
          <w:tcPr>
            <w:tcW w:w="10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as of May 15, 2008, by and among Booz Allen Hamilton Inc., Booz Allen Hamilton Holding Corporation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(formerly known as Explorer Holding Corporation), Booz Allen Hamilton Investor Corporation (formerly known as Explorer Investor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7"/>
              </w:rPr>
              <w:t>Corporation), Explorer Merger Sub Corporation and Booz &amp; Company Inc. (Incorporated by reference to Exhibit 2.1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333- 167645))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Spin Off Agreement, dated as of May 15, 2008, by and among Booz Allen Hamilton Inc., Booz &amp; Company Holdings, LLC, Booz &amp; Company</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Inc., Booz &amp; Company Intermediate I Inc. and Booz &amp; Company Intermediate II Inc. (Incorporated by reference to Exhibit 2.2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Amendment to the Agreement and Plan of Merger and the Spin Off Agreement, dated as of July 30, 2008, by and among Booz Allen Hamilton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Inc., Booz Allen Hamilton Investor Corporation (formerly known as Explorer Investor Corporation), Explorer Merger Sub Corporation, Booz &amp;</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 Holdings, LLC, Booz &amp; Company Inc., Booz &amp; Company Intermediate I Inc. and Booz &amp; Company Intermediate II Inc.</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2.3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Second Amended and Restated Certificate of Incorporation of Booz Allen Hamilton Holding Corporation (Incorporated by reference to Exhibit</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3.1 to the 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Second Amended and Restated Bylaws of Booz Allen Hamilton Holding Corporation (Incorporated by reference to Exhibit 3.2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Amended and Restated Stockholders Agreement of Booz Allen Hamilton Holding Corporation (Incorporated by reference to Exhibit 4.3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Irrevocable Proxy and Tag-Along Agreement (Incorporated by reference to Exhibit 4.4 to the Company’s Quarterly Report for the period ended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6"/>
              </w:rPr>
              <w:t>Form of Stock Certificate (Incorporated by reference to Exhibit 4.5 to the Company’s Registration Statement on Form S-1 (File No. 333-</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w w:val="88"/>
              </w:rPr>
              <w:t>167645))</w:t>
            </w:r>
          </w:p>
        </w:tc>
        <w:tc>
          <w:tcPr>
            <w:tcW w:w="9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Management Agreement, by and among Booz Allen Hamilton Holding Corporation (formerly known as Explorer Holding Corporation), Booz</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8"/>
              </w:rPr>
              <w:t>Allen Hamilton Inc., and TC Group V US, LLC, dated as of July 31, 2008 (Incorporated by reference to Exhibit 10.6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4"/>
              </w:rPr>
              <w:t>Amended and Restated Equity Incentive Plan of Booz Allen Hamilton Holding Corporation (Incorporated by reference to Exhibit 10.7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Booz Allen Hamilton Holding Corporation Officers’ Rollover Stock Plan (Incorporated by reference to Exhibit 10.8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8"/>
              </w:rPr>
              <w:t>Form of Booz Allen Hamilton Holding Corporation Rollover Stock Option Agreement (Incorporated by reference to Exhibit 10.9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10.10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10.11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Form of Subscription Agreement (Incorporated by reference to Exhibit 10.12 to the Company’s Registration Statement on Form S-1 (File No.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Restricted Stock Agreement for Directors under the Equity Incentive Plan of Booz Allen Hamilton Holding Corporation (Incorporated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by reference to Exhibit 10.13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Form of Restricted Stock Agreement for Employees under the Equity Incentive Plan of Booz Allen Hamilton Holding Corporation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10.14 to the Company’s Registration Statement on Form S-1 (File No. 333-167645))</w:t>
            </w:r>
          </w:p>
        </w:tc>
        <w:tc>
          <w:tcPr>
            <w:tcW w:w="0" w:type="dxa"/>
            <w:vAlign w:val="bottom"/>
          </w:tcPr>
          <w:p>
            <w:pPr>
              <w:spacing w:after="0"/>
              <w:rPr>
                <w:sz w:val="1"/>
                <w:szCs w:val="1"/>
                <w:color w:val="auto"/>
              </w:rPr>
            </w:pPr>
          </w:p>
        </w:tc>
      </w:tr>
      <w:tr>
        <w:trPr>
          <w:trHeight w:val="608"/>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560" w:type="dxa"/>
            <w:vAlign w:val="bottom"/>
            <w:gridSpan w:val="3"/>
          </w:tcPr>
          <w:p>
            <w:pPr>
              <w:ind w:left="48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ectPr>
          <w:pgSz w:w="11900" w:h="16838" w:orient="portrait"/>
          <w:cols w:equalWidth="0" w:num="1">
            <w:col w:w="11360"/>
          </w:cols>
          <w:pgMar w:left="240" w:top="526" w:right="29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10.10</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Booz Allen Hamilton Holding Corporation Annual Incentive Plan (Incorporated by reference to Exhibit 10.15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10.11</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Booz Allen Hamilton Holding Corporation Officers’ Retirement Plan (Incorporated by reference to Exhibit 10.16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10.12</w:t>
            </w:r>
          </w:p>
        </w:tc>
        <w:tc>
          <w:tcPr>
            <w:tcW w:w="10680" w:type="dxa"/>
            <w:vAlign w:val="bottom"/>
          </w:tcPr>
          <w:p>
            <w:pPr>
              <w:ind w:left="260"/>
              <w:spacing w:after="0"/>
              <w:rPr>
                <w:sz w:val="20"/>
                <w:szCs w:val="20"/>
                <w:color w:val="auto"/>
              </w:rPr>
            </w:pPr>
            <w:r>
              <w:rPr>
                <w:rFonts w:ascii="Arial" w:cs="Arial" w:eastAsia="Arial" w:hAnsi="Arial"/>
                <w:sz w:val="18"/>
                <w:szCs w:val="18"/>
                <w:color w:val="auto"/>
                <w:w w:val="98"/>
              </w:rPr>
              <w:t>Officer’s Comprehensive Medical and Dental Choice Plans (Incorporated by reference to Exhibit 10.17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10.13</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Retired Officer’s Comprehensive Medical and Dental Choice Plans (Incorporated by reference to Exhibit 10.18 to the Company’s Registration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10.14</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Excess ECAP Payment Program (Incorporated by reference to Exhibit 10.19 to the Company’s Registration Statement on Form S-1 (File No.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10.15</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Group Variable Universal Life Insurance (Incorporated by reference to Exhibit 10.20 to the Company’s Registration Statement on Form S-1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10.16</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Group Personal Excess Liability Insurance (Incorporated by reference to Exhibit 10.21 to the Company’s Registration Statement on Form S-1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10.17</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Annual Performance Bonus Program (Incorporated by reference to Exhibit 10.22 to the Company’s Registration Statement on Form S-1 (File</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No. 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10.18</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Form of Booz Allen Hamilton Holding Corporation Director and Officer Indemnification Agreement (Incorporated by reference to Exhibit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10.23 to the Company’s Registration Statement on Form S-1 (File No. 333-167645))</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10.19</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10.23 to the Company’s Annual Report for the year ended March 31, 2011 on Form 10-K (File No. 001-34972))</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10.20</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Officer Transition Policy (Incorporated by reference to Exhibit 10.24 to the Company’s Annual Report for the year ended March 31, 2011 on</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Form 10-K (File No. 001-34972))</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10.21</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10.25 to the Company’s Quarterly Report for the period ended December 31, 2011 on Form 10-Q (File No. 001-34972))</w:t>
            </w:r>
          </w:p>
        </w:tc>
        <w:tc>
          <w:tcPr>
            <w:tcW w:w="0" w:type="dxa"/>
            <w:vAlign w:val="bottom"/>
          </w:tcPr>
          <w:p>
            <w:pPr>
              <w:spacing w:after="0"/>
              <w:rPr>
                <w:sz w:val="1"/>
                <w:szCs w:val="1"/>
                <w:color w:val="auto"/>
              </w:rPr>
            </w:pPr>
          </w:p>
        </w:tc>
      </w:tr>
      <w:tr>
        <w:trPr>
          <w:trHeight w:val="392"/>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10.22</w:t>
            </w:r>
          </w:p>
        </w:tc>
        <w:tc>
          <w:tcPr>
            <w:tcW w:w="10680" w:type="dxa"/>
            <w:vAlign w:val="bottom"/>
            <w:vMerge w:val="restart"/>
          </w:tcPr>
          <w:p>
            <w:pPr>
              <w:ind w:left="260"/>
              <w:spacing w:after="0"/>
              <w:rPr>
                <w:sz w:val="20"/>
                <w:szCs w:val="20"/>
                <w:color w:val="auto"/>
              </w:rPr>
            </w:pPr>
            <w:r>
              <w:rPr>
                <w:rFonts w:ascii="Arial" w:cs="Arial" w:eastAsia="Arial" w:hAnsi="Arial"/>
                <w:sz w:val="18"/>
                <w:szCs w:val="18"/>
                <w:color w:val="auto"/>
                <w:w w:val="94"/>
              </w:rPr>
              <w:t>Administrative Agreement, dated as of April 13, 2012, between Booz Allen Hamilton Inc. and the United States Department of the Air Force</w:t>
            </w: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10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(Incorporated by reference to Exhibit 10.1 to the Company’s Periodic Report on Form 8-K filed on April 13, 2012 (File No. 001-34972))</w:t>
            </w:r>
          </w:p>
        </w:tc>
        <w:tc>
          <w:tcPr>
            <w:tcW w:w="0" w:type="dxa"/>
            <w:vAlign w:val="bottom"/>
          </w:tcPr>
          <w:p>
            <w:pPr>
              <w:spacing w:after="0"/>
              <w:rPr>
                <w:sz w:val="1"/>
                <w:szCs w:val="1"/>
                <w:color w:val="auto"/>
              </w:rPr>
            </w:pPr>
          </w:p>
        </w:tc>
      </w:tr>
      <w:tr>
        <w:trPr>
          <w:trHeight w:val="458"/>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10.23</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Amendment No. 1 to the Amended and Restated Stockholders Agreement (Incorporated by reference to Exhibit 10.1 to the Company's Periodic</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Report on Form 8-K filed on June 14, 2012 (File No. 001-34972))</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10.24</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Credit Agreement, by and among Booz Allen Hamilton Inc., as the Borrower, the several lenders from time to time parties thereto, Bank of</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America, N.A., as Administrative Agent, Collateral Agent and Issuing Lender, Merrill Lynch, Pierce, Fenner &amp; Smith Incorporated and Credit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Suisse Securities (USA) LLC, as Joint Lead Arrangers, Merrill Lynch, Pierce, Fenner &amp; Smith Incorporated, Credit Suisse Securities (USA)</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LLC, Barclays Bank PLC, Citigroup Global Markets Inc., HSBC Securities (USA) Inc., J.P. Morgan Securities LLC, Morgan Stanley Senior</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Funding, Inc. and Sumimoto Mitsui Banking Corporation, as Joint Bookrunners, Credit Suisse Securities (USA) LLC, as Syndication Agent,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Barclays Bank PLC, Citigroup Global Markets Inc., HSBC Securities (USA) Inc., J.P. Morgan Securities LLC, Morgan Stanley Senior Funding,</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Inc., Sumimoto Mitsui Banking Corporation and The Bank of Tokyo-Mitsubishi UFJ, Ltd., as Co-Documentation Agents, dated as of July 31,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2012 (Incorporated by reference to Exhibit 10.1 to the Company’s Periodic Report on Form 8-K filed on August 1, 2012 (File No. 001-34972))</w:t>
            </w:r>
          </w:p>
        </w:tc>
        <w:tc>
          <w:tcPr>
            <w:tcW w:w="0" w:type="dxa"/>
            <w:vAlign w:val="bottom"/>
          </w:tcPr>
          <w:p>
            <w:pPr>
              <w:spacing w:after="0"/>
              <w:rPr>
                <w:sz w:val="1"/>
                <w:szCs w:val="1"/>
                <w:color w:val="auto"/>
              </w:rPr>
            </w:pPr>
          </w:p>
        </w:tc>
      </w:tr>
      <w:tr>
        <w:trPr>
          <w:trHeight w:val="377"/>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10.25</w:t>
            </w:r>
          </w:p>
        </w:tc>
        <w:tc>
          <w:tcPr>
            <w:tcW w:w="10680" w:type="dxa"/>
            <w:vAlign w:val="bottom"/>
          </w:tcPr>
          <w:p>
            <w:pPr>
              <w:ind w:left="260"/>
              <w:spacing w:after="0"/>
              <w:rPr>
                <w:sz w:val="20"/>
                <w:szCs w:val="20"/>
                <w:color w:val="auto"/>
              </w:rPr>
            </w:pPr>
            <w:r>
              <w:rPr>
                <w:rFonts w:ascii="Arial" w:cs="Arial" w:eastAsia="Arial" w:hAnsi="Arial"/>
                <w:sz w:val="18"/>
                <w:szCs w:val="18"/>
                <w:color w:val="auto"/>
                <w:w w:val="98"/>
              </w:rPr>
              <w:t>Guarantee and Collateral Agreement, among Booz Allen Hamilton Investor Corporation, Booz Allen Hamilton Inc., and the Subsidiary</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Guarantors party thereto, in favor of Bank of America, N.A., as Collateral Agent, dated as of July 31, 2012 (Incorporated by reference to Exhibit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10.2 to the Company’s Periodic Report on Form 8-K filed on August 1, 2012 (File No. 001-34972))</w:t>
            </w:r>
          </w:p>
        </w:tc>
        <w:tc>
          <w:tcPr>
            <w:tcW w:w="0" w:type="dxa"/>
            <w:vAlign w:val="bottom"/>
          </w:tcPr>
          <w:p>
            <w:pPr>
              <w:spacing w:after="0"/>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10.26</w:t>
            </w:r>
          </w:p>
        </w:tc>
        <w:tc>
          <w:tcPr>
            <w:tcW w:w="10560" w:type="dxa"/>
            <w:vAlign w:val="bottom"/>
            <w:vMerge w:val="restart"/>
          </w:tcPr>
          <w:p>
            <w:pPr>
              <w:ind w:left="260"/>
              <w:spacing w:after="0"/>
              <w:rPr>
                <w:sz w:val="20"/>
                <w:szCs w:val="20"/>
                <w:color w:val="auto"/>
              </w:rPr>
            </w:pPr>
            <w:r>
              <w:rPr>
                <w:rFonts w:ascii="Arial" w:cs="Arial" w:eastAsia="Arial" w:hAnsi="Arial"/>
                <w:sz w:val="18"/>
                <w:szCs w:val="18"/>
                <w:color w:val="auto"/>
                <w:w w:val="96"/>
              </w:rPr>
              <w:t>First Amendment to Credit Agreement, dated as of August 16, 2013, by and among Booz Allen Hamilton Inc., as Borrower, Booz Allen</w:t>
            </w: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10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4"/>
              </w:rPr>
              <w:t>Hamilton Investor Corporation, Booz Allen Hamilton Engineering Holding Co., LLC, Booz Allen Hamilton Engineering Services, LLC, SDI</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4"/>
              </w:rPr>
              <w:t>Technology Corporation, ASE, Inc. and , Booz Allen Hamilton International, Inc., as Guarantors, Bank of America, N.A., as Administrative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1"/>
              </w:rPr>
              <w:t>Agent, Collateral Agent and New Refinancing Tranche B Term Lender, and the other Lenders and financial institutions from time to time party</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4"/>
              </w:rPr>
              <w:t>thereto (Incorporated by reference to Exhibit 10.1 to the Company’s Periodic Report on Form 8-K filed on August 20, 2013 (File No. 001-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80" w:top="692" w:right="279"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340"/>
          </w:cols>
          <w:pgMar w:left="280" w:top="692" w:right="279" w:bottom="1440" w:gutter="0" w:footer="0" w:header="0"/>
          <w:type w:val="continuous"/>
        </w:sectPr>
      </w:pPr>
    </w:p>
    <w:bookmarkStart w:id="35" w:name="page36"/>
    <w:bookmarkEnd w:id="35"/>
    <w:tbl>
      <w:tblPr>
        <w:tblLayout w:type="fixed"/>
        <w:tblInd w:w="4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10.27</w:t>
            </w:r>
          </w:p>
        </w:tc>
        <w:tc>
          <w:tcPr>
            <w:tcW w:w="10660" w:type="dxa"/>
            <w:vAlign w:val="bottom"/>
          </w:tcPr>
          <w:p>
            <w:pPr>
              <w:ind w:left="260"/>
              <w:spacing w:after="0"/>
              <w:rPr>
                <w:sz w:val="20"/>
                <w:szCs w:val="20"/>
                <w:color w:val="auto"/>
              </w:rPr>
            </w:pPr>
            <w:r>
              <w:rPr>
                <w:rFonts w:ascii="Arial" w:cs="Arial" w:eastAsia="Arial" w:hAnsi="Arial"/>
                <w:sz w:val="18"/>
                <w:szCs w:val="18"/>
                <w:color w:val="auto"/>
                <w:w w:val="93"/>
              </w:rPr>
              <w:t>Form of Employment Agreement (Incorporated by reference to Exhibit 10.27 to the Company’s Annual Report for the year ended March 31,</w:t>
            </w: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2014 on Form 10-K (File No. 001-34972))</w:t>
            </w:r>
          </w:p>
        </w:tc>
      </w:tr>
      <w:tr>
        <w:trPr>
          <w:trHeight w:val="593"/>
        </w:trPr>
        <w:tc>
          <w:tcPr>
            <w:tcW w:w="660" w:type="dxa"/>
            <w:vAlign w:val="bottom"/>
          </w:tcPr>
          <w:p>
            <w:pPr>
              <w:spacing w:after="0"/>
              <w:rPr>
                <w:sz w:val="20"/>
                <w:szCs w:val="20"/>
                <w:color w:val="auto"/>
              </w:rPr>
            </w:pPr>
            <w:r>
              <w:rPr>
                <w:rFonts w:ascii="Arial" w:cs="Arial" w:eastAsia="Arial" w:hAnsi="Arial"/>
                <w:sz w:val="18"/>
                <w:szCs w:val="18"/>
                <w:color w:val="auto"/>
              </w:rPr>
              <w:t>10.28</w:t>
            </w:r>
          </w:p>
        </w:tc>
        <w:tc>
          <w:tcPr>
            <w:tcW w:w="10660" w:type="dxa"/>
            <w:vAlign w:val="bottom"/>
          </w:tcPr>
          <w:p>
            <w:pPr>
              <w:ind w:left="260"/>
              <w:spacing w:after="0"/>
              <w:rPr>
                <w:sz w:val="20"/>
                <w:szCs w:val="20"/>
                <w:color w:val="auto"/>
              </w:rPr>
            </w:pPr>
            <w:r>
              <w:rPr>
                <w:rFonts w:ascii="Arial" w:cs="Arial" w:eastAsia="Arial" w:hAnsi="Arial"/>
                <w:sz w:val="18"/>
                <w:szCs w:val="18"/>
                <w:color w:val="auto"/>
                <w:w w:val="95"/>
              </w:rPr>
              <w:t>Form of Restricted Stock Agreement under the Amended and Restated Equity Incentive Plan of Booz Allen Hamilton Holding Corporation</w:t>
            </w:r>
          </w:p>
        </w:tc>
      </w:tr>
      <w:tr>
        <w:trPr>
          <w:trHeight w:val="216"/>
        </w:trPr>
        <w:tc>
          <w:tcPr>
            <w:tcW w:w="6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2"/>
              </w:rPr>
              <w:t>(Incorporated by reference to Exhibit 10.28 to the Company’s Annual Report for the year ended March 31, 2014 on Form 10-K (File No. 001-</w:t>
            </w: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34972))</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10.29</w:t>
            </w:r>
          </w:p>
        </w:tc>
        <w:tc>
          <w:tcPr>
            <w:tcW w:w="10660" w:type="dxa"/>
            <w:vAlign w:val="bottom"/>
          </w:tcPr>
          <w:p>
            <w:pPr>
              <w:ind w:left="260"/>
              <w:spacing w:after="0"/>
              <w:rPr>
                <w:sz w:val="20"/>
                <w:szCs w:val="20"/>
                <w:color w:val="auto"/>
              </w:rPr>
            </w:pPr>
            <w:r>
              <w:rPr>
                <w:rFonts w:ascii="Arial" w:cs="Arial" w:eastAsia="Arial" w:hAnsi="Arial"/>
                <w:sz w:val="18"/>
                <w:szCs w:val="18"/>
                <w:color w:val="auto"/>
                <w:w w:val="96"/>
              </w:rPr>
              <w:t>Form of Restricted Stock Unit Agreement under the Equity Incentive Plan of Booz Allen Hamilton Holding Corporation (Incorporated by</w:t>
            </w: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9"/>
              </w:rPr>
              <w:t>reference to Exhibit 10.29 to the Company’s Annual Report for the year ended March 31, 2014 on Form 10-K (File No. 001-34972))</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10.30</w:t>
            </w:r>
          </w:p>
        </w:tc>
        <w:tc>
          <w:tcPr>
            <w:tcW w:w="10660" w:type="dxa"/>
            <w:vAlign w:val="bottom"/>
          </w:tcPr>
          <w:p>
            <w:pPr>
              <w:ind w:left="260"/>
              <w:spacing w:after="0"/>
              <w:rPr>
                <w:sz w:val="20"/>
                <w:szCs w:val="20"/>
                <w:color w:val="auto"/>
              </w:rPr>
            </w:pPr>
            <w:r>
              <w:rPr>
                <w:rFonts w:ascii="Arial" w:cs="Arial" w:eastAsia="Arial" w:hAnsi="Arial"/>
                <w:sz w:val="18"/>
                <w:szCs w:val="18"/>
                <w:color w:val="auto"/>
                <w:w w:val="96"/>
              </w:rPr>
              <w:t>Second Amendment to Credit Agreement, dated as of May 7, 2014, among Booz Allen Hamilton Inc., as Borrower, Booz Allen Hamilton</w:t>
            </w:r>
          </w:p>
        </w:tc>
      </w:tr>
      <w:tr>
        <w:trPr>
          <w:trHeight w:val="216"/>
        </w:trPr>
        <w:tc>
          <w:tcPr>
            <w:tcW w:w="6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3"/>
              </w:rPr>
              <w:t>Investor Corporation, Booz Allen Hamilton Engineering Holding Co., LLC, Booz Allen Hamilton Engineering Services, LLC, SDI Technology</w:t>
            </w:r>
          </w:p>
        </w:tc>
      </w:tr>
      <w:tr>
        <w:trPr>
          <w:trHeight w:val="216"/>
        </w:trPr>
        <w:tc>
          <w:tcPr>
            <w:tcW w:w="6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2"/>
              </w:rPr>
              <w:t>Corporation, ASE, Inc. and Booz Allen Hamilton International, Inc., as Guarantors, Bank of America, N.A., as Administrative Agent, Collateral</w:t>
            </w:r>
          </w:p>
        </w:tc>
      </w:tr>
      <w:tr>
        <w:trPr>
          <w:trHeight w:val="216"/>
        </w:trPr>
        <w:tc>
          <w:tcPr>
            <w:tcW w:w="6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1"/>
              </w:rPr>
              <w:t>Agent and Issuing Lender, and the other Lenders and financial institutions from time to time party thereto. (Incorporated by reference to Exhibit</w:t>
            </w: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10.1 to the Company’s Periodic Report on Form 8-K filed on May 13, 2014 (File No. 001-34972))</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660" w:type="dxa"/>
            <w:vAlign w:val="bottom"/>
          </w:tcPr>
          <w:p>
            <w:pPr>
              <w:ind w:left="260"/>
              <w:spacing w:after="0"/>
              <w:rPr>
                <w:sz w:val="20"/>
                <w:szCs w:val="20"/>
                <w:color w:val="auto"/>
              </w:rPr>
            </w:pPr>
            <w:r>
              <w:rPr>
                <w:rFonts w:ascii="Arial" w:cs="Arial" w:eastAsia="Arial" w:hAnsi="Arial"/>
                <w:sz w:val="18"/>
                <w:szCs w:val="18"/>
                <w:color w:val="auto"/>
              </w:rPr>
              <w:t>Rule 13a-14(a)/15d-14(a) Certification of the Chief Executive Officer*</w:t>
            </w: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10660" w:type="dxa"/>
            <w:vAlign w:val="bottom"/>
          </w:tcPr>
          <w:p>
            <w:pPr>
              <w:ind w:left="260"/>
              <w:spacing w:after="0"/>
              <w:rPr>
                <w:sz w:val="20"/>
                <w:szCs w:val="20"/>
                <w:color w:val="auto"/>
              </w:rPr>
            </w:pPr>
            <w:r>
              <w:rPr>
                <w:rFonts w:ascii="Arial" w:cs="Arial" w:eastAsia="Arial" w:hAnsi="Arial"/>
                <w:sz w:val="18"/>
                <w:szCs w:val="18"/>
                <w:color w:val="auto"/>
              </w:rPr>
              <w:t>Rule 13a-14(a)/15d-14(a) Certification of the Chief Financial Officer*</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10660" w:type="dxa"/>
            <w:vAlign w:val="bottom"/>
          </w:tcPr>
          <w:p>
            <w:pPr>
              <w:ind w:left="260"/>
              <w:spacing w:after="0"/>
              <w:rPr>
                <w:sz w:val="20"/>
                <w:szCs w:val="20"/>
                <w:color w:val="auto"/>
              </w:rPr>
            </w:pPr>
            <w:r>
              <w:rPr>
                <w:rFonts w:ascii="Arial" w:cs="Arial" w:eastAsia="Arial" w:hAnsi="Arial"/>
                <w:sz w:val="18"/>
                <w:szCs w:val="18"/>
                <w:color w:val="auto"/>
                <w:w w:val="95"/>
              </w:rPr>
              <w:t>Certification of the Chief Executive Officer required by Rule 13a-14(b) or Rule 15d-14(b) and Section 1350 of Chapter 63 of Title 18 of the</w:t>
            </w: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United States Code (18 U.S.C. 1350)*</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32.2</w:t>
            </w:r>
          </w:p>
        </w:tc>
        <w:tc>
          <w:tcPr>
            <w:tcW w:w="10660" w:type="dxa"/>
            <w:vAlign w:val="bottom"/>
          </w:tcPr>
          <w:p>
            <w:pPr>
              <w:ind w:left="260"/>
              <w:spacing w:after="0"/>
              <w:rPr>
                <w:sz w:val="20"/>
                <w:szCs w:val="20"/>
                <w:color w:val="auto"/>
              </w:rPr>
            </w:pPr>
            <w:r>
              <w:rPr>
                <w:rFonts w:ascii="Arial" w:cs="Arial" w:eastAsia="Arial" w:hAnsi="Arial"/>
                <w:sz w:val="18"/>
                <w:szCs w:val="18"/>
                <w:color w:val="auto"/>
                <w:w w:val="95"/>
              </w:rPr>
              <w:t>Certification of the Chief Financial Officer required by Rule 13a-14(b) or Rule 15d-14(b) and Section 1350 of Chapter 63 of Title 18 of the</w:t>
            </w: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United States Code (18 U.S.C. 1350)*</w:t>
            </w:r>
          </w:p>
        </w:tc>
      </w:tr>
    </w:tbl>
    <w:p>
      <w:pPr>
        <w:spacing w:after="0" w:line="161" w:lineRule="exact"/>
        <w:rPr>
          <w:sz w:val="20"/>
          <w:szCs w:val="20"/>
          <w:color w:val="auto"/>
        </w:rPr>
      </w:pPr>
    </w:p>
    <w:p>
      <w:pPr>
        <w:ind w:left="960" w:right="60" w:hanging="925"/>
        <w:spacing w:after="0" w:line="255"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materials from Booz Allen Hamilton Holding Corporation’s Quarterly Report on Form 10-Q for the three months ended June 30, 2014 formatted in XBRL (eXtensible Business Reporting Language): (i) Condensed Consolidated Balance Sheets at June 30, 2014 and March 31, 2014; (ii) Condensed Consolidated Statements of Operations for the three months ended June 30, 2014 and 2013; (iii) Condensed Consolidated Statements of Comprehensive Income for the three months ended June 30, 2014 and 2013; (iv) Condensed Consolidated Statements of Cash Flows for the three months ended June 30, 2014 and 2013; and (v) Notes to Condensed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23" w:lineRule="exact"/>
        <w:rPr>
          <w:sz w:val="20"/>
          <w:szCs w:val="20"/>
          <w:color w:val="auto"/>
        </w:rPr>
      </w:pPr>
    </w:p>
    <w:p>
      <w:pPr>
        <w:ind w:left="660" w:right="80" w:hanging="652"/>
        <w:spacing w:after="0" w:line="277"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692" w:right="299" w:bottom="1440" w:gutter="0" w:footer="0" w:header="0"/>
        </w:sectPr>
      </w:pPr>
    </w:p>
    <w:bookmarkStart w:id="36" w:name="page37"/>
    <w:bookmarkEnd w:id="36"/>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538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63"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Arial" w:cs="Arial" w:eastAsia="Arial" w:hAnsi="Arial"/>
          <w:sz w:val="18"/>
          <w:szCs w:val="18"/>
          <w:color w:val="auto"/>
        </w:rPr>
        <w:t>Date: July 30,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Kevin L. Cook</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60"/>
          </w:cols>
          <w:pgMar w:left="240" w:top="526" w:right="5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Ralph W. Shrader, certify that:</w:t>
      </w:r>
    </w:p>
    <w:p>
      <w:pPr>
        <w:spacing w:after="0" w:line="171"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July 30,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Ralph W. Shrader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Kevin L. Cook, certify that:</w:t>
      </w:r>
    </w:p>
    <w:p>
      <w:pPr>
        <w:spacing w:after="0" w:line="171"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July 30,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Kevin L. Cook</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June 30, 2014, as filed with the Securities and Exchange Commission on the date hereof (the “Report”), the undersigned Chairman of the Board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440" w:val="left"/>
        </w:tabs>
        <w:rPr>
          <w:sz w:val="20"/>
          <w:szCs w:val="20"/>
          <w:color w:val="auto"/>
        </w:rPr>
      </w:pPr>
      <w:r>
        <w:rPr>
          <w:rFonts w:ascii="Arial" w:cs="Arial" w:eastAsia="Arial" w:hAnsi="Arial"/>
          <w:sz w:val="18"/>
          <w:szCs w:val="18"/>
          <w:color w:val="auto"/>
        </w:rPr>
        <w:t>Date: July 30, 2014</w:t>
      </w:r>
      <w:r>
        <w:rPr>
          <w:sz w:val="20"/>
          <w:szCs w:val="20"/>
          <w:color w:val="auto"/>
        </w:rPr>
        <w:tab/>
      </w:r>
      <w:r>
        <w:rPr>
          <w:rFonts w:ascii="Arial" w:cs="Arial" w:eastAsia="Arial" w:hAnsi="Arial"/>
          <w:sz w:val="16"/>
          <w:szCs w:val="16"/>
          <w:color w:val="auto"/>
        </w:rPr>
        <w:t>By: /s/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Ralph W. Shrader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and Chief Executive Officer</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report on Form 10-QK of Booz Allen Hamilton Holding Corporation (the “Company”) for the fiscal quarter ended June 30, 2014, as filed with the Securities and Exchange Commission on the date hereof (the “Report”), the undersigned Senior Vice President and Chief Financial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July 30, 2014</w:t>
      </w:r>
      <w:r>
        <w:rPr>
          <w:sz w:val="20"/>
          <w:szCs w:val="20"/>
          <w:color w:val="auto"/>
        </w:rPr>
        <w:tab/>
      </w:r>
      <w:r>
        <w:rPr>
          <w:rFonts w:ascii="Arial" w:cs="Arial" w:eastAsia="Arial" w:hAnsi="Arial"/>
          <w:sz w:val="17"/>
          <w:szCs w:val="17"/>
          <w:color w:val="auto"/>
        </w:rPr>
        <w:t>By: /s/ Kevin 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Kevin L. Cook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5"/>
    </w:lvl>
  </w:abstractNum>
  <w:abstractNum w:abstractNumId="4">
    <w:nsid w:val="628C895D"/>
    <w:multiLevelType w:val="hybridMultilevel"/>
    <w:lvl w:ilvl="0">
      <w:lvlJc w:val="left"/>
      <w:lvlText w:val="%1."/>
      <w:numFmt w:val="decimal"/>
      <w:start w:val="10"/>
    </w:lvl>
  </w:abstractNum>
  <w:abstractNum w:abstractNumId="5">
    <w:nsid w:val="333AB105"/>
    <w:multiLevelType w:val="hybridMultilevel"/>
    <w:lvl w:ilvl="0">
      <w:lvlJc w:val="left"/>
      <w:lvlText w:val="%1."/>
      <w:numFmt w:val="decimal"/>
      <w:start w:val="12"/>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6"/>
    </w:lvl>
  </w:abstractNum>
  <w:abstractNum w:abstractNumId="10">
    <w:nsid w:val="75A2A8D4"/>
    <w:multiLevelType w:val="hybridMultilevel"/>
    <w:lvl w:ilvl="0">
      <w:lvlJc w:val="left"/>
      <w:lvlText w:val="(%1)"/>
      <w:numFmt w:val="lowerRoman"/>
      <w:start w:val="1"/>
    </w:lvl>
    <w:lvl w:ilvl="1">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lowerLetter"/>
      <w:start w:val="1"/>
    </w:lvl>
  </w:abstractNum>
  <w:abstractNum w:abstractNumId="13">
    <w:nsid w:val="4353D0CD"/>
    <w:multiLevelType w:val="hybridMultilevel"/>
    <w:lvl w:ilvl="0">
      <w:lvlJc w:val="left"/>
      <w:lvlText w:val="(%1)"/>
      <w:numFmt w:val="lowerLetter"/>
      <w:start w:val="5"/>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0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decimal"/>
      <w:start w:val="5"/>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5"/>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2019-12-07T20:01:09Z</dcterms:created>
  <dcterms:modified xsi:type="dcterms:W3CDTF">2019-12-07T20:01:09Z</dcterms:modified>
</cp:coreProperties>
</file>