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474980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6540" w:type="dxa"/>
            <w:vAlign w:val="bottom"/>
          </w:tcPr>
          <w:p>
            <w:pPr>
              <w:jc w:val="center"/>
              <w:ind w:right="322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41"/>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6540" w:type="dxa"/>
            <w:vAlign w:val="bottom"/>
          </w:tcPr>
          <w:p>
            <w:pPr>
              <w:jc w:val="center"/>
              <w:ind w:right="3220"/>
              <w:spacing w:after="0"/>
              <w:rPr>
                <w:sz w:val="20"/>
                <w:szCs w:val="20"/>
                <w:color w:val="auto"/>
              </w:rPr>
            </w:pPr>
            <w:r>
              <w:rPr>
                <w:rFonts w:ascii="Arial" w:cs="Arial" w:eastAsia="Arial" w:hAnsi="Arial"/>
                <w:sz w:val="14"/>
                <w:szCs w:val="14"/>
                <w:b w:val="1"/>
                <w:bCs w:val="1"/>
                <w:color w:val="auto"/>
                <w:w w:val="93"/>
              </w:rPr>
              <w:t>(State or other jurisdiction of</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40" w:type="dxa"/>
            <w:vAlign w:val="bottom"/>
          </w:tcPr>
          <w:p>
            <w:pPr>
              <w:jc w:val="center"/>
              <w:ind w:right="3220"/>
              <w:spacing w:after="0"/>
              <w:rPr>
                <w:sz w:val="20"/>
                <w:szCs w:val="20"/>
                <w:color w:val="auto"/>
              </w:rPr>
            </w:pPr>
            <w:r>
              <w:rPr>
                <w:rFonts w:ascii="Arial" w:cs="Arial" w:eastAsia="Arial" w:hAnsi="Arial"/>
                <w:sz w:val="14"/>
                <w:szCs w:val="14"/>
                <w:b w:val="1"/>
                <w:bCs w:val="1"/>
                <w:color w:val="auto"/>
                <w:w w:val="94"/>
              </w:rPr>
              <w:t>incorporation or organization)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540" w:type="dxa"/>
            <w:vAlign w:val="bottom"/>
          </w:tcPr>
          <w:p>
            <w:pPr>
              <w:jc w:val="center"/>
              <w:ind w:right="3220"/>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22102</w:t>
            </w:r>
          </w:p>
        </w:tc>
      </w:tr>
      <w:tr>
        <w:trPr>
          <w:trHeight w:val="218"/>
        </w:trPr>
        <w:tc>
          <w:tcPr>
            <w:tcW w:w="6540" w:type="dxa"/>
            <w:vAlign w:val="bottom"/>
          </w:tcPr>
          <w:p>
            <w:pPr>
              <w:jc w:val="center"/>
              <w:ind w:right="3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8"/>
              </w:rPr>
              <w:t>(Zip Code)</w:t>
            </w:r>
          </w:p>
        </w:tc>
      </w:tr>
      <w:tr>
        <w:trPr>
          <w:trHeight w:val="259"/>
        </w:trPr>
        <w:tc>
          <w:tcPr>
            <w:tcW w:w="6540" w:type="dxa"/>
            <w:vAlign w:val="bottom"/>
          </w:tcPr>
          <w:p>
            <w:pPr>
              <w:jc w:val="right"/>
              <w:ind w:right="1360"/>
              <w:spacing w:after="0"/>
              <w:rPr>
                <w:sz w:val="20"/>
                <w:szCs w:val="20"/>
                <w:color w:val="auto"/>
              </w:rPr>
            </w:pPr>
            <w:r>
              <w:rPr>
                <w:rFonts w:ascii="Arial" w:cs="Arial" w:eastAsia="Arial" w:hAnsi="Arial"/>
                <w:sz w:val="18"/>
                <w:szCs w:val="18"/>
                <w:b w:val="1"/>
                <w:bCs w:val="1"/>
                <w:color w:val="auto"/>
              </w:rPr>
              <w:t>(703) 902-5000</w:t>
            </w:r>
          </w:p>
        </w:tc>
        <w:tc>
          <w:tcPr>
            <w:tcW w:w="1560" w:type="dxa"/>
            <w:vAlign w:val="bottom"/>
          </w:tcPr>
          <w:p>
            <w:pPr>
              <w:spacing w:after="0"/>
              <w:rPr>
                <w:sz w:val="22"/>
                <w:szCs w:val="22"/>
                <w:color w:val="auto"/>
              </w:rPr>
            </w:pPr>
          </w:p>
        </w:tc>
      </w:tr>
      <w:tr>
        <w:trPr>
          <w:trHeight w:val="186"/>
        </w:trPr>
        <w:tc>
          <w:tcPr>
            <w:tcW w:w="6540" w:type="dxa"/>
            <w:vAlign w:val="bottom"/>
          </w:tcPr>
          <w:p>
            <w:pPr>
              <w:jc w:val="center"/>
              <w:ind w:left="24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6"/>
                <w:szCs w:val="16"/>
                <w:color w:val="auto"/>
              </w:rPr>
            </w:pPr>
          </w:p>
        </w:tc>
      </w:tr>
    </w:tbl>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5"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2420" w:val="left"/>
          <w:tab w:leader="none" w:pos="8020" w:val="left"/>
          <w:tab w:leader="none" w:pos="109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40"/>
        <w:spacing w:after="0" w:line="207" w:lineRule="exact"/>
        <w:tabs>
          <w:tab w:leader="none" w:pos="2420" w:val="left"/>
          <w:tab w:leader="none" w:pos="8020" w:val="left"/>
          <w:tab w:leader="none" w:pos="109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right="18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128"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220" w:type="dxa"/>
            <w:vAlign w:val="bottom"/>
          </w:tcPr>
          <w:p>
            <w:pPr>
              <w:jc w:val="right"/>
              <w:ind w:right="41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40" w:type="dxa"/>
            <w:vAlign w:val="bottom"/>
          </w:tcPr>
          <w:p>
            <w:pPr>
              <w:spacing w:after="0"/>
              <w:rPr>
                <w:sz w:val="16"/>
                <w:szCs w:val="16"/>
                <w:color w:val="auto"/>
              </w:rPr>
            </w:pPr>
          </w:p>
        </w:tc>
        <w:tc>
          <w:tcPr>
            <w:tcW w:w="4220" w:type="dxa"/>
            <w:vAlign w:val="bottom"/>
          </w:tcPr>
          <w:p>
            <w:pPr>
              <w:jc w:val="right"/>
              <w:ind w:right="456"/>
              <w:spacing w:after="0"/>
              <w:rPr>
                <w:sz w:val="20"/>
                <w:szCs w:val="20"/>
                <w:color w:val="auto"/>
              </w:rPr>
            </w:pPr>
            <w:r>
              <w:rPr>
                <w:rFonts w:ascii="Arial" w:cs="Arial" w:eastAsia="Arial" w:hAnsi="Arial"/>
                <w:sz w:val="14"/>
                <w:szCs w:val="14"/>
                <w:b w:val="1"/>
                <w:bCs w:val="1"/>
                <w:color w:val="auto"/>
              </w:rPr>
              <w:t>as of July 31, 2012</w:t>
            </w:r>
          </w:p>
        </w:tc>
      </w:tr>
      <w:tr>
        <w:trPr>
          <w:trHeight w:val="25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4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130,290,759</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Class B Non-Voting Common Stock</w:t>
            </w:r>
          </w:p>
        </w:tc>
        <w:tc>
          <w:tcPr>
            <w:tcW w:w="4220" w:type="dxa"/>
            <w:vAlign w:val="bottom"/>
          </w:tcPr>
          <w:p>
            <w:pPr>
              <w:jc w:val="right"/>
              <w:ind w:right="16"/>
              <w:spacing w:after="0"/>
              <w:rPr>
                <w:sz w:val="20"/>
                <w:szCs w:val="20"/>
                <w:color w:val="auto"/>
              </w:rPr>
            </w:pPr>
            <w:r>
              <w:rPr>
                <w:rFonts w:ascii="Arial" w:cs="Arial" w:eastAsia="Arial" w:hAnsi="Arial"/>
                <w:sz w:val="18"/>
                <w:szCs w:val="18"/>
                <w:color w:val="auto"/>
              </w:rPr>
              <w:t>2,470,825</w:t>
            </w:r>
          </w:p>
        </w:tc>
      </w:tr>
      <w:tr>
        <w:trPr>
          <w:trHeight w:val="27"/>
        </w:trPr>
        <w:tc>
          <w:tcPr>
            <w:tcW w:w="534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C Restricted Common Stock</w:t>
            </w:r>
          </w:p>
        </w:tc>
        <w:tc>
          <w:tcPr>
            <w:tcW w:w="4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1,527,020</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Class E Special Voting Common Stock</w:t>
            </w:r>
          </w:p>
        </w:tc>
        <w:tc>
          <w:tcPr>
            <w:tcW w:w="4220" w:type="dxa"/>
            <w:vAlign w:val="bottom"/>
          </w:tcPr>
          <w:p>
            <w:pPr>
              <w:jc w:val="right"/>
              <w:ind w:right="16"/>
              <w:spacing w:after="0"/>
              <w:rPr>
                <w:sz w:val="20"/>
                <w:szCs w:val="20"/>
                <w:color w:val="auto"/>
              </w:rPr>
            </w:pPr>
            <w:r>
              <w:rPr>
                <w:rFonts w:ascii="Arial" w:cs="Arial" w:eastAsia="Arial" w:hAnsi="Arial"/>
                <w:sz w:val="18"/>
                <w:szCs w:val="18"/>
                <w:color w:val="auto"/>
              </w:rPr>
              <w:t>10,140,067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180340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197485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6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20" w:type="dxa"/>
            <w:vAlign w:val="bottom"/>
            <w:gridSpan w:val="17"/>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7"/>
          </w:tcPr>
          <w:p>
            <w:pPr>
              <w:ind w:left="4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2</w:t>
              </w:r>
            </w:hyperlink>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700" w:type="dxa"/>
            <w:vAlign w:val="bottom"/>
            <w:gridSpan w:val="15"/>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2</w:t>
              </w:r>
            </w:hyperlink>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700" w:type="dxa"/>
            <w:vAlign w:val="bottom"/>
            <w:gridSpan w:val="15"/>
          </w:tcPr>
          <w:p>
            <w:pPr>
              <w:spacing w:after="0"/>
              <w:rPr>
                <w:rFonts w:ascii="Arial" w:cs="Arial" w:eastAsia="Arial" w:hAnsi="Arial"/>
                <w:sz w:val="18"/>
                <w:szCs w:val="18"/>
                <w:b w:val="1"/>
                <w:bCs w:val="1"/>
                <w:color w:val="0000FF"/>
              </w:rPr>
            </w:pPr>
            <w:hyperlink w:anchor="page14">
              <w:r>
                <w:rPr>
                  <w:rFonts w:ascii="Arial" w:cs="Arial" w:eastAsia="Arial" w:hAnsi="Arial"/>
                  <w:sz w:val="18"/>
                  <w:szCs w:val="18"/>
                  <w:b w:val="1"/>
                  <w:bCs w:val="1"/>
                  <w:color w:val="0000FF"/>
                </w:rPr>
                <w:t>MANAGEMENT’S DISCUSSION AND ANALYSIS OF FINANCIAL CONDITION AND RESULTS OF</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14">
              <w:r>
                <w:rPr>
                  <w:rFonts w:ascii="Arial" w:cs="Arial" w:eastAsia="Arial" w:hAnsi="Arial"/>
                  <w:sz w:val="18"/>
                  <w:szCs w:val="18"/>
                  <w:b w:val="1"/>
                  <w:bCs w:val="1"/>
                  <w:color w:val="0000FF"/>
                  <w:w w:val="79"/>
                </w:rPr>
                <w:t>14</w:t>
              </w:r>
            </w:hyperlink>
          </w:p>
        </w:tc>
      </w:tr>
      <w:tr>
        <w:trPr>
          <w:trHeight w:val="196"/>
        </w:trPr>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b w:val="1"/>
                <w:bCs w:val="1"/>
                <w:color w:val="0000FF"/>
                <w:w w:val="97"/>
              </w:rPr>
            </w:pPr>
            <w:hyperlink w:anchor="page14">
              <w:r>
                <w:rPr>
                  <w:rFonts w:ascii="Arial" w:cs="Arial" w:eastAsia="Arial" w:hAnsi="Arial"/>
                  <w:sz w:val="18"/>
                  <w:szCs w:val="18"/>
                  <w:b w:val="1"/>
                  <w:bCs w:val="1"/>
                  <w:color w:val="0000FF"/>
                  <w:w w:val="97"/>
                </w:rPr>
                <w:t>OPERATIONS</w:t>
              </w:r>
            </w:hyperlink>
          </w:p>
        </w:tc>
        <w:tc>
          <w:tcPr>
            <w:tcW w:w="6900" w:type="dxa"/>
            <w:vAlign w:val="bottom"/>
            <w:tcBorders>
              <w:top w:val="single" w:sz="8" w:color="0000FF"/>
            </w:tcBorders>
            <w:gridSpan w:val="12"/>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6460" w:type="dxa"/>
            <w:vAlign w:val="bottom"/>
            <w:tcBorders>
              <w:bottom w:val="single" w:sz="8" w:color="0000FF"/>
            </w:tcBorders>
            <w:gridSpan w:val="13"/>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QUANTITATIVE AND QUALITATIVE DISCLOSURES ABOUT MARKET RISK</w:t>
              </w:r>
            </w:hyperlink>
          </w:p>
        </w:tc>
        <w:tc>
          <w:tcPr>
            <w:tcW w:w="32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8">
              <w:r>
                <w:rPr>
                  <w:rFonts w:ascii="Arial" w:cs="Arial" w:eastAsia="Arial" w:hAnsi="Arial"/>
                  <w:sz w:val="18"/>
                  <w:szCs w:val="18"/>
                  <w:b w:val="1"/>
                  <w:bCs w:val="1"/>
                  <w:color w:val="0000FF"/>
                  <w:w w:val="79"/>
                </w:rPr>
                <w:t>27</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2740" w:type="dxa"/>
            <w:vAlign w:val="bottom"/>
            <w:tcBorders>
              <w:bottom w:val="single" w:sz="8" w:color="0000FF"/>
            </w:tcBorders>
            <w:gridSpan w:val="10"/>
          </w:tcPr>
          <w:p>
            <w:pPr>
              <w:spacing w:after="0"/>
              <w:rPr>
                <w:rFonts w:ascii="Arial" w:cs="Arial" w:eastAsia="Arial" w:hAnsi="Arial"/>
                <w:sz w:val="18"/>
                <w:szCs w:val="18"/>
                <w:b w:val="1"/>
                <w:bCs w:val="1"/>
                <w:color w:val="0000FF"/>
                <w:w w:val="98"/>
              </w:rPr>
            </w:pPr>
            <w:hyperlink w:anchor="page28">
              <w:r>
                <w:rPr>
                  <w:rFonts w:ascii="Arial" w:cs="Arial" w:eastAsia="Arial" w:hAnsi="Arial"/>
                  <w:sz w:val="18"/>
                  <w:szCs w:val="18"/>
                  <w:b w:val="1"/>
                  <w:bCs w:val="1"/>
                  <w:color w:val="0000FF"/>
                  <w:w w:val="98"/>
                </w:rPr>
                <w:t>CONTROLS AND PROCEDURES</w:t>
              </w:r>
            </w:hyperlink>
          </w:p>
        </w:tc>
        <w:tc>
          <w:tcPr>
            <w:tcW w:w="6960" w:type="dxa"/>
            <w:vAlign w:val="bottom"/>
            <w:gridSpan w:val="5"/>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8">
              <w:r>
                <w:rPr>
                  <w:rFonts w:ascii="Arial" w:cs="Arial" w:eastAsia="Arial" w:hAnsi="Arial"/>
                  <w:sz w:val="18"/>
                  <w:szCs w:val="18"/>
                  <w:b w:val="1"/>
                  <w:bCs w:val="1"/>
                  <w:color w:val="0000FF"/>
                  <w:w w:val="79"/>
                </w:rPr>
                <w:t>27</w:t>
              </w:r>
            </w:hyperlink>
          </w:p>
        </w:tc>
      </w:tr>
      <w:tr>
        <w:trPr>
          <w:trHeight w:val="372"/>
        </w:trPr>
        <w:tc>
          <w:tcPr>
            <w:tcW w:w="11220" w:type="dxa"/>
            <w:vAlign w:val="bottom"/>
            <w:gridSpan w:val="17"/>
          </w:tcPr>
          <w:p>
            <w:pPr>
              <w:ind w:left="40"/>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28">
              <w:r>
                <w:rPr>
                  <w:rFonts w:ascii="Arial" w:cs="Arial" w:eastAsia="Arial" w:hAnsi="Arial"/>
                  <w:sz w:val="18"/>
                  <w:szCs w:val="18"/>
                  <w:b w:val="1"/>
                  <w:bCs w:val="1"/>
                  <w:color w:val="0000FF"/>
                  <w:w w:val="79"/>
                </w:rPr>
                <w:t>28</w:t>
              </w:r>
            </w:hyperlink>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2000" w:type="dxa"/>
            <w:vAlign w:val="bottom"/>
            <w:tcBorders>
              <w:bottom w:val="single" w:sz="8" w:color="0000FF"/>
            </w:tcBorders>
            <w:gridSpan w:val="6"/>
          </w:tcPr>
          <w:p>
            <w:pPr>
              <w:spacing w:after="0"/>
              <w:rPr>
                <w:rFonts w:ascii="Arial" w:cs="Arial" w:eastAsia="Arial" w:hAnsi="Arial"/>
                <w:sz w:val="18"/>
                <w:szCs w:val="18"/>
                <w:b w:val="1"/>
                <w:bCs w:val="1"/>
                <w:color w:val="0000FF"/>
                <w:w w:val="99"/>
              </w:rPr>
            </w:pPr>
            <w:hyperlink w:anchor="page29">
              <w:r>
                <w:rPr>
                  <w:rFonts w:ascii="Arial" w:cs="Arial" w:eastAsia="Arial" w:hAnsi="Arial"/>
                  <w:sz w:val="18"/>
                  <w:szCs w:val="18"/>
                  <w:b w:val="1"/>
                  <w:bCs w:val="1"/>
                  <w:color w:val="0000FF"/>
                  <w:w w:val="99"/>
                </w:rPr>
                <w:t>LEGAL PROCEEDINGS</w:t>
              </w:r>
            </w:hyperlink>
          </w:p>
        </w:tc>
        <w:tc>
          <w:tcPr>
            <w:tcW w:w="770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9">
              <w:r>
                <w:rPr>
                  <w:rFonts w:ascii="Arial" w:cs="Arial" w:eastAsia="Arial" w:hAnsi="Arial"/>
                  <w:sz w:val="18"/>
                  <w:szCs w:val="18"/>
                  <w:b w:val="1"/>
                  <w:bCs w:val="1"/>
                  <w:color w:val="0000FF"/>
                  <w:w w:val="79"/>
                </w:rPr>
                <w:t>28</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700" w:type="dxa"/>
            <w:vAlign w:val="bottom"/>
            <w:gridSpan w:val="15"/>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RISK FACTORS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29">
              <w:r>
                <w:rPr>
                  <w:rFonts w:ascii="Arial" w:cs="Arial" w:eastAsia="Arial" w:hAnsi="Arial"/>
                  <w:sz w:val="18"/>
                  <w:szCs w:val="18"/>
                  <w:b w:val="1"/>
                  <w:bCs w:val="1"/>
                  <w:color w:val="0000FF"/>
                  <w:w w:val="79"/>
                </w:rPr>
                <w:t>28</w:t>
              </w:r>
            </w:hyperlink>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400" w:type="dxa"/>
            <w:vAlign w:val="bottom"/>
            <w:tcBorders>
              <w:bottom w:val="single" w:sz="8" w:color="0000FF"/>
            </w:tcBorders>
            <w:gridSpan w:val="12"/>
          </w:tcPr>
          <w:p>
            <w:pPr>
              <w:spacing w:after="0"/>
              <w:rPr>
                <w:rFonts w:ascii="Arial" w:cs="Arial" w:eastAsia="Arial" w:hAnsi="Arial"/>
                <w:sz w:val="18"/>
                <w:szCs w:val="18"/>
                <w:b w:val="1"/>
                <w:bCs w:val="1"/>
                <w:color w:val="0000FF"/>
                <w:w w:val="98"/>
              </w:rPr>
            </w:pPr>
            <w:hyperlink w:anchor="page29">
              <w:r>
                <w:rPr>
                  <w:rFonts w:ascii="Arial" w:cs="Arial" w:eastAsia="Arial" w:hAnsi="Arial"/>
                  <w:sz w:val="18"/>
                  <w:szCs w:val="18"/>
                  <w:b w:val="1"/>
                  <w:bCs w:val="1"/>
                  <w:color w:val="0000FF"/>
                  <w:w w:val="98"/>
                </w:rPr>
                <w:t>UNREGISTERED SALES OF EQUITY SECURITIES AND USE OF PROCEEDS</w:t>
              </w:r>
            </w:hyperlink>
          </w:p>
        </w:tc>
        <w:tc>
          <w:tcPr>
            <w:tcW w:w="3300" w:type="dxa"/>
            <w:vAlign w:val="bottom"/>
            <w:gridSpan w:val="3"/>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9">
              <w:r>
                <w:rPr>
                  <w:rFonts w:ascii="Arial" w:cs="Arial" w:eastAsia="Arial" w:hAnsi="Arial"/>
                  <w:sz w:val="18"/>
                  <w:szCs w:val="18"/>
                  <w:b w:val="1"/>
                  <w:bCs w:val="1"/>
                  <w:color w:val="0000FF"/>
                  <w:w w:val="79"/>
                </w:rPr>
                <w:t>28</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3360" w:type="dxa"/>
            <w:vAlign w:val="bottom"/>
            <w:tcBorders>
              <w:bottom w:val="single" w:sz="8" w:color="0000FF"/>
            </w:tcBorders>
            <w:gridSpan w:val="11"/>
          </w:tcPr>
          <w:p>
            <w:pPr>
              <w:spacing w:after="0"/>
              <w:rPr>
                <w:rFonts w:ascii="Arial" w:cs="Arial" w:eastAsia="Arial" w:hAnsi="Arial"/>
                <w:sz w:val="18"/>
                <w:szCs w:val="18"/>
                <w:b w:val="1"/>
                <w:bCs w:val="1"/>
                <w:color w:val="0000FF"/>
                <w:w w:val="98"/>
              </w:rPr>
            </w:pPr>
            <w:hyperlink w:anchor="page29">
              <w:r>
                <w:rPr>
                  <w:rFonts w:ascii="Arial" w:cs="Arial" w:eastAsia="Arial" w:hAnsi="Arial"/>
                  <w:sz w:val="18"/>
                  <w:szCs w:val="18"/>
                  <w:b w:val="1"/>
                  <w:bCs w:val="1"/>
                  <w:color w:val="0000FF"/>
                  <w:w w:val="98"/>
                </w:rPr>
                <w:t>DEFAULTS UPON SENIOR SECURITIES</w:t>
              </w:r>
            </w:hyperlink>
          </w:p>
        </w:tc>
        <w:tc>
          <w:tcPr>
            <w:tcW w:w="634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29">
              <w:r>
                <w:rPr>
                  <w:rFonts w:ascii="Arial" w:cs="Arial" w:eastAsia="Arial" w:hAnsi="Arial"/>
                  <w:sz w:val="18"/>
                  <w:szCs w:val="18"/>
                  <w:b w:val="1"/>
                  <w:bCs w:val="1"/>
                  <w:color w:val="0000FF"/>
                  <w:w w:val="79"/>
                </w:rPr>
                <w:t>28</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9700" w:type="dxa"/>
            <w:vAlign w:val="bottom"/>
            <w:gridSpan w:val="15"/>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MINE SAFETY DISCLOSURES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29">
              <w:r>
                <w:rPr>
                  <w:rFonts w:ascii="Arial" w:cs="Arial" w:eastAsia="Arial" w:hAnsi="Arial"/>
                  <w:sz w:val="18"/>
                  <w:szCs w:val="18"/>
                  <w:b w:val="1"/>
                  <w:bCs w:val="1"/>
                  <w:color w:val="0000FF"/>
                  <w:w w:val="79"/>
                </w:rPr>
                <w:t>28</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2560" w:type="dxa"/>
            <w:vAlign w:val="bottom"/>
            <w:tcBorders>
              <w:top w:val="single" w:sz="8" w:color="0000FF"/>
            </w:tcBorders>
            <w:gridSpan w:val="9"/>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OTHER INFORMATION</w:t>
              </w:r>
            </w:hyperlink>
          </w:p>
        </w:tc>
        <w:tc>
          <w:tcPr>
            <w:tcW w:w="7140" w:type="dxa"/>
            <w:vAlign w:val="bottom"/>
            <w:gridSpan w:val="6"/>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b w:val="1"/>
                <w:bCs w:val="1"/>
                <w:color w:val="0000FF"/>
                <w:w w:val="79"/>
              </w:rPr>
            </w:pPr>
            <w:hyperlink w:anchor="page29">
              <w:r>
                <w:rPr>
                  <w:rFonts w:ascii="Arial" w:cs="Arial" w:eastAsia="Arial" w:hAnsi="Arial"/>
                  <w:sz w:val="18"/>
                  <w:szCs w:val="18"/>
                  <w:b w:val="1"/>
                  <w:bCs w:val="1"/>
                  <w:color w:val="0000FF"/>
                  <w:w w:val="79"/>
                </w:rPr>
                <w:t>28</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880" w:type="dxa"/>
            <w:vAlign w:val="bottom"/>
            <w:tcBorders>
              <w:top w:val="single" w:sz="8" w:color="0000FF"/>
              <w:bottom w:val="single" w:sz="8" w:color="0000FF"/>
            </w:tcBorders>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EXHIBITS</w:t>
              </w:r>
            </w:hyperlink>
          </w:p>
        </w:tc>
        <w:tc>
          <w:tcPr>
            <w:tcW w:w="1140" w:type="dxa"/>
            <w:vAlign w:val="bottom"/>
            <w:tcBorders>
              <w:top w:val="single" w:sz="8" w:color="0000FF"/>
            </w:tcBorders>
            <w:gridSpan w:val="6"/>
          </w:tcPr>
          <w:p>
            <w:pPr>
              <w:spacing w:after="0"/>
              <w:rPr>
                <w:sz w:val="24"/>
                <w:szCs w:val="24"/>
                <w:color w:val="auto"/>
              </w:rPr>
            </w:pPr>
          </w:p>
        </w:tc>
        <w:tc>
          <w:tcPr>
            <w:tcW w:w="7680" w:type="dxa"/>
            <w:vAlign w:val="bottom"/>
            <w:gridSpan w:val="8"/>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b w:val="1"/>
                <w:bCs w:val="1"/>
                <w:color w:val="0000FF"/>
                <w:w w:val="79"/>
              </w:rPr>
            </w:pPr>
            <w:hyperlink w:anchor="page32">
              <w:r>
                <w:rPr>
                  <w:rFonts w:ascii="Arial" w:cs="Arial" w:eastAsia="Arial" w:hAnsi="Arial"/>
                  <w:sz w:val="18"/>
                  <w:szCs w:val="18"/>
                  <w:b w:val="1"/>
                  <w:bCs w:val="1"/>
                  <w:color w:val="0000FF"/>
                  <w:w w:val="79"/>
                </w:rPr>
                <w:t>32</w:t>
              </w:r>
            </w:hyperlink>
          </w:p>
        </w:tc>
      </w:tr>
      <w:tr>
        <w:trPr>
          <w:trHeight w:val="723"/>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0" w:type="dxa"/>
            <w:vAlign w:val="bottom"/>
            <w:gridSpan w:val="12"/>
          </w:tcPr>
          <w:p>
            <w:pPr>
              <w:ind w:left="4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607"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4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3"/>
                <w:szCs w:val="13"/>
                <w:color w:val="auto"/>
              </w:rPr>
            </w:pPr>
          </w:p>
        </w:tc>
        <w:tc>
          <w:tcPr>
            <w:tcW w:w="1220" w:type="dxa"/>
            <w:vAlign w:val="bottom"/>
          </w:tcPr>
          <w:p>
            <w:pPr>
              <w:jc w:val="right"/>
              <w:ind w:right="351"/>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6"/>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484,368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1,070,776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1,077,315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95,980</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1,473,145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1,657,663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191,079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220,701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223,834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1,188,004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48,302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54,211</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3,109,022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3,314,791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45,625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443,951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316,567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357,872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70,123</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878,252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914,446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922,925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301,469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292,235</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2,089,174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2,129,606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13)</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129,700,507 shares at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88"/>
              </w:rPr>
              <w:t>June 30, 2012 and 128,726,324 shares at March 31, 2012; outstanding, 129,366,732 shares at June 30, 2012</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and 128,392,549 shares at March 31, 2012</w:t>
            </w:r>
          </w:p>
        </w:tc>
        <w:tc>
          <w:tcPr>
            <w:tcW w:w="2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 2,470,825 shares at June 30, 2012 and 2,487,125 shares at March 31, 2012</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outstanding, 1,533,020 shares at June 30, 2012 and 1,533,020 shares at March 31, 2012</w:t>
            </w:r>
          </w:p>
        </w:tc>
        <w:tc>
          <w:tcPr>
            <w:tcW w:w="24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10,140,067 shares at June 30, 2012 and 10,140,067 shares at March 31, 2012</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Treasury stock, at cost — 333,775 shares at June 30, 2012 and 333,775 shares at March 31, 2012</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898,541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150,652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299,379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1,019,848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1,185,185</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3,109,022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3,314,791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gridSpan w:val="4"/>
          </w:tcPr>
          <w:p>
            <w:pPr>
              <w:jc w:val="right"/>
              <w:ind w:right="711"/>
              <w:spacing w:after="0" w:line="153" w:lineRule="exact"/>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1,432,424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1,446,836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726,831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378,460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392,190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211,835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1,317,688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1,348,714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114,736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98,122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41,062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51,136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23" w:right="239" w:bottom="1440" w:gutter="0" w:footer="0" w:header="0"/>
        </w:sectPr>
      </w:pPr>
    </w:p>
    <w:bookmarkStart w:id="4" w:name="page5"/>
    <w:bookmarkEnd w:id="4"/>
    <w:p>
      <w:pPr>
        <w:jc w:val="center"/>
        <w:spacing w:after="0" w:line="384"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p>
      <w:pPr>
        <w:spacing w:after="0" w:line="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196"/>
        </w:trPr>
        <w:tc>
          <w:tcPr>
            <w:tcW w:w="8340" w:type="dxa"/>
            <w:vAlign w:val="bottom"/>
          </w:tcPr>
          <w:p>
            <w:pPr>
              <w:spacing w:after="0"/>
              <w:rPr>
                <w:sz w:val="17"/>
                <w:szCs w:val="17"/>
                <w:color w:val="auto"/>
              </w:rPr>
            </w:pPr>
          </w:p>
        </w:tc>
        <w:tc>
          <w:tcPr>
            <w:tcW w:w="3080" w:type="dxa"/>
            <w:vAlign w:val="bottom"/>
            <w:gridSpan w:val="5"/>
          </w:tcPr>
          <w:p>
            <w:pPr>
              <w:jc w:val="right"/>
              <w:ind w:right="714"/>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61,945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62,044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51,243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61,945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51,136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Amortization of original issuance discount on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disposition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(17,601)</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(148,317)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35,882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336,051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228,513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61" w:right="239" w:bottom="1440" w:gutter="0" w:footer="0" w:header="0"/>
        </w:sectPr>
      </w:pPr>
    </w:p>
    <w:bookmarkStart w:id="6" w:name="page7"/>
    <w:bookmarkEnd w:id="6"/>
    <w:p>
      <w:pPr>
        <w:ind w:left="344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 or unless otherwise noted)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services primarily to the U.S. government and its agencies in the defense, intelligence, and civil markets. The Company offers clients functional knowledge spanning strategy and organization, analytics, technology, and operations, which it combines with specialized expertise in clients’ mission and domain areas to help solve critical problems. The Company reports operating results and financial data in one operating segment. The Company is headquartered in McLean, Virginia, with approximately 24,100 employees as of June 30,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prepared the condensed consolidated financial statements in this Quarterly Report on Form 10-Q, or Quarterly Report, in accordance with accounting principles generally accepted in the United States, or GAAP, for interim financial information and with the instructions to Form 10-Q and Article 10 of Regulation S-X. As a result, certain information and footnote disclosures normally included in financial statements prepared in accordance with GAAP have been condensed or omitted. The Company followed the accounting policies used and disclosed in the consolidated financial statements included in the Annual Report on Form 10-K for the fiscal year ended March 31, 2012 filed with the Securities and Exchange Commission on May 30, 2012, or Annual Report. The Company’s fiscal year ends on March 31 and unless otherwise noted, references to fiscal year or fiscal are for fiscal years ended March 31.</w:t>
      </w:r>
    </w:p>
    <w:p>
      <w:pPr>
        <w:spacing w:after="0" w:line="13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three months ended June 30, 2012 are not necessarily indicative of results to be expected for the full fiscal year.</w:t>
      </w:r>
    </w:p>
    <w:p>
      <w:pPr>
        <w:spacing w:after="0" w:line="12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Recent accounting pronouncements issued by the Financial Accounting Standards Board during the three months ended June 30, 2012 and through the filing date did not or are not believed by management to have a material impact on the Company’s present or historical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is computed similar to basic EPS, except the weighted average number of shares outstanding is increased to include the dilutive effect of outstanding common stock options and other stock-based awards.</w:t>
      </w:r>
    </w:p>
    <w:p>
      <w:pPr>
        <w:spacing w:after="0" w:line="13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 Unvested Class A Restricted Common Stock and unvested Class C Restricted Common Stock holders are entitled to participate in dividends or other distributions. These unvested shares participated in the payment of the Company's dividend declared and paid in the first quarter of fiscal 2013, and as such, EPS is calculated using the two-class method, whereby earnings are reduced by the dividends declared and paid to the restricted shareholders.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A reconciliation of the income used to compute basic and diluted EPS for the periods presented are as follows:</w:t>
      </w:r>
    </w:p>
    <w:p>
      <w:pPr>
        <w:spacing w:after="0" w:line="352"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13335</wp:posOffset>
            </wp:positionV>
            <wp:extent cx="1844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8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for basic computations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51,136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Weighted-average Class A Common Stock outstanding</w:t>
            </w: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127,932,803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122,958,100</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Class B Non-Voting Common Stock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2,474,453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3,027,823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Weighted-average Class C Restricted Common Stock outstanding</w:t>
            </w:r>
          </w:p>
        </w:tc>
        <w:tc>
          <w:tcPr>
            <w:tcW w:w="2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1,260,620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1,989,558</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weighted-average common shares outstanding for basic computations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131,667,876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127,975,481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Earnings for diluted computations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60,693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51,136</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Dilutive stock options and 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11,009,161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11,946,984</w:t>
            </w:r>
          </w:p>
        </w:tc>
      </w:tr>
      <w:tr>
        <w:trPr>
          <w:trHeight w:val="237"/>
        </w:trPr>
        <w:tc>
          <w:tcPr>
            <w:tcW w:w="7860" w:type="dxa"/>
            <w:vAlign w:val="bottom"/>
          </w:tcPr>
          <w:p>
            <w:pPr>
              <w:ind w:left="360"/>
              <w:spacing w:after="0"/>
              <w:rPr>
                <w:sz w:val="20"/>
                <w:szCs w:val="20"/>
                <w:color w:val="auto"/>
              </w:rPr>
            </w:pPr>
            <w:r>
              <w:rPr>
                <w:rFonts w:ascii="Arial" w:cs="Arial" w:eastAsia="Arial" w:hAnsi="Arial"/>
                <w:sz w:val="18"/>
                <w:szCs w:val="18"/>
                <w:color w:val="auto"/>
              </w:rPr>
              <w:t>Average number of common shares outstanding for diluted computations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142,677,037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139,922,465</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0.40</w:t>
            </w:r>
          </w:p>
        </w:tc>
      </w:tr>
      <w:tr>
        <w:trPr>
          <w:trHeight w:val="67"/>
        </w:trPr>
        <w:tc>
          <w:tcPr>
            <w:tcW w:w="78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6"/>
        </w:trPr>
        <w:tc>
          <w:tcPr>
            <w:tcW w:w="786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8"/>
        <w:spacing w:after="0" w:line="277"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ended June 30, 2012 approximately 800,000 participating securities were paid dividends totaling $1.3 million which comprises the difference from net income presented on the condensed consolidated statements of operations.</w:t>
      </w:r>
    </w:p>
    <w:p>
      <w:pPr>
        <w:spacing w:after="0" w:line="3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EPS calculation for the three months ended June 30, 2012 and 2011, 2,483,289 options and 2,020,000 options, respectively, were not included in the EPS calculation as their impact was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506,127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436,314</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641,800</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7"/>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1,077,315</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Long-term</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 related to retainage and holdbacks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24,163</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1,090,733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1,101,478</w:t>
            </w:r>
          </w:p>
        </w:tc>
      </w:tr>
      <w:tr>
        <w:trPr>
          <w:trHeight w:val="27"/>
        </w:trPr>
        <w:tc>
          <w:tcPr>
            <w:tcW w:w="6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The Company recognized a provision for doubtful accounts (including certain unbilled reserves) of $740,000 and $601,000 for the three months ended June 30, 2012 and 2011, respectively. Long-term unbilled receivables related to retainage, holdbacks, and long-term rate settlements to be billed at contract closeout are included in other long-term assets as accounts receivable in the accompanying condensed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COMPENSATION AND BENEFITS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75"/>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83,464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105,046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86,723</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143,154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47,238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44,531</w:t>
            </w:r>
          </w:p>
        </w:tc>
      </w:tr>
      <w:tr>
        <w:trPr>
          <w:trHeight w:val="27"/>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316,567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357,872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530" w:right="319" w:bottom="1440" w:gutter="0" w:footer="0" w:header="0"/>
        </w:sect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40"/>
          </w:cols>
          <w:pgMar w:left="240" w:top="530" w:right="319" w:bottom="1440" w:gutter="0" w:footer="0" w:header="0"/>
          <w:type w:val="continuous"/>
        </w:sectPr>
      </w:pPr>
    </w:p>
    <w:bookmarkStart w:id="8" w:name="page9"/>
    <w:bookmarkEnd w:id="8"/>
    <w:p>
      <w:pPr>
        <w:ind w:right="420" w:firstLine="648"/>
        <w:spacing w:after="0" w:line="277" w:lineRule="auto"/>
        <w:rPr>
          <w:sz w:val="20"/>
          <w:szCs w:val="20"/>
          <w:color w:val="auto"/>
        </w:rPr>
      </w:pPr>
      <w:r>
        <w:rPr>
          <w:rFonts w:ascii="Arial" w:cs="Arial" w:eastAsia="Arial" w:hAnsi="Arial"/>
          <w:sz w:val="18"/>
          <w:szCs w:val="18"/>
          <w:color w:val="auto"/>
        </w:rPr>
        <w:t>Total accrued compensation and benefits includes a restructuring liability of $6.8 million at June 30, 2012 and $11.1 million at March 31, 2012, respectively.</w:t>
      </w:r>
    </w:p>
    <w:p>
      <w:pPr>
        <w:sectPr>
          <w:pgSz w:w="11900" w:h="16838" w:orient="portrait"/>
          <w:cols w:equalWidth="0" w:num="1">
            <w:col w:w="11420"/>
          </w:cols>
          <w:pgMar w:left="240" w:top="368"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Tranche A Loans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Tranche B Loans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Less: Current portion of long-term debt</w:t>
      </w:r>
    </w:p>
    <w:p>
      <w:pPr>
        <w:spacing w:after="0" w:line="63"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Long-term debt, net of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2012</w:t>
            </w:r>
          </w:p>
        </w:tc>
      </w:tr>
      <w:tr>
        <w:trPr>
          <w:trHeight w:val="152"/>
        </w:trPr>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Pr>
          <w:p>
            <w:pPr>
              <w:spacing w:after="0"/>
              <w:rPr>
                <w:sz w:val="16"/>
                <w:szCs w:val="16"/>
                <w:color w:val="auto"/>
              </w:rPr>
            </w:pPr>
          </w:p>
        </w:tc>
        <w:tc>
          <w:tcPr>
            <w:tcW w:w="1220" w:type="dxa"/>
            <w:vAlign w:val="bottom"/>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000" w:type="dxa"/>
            <w:vAlign w:val="bottom"/>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43"/>
        </w:trPr>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463,665</w:t>
            </w: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472,870</w:t>
            </w: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491,413</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3.75%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492,555</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955,078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965,425</w:t>
            </w:r>
          </w:p>
        </w:tc>
      </w:tr>
      <w:tr>
        <w:trPr>
          <w:trHeight w:val="270"/>
        </w:trPr>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(45,625)</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(42,500)</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909,453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922,925</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-908685</wp:posOffset>
            </wp:positionV>
            <wp:extent cx="703199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18034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-556895</wp:posOffset>
            </wp:positionV>
            <wp:extent cx="703199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1990" cy="18034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-205105</wp:posOffset>
            </wp:positionV>
            <wp:extent cx="703199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1990" cy="18859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360" w:space="720"/>
            <w:col w:w="6340"/>
          </w:cols>
          <w:pgMar w:left="240" w:top="368" w:right="239" w:bottom="1440" w:gutter="0" w:footer="0" w:header="0"/>
          <w:type w:val="continuous"/>
        </w:sectPr>
      </w:pPr>
    </w:p>
    <w:p>
      <w:pPr>
        <w:ind w:right="80" w:firstLine="648"/>
        <w:spacing w:after="0" w:line="286" w:lineRule="auto"/>
        <w:rPr>
          <w:sz w:val="20"/>
          <w:szCs w:val="20"/>
          <w:color w:val="auto"/>
        </w:rPr>
      </w:pPr>
      <w:r>
        <w:rPr>
          <w:rFonts w:ascii="Arial" w:cs="Arial" w:eastAsia="Arial" w:hAnsi="Arial"/>
          <w:sz w:val="17"/>
          <w:szCs w:val="17"/>
          <w:color w:val="auto"/>
        </w:rPr>
        <w:t>The Company maintained a senior secured credit agreement, as amended, with a syndicate of lenders. The senior secured credit agreement, as amended, provides for $1.0 billion in term loans ($500.0 million of Tranche A Loans and $500.0 million of Tranche B Loans) and a $275.0 million revolving credit facility. The loans under the senior secured credit agreement, as amended, are secured by substantially all of the Company’s assets.</w:t>
      </w:r>
    </w:p>
    <w:p>
      <w:pPr>
        <w:spacing w:after="0" w:line="1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senior secured agreement, as amended, requires quarterly principal payments of 1.25% of the stated principal amount of the Tranche A Loans, with annual incremental increases to 1.875%, 2.50%, 3.125%, and 16.25%, prior to the Tranche A Loans’ maturity date of February 3, 2016, and 0.25% of the stated principal amount of the Tranche B Loans, with the remaining balance payable on the Tranche B Loans’ maturity date of August 3, 2017. The revolving credit facility matures on July 31, 2014, at which time any outstanding principal balance is due in full. As of June 30, 2012 and March 31, 2012, there were no amounts outstanding on the revolving credit facility.</w:t>
      </w:r>
    </w:p>
    <w:p>
      <w:pPr>
        <w:spacing w:after="0" w:line="13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$4.3 million and $4.6 million as of June 30, 2012 and March 31, 2012, respectively.</w:t>
      </w:r>
    </w:p>
    <w:p>
      <w:pPr>
        <w:spacing w:after="0" w:line="1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senior secured credit agreement, as amended, requires the maintenance of certain financial and non-financial covenants. As of June 30, 2012 and March 31, 2012, the Company was in compliance with all of its covenants.</w:t>
      </w:r>
    </w:p>
    <w:p>
      <w:pPr>
        <w:spacing w:after="0" w:line="33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Effective July 31, 2012, the Company consummated a recapitalization transaction which included refinancing and termination of the existing senior secured credit agreement, as amended, with proceeds of the borrowings under its new senior secured agreement, or Recapitalization Transaction (refer to Note 14 for additional details).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effective income tax rate was 39.9% and 40.1% for the three months ended June 30, 2012 and 2011, respectively. The effective tax rate of 39.9% for the three months ended June 30, 2012 differs from the statutory rate of 35.0% due to state taxes and the effect of permanent rate differences, which primarily relate to meals and entertainment.</w:t>
      </w:r>
    </w:p>
    <w:p>
      <w:pPr>
        <w:spacing w:after="0" w:line="12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is also subject to taxes imposed by various taxing authorities including state and foreign jurisdictions. Tax years related to state and foreign jurisdictions that remain open and subject to examination are not considered to be material, or will be indemnified under the merger agreement as described in the Company's Annual Report.</w:t>
      </w:r>
    </w:p>
    <w:p>
      <w:pPr>
        <w:spacing w:after="0" w:line="339" w:lineRule="exact"/>
        <w:rPr>
          <w:sz w:val="20"/>
          <w:szCs w:val="20"/>
          <w:color w:val="auto"/>
        </w:rPr>
      </w:pPr>
    </w:p>
    <w:p>
      <w:pPr>
        <w:ind w:left="340" w:right="8740" w:hanging="332"/>
        <w:spacing w:after="0" w:line="346" w:lineRule="auto"/>
        <w:tabs>
          <w:tab w:leader="none" w:pos="19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spacing w:after="0" w:line="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recognized under ECAP for the three months ended June 30, 2012 and 2011 was $59.6 million and $59.2 million, respectively, and the Company-paid contributions were $41.3 million and $41.7 million,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type w:val="continuous"/>
        </w:sectPr>
      </w:pPr>
    </w:p>
    <w:bookmarkStart w:id="9" w:name="page10"/>
    <w:bookmarkEnd w:id="9"/>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maintains and administers a defined benefit retirement plan and a postretirement medical plan for current, retired, and resigned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1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Total expense for the Company’s Retired Officers’ Bonus Plan was $186,000 and $217,000 for the three months ended June 30, 2012 and 2011, respectively. The Retired Officers’ Bonus Plan is an unfunded plan and contributions are made as benefits are paid. As of June 30, 2012 and March 31, 2012, the accumulated liability of $4.8 million and $4.6 million, respectively, included in other long-term liabilities in the accompanying condensed consolidated balance sheets is unfunded.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352"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13335</wp:posOffset>
            </wp:positionV>
            <wp:extent cx="1903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7"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80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956</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769</w:t>
            </w:r>
          </w:p>
        </w:tc>
      </w:tr>
      <w:tr>
        <w:trPr>
          <w:trHeight w:val="27"/>
        </w:trPr>
        <w:tc>
          <w:tcPr>
            <w:tcW w:w="8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postretirement medical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June 30, 2012 and March 31, 2012, the unfunded status of the Officer Medical Plan was $65.3 million and $63.6 million, respectively, which is included in other long-term liabilities in the accompanying condensed consolidated balance sheets.</w:t>
      </w:r>
    </w:p>
    <w:p>
      <w:pPr>
        <w:spacing w:after="0" w:line="166" w:lineRule="exact"/>
        <w:rPr>
          <w:sz w:val="20"/>
          <w:szCs w:val="20"/>
          <w:color w:val="auto"/>
        </w:rPr>
      </w:pPr>
    </w:p>
    <w:p>
      <w:pPr>
        <w:ind w:left="340" w:right="8900" w:hanging="332"/>
        <w:spacing w:after="0" w:line="346" w:lineRule="auto"/>
        <w:tabs>
          <w:tab w:leader="none" w:pos="19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Non-Voting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2011</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122,784,835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3,053,130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2,028,270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12,348,860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1,080,245</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3,799,989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(2,208,793)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1,061,255</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(566,005)</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(495,250)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(1)</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333,775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2012</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128,726,324</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2,487,125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1,533,020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10,140,067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333,775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804,013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153,870</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16,300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(16,300)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2012</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129,700,507</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2,470,825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1,533,020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10,140,067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333,775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4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shares repurchased during the three months ended September 30, 2011 associated with the share surrender program that was limited to Rollover options that were required to be exercised between June 30, 2011 and September 15, 2011.</w:t>
      </w:r>
    </w:p>
    <w:p>
      <w:pPr>
        <w:spacing w:after="0" w:line="1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quarterly offering period that closed on June 30, 2012, 121,065 Class A Common Stock shares were purchased by employees under the ESPP.</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December 12, 2011, the Board of Directors approved a $30.0 million share repurchase program, to be funded from cash on hand. A special committee of the Board of Directors was appointed to evaluate market conditions and other relevant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1" w:right="239" w:bottom="1440" w:gutter="0" w:footer="0" w:header="0"/>
        </w:sectPr>
      </w:pPr>
    </w:p>
    <w:bookmarkStart w:id="10" w:name="page11"/>
    <w:bookmarkEnd w:id="10"/>
    <w:p>
      <w:pPr>
        <w:ind w:right="100"/>
        <w:spacing w:after="0" w:line="308" w:lineRule="auto"/>
        <w:rPr>
          <w:sz w:val="20"/>
          <w:szCs w:val="20"/>
          <w:color w:val="auto"/>
        </w:rPr>
      </w:pPr>
      <w:r>
        <w:rPr>
          <w:rFonts w:ascii="Arial" w:cs="Arial" w:eastAsia="Arial" w:hAnsi="Arial"/>
          <w:sz w:val="17"/>
          <w:szCs w:val="17"/>
          <w:color w:val="auto"/>
        </w:rPr>
        <w:t>factors and initiate repurchases under the program from time to time. The share repurchase program may be suspended, modified or discontinued at any time at the Company’s discretion without prior notice. As of June 30, 2012, no shares have been repurchased under the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363"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13335</wp:posOffset>
            </wp:positionV>
            <wp:extent cx="1938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3,056</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7,621</w:t>
            </w:r>
          </w:p>
        </w:tc>
      </w:tr>
      <w:tr>
        <w:trPr>
          <w:trHeight w:val="27"/>
        </w:trPr>
        <w:tc>
          <w:tcPr>
            <w:tcW w:w="6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6,762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10,677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June 30, 2012, there was $23.6 million of total unrecognized compensation cost related to unvested stock-based compensation agreements. The unrecognized compensation cost as of June 30, 2012 is expected to be amortized over the next 5.0 years.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Officers’ Rollover Stock Plan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months ended June 30, 2012, 136,200 shares of Class C Restricted Common Stock, or Class C Restricted Stock, vested. Total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recorded in conjunction with all Class C Restricted Stock for the three months ended June 30, 2012 and 2011 was $133,000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$593,000, respectively. Future compensation cost related to non-vested Class C Restricted Stock not yet recognized in the condensed consolidated statements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operations was $238,000, and is expected to be recognized over one year.</w:t>
      </w:r>
    </w:p>
    <w:p>
      <w:pPr>
        <w:spacing w:after="0" w:line="292" w:lineRule="exact"/>
        <w:rPr>
          <w:sz w:val="20"/>
          <w:szCs w:val="20"/>
          <w:color w:val="auto"/>
        </w:rPr>
      </w:pPr>
    </w:p>
    <w:p>
      <w:pPr>
        <w:ind w:right="360" w:firstLine="648"/>
        <w:spacing w:after="0" w:line="273" w:lineRule="auto"/>
        <w:rPr>
          <w:sz w:val="20"/>
          <w:szCs w:val="20"/>
          <w:color w:val="auto"/>
        </w:rPr>
      </w:pPr>
      <w:r>
        <w:rPr>
          <w:rFonts w:ascii="Arial" w:cs="Arial" w:eastAsia="Arial" w:hAnsi="Arial"/>
          <w:sz w:val="17"/>
          <w:szCs w:val="17"/>
          <w:color w:val="auto"/>
        </w:rPr>
        <w:t>A portion of the old stock rights held by Booz Allen Hamilton Inc.’s U.S. government consulting partners issued under the stock rights plan that existed for Booz Allen Hamilton Inc.’s officers prior to the merger transaction, as described in the Company’s Annual Report, were exchanged for new options, or Rollover Options. As of June 30, 2012, there were 9,437,076 Rollover Options outstanding, of which 1,879,375 options were unvested. Total compensation expense recorded in conjunction with all Rollover Options for the three months ended June 30, 2012 and 2011 was $1.2 million and $5.1 million, respectively. Future compensation cost related to non-vested Rollover Options not yet recognized in the condensed consolidated statements of operations was $2.3 million, and is expected to be recognized over one year.</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9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April 1, 2012 and May 30, 2012, 745,000 and 20,000 options, respectively, were granted under the Amended and Restated Equity Incentive Plan, or EIP. The estimated fair value of our Class A Common Stock on April 1, 2012 and May 30, 2012, at the time of the option grant, was $17.03 and $16.86, respectively.</w:t>
      </w:r>
    </w:p>
    <w:p>
      <w:pPr>
        <w:spacing w:after="0" w:line="12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 of June 30, 2012, there were 11,936,334 EIP options outstanding, of which 5,550,516 were unvested. Total compensation expense recorded in conjunction with EIP options for the three months ended June 30, 2012 and 2011 was $4.1 million and $4.9 million respectively. Future compensation cost related to non-vested EIP options not yet recognized in the condensed consolidated statements of operations was $18.0 million, and is expected to be recognized over 5.0 years.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Grants of Class A Restricted Common Stock</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June 29, 2012, the Board of Directors granted 674,456 shares of Class A Restricted Stock in conjunction with the new Annual Incentive Plan adopted on October 1, 2010. The amount of the annual incentive payment was determined based on performance targets established by the Compensation Committee and a portion of the bonus was paid in the form of Class A Restricted Stock.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and the aggregate value was estimated at $10.3 million based on the stock price of $15.28 on the grant date.</w:t>
      </w:r>
    </w:p>
    <w:p>
      <w:pPr>
        <w:spacing w:after="0" w:line="13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Total compensation expense recorded in conjunction with total Class A Restricted Stock for the three months ended June 30, 2012 was $1.2 million. Future compensation cost related to this award not yet recognized in the condensed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49"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consolidated statements of operations was $3.1 million and is expected to be recognized over the next 3.0 years.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29, 2012, our Board of Directors authorized and declared a regular quarterly cash dividend in the amount of $0.09 per share. In addition, the Board of Directors declared a special cash dividend of $1.50 per share. Both the quarterly and special dividend were paid on June 29, 2012 to shareholders of record on June 11, 2012. The Compensation Committee, as the Administrator of the Officers' Rollover Stock Plan and the Amended and Restated Equity Incentive Plan, made a required adjustment to the outstanding options under each plan by reducing the exercise price of the Rollover Options by the amount of the special dividend and by granting the holders of EIP options a dividend equivalent equal to the special dividend and payable on June 29, 2012 or the vesting of the EIP option, whichever is later.</w:t>
      </w:r>
    </w:p>
    <w:p>
      <w:pPr>
        <w:spacing w:after="0" w:line="2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of June 30, 2012 and March 31, 2012, the Company recorded a stock-based compensation liability of $37.2 million and $27.7 million, respectively, in other long-term liabilities, related to the reduction in stock option exercise price associated with special dividends paid in December 2009 and June 2012. The Company also recorded a stock-based compensation liability of $16.2 million and $8.9 million as of June 30, 2012 and March 31, 2012, respectively in accrued compensation and benefits, which represents the amounts of the reduction in stock option exercise price expected to be paid within one year. Rollover options vested and not yet exercised that would have had an exercise price below zero as a result of the dividend were reduced to one cent, with the remaining reduction to be paid in cash upon exercise of the Rollover Options. Payment of the special June 2012 dividends to EIP option holders was linked to vesting. On June 29, 2012, only vested outstanding EIP options received a cash payment of $9.7 million. Future cash payments of $8.3 million associated with the June 2012 special dividend will be paid to EIP option holders on the record date as they vest. As of June 30, 2012, $3.9 million of the $8.3 million was included in the stock-based compensation liability in accrued compensation and benefits. Refer to the Company's Annual Report for further discussion of the dividend paid in December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2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fair value of the Company's cash and cash equivalents, trade accounts receivable, and accounts payable approximates its carrying value at June 30, 2012 and March 31, 2012 because of the short-term nature of these amounts. The fair value of the Company's debt instruments approximates its carrying value at June 30, 2012 and March 31, 2012. The fair value of debt is determined based on interest rates available for debt with terms and maturities similar to the Company's existing debt arrangements.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TRANSACTIONS</w:t>
      </w:r>
    </w:p>
    <w:p>
      <w:pPr>
        <w:spacing w:after="0" w:line="9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is an affiliate of Carlyle and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June 30, 2012 were $150,000 and $144,000, respectively. Revenue and cost associated with these related parties for the three months ended June 30, 2011 were $603,000 and $547,000, respectively.</w:t>
      </w:r>
    </w:p>
    <w:p>
      <w:pPr>
        <w:spacing w:after="0" w:line="10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For the three months ended June 30, 2012 and 2011, the Company incurred $250,000 in advisory fees.</w:t>
      </w:r>
    </w:p>
    <w:p>
      <w:pPr>
        <w:spacing w:after="0" w:line="183" w:lineRule="exact"/>
        <w:rPr>
          <w:sz w:val="20"/>
          <w:szCs w:val="20"/>
          <w:color w:val="auto"/>
        </w:rPr>
      </w:pPr>
    </w:p>
    <w:p>
      <w:pPr>
        <w:ind w:left="340" w:right="7680" w:hanging="332"/>
        <w:spacing w:after="0" w:line="346" w:lineRule="auto"/>
        <w:tabs>
          <w:tab w:leader="none" w:pos="28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 July 2008 merger transaction, as described in the Company’s Annual Report, the Company assigned a total of nine leases to Booz &amp; Co. The facilities are located in New York, New York; Troy, Michigan; Florham Park, New Jersey; Parsippany, New Jersey; Houston, Texas; Chicago, Illinois; Cleveland, Ohio; Dallas, Texas; and London, England. Except for the Houston, Cleveland and Dallas leases, which expired, the Company remains liable under the terms of the original leases should Booz &amp; Co. default on its obligations. There were no events of default under these leases as of June 30, 2012 and March 31, 2012. The maximum potential amount of undiscounted future payments is $33.1 million, and the leases expire at different dates between February 2013 and March 2017. Based on the Company’s assessment of the likelihood of future payment, no amounts have been recorded related to the Company’s contingent liability on such leases.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30" w:right="25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the three months ended June 30, 2012 and 2011, approximately 98% and 97% respectively, of the Company’s revenue was generated from contracts with U.S. government agencies or other U.S. government contractors.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2006. Audits of subsequent years may result in cost reductions and/or penalties. Management believes it has adequately reserved for any losses that may be experienced from any such reductions and/or penalties. As of June 30, 2012 and March 31, 2012, the Company has recorded a liability of approximately $137.9 million and $127.2 million, respectively, for its current best estimate of net amounts to be refunded to customers for potential adjustments from such audits or reviews of contract costs incurred subsequent to fiscal year 2006.</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have a reasonably estimated outcome within that range,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w:t>
      </w:r>
    </w:p>
    <w:p>
      <w:pPr>
        <w:spacing w:after="0" w:line="13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Six former officers and stockholders who had departed the firm prior to the acquisition, as described in the Company’s Annual Report,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As of June 30, 2012 and March 31, 2012, the aggregate alleged damages sought in the seven remaining suits was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July 30, 2012, our Board of Directors authorized and declared a special cash dividend of $6.50 per share and a regular quarterly cash dividend in the amount of $0.09 per share. The dividends will be paid on August 31, 2012 to shareholders of record on August 13, 2012 for the special cash dividend and August 14, 2012 for the regular quarterly cash dividend. The Board of Directors, as the Administrator of the Officers' Rollover Stock Plan and the Equity Incentive Plan, made a determination to adjust the outstanding options under each plan. Holders of the Rollover Options will receive a cash payment equal to the amount of the special dividend on the options' mandatory exercise date. Holders of Equity Incentive Plan options with a pre-dividend exercise price less than $11 per share will receive a dividend equivalent equal to the amount of the special dividend payable on August 31, 2012 or the vesting of the Equity Incentive Plan option, whichever is later. All other Equity Incentive Plan options will be adjusted by reducing the exercise price by an amount equal to the excess of the pre-dividend fair market value of our Class A Common Stock over the post-dividend fair market value of our Class A Common Stock.</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July 31, 2012, the Company consummated the Recapitalization Transaction, which included the refinancing and termination of the Company's existing senior secured credit agreement with the proceeds of the borrowings under the Company's new</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11" w:right="259" w:bottom="1440" w:gutter="0" w:footer="0" w:header="0"/>
        </w:sectPr>
      </w:pPr>
    </w:p>
    <w:bookmarkStart w:id="13" w:name="page14"/>
    <w:bookmarkEnd w:id="13"/>
    <w:p>
      <w:pPr>
        <w:spacing w:after="0" w:line="269" w:lineRule="auto"/>
        <w:rPr>
          <w:sz w:val="20"/>
          <w:szCs w:val="20"/>
          <w:color w:val="auto"/>
        </w:rPr>
      </w:pPr>
      <w:r>
        <w:rPr>
          <w:rFonts w:ascii="Arial" w:cs="Arial" w:eastAsia="Arial" w:hAnsi="Arial"/>
          <w:sz w:val="17"/>
          <w:szCs w:val="17"/>
          <w:color w:val="auto"/>
        </w:rPr>
        <w:t>senior secured agreement, or the New Credit Agreement. Additionally the net proceeds of the Recapitalization Transaction will be used to pay the special dividend on August 31, 2012, as further described in the immediately preceding paragraph. The New Credit Agreement provided the Company with a $725 million term loan A tranche and a $1,025 million term loan B tranche, a $500 million revolving credit facility with a sublimit for letters of credit. The outstanding obligations under the New Credit Agreement are secured by a security interest in substantially all of the assets of the Company, subject to certain exceptions set forth in the New Credit Agreement and related documentation. In connection with the Recapitalization Transaction, the Company used approximately $36 million of cash on hand to pay fees and expenses. The Company expects to write-off the amortization of ratable portions of the Debt Issuance Costs (or DIC) and Original Issuance Discount (or OID) associated with the senior secured term loan facilities and portions of the DIC and OID of the New Credit Agreement that do not qualify for deferral of approximately $8.0 to $14.0 million . These amounts will be reflected in other expense, net in the three months ended September 30, 2012. Furthermore, the Company expensed third party debt issuance costs of approximately $1.0 to $2.0 million that did not qualify for deferral and will be reflected in general and administrative costs in the three months ended September 30, 2012. Immediately following the Recapitalization Transactions, the Company's current debt approximates $34.9 million, which represents the repayments of principal due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30" w:right="25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2012 filed with the Securities and Exchange Commission on May 30, 2012,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Our fiscal year ends March 31 and, unless otherwise noted, references to years or fiscal are for fiscal years ended March 31. See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leading provider of management and technology consulting services to the U.S. government in the defense, intelligence, and civil markets. Additionally, we provide management and technology consulting services to major corporations, institutions, and not for profit organizations. As the needs of our clients have grown more complex, we have developed deep expertise in technology, engineering, and analytics. Leveraging our 98-year consulting heritage and a talent base of approximately 24,100 people, we deploy our deep domain knowledge, functional expertise, and experience to help our clients achieve their objectives.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w:t>
      </w:r>
    </w:p>
    <w:p>
      <w:pPr>
        <w:spacing w:after="0" w:line="1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a collaborative culture, supported by our operating model, which helps our professionals identify and respond to emerging trends across the markets we serve and deliver enduring results for our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decreased 1.0% from the three months ended June 30, 2011 to the three months ended June 30, 2012, primarily due to a decrease in revenue attributable to billable expenses and a lower rate of indirect expenses which reduces revenue under cost reimbursable contracts. The lower rate of indirect expenses is primarily attributable to the cost reduction actions the Company implemented in late fiscal 2012. The negative impact on revenue attributable to these two factors was partially offset by continued modest growth in direct consulting staff labor sold. Direct consulting staff labor represents our consulting staff’s labor under contracts for which we act as a prime contractor or subcontractor. Substantially all of our revenue and backlog is derived from services and solutions provided to client organizations across the U.S. government, primarily by our consulting staff and, to a lesser extent, our subcontractors. The mix of revenue generated by consulting staff and subcontractors affects our operating margin, substantially all of which is derived from direct consulting staff labor, as the portion of our revenue derived from fees we earn on services provided by our subcontractors is not significant.</w:t>
      </w:r>
    </w:p>
    <w:p>
      <w:pPr>
        <w:spacing w:after="0" w:line="11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Operating income grew 16.9% to $114.7 million in the three months ended June 30, 2012 from $98.1 million in the three months ended June 30, 2011, which reflects a 120 basis point increase in operating margin to 8.0% from 6.8% in the comparable periods. The improvement in operating margin was due to increased contract profitability due to disciplined cost management of indirect spending, as well as decreases in stock-based and incentive compensation costs and lower amortization of our intangible assets. The factors contributing to the increased operating margin were partially offset by increases in depreciation and amortization expense due to facility expansion in previous years, causing a higher increase in depreciation for fiscal 2013.</w:t>
      </w:r>
    </w:p>
    <w:p>
      <w:pPr>
        <w:spacing w:after="0" w:line="10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Cash provided by operations increased $20.2 million to $74.0 million from $53.8 million. The increase in cash provided by operations was a result of overall profitability of our contracts, our ability to invoice and collect from clients in a timely manner, and our effective management of vendor payments.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36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cash flows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generated from operating activities as a measure of liquidity, each as defined under GAAP. We have defined the aforementioned non-GAAP measures as follows:</w:t>
      </w:r>
    </w:p>
    <w:p>
      <w:pPr>
        <w:spacing w:after="0" w:line="200" w:lineRule="exact"/>
        <w:rPr>
          <w:sz w:val="20"/>
          <w:szCs w:val="20"/>
          <w:color w:val="auto"/>
        </w:rPr>
      </w:pPr>
    </w:p>
    <w:p>
      <w:pPr>
        <w:spacing w:after="0" w:line="244" w:lineRule="exact"/>
        <w:rPr>
          <w:sz w:val="20"/>
          <w:szCs w:val="20"/>
          <w:color w:val="auto"/>
        </w:rPr>
      </w:pPr>
    </w:p>
    <w:p>
      <w:pPr>
        <w:ind w:left="1300" w:right="20" w:hanging="644"/>
        <w:spacing w:after="0" w:line="302"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08" w:lineRule="exact"/>
        <w:rPr>
          <w:rFonts w:ascii="Arial" w:cs="Arial" w:eastAsia="Arial" w:hAnsi="Arial"/>
          <w:sz w:val="16"/>
          <w:szCs w:val="16"/>
          <w:color w:val="auto"/>
        </w:rPr>
      </w:pPr>
    </w:p>
    <w:p>
      <w:pPr>
        <w:ind w:left="1300" w:hanging="644"/>
        <w:spacing w:after="0" w:line="297"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212" w:lineRule="exact"/>
        <w:rPr>
          <w:rFonts w:ascii="Arial" w:cs="Arial" w:eastAsia="Arial" w:hAnsi="Arial"/>
          <w:sz w:val="16"/>
          <w:szCs w:val="16"/>
          <w:color w:val="auto"/>
        </w:rPr>
      </w:pPr>
    </w:p>
    <w:p>
      <w:pPr>
        <w:ind w:left="1300" w:right="120" w:hanging="644"/>
        <w:spacing w:after="0" w:line="293"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218" w:lineRule="exact"/>
        <w:rPr>
          <w:rFonts w:ascii="Arial" w:cs="Arial" w:eastAsia="Arial" w:hAnsi="Arial"/>
          <w:sz w:val="16"/>
          <w:szCs w:val="16"/>
          <w:color w:val="auto"/>
        </w:rPr>
      </w:pPr>
    </w:p>
    <w:p>
      <w:pPr>
        <w:ind w:left="130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3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07" w:right="259" w:bottom="144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14"/>
                <w:szCs w:val="14"/>
                <w:b w:val="1"/>
                <w:bCs w:val="1"/>
                <w:color w:val="auto"/>
                <w:w w:val="92"/>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3"/>
          </w:tcPr>
          <w:p>
            <w:pPr>
              <w:jc w:val="center"/>
              <w:ind w:left="733"/>
              <w:spacing w:after="0"/>
              <w:rPr>
                <w:sz w:val="20"/>
                <w:szCs w:val="20"/>
                <w:color w:val="auto"/>
              </w:rPr>
            </w:pPr>
            <w:r>
              <w:rPr>
                <w:rFonts w:ascii="Arial" w:cs="Arial" w:eastAsia="Arial" w:hAnsi="Arial"/>
                <w:sz w:val="14"/>
                <w:szCs w:val="14"/>
                <w:b w:val="1"/>
                <w:bCs w:val="1"/>
                <w:color w:val="auto"/>
                <w:w w:val="97"/>
              </w:rPr>
              <w:t>(Unaudited)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114,736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98,122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120,262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109,110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&amp; Adjusted EBITDA</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51,136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41,062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18,503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17,858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115,980</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135,632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122,877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51,136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(b)</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Amortization or write-off of debt issuance costs and write-off of original issue discount</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 of income tax reserves (c)</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Adjustments for tax effect (d)</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65,979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57,981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142,677,037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139,922,465</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Adjusted Net Income Per Diluted Share (e)</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74,043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53,844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(17,601)</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70,074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36,243</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0" w:hanging="652"/>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release of income tax reserves.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9" w:lineRule="exact"/>
        <w:rPr>
          <w:rFonts w:ascii="Arial" w:cs="Arial" w:eastAsia="Arial" w:hAnsi="Arial"/>
          <w:sz w:val="18"/>
          <w:szCs w:val="18"/>
          <w:color w:val="auto"/>
        </w:rPr>
      </w:pPr>
    </w:p>
    <w:p>
      <w:pPr>
        <w:ind w:left="660" w:right="100" w:hanging="652"/>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an adjustment of approximately $1.3 million of net earnings associated with the application of the two-class method for computing diluted earnings per share.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recent developments occurred after June 30, 2012, which may cause our future results of operations to differ</w:t>
      </w:r>
    </w:p>
    <w:p>
      <w:pPr>
        <w:sectPr>
          <w:pgSz w:w="11900" w:h="16838" w:orient="portrait"/>
          <w:cols w:equalWidth="0" w:num="1">
            <w:col w:w="11420"/>
          </w:cols>
          <w:pgMar w:left="240" w:top="85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854"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from our historical results of operations discussed under “— Results of Operations.”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July 30, 2012 our Board of Directors authorized and declared a special cash dividend of $6.50 per share and a regular quarterly cash dividend in the amount of $0.09 per share. Both the special dividend and quarterly dividends are payable on August 31, 2012 to shareholders on record on August 13, 2012 for the special dividend and August 14, 2012 for the quarterly dividend.</w:t>
      </w:r>
    </w:p>
    <w:p>
      <w:pPr>
        <w:spacing w:after="0" w:line="34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Additionally, on July 30, 2012 the Board of Directors approved a recapitalization transaction, which included the refinancing and termination of the Company's existing senior secured credit agreement with the proceeds of the borrowings under a new senior secured agreement, or the Recapitalization Agreement, and the payment on August 31, 2012 of a special dividend of $6.50 per share. The Company consummated this Recapitalization Transaction on July 31, 2012. The net proceeds remaining after the recapitalization, together with cash on hand, will be used principally to pay the special dividend of $6.50 per share. Refer to the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and </w:t>
      </w:r>
      <w:r>
        <w:rPr>
          <w:rFonts w:ascii="Arial" w:cs="Arial" w:eastAsia="Arial" w:hAnsi="Arial"/>
          <w:sz w:val="16"/>
          <w:szCs w:val="16"/>
          <w:i w:val="1"/>
          <w:iCs w:val="1"/>
          <w:color w:val="auto"/>
        </w:rPr>
        <w:t>Indebtedness</w:t>
      </w:r>
      <w:r>
        <w:rPr>
          <w:rFonts w:ascii="Arial" w:cs="Arial" w:eastAsia="Arial" w:hAnsi="Arial"/>
          <w:sz w:val="16"/>
          <w:szCs w:val="16"/>
          <w:color w:val="auto"/>
        </w:rPr>
        <w:t xml:space="preserve"> sections for further discussions respectively.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cutting and efficiency initiatives and other efforts to streamline the U.S. defense and intelligence infrastructure, including the initiatives implemented by the Secretary of Defense or reductions in defense budgets resulting from Congressional action;</w:t>
      </w:r>
    </w:p>
    <w:p>
      <w:pPr>
        <w:spacing w:after="0" w:line="116"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absence of Congressional action to the contrary, material reductions in defense budgets resulting from the commencement on January 2, 2013 of automatic sequestration as required under the Budget Control Act of 2011;</w:t>
      </w:r>
    </w:p>
    <w:p>
      <w:pPr>
        <w:spacing w:after="0" w:line="116"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completion of the U.S. government’s budget process, which has in the past and could in the future delay procurement of the products, services, and solutions we provide;</w:t>
      </w:r>
    </w:p>
    <w:p>
      <w:pPr>
        <w:spacing w:after="0" w:line="116"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existing and proposed fiscal constraints by the U.S. government and uncertainty about the size of future budget reductions may cause clients to invest appropriated funds on a less consistent or rapid basis, or not at all, particularly when considering long-term initiatives, not issue task orders in sufficient volume to reach current contract ceilings, and delay requests for new proposals and contract awards, relying on short-term extensions of current contracts instead;</w:t>
      </w:r>
    </w:p>
    <w:p>
      <w:pPr>
        <w:spacing w:after="0" w:line="132"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will continue to drive pockets of insourcing in various agencies, particularly in the intelligence market;</w:t>
      </w:r>
    </w:p>
    <w:p>
      <w:pPr>
        <w:spacing w:after="0" w:line="116" w:lineRule="exact"/>
        <w:rPr>
          <w:rFonts w:ascii="Arial" w:cs="Arial" w:eastAsia="Arial" w:hAnsi="Arial"/>
          <w:sz w:val="18"/>
          <w:szCs w:val="18"/>
          <w:color w:val="auto"/>
        </w:rPr>
      </w:pPr>
    </w:p>
    <w:p>
      <w:pPr>
        <w:ind w:left="1300" w:right="220" w:hanging="644"/>
        <w:spacing w:after="0" w:line="31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92" w:lineRule="exact"/>
        <w:rPr>
          <w:rFonts w:ascii="Arial" w:cs="Arial" w:eastAsia="Arial" w:hAnsi="Arial"/>
          <w:sz w:val="16"/>
          <w:szCs w:val="16"/>
          <w:color w:val="auto"/>
        </w:rPr>
      </w:pPr>
    </w:p>
    <w:p>
      <w:pPr>
        <w:ind w:left="1300" w:right="3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by the U.S. government on the ability of federal agencies to use lead system integrators, 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8" w:name="page19"/>
    <w:bookmarkEnd w:id="18"/>
    <w:p>
      <w:pPr>
        <w:ind w:left="1300" w:right="160"/>
        <w:spacing w:after="0" w:line="324" w:lineRule="auto"/>
        <w:rPr>
          <w:sz w:val="20"/>
          <w:szCs w:val="20"/>
          <w:color w:val="auto"/>
        </w:rPr>
      </w:pPr>
      <w:r>
        <w:rPr>
          <w:rFonts w:ascii="Arial" w:cs="Arial" w:eastAsia="Arial" w:hAnsi="Arial"/>
          <w:sz w:val="18"/>
          <w:szCs w:val="18"/>
          <w:color w:val="auto"/>
        </w:rPr>
        <w:t>response to cost, schedule and performance problems with large defense acquisition programs where contractors were performing the lead system integrator role;</w:t>
      </w:r>
    </w:p>
    <w:p>
      <w:pPr>
        <w:spacing w:after="0" w:line="89" w:lineRule="exact"/>
        <w:rPr>
          <w:sz w:val="20"/>
          <w:szCs w:val="20"/>
          <w:color w:val="auto"/>
        </w:rPr>
      </w:pPr>
    </w:p>
    <w:p>
      <w:pPr>
        <w:ind w:left="130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 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the trends identified above; and</w:t>
      </w:r>
    </w:p>
    <w:p>
      <w:pPr>
        <w:spacing w:after="0" w:line="194"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could impose an estimated $500 to $600 billion in automatic federal defense spending cuts between 2013 and 2021 to the extent that automatic sequestration required by the act commences on January 2, 2013. A reduction in the amount of services that we are contracted to provide to the Department of Defense could have a material adverse effect on our business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60" w:hanging="655"/>
        <w:spacing w:after="0" w:line="291" w:lineRule="auto"/>
        <w:tabs>
          <w:tab w:leader="none" w:pos="19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contract, up to a ceiling based on the amount that has been funded, plus a fee.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9" w:lineRule="exact"/>
        <w:rPr>
          <w:rFonts w:ascii="Arial" w:cs="Arial" w:eastAsia="Arial" w:hAnsi="Arial"/>
          <w:sz w:val="16"/>
          <w:szCs w:val="16"/>
          <w:color w:val="auto"/>
        </w:rPr>
      </w:pPr>
    </w:p>
    <w:p>
      <w:pPr>
        <w:ind w:left="1960" w:hanging="655"/>
        <w:spacing w:after="0" w:line="259" w:lineRule="auto"/>
        <w:tabs>
          <w:tab w:leader="none" w:pos="19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294" w:lineRule="exact"/>
        <w:rPr>
          <w:rFonts w:ascii="Arial" w:cs="Arial" w:eastAsia="Arial" w:hAnsi="Arial"/>
          <w:sz w:val="18"/>
          <w:szCs w:val="18"/>
          <w:i w:val="1"/>
          <w:iCs w:val="1"/>
          <w:color w:val="auto"/>
        </w:rPr>
      </w:pPr>
    </w:p>
    <w:p>
      <w:pPr>
        <w:ind w:left="1960" w:right="20" w:hanging="655"/>
        <w:spacing w:after="0" w:line="276" w:lineRule="auto"/>
        <w:tabs>
          <w:tab w:leader="none" w:pos="19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Fixed-Price Contracts. </w:t>
      </w:r>
      <w:r>
        <w:rPr>
          <w:rFonts w:ascii="Arial" w:cs="Arial" w:eastAsia="Arial" w:hAnsi="Arial"/>
          <w:sz w:val="17"/>
          <w:szCs w:val="17"/>
          <w:color w:val="auto"/>
        </w:rPr>
        <w:t>Under a fixed-price contract, we agree to perform the specified work for a pre-determined price.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our actual costs vary from the estimates 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sectPr>
      </w:pPr>
    </w:p>
    <w:bookmarkStart w:id="19" w:name="page20"/>
    <w:bookmarkEnd w:id="19"/>
    <w:p>
      <w:pPr>
        <w:spacing w:after="0" w:line="276" w:lineRule="auto"/>
        <w:rPr>
          <w:sz w:val="20"/>
          <w:szCs w:val="20"/>
          <w:color w:val="auto"/>
        </w:rPr>
      </w:pPr>
      <w:r>
        <w:rPr>
          <w:rFonts w:ascii="Arial" w:cs="Arial" w:eastAsia="Arial" w:hAnsi="Arial"/>
          <w:sz w:val="17"/>
          <w:szCs w:val="17"/>
          <w:color w:val="auto"/>
        </w:rPr>
        <w:t>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52"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13335</wp:posOffset>
            </wp:positionV>
            <wp:extent cx="1938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8700" w:type="dxa"/>
            <w:vAlign w:val="bottom"/>
            <w:gridSpan w:val="2"/>
          </w:tcPr>
          <w:p>
            <w:pPr>
              <w:ind w:left="8300"/>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34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340" w:type="dxa"/>
            <w:vAlign w:val="bottom"/>
          </w:tcPr>
          <w:p>
            <w:pPr>
              <w:spacing w:after="0"/>
              <w:rPr>
                <w:sz w:val="21"/>
                <w:szCs w:val="21"/>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color w:val="auto"/>
              </w:rPr>
              <w:t>Time-and-materials</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3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391"/>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(1)</w:t>
            </w:r>
          </w:p>
        </w:tc>
        <w:tc>
          <w:tcPr>
            <w:tcW w:w="8700" w:type="dxa"/>
            <w:vAlign w:val="bottom"/>
            <w:gridSpan w:val="2"/>
          </w:tcPr>
          <w:p>
            <w:pPr>
              <w:ind w:left="320"/>
              <w:spacing w:after="0"/>
              <w:rPr>
                <w:sz w:val="20"/>
                <w:szCs w:val="20"/>
                <w:color w:val="auto"/>
              </w:rPr>
            </w:pPr>
            <w:r>
              <w:rPr>
                <w:rFonts w:ascii="Arial" w:cs="Arial" w:eastAsia="Arial" w:hAnsi="Arial"/>
                <w:sz w:val="18"/>
                <w:szCs w:val="18"/>
                <w:color w:val="auto"/>
              </w:rPr>
              <w:t>Includes both cost-plus-fixed-fee and cost-plus-award-fee contracts.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(2)</w:t>
            </w:r>
          </w:p>
        </w:tc>
        <w:tc>
          <w:tcPr>
            <w:tcW w:w="8700" w:type="dxa"/>
            <w:vAlign w:val="bottom"/>
            <w:gridSpan w:val="2"/>
          </w:tcPr>
          <w:p>
            <w:pPr>
              <w:ind w:left="320"/>
              <w:spacing w:after="0"/>
              <w:rPr>
                <w:sz w:val="20"/>
                <w:szCs w:val="20"/>
                <w:color w:val="auto"/>
              </w:rPr>
            </w:pPr>
            <w:r>
              <w:rPr>
                <w:rFonts w:ascii="Arial" w:cs="Arial" w:eastAsia="Arial" w:hAnsi="Arial"/>
                <w:sz w:val="18"/>
                <w:szCs w:val="18"/>
                <w:color w:val="auto"/>
              </w:rPr>
              <w:t>Includes fixed-price level of effort contracts.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and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contains an optimal mix of skills to meet the rapidly evolving needs of our clients and we seek to achieve that result through recruitment and capacity management. As of June 30, 2012 and 2011, we employed approximately 24,100 and 25,000 people, respectively, of which approximately 22,000 and 22,500, respectively, were consulting staff. Attrition for consulting staff was 24.9% and 18.4% during the twelve months ended June 30, 2012 and 2011,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333" w:lineRule="exact"/>
        <w:rPr>
          <w:sz w:val="20"/>
          <w:szCs w:val="20"/>
          <w:color w:val="auto"/>
        </w:rPr>
      </w:pPr>
    </w:p>
    <w:p>
      <w:pPr>
        <w:ind w:left="1300" w:right="7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27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20" w:name="page21"/>
    <w:bookmarkEnd w:id="20"/>
    <w:p>
      <w:pPr>
        <w:ind w:left="1300" w:right="180"/>
        <w:spacing w:after="0" w:line="324" w:lineRule="auto"/>
        <w:rPr>
          <w:sz w:val="20"/>
          <w:szCs w:val="20"/>
          <w:color w:val="auto"/>
        </w:rPr>
      </w:pPr>
      <w:r>
        <w:rPr>
          <w:rFonts w:ascii="Arial" w:cs="Arial" w:eastAsia="Arial" w:hAnsi="Arial"/>
          <w:sz w:val="18"/>
          <w:szCs w:val="18"/>
          <w:color w:val="auto"/>
        </w:rPr>
        <w:t>periods under existing contracts that may be exercised at our clients’ option and for which funding has not been appropriated or otherwise authorized.</w:t>
      </w:r>
    </w:p>
    <w:p>
      <w:pPr>
        <w:spacing w:after="0" w:line="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352"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20"/>
        <w:spacing w:after="0"/>
        <w:tabs>
          <w:tab w:leader="none" w:pos="90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23495</wp:posOffset>
            </wp:positionV>
            <wp:extent cx="546290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6290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Funded</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2,450</w:t>
            </w: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5,802</w:t>
            </w:r>
          </w:p>
        </w:tc>
      </w:tr>
      <w:tr>
        <w:trPr>
          <w:trHeight w:val="27"/>
        </w:trPr>
        <w:tc>
          <w:tcPr>
            <w:tcW w:w="5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a reduction by management to the revenue value of orders for services under two existing single award ID/IQ contracts based on an established pattern of funding under these contracts by the U.S. government.</w:t>
      </w:r>
    </w:p>
    <w:p>
      <w:pPr>
        <w:spacing w:after="0" w:line="1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decreased by 9% from June 30, 2011 to June 30, 2012, while funded backlog increased 5% from June 30, 2011 to June 30, 2012. Additions to funded backlog during the twelve months ended June 30, 2012 totaled $6.0 billion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4.9% of funded backlog as of the end of any of the eight fiscal quarters preceding the fiscal quarter ended June 30, 2012.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19" w:right="239" w:bottom="1440" w:gutter="0" w:footer="0" w:header="0"/>
        </w:sectPr>
      </w:pPr>
    </w:p>
    <w:bookmarkStart w:id="21" w:name="page22"/>
    <w:bookmarkEnd w:id="21"/>
    <w:p>
      <w:pPr>
        <w:ind w:right="160"/>
        <w:spacing w:after="0" w:line="259" w:lineRule="auto"/>
        <w:rPr>
          <w:sz w:val="20"/>
          <w:szCs w:val="20"/>
          <w:color w:val="auto"/>
        </w:rPr>
      </w:pPr>
      <w:r>
        <w:rPr>
          <w:rFonts w:ascii="Arial" w:cs="Arial" w:eastAsia="Arial" w:hAnsi="Arial"/>
          <w:sz w:val="18"/>
          <w:szCs w:val="18"/>
          <w:color w:val="auto"/>
        </w:rPr>
        <w:t>new contracts, task orders, and additional work under our existing contracts, and the hiring of people with specific skill sets and security clearances as required by our additional work. In conjunction with our initial public offering, our Board of Directors adopted a new equity compensation plan. The equity compensation component of the new plan has reduced officer-related compensation expense included in cost of revenue and general and administrative expenses over the near term with such expense reduction to reverse over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224"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224"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8"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3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775"/>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7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1"/>
                <w:szCs w:val="21"/>
                <w:color w:val="auto"/>
              </w:rPr>
            </w:pPr>
          </w:p>
        </w:tc>
        <w:tc>
          <w:tcPr>
            <w:tcW w:w="11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1,432,424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1,446,836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727,370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726,831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378,460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392,190</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211,835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18,503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17,858</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1,317,688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1,348,714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114,736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98,122</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 and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103,007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85,386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41,062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34,250</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61,945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51,136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40"/>
        <w:spacing w:after="0" w:line="305" w:lineRule="auto"/>
        <w:rPr>
          <w:sz w:val="20"/>
          <w:szCs w:val="20"/>
          <w:color w:val="auto"/>
        </w:rPr>
      </w:pPr>
      <w:r>
        <w:rPr>
          <w:rFonts w:ascii="Arial" w:cs="Arial" w:eastAsia="Arial" w:hAnsi="Arial"/>
          <w:sz w:val="18"/>
          <w:szCs w:val="18"/>
          <w:b w:val="1"/>
          <w:bCs w:val="1"/>
          <w:i w:val="1"/>
          <w:iCs w:val="1"/>
          <w:color w:val="auto"/>
        </w:rPr>
        <w:t xml:space="preserve">Three Months Ended June 30, 2012 Compared to Three Months Ended June 30, 2011 </w:t>
      </w:r>
      <w:r>
        <w:rPr>
          <w:rFonts w:ascii="Arial" w:cs="Arial" w:eastAsia="Arial" w:hAnsi="Arial"/>
          <w:sz w:val="18"/>
          <w:szCs w:val="18"/>
          <w:i w:val="1"/>
          <w:iCs w:val="1"/>
          <w:color w:val="auto"/>
        </w:rPr>
        <w:t>Revenue</w:t>
      </w:r>
    </w:p>
    <w:p>
      <w:pPr>
        <w:spacing w:after="0" w:line="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Revenue decreased to $1,432.4 million from $1,446.8 million, or a 1.0% decrease. The decrease was primarily driven by a decrease in revenue attributable to billable expenses and a lower rate of indirect expenses which reduces revenue under cost reimbursable contracts. The lower rate of indirect expenses is primarily attributable to the cost reduction actions the Company implemented in late fiscal 2012. The negative impact on revenue attributable to these two factors was partially offset by continued modest growth in direct consulting staff labor sold. Additions to funded backlog during the three months ended June 30, 2012 totaled $6.0 billion, as a result of the conversion of unfunded backlog to funded backlog, the award of new contracts and task orders under which funding was appropriated, and the exercise and subsequent funding of priced options.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Cost of revenue increased to $727.4 million from $726.8 million, or a 0.1% increase. This increase was primarily due to increases in other direct consulting staff expenses of $7.2 million attributable to the modest growth in direct consulting staff labor sold, and employer retirement plan contributions of $1.0 million. The cost of revenue increase was offset by a decrease of $6.4 million in incentive compensation costs and $1.1 million in stock-based compensation expense. The decrease in incentive compensation costs was due to reduced incentive compensation accrual rates in fiscal 2013 as compared to fiscal 2012 and reduced headcount in the senior ranks associated with the cost restructuring plan that was implemented during fiscal 2012. Cost of revenue as a percentage of revenue was 50.8% and 50.2% in the three months ended June 30, 2012 and 2011,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Billable expenses decreased to $378.5 million from $392.2 million, or a 3.5% decrease. This decrease was primarily due to decreases in travel and material expenses of $9.1 million incurred to perform on contracts offset by increases in subcontractor-related expenses of $1.5 million. The increase in direct subcontractor-related expenses was in support of growth on existing and new contracts and task orders during the three months ended June 30, 2012. Billable expenses as a percentage of revenue were 26.4% and 27.1% in the three months ended June 30, 2012 and 2011, respectively.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6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General and administrative expenses decreased to $193.4 million from $211.8 million, or an 8.7% decrease. This decrease was primarily due to a decrease of $14.7 million in other business-related expenses and professional fees attributable to the Company's disciplined management of corporate-related expenditures. This decrease was also due to a decrease in incentive compensation costs of $2.8 million and a decrease in stock-based compensation of $2.8 million. The decrease in incentive compensation costs was due to reduced incentive compensation accrual rates in fiscal 2013 as compared to fiscal 2012 and reduced headcount in the senior ranks associated with the cost restructuring plan that was implemented in late fiscal 2012. The decrease in general and administrative expenses was partially offset by an increase in salaries and salary-related benefits of $2.3 million. General and administrative expenses as a percentage of revenue were 13.5% and 14.6% for the three months ended June 30, 2012 and 2011,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Depreciation and amortization increased to $18.5 million from $17.9 million, or a 3.6% increase. This increase in depreciation and amortization expense was associated with capital expenditures purchased during the twelve months ended June 30, 2012 attributable to investments in facility expansion and computer equipment. The increase in depreciation and amortization expense was partially offset by a decrease of $1.0 million in the amortization of our intangible assets, which includes below market rate leases and contract backlog that were recorded in connection with the Acquisition, as described in our Annual Report, and are amortized based on contractual lease terms and projected future cash flows, respectively, thereby reflecting higher amortization expense initially and declining expense in subsequent periods. Intangible asset amortization expense decreased to $3.1 million for the three months ended June 30, 2012 compared to $4.1 million for the three months ended June 30,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to $11.2 million from $12.3 million, or an 8.5% decrease.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Income tax expense increased to $41.1 million from $34.3 million or a 19.9% increase. The effective tax rate remained relatively the same at 39.9% and 40.1%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historically been able to generate sufficient cash to fund our operations, debt payments, capital expenditures, and discretionary funding needs. We had $336.1 million and $484.4 million in cash and cash equivalents as of June 30, 2012 and March 31, 2012 respectively, and our debt totaled $955.1 million and $965.4 million as of June 30, 2012 and March 31, 2012 respectively. Due to fluctuations in cash flows and the growth in operations, it may be necessary from time to time in the future to borrow under our senior secured loan facilities to meet cash demands. We anticipate that cash provided by operating activities, cash and cash equivalents, and borrowing capacity under our revolving credit facility will be sufficient to meet our anticipated cash requirements for the next twelve months, which primarily include:</w:t>
      </w:r>
    </w:p>
    <w:p>
      <w:pPr>
        <w:spacing w:after="0" w:line="24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79"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July 31, 2012 the Company consummated the Recapitalization Transaction whereby our debt under the new senior credit facilities total $1.75 billion ($725 million Tranche A and $1,025 million Tranche B) and includes a $500 million revolving credit facility.</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From time to time we evaluate alternative uses for excess cash resources including debt prepayments, payment of dividends, share repurchases or funding acquisitions. Any determination to pursue one or more of the above alternative uses for excess cash is subject to the discretion of our Board of Directors, and will depend upon various factors, including our results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4" w:name="page25"/>
    <w:bookmarkEnd w:id="24"/>
    <w:p>
      <w:pPr>
        <w:ind w:right="600"/>
        <w:spacing w:after="0" w:line="277" w:lineRule="auto"/>
        <w:rPr>
          <w:sz w:val="20"/>
          <w:szCs w:val="20"/>
          <w:color w:val="auto"/>
        </w:rPr>
      </w:pPr>
      <w:r>
        <w:rPr>
          <w:rFonts w:ascii="Arial" w:cs="Arial" w:eastAsia="Arial" w:hAnsi="Arial"/>
          <w:sz w:val="18"/>
          <w:szCs w:val="18"/>
          <w:color w:val="auto"/>
        </w:rPr>
        <w:t>operations, financial condition, liquidity requirements, restrictions that may be imposed by applicable law, our contracts, and our senior secured credit agreement, as amended, and other factors deemed relevant by our Board of Directors.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As of June 30, 2012, no shares have been repurchased under the program.</w:t>
      </w:r>
    </w:p>
    <w:p>
      <w:pPr>
        <w:spacing w:after="0" w:line="1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May 29, 2012, our Board of Directors authorized and declared a regular quarterly cash dividend in the amount of $0.09 per share. In addition, the Board of Directors declared a special cash dividend of $1.50 per share. Both the quarterly and special dividends were paid on June 29, 2012 to shareholders of record on June 11, 2012. The Compensation Committee, as the Administrator of the Officers' Rollover Stock Plan and the Amended and Restated Equity Incentive Plan, made a determination to adjust the outstanding options under each plan by reducing the exercise price of the Rollover Options by the amount of the special dividend and by granting the holders of EIP options a dividend equivalent equal to the special dividend and payable on June 29, 2012 or the vesting of the EIP option, whichever is later.</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May 29, 2012, our Board of Directors also authorized the payment of the accrued interest on the DPO as of July 31, 2012 and approximately $3.4 million was paid on that date.</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July 30, 2012, our Board of Directors authorized and declared a special cash dividend of $6.50 per share and a regular quarterly cash dividend in the amount of $0.09 per share. The dividends will be paid on August 31, 2012 to shareholders of record on August 13, 2012 for the special cash dividend and August 14, 2012 for the regular quarterly cash dividend. The Board of Directors, as the Administrator of the Officers' Rollover Stock Plan and the Equity Incentive Plan, made a determination to adjust the outstanding options under each plan. Holders of the Rollover Options will receive a cash payment equal to the amount of the special dividend on the options' mandatory exercise date. Holders of Equity Incentive Plan options with a pre-dividend exercise price less than $11 per share will receive a dividend equivalent equal to the amount of the special dividend payable on August 31, 2012 or the vesting of the Equity Incentive Plan option, whichever is later. All other Equity Incentive Plan options will be adjusted by reducing the exercise price by an amount equal to the excess of the pre-dividend fair market value of our Class A Common Stock over the post-dividend fair market value of our Class A Common Stock.</w:t>
      </w:r>
    </w:p>
    <w:p>
      <w:pPr>
        <w:spacing w:after="0" w:line="1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July 30, 2012, in connection with the authorization of the special dividend, our Board of Directors also authorized the payment of the accrued interest on the DPO as of August 31, 2012. We expect approximately $680 thousand will be paid on that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 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69 as of June 30, 2012 and 65 as of March 31, 2012.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5" w:name="page26"/>
    <w:bookmarkEnd w:id="25"/>
    <w:p>
      <w:pPr>
        <w:jc w:val="center"/>
        <w:ind w:left="6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47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2011</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74,043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53,844</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(17,601)</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(218,391)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increase (decrease)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(148,317)</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35,882</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Net cash from operations is primarily affected by the overall profitability of our contracts, our ability to invoice and collect from clients in a timely manner,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 our ability to manage our vendor payments. Net cash provided by operations was $74.0 million in the three months ended June 30, 2012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$53.8 million in the same prior year period, or a 37.5% increase. The increase in net cash provided by operations was primarily due to net income growth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used for accrued compensation and benefits.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cash used in investing activities was $4.0 million in the three months ended June 30, 2012 compared to $17.6 million in the same prior year period, or a 77.4% decrease. The decrease in net cash used in investing activities was due to a decrease in capital expenditures. Capital expenditures were higher in fiscal 2012 due to the additional facility expansion and computer equipment to support the increase in headcount.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used in financing activities was $218.4 million in the three months ended June 30, 2012 compared to $0.4 million in the same prior year period. The increase in net cash used in financing activities was primarily due to cash dividends paid and the repayment of debt during the three months ended June 30,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debt totaled $955.1 million and $965.4 million as of June 30, 2012 and March 31, 2012 respectively. The interest rate in effect for Tranche A was 2.49% and for Tranche B was 3.75% for the three months ended June 30, 2012 and March 31, 2012 respectively. As of June 30, 2012 the Company was in compliance with all of its financial covenants.</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July 31, 2012, the Company consummated the Recapitalization Transaction, which included the refinancing and termination of the Company's existing senior secured credit agreement with the proceeds of the borrowings under the Company's new senior secured agreement, or the New Credit Agreement. Additionally the net proceeds of the Recapitalization Transaction will be used to pay the special dividend on August 31, 2012, as described above in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and Capital Resources</w:t>
      </w:r>
      <w:r>
        <w:rPr>
          <w:rFonts w:ascii="Arial" w:cs="Arial" w:eastAsia="Arial" w:hAnsi="Arial"/>
          <w:sz w:val="18"/>
          <w:szCs w:val="18"/>
          <w:color w:val="auto"/>
        </w:rPr>
        <w:t>. The New Credit Agreement provided the Company with a $725 million term loan A tranche and a $1,025 million term loan B tranche,</w:t>
      </w:r>
      <w:r>
        <w:rPr>
          <w:rFonts w:ascii="Arial" w:cs="Arial" w:eastAsia="Arial" w:hAnsi="Arial"/>
          <w:sz w:val="18"/>
          <w:szCs w:val="18"/>
          <w:i w:val="1"/>
          <w:iCs w:val="1"/>
          <w:color w:val="auto"/>
        </w:rPr>
        <w:t xml:space="preserve"> </w:t>
      </w:r>
      <w:r>
        <w:rPr>
          <w:rFonts w:ascii="Arial" w:cs="Arial" w:eastAsia="Arial" w:hAnsi="Arial"/>
          <w:sz w:val="18"/>
          <w:szCs w:val="18"/>
          <w:color w:val="auto"/>
        </w:rPr>
        <w:t>a $500 million revolving credit facility with a sublimit for letters of credit.</w:t>
      </w:r>
    </w:p>
    <w:p>
      <w:pPr>
        <w:spacing w:after="0" w:line="35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connection with the Recapitalization Transaction, the Company used approximately $36 million of cash on hand to pay fees and expenses. The Company expects to write-off the amortization of ratable portions of the Debt Issuance Costs (or DIC) and Original Issuance Discount (or OID) associated with the senior secured term loan facilities and portions of the DIC and OID of the New Credit Agreement that do not qualify for deferral of approximately $8.0 to $14.0 million . These amounts will be reflected in other expense, net in the three months ended September 30, 2012. Furthermore, the Company expensed third party debt issuance costs of approximately $1.0 to $2.0 million that did not qualify for deferral and will be reflected in general and administrative costs in the three months ended September 30, 2012. Immediately following the Recapitalization Transactions, the Company's current debt approximates $34.9 million, which represents the repayments of principal due within the next 12 months.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New Credit Agreement, requires quarterly principal payments of 1.25% of the stated principal amount of Tranche A Loans, with annual incremental increases to 1.875%, 2.50%, 3.125%, and 13%, prior to the Tranche A Loans maturity date of December 31, 2017, and 0.25% of the stated principal amount of Tranche B Loans, with the remaining balance payable on the Tranche B Loans maturity date of July 31, 2019. The revolving credit facility matures on December 31, 2017, at which time any outstanding principal balance is due in full.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22" w:right="239" w:bottom="1440" w:gutter="0" w:footer="0" w:header="0"/>
        </w:sectPr>
      </w:pPr>
    </w:p>
    <w:bookmarkStart w:id="26" w:name="page27"/>
    <w:bookmarkEnd w:id="26"/>
    <w:p>
      <w:pPr>
        <w:ind w:right="100"/>
        <w:spacing w:after="0" w:line="264" w:lineRule="auto"/>
        <w:rPr>
          <w:sz w:val="20"/>
          <w:szCs w:val="20"/>
          <w:color w:val="auto"/>
        </w:rPr>
      </w:pPr>
      <w:r>
        <w:rPr>
          <w:rFonts w:ascii="Arial" w:cs="Arial" w:eastAsia="Arial" w:hAnsi="Arial"/>
          <w:sz w:val="18"/>
          <w:szCs w:val="18"/>
          <w:color w:val="auto"/>
        </w:rPr>
        <w:t>The initial interest rate on borrowings under Tranche A is LIBOR plus 2.75%, and will range fro 2.00% to 2.75% based on BAH's total leverage ratio. The interest rate on borrowings under Tranche B is LIBOR plus 3.5% with a 1% floor. The revolving credit facility margin and commitment fee are subject to the leveraged based pricing grid, as set forth in the New Credit Agreement.</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loans under the New Credit Agreement are secured by substantially all of our assets and none of such assets will be available to satisfy the claims of our general creditors. The New Credit Agreement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will be required to meet certain financial covenants at each quarter end, namely Consolidated Net Total Leverage and Consolidated Net Interest Coverage Ratios. We expect to be compliant with these covenants.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stockholders’ equity amounted to $1,019.8 million as of June 30, 2012, a decrease of $165.3 million compared to stockholders’ equity of $1,185.2 million as of March 31, 2012, primarily due to the payment of the special dividend on June 29, 2012 offset by the net increase for the three month period from common stock issuances, stock option exercises, net income of $61.9 million in the three months ended June 30, 2012, and stock-based compensation expense of $6.8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2012, we did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three months ended June 30, 2012 and 2011 were $4.0 million and $17.6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13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1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These risks and other factors include: cost cutting and efficiency initiatives and other efforts to reduce U.S. government spending, including automatic sequestration required by the Budget Control Act of 2011,which could reduce or delay funding for orders for services especially in the current political environment; delayed funding of our contracts due to delays in the completion of the U.S. government's budgeting process and the use of continuing resolutions by the U.S. government to fund its operations or related changes in the pattern or timing of government funding and spending; any issue that compromises our relationships with the U.S. government or damages our professional reputation; changes in U.S. government spending and mission priorities that shift expenditures away from agencies or programs that we support; the size of our addressable markets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7" w:name="page28"/>
    <w:bookmarkEnd w:id="27"/>
    <w:p>
      <w:pPr>
        <w:spacing w:after="0" w:line="285" w:lineRule="auto"/>
        <w:rPr>
          <w:sz w:val="20"/>
          <w:szCs w:val="20"/>
          <w:color w:val="auto"/>
        </w:rPr>
      </w:pPr>
      <w:r>
        <w:rPr>
          <w:rFonts w:ascii="Arial" w:cs="Arial" w:eastAsia="Arial" w:hAnsi="Arial"/>
          <w:sz w:val="16"/>
          <w:szCs w:val="16"/>
          <w:color w:val="auto"/>
        </w:rPr>
        <w:t>and the amount of U.S. government spending on private contractors; failure to comply with numerous laws and regulations; our ability to compete effectively in the competitive bidding process and delays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risks related to future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33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2012 filed with the Securities and Exchange Commission on May 30, 2012.</w:t>
      </w: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6"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On April 13, 2012, we entered into an Administrative Agreement with the U.S. Air Force, which lifted the proposed debarment of our San Antonio office and removed it from the U.S. government’s Excluded Parties List System. See our Form 10-K for the fiscal year ended March 31, 2012 for additional information.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121"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Six former officers and stockholders who had departed the firm prior to the acquisition, as described in our Annual Report,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w:t>
      </w:r>
    </w:p>
    <w:p>
      <w:pPr>
        <w:spacing w:after="0" w:line="268" w:lineRule="auto"/>
        <w:rPr>
          <w:sz w:val="20"/>
          <w:szCs w:val="20"/>
          <w:color w:val="auto"/>
        </w:rPr>
      </w:pPr>
      <w:r>
        <w:rPr>
          <w:rFonts w:ascii="Arial" w:cs="Arial" w:eastAsia="Arial" w:hAnsi="Arial"/>
          <w:sz w:val="17"/>
          <w:szCs w:val="17"/>
          <w:color w:val="auto"/>
        </w:rPr>
        <w:t>Each of the suits arises out of the acquisition, as described in our Annual Report,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The aggregate alleged damages sought in these seven remaining suits is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during the period covered by this Quarterly Report on Form 10-Q to the risk factors disclosed in Part 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Item 1A, of our Annual Report on Form 10-K for the fiscal year ended March 31, 2012 filed with the Securities and Exchange Commission on May 30, 2012.</w:t>
      </w: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4"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4"/>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Amended and Restated Stockholders Agreement (Incorporated by reference to Exhibit 4.3 to the Company’s Quarterly Report for the period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5"/>
              </w:rPr>
              <w:t>Management Agreement, among Booz Allen Hamilton Holding Corporation (formerly known as Explorer Holding Corporation), Booz Allen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Hamilton Inc., and TC Group V US, LLC, dated as of July 31, 2008 (Incorporated by reference to Exhibit 10.6 to the Company’s Registration</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Equity Incentive Plan of Booz Allen Hamilton Holding Corporation (Incorporated by reference to Exhibit 10.7 to the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3"/>
          </w:tcPr>
          <w:p>
            <w:pPr>
              <w:ind w:left="48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ectPr>
          <w:pgSz w:w="11900" w:h="16838" w:orient="portrait"/>
          <w:cols w:equalWidth="0" w:num="1">
            <w:col w:w="11360"/>
          </w:cols>
          <w:pgMar w:left="240" w:top="364" w:right="29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Booz Allen Hamilton Holding Corporation Annual Incentive Plan (Incorporated by reference to Exhibit 10.15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Officer’s Comprehensive Medical and Dental Plans (Incorporated by reference to Exhibit 10.17 to the Company’s Registration Statement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Retired Officer’s Comprehensive Medical and Dental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Excess ECAP Payment Program (Incorporated by reference to Exhibit 10.19 to the Company’s Registration Statement on Form S-1 (File No.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Annual Performance Program (Incorporated by reference to Exhibit 10.22 to the Company’s Registration Statement on Form S-1 (File No. 333-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vMerge w:val="restart"/>
          </w:tcPr>
          <w:p>
            <w:pPr>
              <w:ind w:left="260"/>
              <w:spacing w:after="0"/>
              <w:rPr>
                <w:sz w:val="20"/>
                <w:szCs w:val="20"/>
                <w:color w:val="auto"/>
              </w:rPr>
            </w:pPr>
            <w:r>
              <w:rPr>
                <w:rFonts w:ascii="Arial" w:cs="Arial" w:eastAsia="Arial" w:hAnsi="Arial"/>
                <w:sz w:val="18"/>
                <w:szCs w:val="18"/>
                <w:color w:val="auto"/>
                <w:w w:val="94"/>
              </w:rPr>
              <w:t>Administrative Agreement, dated as of April 13, 2012, between Booz Allen Hamilton Inc. and the United States Department of the Air Force</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 to the Company’s Periodic Report on Form 8-K filed on April 13, 2012 (File No. 001-34972))</w:t>
            </w:r>
          </w:p>
        </w:tc>
        <w:tc>
          <w:tcPr>
            <w:tcW w:w="0" w:type="dxa"/>
            <w:vAlign w:val="bottom"/>
          </w:tcPr>
          <w:p>
            <w:pPr>
              <w:spacing w:after="0"/>
              <w:rPr>
                <w:sz w:val="1"/>
                <w:szCs w:val="1"/>
                <w:color w:val="auto"/>
              </w:rPr>
            </w:pPr>
          </w:p>
        </w:tc>
      </w:tr>
      <w:tr>
        <w:trPr>
          <w:trHeight w:val="674"/>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Credit Agreement among Booz Allen Hamilton Inc., as the Borrower, the several lenders from time to time parties thereto, Bank of America,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N.A., as Administrative Agent, Collateral Agent and Issuing Lender, Merrill Lynch, Pierce, Fenner &amp; Smith Incorporated and Credit Suisse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Securities (USA) LLC, as Joint Lead Arrangers, Merrill Lynch, Pierce, Fenner &amp; Smith Incorporated, Credit Suisse Securities (USA) LLC,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Inc. and Sumimoto Mitsui Banking Corporation, as Joint Bookrunners, Credit Suisse Securities (USA) LLC, as Syndication Agent, Barclays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Bank PLC, Citigroup Global Markets Inc., HSBC Securities (USA) Inc., J.P. Morgan Securities LLC, Morgan Stanley Senior Funding, Inc.,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Sumimoto Mitsui Banking Corporation and The Bank of Tokyo-Mitsubishi UFJ, Ltd., as Co-Documentation Agents, dated as of July 31, 2012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11340" w:type="dxa"/>
            <w:vAlign w:val="bottom"/>
            <w:gridSpan w:val="2"/>
          </w:tcPr>
          <w:p>
            <w:pPr>
              <w:ind w:left="240"/>
              <w:spacing w:after="0"/>
              <w:rPr>
                <w:sz w:val="20"/>
                <w:szCs w:val="20"/>
                <w:color w:val="auto"/>
              </w:rPr>
            </w:pPr>
            <w:r>
              <w:rPr>
                <w:rFonts w:ascii="Arial" w:cs="Arial" w:eastAsia="Arial" w:hAnsi="Arial"/>
                <w:sz w:val="18"/>
                <w:szCs w:val="18"/>
                <w:color w:val="auto"/>
                <w:w w:val="98"/>
              </w:rPr>
              <w:t>10.25   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530"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40"/>
          </w:cols>
          <w:pgMar w:left="280" w:top="530" w:right="279" w:bottom="1440" w:gutter="0" w:footer="0" w:header="0"/>
          <w:type w:val="continuous"/>
        </w:sectPr>
      </w:pPr>
    </w:p>
    <w:bookmarkStart w:id="31" w:name="page32"/>
    <w:bookmarkEnd w:id="31"/>
    <w:p>
      <w:pPr>
        <w:ind w:left="960" w:hanging="925"/>
        <w:spacing w:after="0" w:line="288"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materials from Booz Allen Hamilton Holding Corporation’s Quarterly Report on Form 10-Q for the three months ended June 30, 2012, formatted in XBRL (eXtensible Business Reporting Language): (i) Condensed Consolidated Statements of Operations for the three months ended June 30, 2012 and 2011; (ii) Condensed Consolidated Statements of Comprehensive Income for the three months ended June 30, 2012 and 2011; (iii) Condensed Consolidated Balance Sheets at June 30, 2012 and March 31, 2012; (iv) Condensed Consolidated Statements of Cash Flows for the three months ended June 30, 2012 and 2011;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hanging="652"/>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XBRL Interactive Data File will be filed by amendment to this Form 10-Q within 30 days of the filing date of this Form 10-Q, as permitted by Rule 405(a)(2)(ii) of Regulation S-T.</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530" w:right="35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August 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364"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16" w:lineRule="exact"/>
        <w:rPr>
          <w:rFonts w:ascii="Arial" w:cs="Arial" w:eastAsia="Arial" w:hAnsi="Arial"/>
          <w:sz w:val="18"/>
          <w:szCs w:val="18"/>
          <w:color w:val="auto"/>
        </w:rPr>
      </w:pPr>
    </w:p>
    <w:p>
      <w:pPr>
        <w:ind w:right="540" w:firstLine="8"/>
        <w:spacing w:after="0" w:line="308"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3" w:lineRule="exact"/>
        <w:rPr>
          <w:sz w:val="20"/>
          <w:szCs w:val="20"/>
          <w:color w:val="auto"/>
        </w:rPr>
      </w:pPr>
    </w:p>
    <w:p>
      <w:pPr>
        <w:ind w:right="660" w:firstLine="8"/>
        <w:spacing w:after="0" w:line="308"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August 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7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16" w:lineRule="exact"/>
        <w:rPr>
          <w:rFonts w:ascii="Arial" w:cs="Arial" w:eastAsia="Arial" w:hAnsi="Arial"/>
          <w:sz w:val="18"/>
          <w:szCs w:val="18"/>
          <w:color w:val="auto"/>
        </w:rPr>
      </w:pPr>
    </w:p>
    <w:p>
      <w:pPr>
        <w:ind w:right="540" w:firstLine="8"/>
        <w:spacing w:after="0" w:line="308" w:lineRule="auto"/>
        <w:tabs>
          <w:tab w:leader="none" w:pos="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3" w:lineRule="exact"/>
        <w:rPr>
          <w:sz w:val="20"/>
          <w:szCs w:val="20"/>
          <w:color w:val="auto"/>
        </w:rPr>
      </w:pPr>
    </w:p>
    <w:p>
      <w:pPr>
        <w:ind w:right="660" w:firstLine="8"/>
        <w:spacing w:after="0" w:line="308" w:lineRule="auto"/>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August 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2012,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40" w:val="left"/>
        </w:tabs>
        <w:rPr>
          <w:sz w:val="20"/>
          <w:szCs w:val="20"/>
          <w:color w:val="auto"/>
        </w:rPr>
      </w:pPr>
      <w:r>
        <w:rPr>
          <w:rFonts w:ascii="Arial" w:cs="Arial" w:eastAsia="Arial" w:hAnsi="Arial"/>
          <w:sz w:val="18"/>
          <w:szCs w:val="18"/>
          <w:color w:val="auto"/>
        </w:rPr>
        <w:t>Date: August 1, 2012</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2012,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August 1, 2012</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Chief Administrative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decimal"/>
      <w:start w:val="8"/>
    </w:lvl>
  </w:abstractNum>
  <w:abstractNum w:abstractNumId="4">
    <w:nsid w:val="25E45D32"/>
    <w:multiLevelType w:val="hybridMultilevel"/>
    <w:lvl w:ilvl="0">
      <w:lvlJc w:val="left"/>
      <w:lvlText w:val="%1."/>
      <w:numFmt w:val="decimal"/>
      <w:start w:val="9"/>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3"/>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0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2019-12-09T19:57:56Z</dcterms:created>
  <dcterms:modified xsi:type="dcterms:W3CDTF">2019-12-09T19:57:56Z</dcterms:modified>
</cp:coreProperties>
</file>