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7274-2_s3asr.htm"/>
        <w:bookmarkStart w:id="1" w:name="kstm2672742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U.S. Securities and Exchange Commission on July 24,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20" w:after="283"/>
        <w:ind w:left="940" w:right="0" w:hanging="0"/>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and 333-       </w:t>
      </w:r>
      <w:r>
        <w:rPr>
          <w:rFonts w:ascii="Times New Roman;Times;serif" w:hAnsi="Times New Roman;Times;serif"/>
          <w:b/>
          <w:i w:val="false"/>
          <w:caps w:val="false"/>
          <w:smallCaps w:val="false"/>
          <w:color w:val="000000"/>
          <w:sz w:val="18"/>
        </w:rPr>
        <w:t>​</w:t>
      </w:r>
    </w:p>
    <w:p>
      <w:pPr>
        <w:pStyle w:val="TextBody"/>
        <w:bidi w:val="0"/>
        <w:spacing w:before="6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7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1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z w:val="32"/>
        </w:rPr>
        <w:t xml:space="preserve"> </w:t>
      </w:r>
    </w:p>
    <w:p>
      <w:pPr>
        <w:pStyle w:val="TextBody"/>
        <w:bidi w:val="0"/>
        <w:spacing w:lineRule="atLeast" w:line="190" w:before="2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UNDER 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9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9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Booz Allen Hamilton Holding Corporation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Booz Allen Hamilton Inc.</w:t>
      </w:r>
      <w:r>
        <w:rPr>
          <w:rFonts w:ascii="Times New Roman;Times;serif" w:hAnsi="Times New Roman;Times;serif"/>
          <w:b/>
          <w:i w:val="false"/>
          <w:caps w:val="false"/>
          <w:smallCaps w:val="false"/>
          <w:color w:val="000000"/>
          <w:sz w:val="32"/>
        </w:rPr>
        <w:t xml:space="preserve"> </w:t>
      </w:r>
    </w:p>
    <w:p>
      <w:pPr>
        <w:pStyle w:val="TextBody"/>
        <w:bidi w:val="0"/>
        <w:spacing w:lineRule="atLeast" w:line="180" w:before="557" w:after="437"/>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tbl>
      <w:tblPr>
        <w:tblW w:w="9665" w:type="dxa"/>
        <w:jc w:val="left"/>
        <w:tblInd w:w="540" w:type="dxa"/>
        <w:tblLayout w:type="fixed"/>
        <w:tblCellMar>
          <w:top w:w="0" w:type="dxa"/>
          <w:left w:w="0" w:type="dxa"/>
          <w:bottom w:w="0" w:type="dxa"/>
          <w:right w:w="0" w:type="dxa"/>
        </w:tblCellMar>
      </w:tblPr>
      <w:tblGrid>
        <w:gridCol w:w="124"/>
        <w:gridCol w:w="4584"/>
        <w:gridCol w:w="109"/>
        <w:gridCol w:w="109"/>
        <w:gridCol w:w="4584"/>
        <w:gridCol w:w="155"/>
      </w:tblGrid>
      <w:tr>
        <w:trPr/>
        <w:tc>
          <w:tcPr>
            <w:tcW w:w="124" w:type="dxa"/>
            <w:tcBorders/>
            <w:vAlign w:val="center"/>
          </w:tcPr>
          <w:p>
            <w:pPr>
              <w:pStyle w:val="TableContents"/>
              <w:bidi w:val="0"/>
              <w:spacing w:before="0" w:after="283"/>
              <w:jc w:val="left"/>
              <w:rPr/>
            </w:pPr>
            <w:r>
              <w:rPr/>
              <w:t>​</w:t>
            </w:r>
          </w:p>
        </w:tc>
        <w:tc>
          <w:tcPr>
            <w:tcW w:w="4584" w:type="dxa"/>
            <w:tcBorders/>
            <w:vAlign w:val="center"/>
          </w:tcPr>
          <w:p>
            <w:pPr>
              <w:pStyle w:val="TableContents"/>
              <w:bidi w:val="0"/>
              <w:spacing w:before="0" w:after="0"/>
              <w:jc w:val="center"/>
              <w:rPr>
                <w:b/>
              </w:rPr>
            </w:pPr>
            <w:r>
              <w:rPr>
                <w:b/>
                <w:spacing w:val="-4"/>
              </w:rPr>
              <w:t>Booz Allen Hamilton Holding Corporation</w:t>
            </w:r>
            <w:r>
              <w:rPr>
                <w:b/>
              </w:rPr>
              <w:t xml:space="preserve"> </w:t>
            </w:r>
          </w:p>
          <w:p>
            <w:pPr>
              <w:pStyle w:val="TableContents"/>
              <w:bidi w:val="0"/>
              <w:spacing w:lineRule="atLeast" w:line="180" w:before="20" w:after="283"/>
              <w:jc w:val="center"/>
              <w:rPr>
                <w:sz w:val="16"/>
              </w:rPr>
            </w:pPr>
            <w:r>
              <w:rPr>
                <w:spacing w:val="3"/>
                <w:sz w:val="16"/>
              </w:rPr>
              <w:t>(Exact name of registrant as specified in its charter)</w:t>
            </w:r>
            <w:r>
              <w:rPr>
                <w:sz w:val="1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84" w:type="dxa"/>
            <w:tcBorders/>
            <w:vAlign w:val="center"/>
          </w:tcPr>
          <w:p>
            <w:pPr>
              <w:pStyle w:val="TableContents"/>
              <w:bidi w:val="0"/>
              <w:spacing w:before="0" w:after="0"/>
              <w:jc w:val="center"/>
              <w:rPr>
                <w:b/>
              </w:rPr>
            </w:pPr>
            <w:r>
              <w:rPr>
                <w:b/>
                <w:spacing w:val="-4"/>
              </w:rPr>
              <w:t>Booz Allen Hamilton Inc.</w:t>
            </w:r>
            <w:r>
              <w:rPr>
                <w:b/>
              </w:rPr>
              <w:t xml:space="preserve"> </w:t>
            </w:r>
          </w:p>
          <w:p>
            <w:pPr>
              <w:pStyle w:val="TableContents"/>
              <w:bidi w:val="0"/>
              <w:spacing w:lineRule="atLeast" w:line="180" w:before="20" w:after="283"/>
              <w:jc w:val="center"/>
              <w:rPr>
                <w:sz w:val="16"/>
              </w:rPr>
            </w:pPr>
            <w:r>
              <w:rPr>
                <w:spacing w:val="3"/>
                <w:sz w:val="16"/>
              </w:rPr>
              <w:t>(Exact name of registrant as specified in its charter)</w:t>
            </w:r>
            <w:r>
              <w:rPr>
                <w:sz w:val="16"/>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84"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20"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84"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20" w:after="283"/>
              <w:jc w:val="center"/>
              <w:rPr/>
            </w:pPr>
            <w:r>
              <w:rPr>
                <w:spacing w:val="3"/>
              </w:rPr>
              <w:t>(State or other jurisdiction of</w:t>
            </w:r>
            <w:r>
              <w:rPr/>
              <w:t xml:space="preserve"> </w:t>
              <w:br/>
            </w:r>
            <w:r>
              <w:rPr>
                <w:spacing w:val="3"/>
              </w:rPr>
              <w:t>incorporation or organization)</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84" w:type="dxa"/>
            <w:tcBorders/>
            <w:vAlign w:val="center"/>
          </w:tcPr>
          <w:p>
            <w:pPr>
              <w:pStyle w:val="TableContents"/>
              <w:bidi w:val="0"/>
              <w:spacing w:before="0" w:after="0"/>
              <w:jc w:val="center"/>
              <w:rPr>
                <w:b/>
              </w:rPr>
            </w:pPr>
            <w:r>
              <w:rPr>
                <w:b/>
                <w:spacing w:val="-4"/>
              </w:rPr>
              <w:t>26-2634160</w:t>
            </w:r>
            <w:r>
              <w:rPr>
                <w:b/>
              </w:rPr>
              <w:t xml:space="preserve"> </w:t>
            </w:r>
          </w:p>
          <w:p>
            <w:pPr>
              <w:pStyle w:val="TableContents"/>
              <w:bidi w:val="0"/>
              <w:spacing w:before="20" w:after="283"/>
              <w:jc w:val="center"/>
              <w:rPr>
                <w:sz w:val="16"/>
              </w:rPr>
            </w:pPr>
            <w:r>
              <w:rPr>
                <w:spacing w:val="3"/>
                <w:sz w:val="16"/>
              </w:rPr>
              <w:t>(I.R.S. Employer Identification Number)</w:t>
            </w:r>
            <w:r>
              <w:rPr>
                <w:sz w:val="1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84" w:type="dxa"/>
            <w:tcBorders/>
            <w:vAlign w:val="center"/>
          </w:tcPr>
          <w:p>
            <w:pPr>
              <w:pStyle w:val="TableContents"/>
              <w:bidi w:val="0"/>
              <w:spacing w:before="0" w:after="0"/>
              <w:jc w:val="center"/>
              <w:rPr>
                <w:b/>
              </w:rPr>
            </w:pPr>
            <w:r>
              <w:rPr>
                <w:b/>
                <w:spacing w:val="-4"/>
              </w:rPr>
              <w:t>36-2513626</w:t>
            </w:r>
            <w:r>
              <w:rPr>
                <w:b/>
              </w:rPr>
              <w:t xml:space="preserve"> </w:t>
            </w:r>
          </w:p>
          <w:p>
            <w:pPr>
              <w:pStyle w:val="TableContents"/>
              <w:bidi w:val="0"/>
              <w:spacing w:before="20" w:after="283"/>
              <w:jc w:val="center"/>
              <w:rPr>
                <w:sz w:val="16"/>
              </w:rPr>
            </w:pPr>
            <w:r>
              <w:rPr>
                <w:spacing w:val="3"/>
                <w:sz w:val="16"/>
              </w:rPr>
              <w:t>(I.R.S. Employer Identification Number)</w:t>
            </w:r>
            <w:r>
              <w:rPr>
                <w:sz w:val="16"/>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84" w:type="dxa"/>
            <w:tcBorders/>
            <w:vAlign w:val="center"/>
          </w:tcPr>
          <w:p>
            <w:pPr>
              <w:pStyle w:val="TableContents"/>
              <w:bidi w:val="0"/>
              <w:spacing w:lineRule="atLeast" w:line="200" w:before="0" w:after="0"/>
              <w:jc w:val="center"/>
              <w:rPr/>
            </w:pPr>
            <w:r>
              <w:rPr>
                <w:spacing w:val="-4"/>
              </w:rPr>
              <w:t>8283 Greensboro Drive</w:t>
            </w:r>
            <w:r>
              <w:rPr/>
              <w:t xml:space="preserve"> </w:t>
              <w:br/>
            </w:r>
            <w:r>
              <w:rPr>
                <w:spacing w:val="-4"/>
              </w:rPr>
              <w:t>McLean, Virginia 22102</w:t>
            </w:r>
            <w:r>
              <w:rPr/>
              <w:t xml:space="preserve"> </w:t>
              <w:br/>
            </w:r>
            <w:r>
              <w:rPr>
                <w:spacing w:val="-4"/>
              </w:rPr>
              <w:t>(703) 902-5000</w:t>
            </w:r>
            <w:r>
              <w:rPr/>
              <w:t xml:space="preserve"> </w:t>
            </w:r>
          </w:p>
          <w:p>
            <w:pPr>
              <w:pStyle w:val="TableContents"/>
              <w:bidi w:val="0"/>
              <w:spacing w:lineRule="atLeast" w:line="180" w:before="20" w:after="283"/>
              <w:jc w:val="center"/>
              <w:rPr>
                <w:b w:val="false"/>
                <w:sz w:val="16"/>
              </w:rPr>
            </w:pPr>
            <w:r>
              <w:rPr>
                <w:b w:val="false"/>
                <w:spacing w:val="3"/>
                <w:sz w:val="16"/>
              </w:rPr>
              <w:t xml:space="preserve">(Address, including zip code, and telephone number, </w:t>
            </w:r>
            <w:r>
              <w:rPr>
                <w:b w:val="false"/>
                <w:sz w:val="16"/>
              </w:rPr>
              <w:br/>
            </w:r>
            <w:r>
              <w:rPr>
                <w:b w:val="false"/>
                <w:spacing w:val="3"/>
                <w:sz w:val="16"/>
              </w:rPr>
              <w:t>including area code, of registrant’s principal executive offices)</w:t>
            </w:r>
            <w:r>
              <w:rPr>
                <w:b w:val="false"/>
                <w:sz w:val="1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84" w:type="dxa"/>
            <w:tcBorders/>
            <w:vAlign w:val="center"/>
          </w:tcPr>
          <w:p>
            <w:pPr>
              <w:pStyle w:val="TableContents"/>
              <w:bidi w:val="0"/>
              <w:spacing w:lineRule="atLeast" w:line="200" w:before="0" w:after="0"/>
              <w:jc w:val="center"/>
              <w:rPr/>
            </w:pPr>
            <w:r>
              <w:rPr>
                <w:spacing w:val="-4"/>
              </w:rPr>
              <w:t>8283 Greensboro Drive</w:t>
            </w:r>
            <w:r>
              <w:rPr/>
              <w:t xml:space="preserve"> </w:t>
              <w:br/>
            </w:r>
            <w:r>
              <w:rPr>
                <w:spacing w:val="-4"/>
              </w:rPr>
              <w:t>McLean, Virginia 22102</w:t>
            </w:r>
            <w:r>
              <w:rPr/>
              <w:t xml:space="preserve"> </w:t>
              <w:br/>
            </w:r>
            <w:r>
              <w:rPr>
                <w:spacing w:val="-4"/>
              </w:rPr>
              <w:t>(703) 902-5000</w:t>
            </w:r>
            <w:r>
              <w:rPr/>
              <w:t xml:space="preserve"> </w:t>
            </w:r>
          </w:p>
          <w:p>
            <w:pPr>
              <w:pStyle w:val="TableContents"/>
              <w:bidi w:val="0"/>
              <w:spacing w:lineRule="atLeast" w:line="180" w:before="20" w:after="283"/>
              <w:jc w:val="center"/>
              <w:rPr>
                <w:b w:val="false"/>
                <w:sz w:val="16"/>
              </w:rPr>
            </w:pPr>
            <w:r>
              <w:rPr>
                <w:b w:val="false"/>
                <w:spacing w:val="3"/>
                <w:sz w:val="16"/>
              </w:rPr>
              <w:t xml:space="preserve">(Address, including zip code, and telephone number, </w:t>
            </w:r>
            <w:r>
              <w:rPr>
                <w:b w:val="false"/>
                <w:sz w:val="16"/>
              </w:rPr>
              <w:br/>
            </w:r>
            <w:r>
              <w:rPr>
                <w:b w:val="false"/>
                <w:spacing w:val="3"/>
                <w:sz w:val="16"/>
              </w:rPr>
              <w:t>including area code, of registrant’s principal executive offices)</w:t>
            </w:r>
            <w:r>
              <w:rPr>
                <w:b w:val="false"/>
                <w:sz w:val="16"/>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Joshua E. Petty</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Executive Vice President and General Counsel</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8283 Greensboro Drive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McLean, Virginia 22102</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(703) 902-5000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caps w:val="false"/>
          <w:smallCaps w:val="false"/>
          <w:color w:val="000000"/>
          <w:spacing w:val="-4"/>
          <w:sz w:val="18"/>
        </w:rPr>
        <w:t>With a copy to:</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Matthew E. Kaplan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Benjamin R. Pedersen</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Debevoise &amp; Plimpton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66 Hudson Boulevard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New York, New York 10001</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(212) 909-6000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6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before="8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6"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the proposed sale to the public:</w:t>
      </w:r>
      <w:r>
        <w:rPr>
          <w:rFonts w:ascii="Times New Roman;Times;serif" w:hAnsi="Times New Roman;Times;serif"/>
          <w:b w:val="false"/>
          <w:i w:val="false"/>
          <w:caps w:val="false"/>
          <w:smallCaps w:val="false"/>
          <w:color w:val="000000"/>
          <w:spacing w:val="4"/>
          <w:sz w:val="18"/>
        </w:rPr>
        <w:t xml:space="preserve"> From time to time after this registration statement becomes effective.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665" w:type="dxa"/>
        <w:jc w:val="left"/>
        <w:tblInd w:w="540" w:type="dxa"/>
        <w:tblLayout w:type="fixed"/>
        <w:tblCellMar>
          <w:top w:w="0" w:type="dxa"/>
          <w:left w:w="0" w:type="dxa"/>
          <w:bottom w:w="0" w:type="dxa"/>
          <w:right w:w="0" w:type="dxa"/>
        </w:tblCellMar>
      </w:tblPr>
      <w:tblGrid>
        <w:gridCol w:w="124"/>
        <w:gridCol w:w="6370"/>
        <w:gridCol w:w="109"/>
        <w:gridCol w:w="109"/>
        <w:gridCol w:w="2798"/>
        <w:gridCol w:w="155"/>
      </w:tblGrid>
      <w:tr>
        <w:trPr/>
        <w:tc>
          <w:tcPr>
            <w:tcW w:w="124" w:type="dxa"/>
            <w:tcBorders/>
            <w:vAlign w:val="center"/>
          </w:tcPr>
          <w:p>
            <w:pPr>
              <w:pStyle w:val="TableContents"/>
              <w:bidi w:val="0"/>
              <w:spacing w:before="0" w:after="283"/>
              <w:jc w:val="left"/>
              <w:rPr/>
            </w:pPr>
            <w:r>
              <w:rPr/>
              <w:t>​</w:t>
            </w:r>
          </w:p>
        </w:tc>
        <w:tc>
          <w:tcPr>
            <w:tcW w:w="6370" w:type="dxa"/>
            <w:tcBorders/>
            <w:vAlign w:val="center"/>
          </w:tcPr>
          <w:p>
            <w:pPr>
              <w:pStyle w:val="TableContents"/>
              <w:bidi w:val="0"/>
              <w:spacing w:lineRule="atLeast" w:line="180" w:before="0" w:after="0"/>
              <w:ind w:left="2060" w:right="0" w:hanging="0"/>
              <w:jc w:val="left"/>
              <w:rPr>
                <w:spacing w:val="4"/>
              </w:rPr>
            </w:pPr>
            <w:r>
              <w:rPr>
                <w:spacing w:val="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3081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3081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0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98" w:type="dxa"/>
            <w:tcBorders/>
            <w:vAlign w:val="center"/>
          </w:tcPr>
          <w:p>
            <w:pPr>
              <w:pStyle w:val="TableContents"/>
              <w:bidi w:val="0"/>
              <w:spacing w:lineRule="atLeast" w:line="180" w:before="0" w:after="0"/>
              <w:ind w:left="246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621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5621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0" w:type="dxa"/>
            <w:tcBorders/>
            <w:vAlign w:val="center"/>
          </w:tcPr>
          <w:p>
            <w:pPr>
              <w:pStyle w:val="TableContents"/>
              <w:bidi w:val="0"/>
              <w:spacing w:lineRule="atLeast" w:line="180" w:before="0" w:after="0"/>
              <w:ind w:left="2060" w:right="0" w:hanging="0"/>
              <w:jc w:val="left"/>
              <w:rPr>
                <w:spacing w:val="4"/>
              </w:rPr>
            </w:pPr>
            <w:r>
              <w:rPr>
                <w:spacing w:val="4"/>
              </w:rPr>
              <w:t xml:space="preserve">☐ </w:t>
            </w:r>
            <w:r>
              <w:rPr>
                <w:spacing w:val="4"/>
              </w:rPr>
              <w:t xml:space="preserve">(Do not check if a smaller reporting company)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3081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3081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0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98" w:type="dxa"/>
            <w:tcBorders/>
            <w:vAlign w:val="center"/>
          </w:tcPr>
          <w:p>
            <w:pPr>
              <w:pStyle w:val="TableContents"/>
              <w:bidi w:val="0"/>
              <w:spacing w:lineRule="atLeast" w:line="180" w:before="0" w:after="0"/>
              <w:ind w:left="2460" w:right="0" w:hanging="0"/>
              <w:jc w:val="left"/>
              <w:rPr>
                <w:spacing w:val="4"/>
              </w:rPr>
            </w:pPr>
            <w:r>
              <w:rPr>
                <w:spacing w:val="4"/>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5621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5621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98" w:type="dxa"/>
            <w:tcBorders/>
            <w:vAlign w:val="center"/>
          </w:tcPr>
          <w:p>
            <w:pPr>
              <w:pStyle w:val="TableContents"/>
              <w:bidi w:val="0"/>
              <w:spacing w:lineRule="atLeast" w:line="180" w:before="0" w:after="0"/>
              <w:ind w:left="2460" w:right="0" w:hanging="0"/>
              <w:jc w:val="left"/>
              <w:rPr/>
            </w:pPr>
            <w:r>
              <w:rPr>
                <w:spacing w:val="4"/>
              </w:rPr>
              <w:t>☐</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5621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5621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190" w:before="21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305175" cy="5524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305175" cy="5524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6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Booz Allen Hamilton Holding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1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Guarantees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1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Booz Allen Hamilton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1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Guarantees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this prospectus, we may offer from time to time the securities described in this prospectus separately or together in any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any securities to be offered in supplements to this prospectus. You should read this prospectus and any prospectus supplement, as well as the documents incorporated by reference therein, carefully before you invest. A prospectus supplement may also change, add to, update, supplement or clarify information contained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use this prospectus to confirm sales of any of our securities unless it is attached to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symbol “BAH.” Unless we state otherwise in this prospectus or an accompanying prospectus supplement, other than our common stock, we will not list any of these securities on any securities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agents, underwriters, dealers or other third parties or directly to one or more purchasers on a continuous or delayed basis.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24"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risks. See “</w:t>
      </w:r>
      <w:r>
        <w:rPr>
          <w:rFonts w:ascii="Times New Roman;Times;serif" w:hAnsi="Times New Roman;Times;serif"/>
          <w:b/>
          <w:i w:val="false"/>
          <w:caps w:val="false"/>
          <w:smallCaps w:val="false"/>
          <w:color w:val="000000"/>
          <w:spacing w:val="-4"/>
          <w:sz w:val="20"/>
          <w:u w:val="single"/>
        </w:rPr>
        <w:t>Risk Factors</w:t>
      </w:r>
      <w:r>
        <w:rPr>
          <w:rFonts w:ascii="Times New Roman;Times;serif" w:hAnsi="Times New Roman;Times;serif"/>
          <w:b/>
          <w:i w:val="false"/>
          <w:caps w:val="false"/>
          <w:smallCaps w:val="false"/>
          <w:color w:val="000000"/>
          <w:spacing w:val="-4"/>
          <w:sz w:val="20"/>
        </w:rPr>
        <w:t xml:space="preserve">”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of this prospectus, and any risk factors described in any accompanying prospectus supplement and in our filings with the U.S. Securities and Exchange Commission that are incorporated by reference into this prospectus and any accompanying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9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July 24,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II">
              <w:r>
                <w:rPr>
                  <w:rStyle w:val="InternetLink"/>
                  <w:spacing w:val="4"/>
                </w:rPr>
                <w:t xml:space="preserve">CERTAIN IMPORTANT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II">
              <w:r>
                <w:rPr>
                  <w:rStyle w:val="InternetLink"/>
                  <w:spacing w:val="4"/>
                </w:rPr>
                <w:t>ii</w:t>
              </w:r>
            </w:hyperlink>
            <w:hyperlink w:anchor="tCI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CNRF">
              <w:r>
                <w:rPr>
                  <w:rStyle w:val="InternetLink"/>
                  <w:spacing w:val="4"/>
                </w:rPr>
                <w:t>iii</w:t>
              </w:r>
            </w:hyperlink>
            <w:hyperlink w:anchor="t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NRRO">
              <w:r>
                <w:rPr>
                  <w:rStyle w:val="InternetLink"/>
                  <w:spacing w:val="4"/>
                </w:rPr>
                <w:t xml:space="preserve">NOTE REGARDING RELIANCE ON STATEMENTS IN OUR CONTRACTS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NRRO">
              <w:r>
                <w:rPr>
                  <w:rStyle w:val="InternetLink"/>
                  <w:spacing w:val="4"/>
                </w:rPr>
                <w:t>iv</w:t>
              </w:r>
            </w:hyperlink>
            <w:hyperlink w:anchor="tNR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THCO">
              <w:r>
                <w:rPr>
                  <w:rStyle w:val="InternetLink"/>
                  <w:spacing w:val="4"/>
                </w:rPr>
                <w:t>1</w:t>
              </w:r>
            </w:hyperlink>
            <w:hyperlink w:anchor="tTH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2</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GO">
              <w:r>
                <w:rPr>
                  <w:rStyle w:val="InternetLink"/>
                  <w:spacing w:val="4"/>
                </w:rPr>
                <w:t xml:space="preserve">DESCRIPTION OF GUARANTEES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GO">
              <w:r>
                <w:rPr>
                  <w:rStyle w:val="InternetLink"/>
                  <w:spacing w:val="4"/>
                </w:rPr>
                <w:t>3</w:t>
              </w:r>
            </w:hyperlink>
            <w:hyperlink w:anchor="tDOG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4</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CS">
              <w:r>
                <w:rPr>
                  <w:rStyle w:val="InternetLink"/>
                  <w:spacing w:val="4"/>
                </w:rPr>
                <w:t>15</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19</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W">
              <w:r>
                <w:rPr>
                  <w:rStyle w:val="InternetLink"/>
                  <w:spacing w:val="4"/>
                </w:rPr>
                <w:t>22</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PC">
              <w:r>
                <w:rPr>
                  <w:rStyle w:val="InternetLink"/>
                  <w:spacing w:val="4"/>
                </w:rPr>
                <w:t xml:space="preserve">DESCRIPTION OF PURCHASE CONTRACTS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PC">
              <w:r>
                <w:rPr>
                  <w:rStyle w:val="InternetLink"/>
                  <w:spacing w:val="4"/>
                </w:rPr>
                <w:t>25</w:t>
              </w:r>
            </w:hyperlink>
            <w:hyperlink w:anchor="tD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U">
              <w:r>
                <w:rPr>
                  <w:rStyle w:val="InternetLink"/>
                  <w:spacing w:val="4"/>
                </w:rPr>
                <w:t>27</w:t>
              </w:r>
            </w:hyperlink>
            <w:hyperlink w:anchor="tD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28</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VOS">
              <w:r>
                <w:rPr>
                  <w:rStyle w:val="InternetLink"/>
                  <w:spacing w:val="4"/>
                </w:rPr>
                <w:t xml:space="preserve">VALIDITY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VOS">
              <w:r>
                <w:rPr>
                  <w:rStyle w:val="InternetLink"/>
                  <w:spacing w:val="4"/>
                </w:rPr>
                <w:t>31</w:t>
              </w:r>
            </w:hyperlink>
            <w:hyperlink w:anchor="tV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31</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WYCF">
              <w:r>
                <w:rPr>
                  <w:rStyle w:val="InternetLink"/>
                  <w:spacing w:val="4"/>
                </w:rPr>
                <w:t>31</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IBR">
              <w:r>
                <w:rPr>
                  <w:rStyle w:val="InternetLink"/>
                  <w:spacing w:val="4"/>
                </w:rPr>
                <w:t>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w:t>
      </w:r>
      <w:bookmarkStart w:id="4" w:name="tCII"/>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U.S. Securities and Exchange Commission (the “SEC”) utilizing a “shelf” registration process. Under this shelf registration process, we are registering an unspecified amount of each class of the securities described in this prospectus, and we may sell any combination of the securities described in this prospectus in one or more offerings. In addition, we or any of our affiliates may use this prospectus and the applicable prospectus supplement in a remarketing or other resale transaction involving the securities after their initial sale. This prospectus provides you with a general description of the securities we may offer. Each time we sell securities, we will provide a prospectus supplement that will contain specific information about the terms of that offering. The prospectus supplement may also add to, change, update, supplement or clarify information contained in this prospectus. Any statement made in this prospectus will be modified or superseded by any inconsistent statement made in a prospectus supplement. The rules of the SEC allow us to incorporate by reference information into this prospectus. This information incorporated by reference is considered to be a part of this prospectus, and information that we file later with the SEC will automatically update and supersede this information. See “Incorporation by Reference.” You should read both this prospectus and any prospectus supplement together with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person has been authorized to give any information or to make any representations, other than those contained or incorporated by reference in this prospectus and, if given or made, such information or representation must not be relied upon as having been authorized by us, or any underwriter, agent, dealer or remarketing firm. Neither the delivery of this prospectus nor any sale made hereunder shall under any circumstances create any implication that there has been no change in the affairs of the Company since the date hereof or that the information contained or incorporated by reference herein is correct as of any time subsequent to the date of such information. This prospectus does not constitute an offer to sell or a solicitation of an offer to buy any securities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IMPORTANT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the following terms in this prospectus: </w:t>
      </w:r>
    </w:p>
    <w:p>
      <w:pPr>
        <w:pStyle w:val="TextBody"/>
        <w:bidi w:val="0"/>
        <w:spacing w:lineRule="atLeast" w:line="240" w:before="120" w:after="0"/>
        <w:ind w:left="2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val="false"/>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refer to Booz Allen Hamilton Holding Corporation, a Delaware corporation, and its subsidiaries, taken as a whole, unless the context otherwise requires (for example, in the descriptions of the securities in this prospectus, “</w:t>
      </w:r>
      <w:r>
        <w:rPr>
          <w:rFonts w:ascii="Times New Roman;Times;serif" w:hAnsi="Times New Roman;Times;serif"/>
          <w:b w:val="false"/>
          <w:i/>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refer to Booz Allen Hamilton Holding Corporation and Booz Allen Hamilton Inc. as the issuers of securities described in this prospectus, and the “</w:t>
      </w:r>
      <w:r>
        <w:rPr>
          <w:rFonts w:ascii="Times New Roman;Times;serif" w:hAnsi="Times New Roman;Times;serif"/>
          <w:b w:val="false"/>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refers to Booz Allen Hamilton Holding Corporation and not to any of its subsidiaries); and </w:t>
      </w:r>
      <w:r>
        <mc:AlternateContent>
          <mc:Choice Requires="wps">
            <w:drawing>
              <wp:anchor behindDoc="0" distT="76200" distB="0" distL="508000" distR="0" simplePos="0" locked="0" layoutInCell="1" allowOverlap="1" relativeHeight="12">
                <wp:simplePos x="0" y="0"/>
                <wp:positionH relativeFrom="column">
                  <wp:align>left</wp:align>
                </wp:positionH>
                <wp:positionV relativeFrom="line">
                  <wp:align>top</wp:align>
                </wp:positionV>
                <wp:extent cx="381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Booz Allen Hamilton</w:t>
      </w:r>
      <w:r>
        <w:rPr>
          <w:rFonts w:ascii="Times New Roman;Times;serif" w:hAnsi="Times New Roman;Times;serif"/>
          <w:b w:val="false"/>
          <w:i w:val="false"/>
          <w:caps w:val="false"/>
          <w:smallCaps w:val="false"/>
          <w:color w:val="000000"/>
          <w:spacing w:val="4"/>
          <w:sz w:val="20"/>
        </w:rPr>
        <w:t xml:space="preserve">” refers to Booz Allen Hamilton Inc., our primary operating company and a wholly-owned subsidiary of the Company. </w:t>
      </w:r>
      <w:r>
        <mc:AlternateContent>
          <mc:Choice Requires="wps">
            <w:drawing>
              <wp:anchor behindDoc="0" distT="76200" distB="0" distL="508000" distR="0" simplePos="0" locked="0" layoutInCell="1" allowOverlap="1" relativeHeight="13">
                <wp:simplePos x="0" y="0"/>
                <wp:positionH relativeFrom="column">
                  <wp:align>left</wp:align>
                </wp:positionH>
                <wp:positionV relativeFrom="line">
                  <wp:align>top</wp:align>
                </wp:positionV>
                <wp:extent cx="381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contained or incorporated in this prospectus and any accompanying prospectus supplement, the documents incorporated by reference herein and therein, and other oral or written statements that we make from time to time may contain information that includes or is based upon forward-looking statements within the meaning of the Private Securities Litigation Reform Act of 1995.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the risks and factors described under “Risk Factors” in our most recent Annual Report on Form 10-K, as updated by our Quarterly Reports on Form 10-Q, our subsequent filings under the Securities Exchange Act of 1934, as amended (the “Exchange Act”), and all other information contained or incorporated by reference into this prospectus as well as the risk factors and other information contained or incorporated by reference in the applicable prospectus supplement. 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NRR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REGARDING RELIANCE ON STATEMENTS IN OUR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reviewing the agreements included as exhibits to any of the documents incorporated by reference into this prospectus and any accompanying prospectus supplement, please remember that they are included to provide you with information regarding their terms and are not intended to provide any other factual or disclosure information about the Company or the other parties to the agreements. The agreements contain representations and warranties by each of the parties to the applicable agreement. These representations and warranties have been made solely for the benefit of the other parties to the applicable agreement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not in all instances be treated as categorical statements of fact, but rather as a way of allocating the risk to one of the parties if those statements prove to be inaccurate;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been qualified by disclosures that were made to the other party in connection with the negotiation of the applicable agreement, which disclosures are not necessarily reflected in the agreement;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apply standards of materiality in a way that is different from what may be viewed as material to investors; and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made only as of the date of the applicable agreement or such other date or dates as may be specified in the agreement and are subject to more recent developments.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these representations and warranties may not describe the actual state of affairs as of the date they were made or at any other time. Additional information about the Company may be found elsewhere in this prospectus and any accompanying prospectus supplement, as well as the Company’s other public filings, which are available without charge through the SEC’s website at www.sec.gov.</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THC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Booz Allen Hamilton Holding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is an advanced technology company building products and solutions for government and business. For more than 112 years, Booz Allen has evolved to meet the needs of commercial, international, and government customers. After September 11th, 2001, the Company undertook a fundamental transformation when it expanded into critical and sensitive national security missions. Our teams began delivering mission impact, executing full-spectrum cyber operations, helping the U.S. military counter the threat of improvised explosive devices, standing up counter-terrorism fusion centers, and supporting intelligence missions. This work helped lay the foundation for the Company’s national security portfolio and strengthened its credibility in highly complex missions. In 2008, a strategic business decision was made to prioritize and protect the Company’s government and national security interests and spin off its global commercial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2013, Booz Allen began another massive multi-year transformation by making significant investments in the emerging technologies that would help transform government. The Company rebuilt its workforce with technologists that bring deep mission expertise in national security and other core government missions. These investments propelled Booz Allen as a leader in artificial intelligence (“AI”), cyber, quantum, and other advanced technologies.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Today, Booz Allen is a leader at the forefront of the nation’s technology ecosystem. We build tech for a diverse base of federal government and commercial customers, both domestically and in select foreign locations. By investing in emerging technologies, talent, and new business models, including partnerships with leading technology companies, venture investments, and the development of military grade products, we are accelerating the delivery of tech solutions.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Booz Allen Hamilton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Inc. is an indirect, wholly-owned subsidiary of Booz Allen Hamilton Holding Corporation, and the primary operating company of Booz Allen Hamilton Holding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executive office for both Booz Allen Hamilton Holding Corporation and Booz Allen Hamilton Inc. is located at 8283 Greensboro Drive, McLean, Virginia 22102, and our telephone number is (703) 902-5000.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w:t>
      </w:r>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risks. You should carefully consider the risk factors incorporated by reference to our most recent Annual Report on Form 10-K, as updated by our subsequent filings under the Exchange Act, and all other information contained or incorporated by reference into this prospectus as well as the risk factors and other information contained or incorporated by reference in the applicable prospectus supplement before making a decision to invest in our securities. See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we intend to use the net proceeds from the sale of the securities offered by this prospectus for, among other things, general corporate purposes. We may include a more detailed description of the use of net proceeds of any specific offering of securities in the applicable prospectus supplement relating to the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G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GUARANTEES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Inc. may guarantee, fully and unconditionally or otherwise, Booz Allen Hamilton Holding Corporation’s obligations with respect to any non-convertible securities, other than common stock, as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Booz Allen Hamilton Inc. guarantees these obligations under any such securities, we will tell you in the applicable prospectus supplement and describe the terms of such subsidiary guarantee. Unless we tell you otherwise in the applicable prospectus supplement, the subsidiary guarantee will be an unsecured obligation of Booz Allen Hamilton Inc. and will be enforceable against Booz Allen Hamilton Inc. without any need to first enforce against Booz Allen Hamilton Holding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will fully and unconditionally guarantee Booz Allen Hamilton Inc.’s payment obligations with respect to the debt securities issued by Booz Allen Hamilton Inc. as described in this prospectus, unless the applicable prospectus supplement states otherwise. Unless we tell you otherwise in the applicable prospectus supplement, this parent guarantee will be an unsecured obligation of Booz Allen Hamilton Holding Corporation and will be enforceable against Booz Allen Hamilton Holding Corporation without any need to first enforce against Booz Allen Hamilton Inc. See “Description of Debt Securities—Certain Terms of the Debt Securities of Booz Allen Hamilton—Parent Guarantee”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D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and Booz Allen Hamilton, each of which we refer to in this section as an issuer, may offer, from time to time, senior debt securities which we refer to in this prospectus as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issue debt securities from time to time, in one or more series, under an indenture to be entered into by and between Booz Allen Hamilton Holding Corporation and U.S. Bank Trust Company, National Association, as trustee. Booz Allen Hamilton may issue debt securities from time to time, in one or more series, pursuant to the indenture, dated as of August 4, 2023 (the “Base Indenture”), among Booz Allen Hamilton, Booz Allen Hamilton Holding Corporation and U.S. Bank Trust Company, National Association, as trustee, as supplemented by the applicable supplemental indenture with respect to each series of debt securities. The form of indenture for Booz Allen Hamilton Holding Corporation and the Base Indenture are each referred to individually as an indenture and collectively as the indentures.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will not limit the aggregate principal amount of debt securities that the issuers may issue and will provide that the issuers may issue debt securities from time to time in one or more series, in each case with the same or various maturities, at par or at a discount. The issuers may issue additional debt securities of a particular series without the consent of the holders of the debt securities of such series outstanding at the time of the issuance. Any such additional debt securities, together with all other outstanding debt securities of that series, may constitute a single series of debt securities under the applicable indenture. The indentures will not limit the issuers’ ability to incur other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are filed as exhibits to the registration statement of which this prospectus is part. We have summarized selected portions of the indentures below. 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the debt securities, including the definitions therein of certain terms.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direct, senior obligations of the applicable issuer. The debt securities will rank equally in right of payment with all of the applicable issuer’s existing and future senior indebtedness and rank senior in right of payment to any of the applicable issuer’s future subordinated indebtedness. The debt securities will be structurally subordinated to all existing and future indebtedness and other liabilities (including accounts payable and other accrued expenses) of the subsidiaries of the applicable issuer that do not guarantee the debt securities, which means that creditors of such subsidiaries will be paid from the subsidiaries’ assets before holders of the debt securities would have any claims to those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operations of Booz Allen Hamilton Holding Corporation are conducted almost entirely through Booz Allen Hamilton, and its ability to generate cash to meet its debt service obligations is highly dependent on the earnings and receipt of funds from Booz Allen Hamilton via dividends or intercompany loans. 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issuers may issue debt securities in one or more series through an indenture that supplements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terms relating to the specific series of debt securities being offered. These terms may include some or all of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type and ranking of the debt securities;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 (if any) upon the aggregate principal amount of the debt securities; </w:t>
      </w:r>
      <w:r>
        <mc:AlternateContent>
          <mc:Choice Requires="wps">
            <w:drawing>
              <wp:anchor behindDoc="0" distT="0" distB="0" distL="254000" distR="0" simplePos="0" locked="0" layoutInCell="1" allowOverlap="1" relativeHeight="19">
                <wp:simplePos x="0" y="0"/>
                <wp:positionH relativeFrom="column">
                  <wp:align>left</wp:align>
                </wp:positionH>
                <wp:positionV relativeFrom="line">
                  <wp:posOffset>635</wp:posOffset>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the applicable issuer will sell the debt securities;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of the debt securities and the right, if any, to extend such date or dates;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if any, at which the debt securities will bear interest, or the method of determining such rate or rates;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any interest will accrue, the interest payment dates on which such interest will be payable or the manner of determination of such interest payment dates and the related record dates;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to extend the interest payment periods and the duration of any extension;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of paying principal of (and premium, if any) and interest on the debt securities and the place or places where and the date or dates on which principal (and premium, if any) and interest will be payable;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a sinking fund or other analogous fund, if any;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dates, prices, obligations and restrictions on the debt securities;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entire principal amount thereof, the portion of the principal amount of the debt securities that shall be payable upon declaration of acceleration of maturity of the debt securities in connection with an event of default;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for which you may purchase the debt securities and the currency, currencies or currency units in which principal and interest, if any, on the debt securities may be payable;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features of the debt securities;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upon what terms the debt securities may be defeased;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the events of default or the covenants set forth in the applicable indenture;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definitive or global form or in definitive form only upon satisfaction of certain conditions;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series of debt securities will be guaranteed and/or secured; and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debt securities will not be listed on any securities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also be issued under the indentures upon the exercise of warrants or delivery upon settlement of purchase contracts. See “Description of Warrants,” “Description of Purchase Contracts” and “Description of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specific terms, if any, on which the debt securities may be converted or exchanged. These terms will include provisions as to whether conversion or exchange is mandatory, at the option of the holder or at the option of the issuer. These provisions may allow or require the number of shares of Booz Allen Hamilton Holding Corporation’s common stock or other securities to be received by the holders of such series of debt securities to be adjusted.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Payment Terms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sold at a substantial discount below their stated principal amount, bearing no interest or interest at a rate which at the time of issuance is below market rates. The applicable prospectus supplement will describe the U.S. federal income tax consequences and special considerations applicable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debt securities. The debt securities may also be issued as indexed securities or securities denominated in foreign currencies or currency units,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Denominations, Registration and Transfers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debt securities will be issued in fully registered form, without coupons, and in minimum denominations of $2,000 and integral multiples of $1,000 in excess thereof. Unless otherwise indicated in the applicable prospectus supplement, debt securities of any series will be exchangeable for other debt securities of the same issue and series, in any authorized denominations.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debt securities are issued in definitive form, wherein particular investors, or their nominees, are named as the owners of the debt securities, the definitive securities will only be issued in the minimum denomination and integral multiples in excess thereof specified in the applicable prospectus supplement. Transfers and exchanges of definitive securities will only be permitted in such minimum denomination and integral multiples in excess thereof. Transfers of definitive securities may be registered at the trustee’s corporate office or at the offices of any paying agent or trustee appointed by the applicable issuer under the applicable indenture. Exchanges of definitive securities for an equal aggregate principal amount of debt securities in different denominations may also be made at such locations. There will be no service charge in connection with any exchange or registration of transfer of such debt securities, but payment may be required of a sum sufficient to cover any tax or other governmental charge that may be imposed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debt securities will be represented by one or more global certificates registered in the name of a nominee for The Depository Trust Company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registered global security will be limited to persons that have accounts with DTC (the “participants”) or persons that may hold interests through participants. Upon the issuance of a registered global security, DTC will credit, on its book-entry registration and transfer system, the participants’ accounts with the respective principal or face amounts of the securities beneficially owned by the participants. The accounts will be designated by the dealers, underwriters or agents for the debt securities, or by the applicable issuer if the debt securities are offered and sold directly by the applicable issuer. Ownership and transfers of beneficial interests in the global security will be shown on, and transactions can be effected only through, records maintained by DTC, for interests of participants, and the records of participants, for interests of persons who hold through participants. The laws of some states require that you take physical delivery of securities in definitive form. These limits and laws may impair your ability to transfer beneficial interests in a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 or its nominee is the registered owner of a global security, DTC or its nominee will be considered the sole owner or holder of the debt securities represented by the global security for all purposes under the applicable indenture. Except as provided below, you: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any of the individual debt securities represented by the global security registered in your name;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receive or be entitled to receive physical delivery of any debt securities in definitive form; and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the owner or holder of the debt securities under the indenture.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debt securities may only exchange a beneficial interest in a global security for definitive securities registered in the holder’s name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serving as the depositary for the relevant global securities, or DTC ceases to maintain certain qualifications under the Exchange Act and no successor depositary has been appointed for 120 days; or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in our sole discretion and subject to the procedures of DTC, that the global debt security shall be exchangeable. </w:t>
      </w:r>
      <w:r>
        <mc:AlternateContent>
          <mc:Choice Requires="wps">
            <w:drawing>
              <wp:anchor behindDoc="0" distT="0" distB="0" distL="254000" distR="0" simplePos="0" locked="0" layoutInCell="1" allowOverlap="1" relativeHeight="40">
                <wp:simplePos x="0" y="0"/>
                <wp:positionH relativeFrom="column">
                  <wp:align>left</wp:align>
                </wp:positionH>
                <wp:positionV relativeFrom="line">
                  <wp:posOffset>635</wp:posOffset>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not be transferred except to another nominee of DTC, or to a successor depositary selected or approved by us or to a nominee of such successor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payment of interest on a debt security on any interest payment date will be made to the person in whose name a debt security is registered at the close of business on the record date for the interest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principal, interest and premium on the debt securities of a particular series will be payable at the office of such paying agent or paying agents as the applicable issuer may designate for such purpose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a paying agent designated by the applicable issuer and located in the Borough of Manhattan, The City of New York, will act as paying agent for payments with respect to debt securities of each series. The applicable issuer may at any time designate additional paying agents or rescind the designation of any paying agent or approve a change in the office through which any paying agent acts, except that such issuer will be required to maintain an office or agency in each place of payment for the debt securities of a particular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and subject to applicable law, any money or governmental obligations deposited with the trustee or any paying agent, or then held by the applicable issuer, in trust, for the payment of the principal, interest or premium on any debt security of any series which remain unclaimed at the end of two years after such principal, interest or premium has become due and payable will be repaid to the applicable issuer at its option and upon its request or (if then held by the issuer) will be discharged from such trust, and the holder of such debt security thereafter may look only to the issuer for payment thereof as a general unsecured creditor.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applicable issuer may, at its option, redeem any series of debt securities after its issuance date, in whole or in part, at any time and from time to time. Unless otherwise indicated in the applicable prospectus supplement, the applicable issuer may redeem debt securities in denominations larger than $2,000 but only in integral multiples of $1,000 in excess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debt securities will not be subject to any sinking fund.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redemption price for any debt security that the applicable issuer redeems will equal the applicable redemption price for debt securities of such series, together with interest accrued thereon to, but not including, the date fixed for redemption.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of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applicable issuer will transmit, or cause the trustee to transmit, a notice of any redemption of debt securities at least 10 days but not more than 60 days before the redemption date to the registered holders of the debt securities at their addresses as shown on the security register;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notice of redemption may be sent more than 60 days, but not more than one year, prior to the redemption date if such notice is sent in connection with a legal defeasance or a satisfaction and discharge of the relevant indenture. Unless the applicable issuer defaults in payment of the redemption price, on and after the redemption date interest will cease to accrue on the debt securities or the portions called for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Reporting Covenant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we are subject to the reporting requirements of Section 13 or Section 15(d) of the Exchange Act, the applicable issuer will be required to comply with Section 314(a) of the Trust Indenture Act of 1939, as amended, as in effect from time to time (the “TIA”) insofar as it relates to information, documentations, and other reports which we may be required to file with the SEC pursuant to Section 13 or Section 15(d) of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Notice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following shall constitute “events of default” under the indentures with respect to each series of debt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issuer’s failure to pay any interest on any debt security of such series when due and payable, continued for 30 days;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issuer’s failure to pay principal of or premium, if any, on any debt security of such series when due, whether at maturity, redemption, acceleration or otherwise;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issuer’s failure to deposit any sinking fund payment when due, in respect of any debt security of such series;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issuer’s failure to observe or perform any other of its covenants or agreements with respect to the debt securities of such series for 90 days; however, a default under this subsection will not constitute an event of default until the trustee or the holders of at least 30% in the aggregate principal amount of the debt securities of that series notify in writing the applicable issuer of the default and such default is not cured within the times specified in this subsection after receipt of such notice;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reorganization, winding up or liquidation of the applicable issuer or, with respect to debt securities issued by Booz Allen Hamilton Inc., the guarantor;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debt securities issued by Booz Allen Hamilton Inc., the guarantee by Booz Allen Hamilton Holding Corporation ceases to be in full force and effect (except as contemplated by the terms of the indenture) or is declared null and void in a judicial proceeding or any guarantor denies or disaffirms its obligations under the indenture or the applicable guarantee, and such Default continues for 10 days; and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described in the applicable indenture.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involving certain events of bankruptcy, insolvency, reorganization, winding up or liquidation of the applicable issuer) with respect to any debt securities of any series outstanding under any of the indentures shall occur and be continuing, the trustee under such indenture or the holders of at least 30% in aggregate principal amount of the debt securities of that series outstanding may declare, by notice as provided in the applicable indenture, the principal amount of all the debt securities of that series outstanding (or such lesser amount as may be provided for in the debt securities of that series) to be due and payable immediately. In the case of an event of default involving certain events of bankruptcy, insolvency, reorganization, winding up or liquidation of the applicable issuer, the principal amount of all debt securities of any series outstanding will automatically become due and payable immediately. After any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debt securities, an amount less than the principal amount thereof will become due and payable. Reference is made to the prospectus supplement relating to any original issue discount debt securities for the particular provisions relating to acceleration of maturity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declaration of any existing or past default under any of the indentures with respect to debt securities of any series may be waived, rescinded or cancelled, and any event of default arising therefrom may be waived by the holders of a majority in aggregate principal amount of all debt securities of such series outstanding under such indenture if such waiver, rescission or cancellation would not conflict with any judgment or decree,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 continuing default or event of default in the case of the payment of the principal of (or premium, if any) or interest on any debt securities of such series.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trustee is required, within 90 days after notification of a default (of which a responsible officer of the trustee has received written notice and which is continuing), with respect to the debt securities of any series (without regard to any grace period or notice requirements), to give to the holders of the debt securities of such series notice of such default;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except in the case of a default in the payment of the principal of (and premium, if any) or interest on any debt securities of such series, the trustee shall be protected in withholding such notice if it in good faith determines that the withholding of such notice is in the interests of the holders of the debt securities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require indemnification satisfactory to it by the holders of the debt securities of any series with respect to which a continuing default has occurred before proceeding to exercise any right or power under the applicable indenture at the request of the holders of the debt securities of such series. Subject to such right of indemnification and to certain other limitations, the holders of a majority in aggregate principal amount of the outstanding debt securities of any series under the applicable indenture may direct the time, method and place of conducting any proceeding for any remedy available to the trustee, or exercising any trust or power conferred on the trustee with respect to the debt securities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 debt security of any series may institute any action against the applicable issuer under the applicable indenture (except actions for payment of overdue principal of (and premium, if any) or interest on such debt security or for the conversion or exchange of such debt security in accordance with its terms) unless (i) the holder has given to the trustee written notice of an event of default and of the continuance thereof with respect to the debt securities of such series specifying an event of default, as required under the applicable indenture, (ii) the holders of at least 30% in aggregate principal amount of the debt securities of that series then outstanding under such indenture shall have requested the trustee in writing to institute such action, (iii) such holder or holders shall have offered to the trustee indemnity satisfactory to it against the loss, liabilities or expenses to be incurred in compliance with such request, (iv) the trustee shall not have instituted such action within 60 days of such request and the offer of security or indemnity, and (v) during such 60-day period, the holders of a majority in principal amount of the debt securities of that series do not give the trustee a direction inconsistent with the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will provide that, in the case of a default in the payment of principal of or premium, if any, or interest on any series of debt securities, when the same has become due and payable, and in the case of any payment of interest, such default has continued for 30 days, the trustee or the holder of any debt security may or, if directed by the holders of at least a majority in aggregate principal amount of the debt securities of that series then outstanding under such indenture the trustee shall, subject to the provisions of the applicable indenture, demand payment of the amount then due and payable and may institute legal proceedings for the collection of such amount if the issuer fails to make payment thereof upon demand.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 will be required to furnish annually to the trustee statements as to its compliance with all conditions and covenants under the applicable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Protection in the Event of a Change in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herein or in the applicable prospectus supplement, the debt securities will not contain any provisions that may afford holders of the debt securities protection in the event the applicable issuer has a change in control or in the event of a highly leveraged transaction (whether or not such transaction results in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indentures, the applicable issuer, the guarantor (if any) and the trustee may supplement the indenture, debt securities and guarantee (if any) for certain purposes without notice to or the consent of the holders of debt securities of any series, for, among other purposes, one or more of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omission, mistake, defect or inconsistency; </w:t>
      </w:r>
      <w:r>
        <mc:AlternateContent>
          <mc:Choice Requires="wps">
            <w:drawing>
              <wp:anchor behindDoc="0" distT="0" distB="0" distL="254000" distR="0" simplePos="0" locked="0" layoutInCell="1" allowOverlap="1" relativeHeight="48">
                <wp:simplePos x="0" y="0"/>
                <wp:positionH relativeFrom="column">
                  <wp:align>left</wp:align>
                </wp:positionH>
                <wp:positionV relativeFrom="line">
                  <wp:posOffset>635</wp:posOffset>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text of the applicable indenture (including any supplemental indenture or other instrument pursuant to which debt securities are issued), or the debt securities (including any additional debt securities) to the description of debt securities set forth in this prospectus or in any applicable prospectus supplement or other instrument pursuant to which such debt securities are issued; </w:t>
      </w:r>
      <w:r>
        <mc:AlternateContent>
          <mc:Choice Requires="wps">
            <w:drawing>
              <wp:anchor behindDoc="0" distT="7874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applicable indenture regarding the limitations on consolidation, merger, sale of assets and other transactions; </w:t>
      </w:r>
      <w:r>
        <mc:AlternateContent>
          <mc:Choice Requires="wps">
            <w:drawing>
              <wp:anchor behindDoc="0" distT="7874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assumption by a successor entity of the obligations of the applicable issuer under the applicable indenture and the debt securities or guarantee provided by the applicable guarantor; </w:t>
      </w:r>
      <w:r>
        <mc:AlternateContent>
          <mc:Choice Requires="wps">
            <w:drawing>
              <wp:anchor behindDoc="0" distT="7874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guarantors with respect to the debt securities; </w:t>
      </w:r>
      <w:r>
        <mc:AlternateContent>
          <mc:Choice Requires="wps">
            <w:drawing>
              <wp:anchor behindDoc="0" distT="7874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debt securities; </w:t>
      </w:r>
      <w:r>
        <mc:AlternateContent>
          <mc:Choice Requires="wps">
            <w:drawing>
              <wp:anchor behindDoc="0" distT="787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confirm and evidence the release, termination or discharge of any guarantee or lien with respect to or securing the debt securities when such release, termination or discharge is provided for under the indentures or the debt securities; </w:t>
      </w:r>
      <w:r>
        <mc:AlternateContent>
          <mc:Choice Requires="wps">
            <w:drawing>
              <wp:anchor behindDoc="0" distT="787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applicable issuer’s covenants such new covenants, restrictions, conditions or provisions for the protection of the holders of debt securities of any series, to make the occurrence, or the occurrence and continuance, of a default in any such additional covenants, restrictions, conditions or provisions an event of default or to surrender any right or power conferred upon such issuer under the indentures;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debt securities in any material respect, as determined in good faith by the applicable issuer of any series;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any requirement of the SEC in connection with the qualification of the indentures under the TIA; </w:t>
      </w:r>
      <w:r>
        <mc:AlternateContent>
          <mc:Choice Requires="wps">
            <w:drawing>
              <wp:anchor behindDoc="0" distT="787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make any amendment to the provisions of the indentures relating to the transfer and legending of debt securities as permitted by the indentures, including, without limitation, to facilitate the issuance and administration of the debt securities;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 compliance with the indenture as so amended would not result in debt securities being transferred in violation of the Securities Act or any applicable securities law and (ii) such amendment does not materially and adversely affect the rights of the holders of debt securities to transfer debt securities;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by a successor trustee,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successor trustee is otherwise qualified and eligible to act as such under the terms of the indentures or to make such changes as shall be necessary to provide for or facilitate the administration of the trusts in the applicable indenture by more than one trustee; or </w:t>
      </w:r>
      <w:r>
        <mc:AlternateContent>
          <mc:Choice Requires="wps">
            <w:drawing>
              <wp:anchor behindDoc="0" distT="7874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or confirm the issuance of the debt securities or additional debt securities of any series. </w:t>
      </w:r>
      <w:r>
        <mc:AlternateContent>
          <mc:Choice Requires="wps">
            <w:drawing>
              <wp:anchor behindDoc="0" distT="7874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 the guarantor (if any) and the trustee may modify the applicable indenture or any supplemental indenture, the debt securities, and the guarantee (if any) with the consent of the holders of at least a majority in aggregate principal amount of the outstanding debt securities of each affected series issued under such indenture and any existing or past event of default or compliance with any provisions of such documents may be waived with the consent of the holders of the debt securities of a majority in principal amount of the debt securities of each affected series then outstanding, in each case, other than debt securities beneficially owned by the issuer or its affiliates. It shall not be necessary for the consent of the holders of debt securities to approve the particular form of any proposed amendment, but it shall be sufficient if such consent approves the substance thereof. After an amendment becomes effective, the applicable issuer shall send to the holders of debt securities affected thereby a notice briefly describing such amendment. The failure of the applicable issuer to send such notice, or any defect therein, shall not in any way impair or affect the validity of an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without the consent of each holder of an outstanding debt security of any series affected (including, for the avoidance of doubt, any debt securities held by affiliates), no amendment, supplement or waiver pursuant to the indenture may: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 the final maturity of any debt securities;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premium, if any, on any debt securities;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or extend the time for payment of interest on the debt securities of any series;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payable upon the redemption of any debt securities;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original issue discount securities or any other debt securities payable upon acceleration of the maturity thereof;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currency of payment of principal of, or premium, if any, or interest on, any debt securities;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the aggregate principal amount of debt securities whose holders must consent to an amendment, supplement or waiver;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or impair the legal right of holders to receive payment or to institute suit for the enforcement of any payment or conversion of any debt securities of such series on or after the due date therefor; or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amendment or waiver provisions of the applicable indenture that require each holder’s consent, as described in any of the above provisions.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Consolidation, Merger, Sale of Assets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will provide that so long as any debt securities are outstanding, (i) the applicable issuer may not consolidate, merge or amalgamate with or into or wind up into (whether or not such issuer is the surviving entity) another entity, and (ii) the applicable issuer may not sell, assign, transfer, lease, convey or otherwise dispose of all or substantially all of its properties or assets in one or more related transactions to another entity,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issuer is the surviving corporation; or the entity formed by or surviving any such consolidation, merger, amalgamation or winding up or to which such sale, assignment, transfer, lease or conveyance has been made (the “Successor Company”), if other than such issuer, is organized and validly existing under the laws of the United States of America, any State thereof, the District of Columbia, or any territory thereof;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Company (if other than such issuer) expressly assumes all the obligations of such issuer under the applicable indenture and the applicable debt securities pursuant to supplemental indentures or other documents or instruments;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(and treating any indebtedness that becomes an obligation of the Successor Company as a result of such transaction as having been incurred by the Successor Company at the time of such transaction), no event of default has occurred and is continuing;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Successor Company is other than such issuer, any applicable guarantor, unless it is the other party to the transactions described above, shall have by supplemental indenture confirmed that the guarantee it provided shall apply to such entity’s obligations under the applicable indenture and the applicable debt securities; and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issuer delivers to the trustee an officers’ certificate and an opinion of counsel, each to the effect that such consolidation, merger, amalgamation or disposition complies with the applicable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indenture;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opinion of counsel will be required for a transaction described in the second sentence of the immediately following paragraph.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Successor Company will succeed to, and be substituted for, the applicable issuer under the applicable indenture and the applicable debt securities, and such issuer will automatically be released and discharged from its obligations under the applicable indenture and the applicable debt securities. Notwithstanding the foregoing, subject to the applicable indenture, (a) the applicable issuer may consolidate or amalgamate with, merge into or sell, assign, transfer, lease, convey or otherwise dispose of all or part of its properties and assets to any applicable guarantor, (b) such issuer may merge, consolidate or amalgamate with an affiliate of such issuer incorporated or organized solely for the purpose of reincorporating or reorganizing such issuer in another state of the United States, the District of Columbia or any territory of the United States, (c) such issuer may convert (including by way of merger, consolidation or amalgamation) into a corporation, partnership, limited partnership, limited liability company or trust organized or existing under the laws of a jurisdiction in the United States, (d) such issuer may change its name, (e) any subsidiary may merge, consolidate or amalgamate into such issuer;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in the case of this clause (e), that the surviving entity is or becomes the applicable issuer upon consummation of such merger, amalgamation or consolidations and (f) such issuer may merge, amalgamate or consolidate into a single direct or indirect wholly-owned subsidiary pursuant to Section 251(g) (or any successor provision) of the General Corporation Law of the State of Delaware (the “DGCL”), if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Legal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indicated in the applicable prospectus supplement, the applicable issuer may discharge or defease its obligations under each indenture as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 may discharge certain obligations to holders of any series of debt securities issued under the indentures which have not already been delivered to the trustee for cancellation and which have either become due and payable or are by their terms due and payable within one year (or scheduled for redemption within one year under arrangements satisfactory to the trustee for the giving of notice of redemption by the trustee) if the applicable issuer and guarantor irrevocably deposited with the trustee cash or U.S. government obligations, in an amount sufficient to pay and discharge the entire indebtedness on the debt securities, in addition to paying all other sums then due and payable under the applicable indenture and delivering to the trustee an officer’s certificate and an opinion of counsel stating that all conditions precedent under the applicable indenture relating to the satisfaction and discharge of the applicable indenture have been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indicated in the applicable prospectus supplement, the applicable issuer may elect either (i) to defease and be discharged from any and all obligations with respect to the debt securities of or within any series (except as otherwise provided in the relevant indenture) (“legal defeasance”) or (ii) to be released from its obligations with respect to certain covenants applicable to the debt securities of or within any series (“covenant defeasance”), upon the irrevocable deposit with the relevant trustee, in trust for such purpose, of cash or U.S. government obligations for the payment of principal, premium (if any) and interest on the applicable issue of debt securities to maturity or redemption, as the case may be. As a condition to legal defeasance or covenant defeasance, such issuer must deliver to the trustee an opinion of counsel to the effect that the holders of such debt securities will not recognize income, gain or loss for U.S. federal income tax purposes as a result of such deposit and legal defeasance or covenant defeasance and will be subject to U.S. federal income tax on the same amounts and in the same manner and at the same times as would have been the case if such legal defeasance or covenant defeasance had not occurred. Such opinion of counsel, in the case of legal defeasance under clause (i) above, must refer to and be based upon a ruling of the Internal Revenue Service or a change in applicable U.S. federal income tax law occurring after the date of the relevant indenture. In addition, in the case of either legal defeasance or covenant defeasance, such issuer shall have delivered to the trustee an officers’ certificate and an opinion of counsel, each to the effect that all conditions precedent with respect to such legal defeasance or covenant defeasance have been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issuer may exercise its legal defeasance option with respect to such debt securities notwithstanding its prior exercise of its covenant defeasance option.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and the debt securities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have all the duties and responsibilities of an indenture trustee specified in the TIA. The trustee will not be required to exercise any of its powers under the indentures at your request, unless you offer indemnity satisfactory to it against the costs, expenses and liabilities which the trustee might incur. The rights, privileges, protections and benefits, including its right to be indemnified, given to the trustee under the indentures will also be extended to each agent, custodian and other person employed to act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act as depositary for funds of, make loans to, and perform other services for, the applicable issuer and its subsidiaries in the normal course of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Terms of the Debt Securities of Booz Allen Hamilton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states otherwise, Booz Allen Hamilton Holding Corporation (the “parent guarantor”) will fully and unconditionally guarantee (the “parent guarantee”) to each holder of debt securities issued by Booz Allen Hamilton pursuant to this prospectus the due and punctual payment of the principal of, and any premium and any interest on, those debt securities, when and as the same becomes due and payable, whether at maturity, upon acceleration or otherwise. The parent guarantee will rank equally in right of payment with all of the parent guarantor’s existing and future senior indebtedness and rank senior in right of any of the parent guarantor’s future subordinated indebtedness. The parent guarantee will be effectively subordinated to all existing and future secured indebtedness of the parent guarantor to the extent of the value of the assets securing such indebtedness and will be structurally subordinated to all existing and future indebtedness of the parent guarantor’s subsidiaries, other than Booz Allen Hamilton.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Consolidation, Merger and Sale of Assets of the Parent Guarantor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so long as any debt securities are outstanding, (i) the parent guarantor may not consolidate, merge or amalgamate with or into or wind up into (whether or not the parent guarantor is the surviving entity) another entity, and (ii) the parent guarantor may not sell, assign, transfer, lease, convey or otherwise dispose of all or substantially all of its properties or assets in one or more related transactions to another entity unless such consolidation, merger, amalgamation, winding up, sale, assignment, transfer, lease, conveyance or other disposition is made in compliance with the indenture,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parent guarantor is the surviving corporation; or the entity formed by or surviving any such consolidation, merger, amalgamation or winding up or to which such sale, assignment, transfer, lease or conveyance has been made (the “Successor Guarantor”), if other than the parent guarantor, is organized and validly existing under the laws of the United States of America, any State thereof, the District of Columbia, or any territory thereof;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Guarantor (if other than the parent guarantor) expressly assumes all the obligations of the parent guarantor under the indentures and the guarantee pursuant to supplemental indentures or other documents or instruments; and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Successor Guarantor (if other than the parent guarantor) delivers to the trustee an officers’ certificate and an opinion of counsel, each to the effect that such consolidation, merger, amalgamation or disposition complies with the applicable indenture;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opinion of counsel will be required for a transaction described in the second sentence of the immediately following paragraph.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Guarantor will succeed to, and be substituted for, the parent guarantor under the indenture and guarantee, and the parent guarantor will automatically be released and discharged from its obligations under the indenture and guarantee. Subject to the indenture, (a) the parent guarantor may consolidate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amalgamate with, merge into or sell, assign, transfer, lease, convey or otherwise dispose of all or part of its properties and assets to the issuer, (b) the parent guarantor may merge, consolidate or amalgamate with an affiliate of the applicable issuer incorporated or organized solely for the purpose of reincorporating or reorganizing such guarantor in another state of the United States, the District of Columbia or any territory of the United States, (c) the parent guarantor may convert (including by way of merger, consolidation or amalgamation) into a corporation, partnership, limited partnership, limited liability company or trust organized or existing under the laws of a jurisdiction in the United States, (d) the parent guarantor may change its name and (e) any subsidiary may merge, amalgamate or consolidate into the parent guarantor;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in the case of this clause (e), that the surviving entity is or becomes a guarantor upon consummation of such merger, amalgamation or consolidation and (f) such parent guarantor may merge, amalgamate or consolidate into a single direct or indirect wholly-owned subsidiary pursuant to Section 251(g) (or any successor provision) of the DGCL, if applicable.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C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descriptions of Booz Allen Hamilton Holding Corporation’s capital stock and provisions of Booz Allen Hamilton Holding Corporation’s amended and restated certificate of incorporation (the “amended and restated certificate of incorporation”) and amended and restated bylaws (the “amended and restated bylaws”) are summaries of their material terms and provisions. For a complete description of Booz Allen Hamilton Holding Corporation’s capital stock, amended and restated certificate of incorporation and amended and restated bylaws, please refer to Booz Allen Hamilton Holding Corporation’s amended and restated certificate of incorporation, amended and restated bylaws and the applicable provisions of the DGCL. See “Where You Can Find More Information” for information on how to obtain copies of Booz Allen Hamilton Holding Corporation’s amended and restated certificate of incorporation and amended and restated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Corporation’s amended and restated certificate of incorporation authorizes the issuance of 600,000,000 shares of Class A common stock, par value $0.01 per share. The rights and privileges of holders of Booz Allen Hamilton Holding Corporation’s Class A common stock are subject to any series of preferred stock that Booz Allen Hamilton Holding Corporation may issue in the future. Booz Allen Hamilton Holding Corporation’s Class A common stock is registered on the New York Stock Exchange under the symbol “BAH”. As of July 20, 2026, 120,284,973 shares of Booz Allen Hamilton Holding Corporation’s Class A common stock were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Class A common stock are entitled to one vote for each share on all matters to be voted on by stockholders. Except as otherwise provided by the DGCL, the entire voting power of the shares of the Company for the election of directors and for all other purposes is vested exclusively in the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Election of Directors</w:t>
      </w:r>
      <w:r>
        <w:rPr>
          <w:rFonts w:ascii="Times New Roman;Times;serif" w:hAnsi="Times New Roman;Times;serif"/>
          <w:b w:val="false"/>
          <w:i w:val="false"/>
          <w:caps w:val="false"/>
          <w:smallCaps w:val="false"/>
          <w:color w:val="000000"/>
          <w:spacing w:val="4"/>
          <w:sz w:val="20"/>
        </w:rPr>
        <w:t xml:space="preserve">.   Directors are elected by the vote of the majority of the votes cast (as defined in Section 2.02 of the amended and restated bylaws) with respect to such director’s election; unless the director has been duly nominated by a stockholder in accordance with the amended and restated bylaws. Where a director has been duly nominated by a stockholder in accordance with the amended and restated bylaws, such director shall be elected by the vote of a plurality of votes cast in connection with the election of directors at any meeting of stockholders. Any nominee who is an incumbent director and does not receive a majority of the votes cast in an election where the director was not duly nominated by a stockholder in accordance with the amended and restated bylaws must promptly tender his or her resignation contingent on the acceptance of that resignation by the board of directors of Booz Allen Hamilton Holding Corporation pursuant to the procedure established in the amended and restated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Rights</w:t>
      </w:r>
      <w:r>
        <w:rPr>
          <w:rFonts w:ascii="Times New Roman;Times;serif" w:hAnsi="Times New Roman;Times;serif"/>
          <w:b w:val="false"/>
          <w:i w:val="false"/>
          <w:caps w:val="false"/>
          <w:smallCaps w:val="false"/>
          <w:color w:val="000000"/>
          <w:spacing w:val="4"/>
          <w:sz w:val="20"/>
        </w:rPr>
        <w:t xml:space="preserve">.   Each share of Class A common stock is entitled to participate equally, when and if declared by the board of directors of Booz Allen Hamilton Holding Corporation from time to time, in such dividends and other distributions in cash, stock, or property from the Company’s assets or funds as may become legally available for such purposes subject to any dividend preferences that may be attributable to preferred stock that may be authorized and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 to Receive Liquidation Distributions</w:t>
      </w:r>
      <w:r>
        <w:rPr>
          <w:rFonts w:ascii="Times New Roman;Times;serif" w:hAnsi="Times New Roman;Times;serif"/>
          <w:b w:val="false"/>
          <w:i w:val="false"/>
          <w:caps w:val="false"/>
          <w:smallCaps w:val="false"/>
          <w:color w:val="000000"/>
          <w:spacing w:val="4"/>
          <w:sz w:val="20"/>
        </w:rPr>
        <w:t xml:space="preserve">.   In the event of Booz Allen Hamilton Holding Corporation’s liquidation, dissolution or winding up, holders of Booz Allen Hamilton Holding Corporation’s Class A common stock will be entitled to receive proportionately any of Booz Allen Hamilton Holding Corporation’s assets remaining after the payment of liabilities and subject to the prior rights of any outstanding preferred stock. Because Booz Allen Hamilton Holding Corporation is a holding company, its ability to pay dividends is subject to its subsidiaries’ ability to pay dividends to Booz Allen Hamilton Holding Corporation, which is in turn subject to the restrictions set forth in our debt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Rights</w:t>
      </w:r>
      <w:r>
        <w:rPr>
          <w:rFonts w:ascii="Times New Roman;Times;serif" w:hAnsi="Times New Roman;Times;serif"/>
          <w:b w:val="false"/>
          <w:i w:val="false"/>
          <w:caps w:val="false"/>
          <w:smallCaps w:val="false"/>
          <w:color w:val="000000"/>
          <w:spacing w:val="4"/>
          <w:sz w:val="20"/>
        </w:rPr>
        <w:t xml:space="preserve">.   Holders of Class A common stock have no preemptive, subscription, redemption, sinking fund, or conversion rights. All outstanding shares of Class A common stock are fully paid and non-assessable.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Corporation’s amended and restated certificate of incorporation authorizes the issuance of 54,000,000 shares of preferred stock, par value $0.01 per share, the terms and conditions of which will be determined by the board of directors of Booz Allen Hamilton Holding Corporation upon issuance. The rights, preferences and privileges of holders of common stock are subject to, and may be adversely affected by, the rights of holders of any shares of preferred stock that Booz Allen Hamilton Holding Corporation may designate and issue in the future. There are no shares of preferred stock outstanding. The Company has no present plans to issue any shares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Company’s amended and restated certificate of incorporation provides the Company’s board of directors with the authority to designate and issue, without any further vote or action by the Company’s stockholders, one or more series of preferred stock at their sole discretion. The Company’s board of directors by resolution may specify the number of shares to be included in a series of preferred stock, fix the voting powers (full, limited or no voting powers) and the designations, preferences and relative participating, optional or other special rights of a series of preferred stock, and the qualifications limitations or restrictions thereof, including, without limitation any dividend rights and redemption, sinking fund and conversion rights. Subject to the express terms of any other series of preferred stock outstanding at the time, the board of directors of the Company may increase or decrease the number of shares or alter the designation or classify or reclassify any unissued shares of a particular series of preferred stock by fixing or altering in any one or more respects from time to time before issuing the shares any terms, rights, restrictions and qualifications of the shares.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 Related Provisions of Our Amended and Restated Certificate of Incorporation, Amended and Restated Bylaws, and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in Booz Allen Hamilton Holding Corporation’s amended and restated certificate of incorporation and amended and restated bylaws, and in the DGCL, may make it difficult, expensive, and time-consuming for a third party to pursue a takeover attempt even if a change in control of Booz Allen Hamilton Holding Corporation would be beneficial to the interests of its stockholders. Any provision of Booz Allen Hamilton Holding Corporation’s amended and restated certificate of incorporation or amended and restated bylaws or Delaware law that has the effect of delaying or deterring a change in control could limit the opportunity for its stockholders to receive a premium for their shares of its common stock, and could also affect the price that some investors are willing to pay for its common stock. These provisions are intended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enhance the likelihood of continuity and stability in the composition of the board of directors of Booz Allen Hamilton Holding Corporation;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discourage some types of transactions that may involve an actual or threatened change in control of the Company;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discourage certain tactics that may be used in proxy fights;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ensure that the board of directors of Booz Allen Hamilton Holding Corporation will have sufficient time to act in what it believes to be the best interests of Booz Allen Hamilton Holding Corporation and its stockholders; and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encourage persons seeking to acquire control of Booz Allen Hamilton Holding Corporation to first consult with its board of directors to negotiate the terms of any proposed business combination or offer.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Unissued Shares of Capital Stock.</w:t>
      </w:r>
      <w:r>
        <w:rPr>
          <w:rFonts w:ascii="Times New Roman;Times;serif" w:hAnsi="Times New Roman;Times;serif"/>
          <w:b w:val="false"/>
          <w:i w:val="false"/>
          <w:caps w:val="false"/>
          <w:smallCaps w:val="false"/>
          <w:color w:val="000000"/>
          <w:spacing w:val="4"/>
          <w:sz w:val="20"/>
        </w:rPr>
        <w:t xml:space="preserve">   As of July 20, 2026, 120,284,973 shares of Booz Allen Hamilton Holding Corporation’s Class A common stock were issued and outstanding. The remaining shares of authorized and unissued Class A common stock are available for future issuance without additional stockholder approval, subject to the requirements of applicable law or regulation, including any listing requirement of the principal stock exchange on which Booz Allen Hamilton Holding Corporation’s Class A common stock is then listed. While the additional shares are not designed to deter or prevent a change of control, under some circumstances Booz Allen Hamilton Holding Corporation could use the additional shares to create voting impediments or to frustrate persons seeking to effect a takeover or otherwise gain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 by, for example, issuing those shares in private placements to purchasers who might side with the board of directors of Booz Allen Hamilton Holding Corporation in opposing a hostile takeover bid.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Booz Allen Hamilton Holding Corporation’s amended and restated certificate of incorporation provides its board of directors with the authority, without any further vote or action by our stockholders, to designate and issue one or more series of preferred stock at their sole discretion and to fix the numbers of shares and the preferences, limitations and relative rights of the shares constituting any series. This provision makes it possible for Booz Allen Hamilton Holding Corporation’s board of directors to issue preferred stock with super voting, special approval, dividend or other rights or preferences which could impede any attempt to acquire Booz Allen Hamilton Holding Corporation. These and other provisions may have the effect of deferring, delaying or discouraging hostile takeovers or changes in control or management of Booz Allen Hamilton Holding Corporation, discouraging bids for the Class A common stock at a premium over the market price of the common stock and may adversely affect the market price of, and the voting and other rights of the holder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Provisions for Stockholder Nominations of Directors and Stockholder Proposals</w:t>
      </w:r>
      <w:r>
        <w:rPr>
          <w:rFonts w:ascii="Times New Roman;Times;serif" w:hAnsi="Times New Roman;Times;serif"/>
          <w:b w:val="false"/>
          <w:i w:val="false"/>
          <w:caps w:val="false"/>
          <w:smallCaps w:val="false"/>
          <w:color w:val="000000"/>
          <w:spacing w:val="4"/>
          <w:sz w:val="20"/>
        </w:rPr>
        <w:t xml:space="preserve">.   Booz Allen Hamilton Holding Corporation’s amended and restated bylaws establish an advance notice procedure for stockholders to make nominations of candidates for election as director or to bring other business before an annual meeting of Booz Allen Hamilton Holding Corporation’s stockholders. This procedure provides that, except as otherwise required by applicable law, only persons who are nominated by the board of directors of Booz Allen Hamilton Holding Corporation, a committee appointed by the board of directors of Booz Allen Hamilton Holding Corporation, or by a stockholder who (i) is entitled to vote at the meeting, (ii) has given timely written notice to Booz Allen Hamilton Holding Corporation’s secretary prior to the meeting and (iii) is a stockholder of record when the required notice is delivered and at the date of the meeting, will be eligible for election as directors, and only business that has been brought before an annual meeting by the board of directors of Booz Allen Hamilton Holding Corporation, any committee appointed by the board of directors of Booz Allen Hamilton Holding Corporation, or by a stockholder who has given timely written notice to Booz Allen Hamilton Holding Corporation’s secretary prior to the meeting, may be conducted. Under the procedure, to be timely, notice must be received by the secretary at Booz Allen Hamilton Holding Corporation’s principal executive offices not less than 90 days and not more than 120 days prior to the first anniversary date of the annual meeting of the preceding year. In addition, a stockholder’s notice proposing to nominate a person for election as director must, among other things, contain specific information about the nominating stockholder and the proposed nominee as well as the proposed nominee’s written consent to be named in the proxy statement as a nominee and to serving as a director if elected. A stockholder’s notice relating to the conduct of business other than the nomination of directors must contain, among other things, specific information about the proposing stockholder, the text of the proposal, the reasons for conducting such business at the meeting and any material interest in such business of such stockholder and beneficial owner, if any, on whose behalf the proposal is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Requiring advance notice of nominations by stockholders allows the board of directors of Booz Allen Hamilton Holding Corporation an opportunity to consider the qualifications of the proposed nominees and also provides a more orderly procedure for conducting annual meetings of stockholders. It also provides the board of directors of Booz Allen Hamilton Holding Corporation with the opportunity to inform stockholders of proposed business prior to the meeting, so that stockholders can better decide whether to attend the meeting or to grant a proxy regarding the disposition of the business. These provisions may also have the effect of precluding a contest for the election of directors or the consideration of stockholder proposals and of discouraging or deterring a third party from conducting a solicitation of proxies to elect its own slate of directors or to approve its own proposal without regard to whether consideration of the nominees or proposals might be harmful or beneficial to Booz Allen Hamilton Holding Corporation or its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Corporation’s amended and restated certificate of incorporation contains provisions permitted under the DGCL relating to the liability of directors and officers. These provisions eliminate a director’s or officer’s personal liability for monetary damages resulting from a breach of fiduciary duty, except in circumstances involving or related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or officer’s duty of loyalty; </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or omissions by a director or officer not in good faith or which involve intentional misconduct or a knowing violation of the law;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 director, any violation of Section 174 of the DGCL (including, among other things, unlawful payment of dividends);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or officer derives an improper personal benefit; or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 officer, any action by or in right of Booz Allen Hamilton Holding Corporation.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effect of the limitation on liability provision is that a stockholder will be unable to prosecute an action for monetary damages against a director or officer unless the stockholder can demonstrate a basis for liability for which indemnification is not available under the DGCL. These provisions, however, should not limit or eliminate Booz Allen Hamilton Holding Corporation’s rights or any stockholder’s rights to seek non-monetary relief, such as an injunction or rescission, in the event of a breach of director’s or officer’s fiduciary duty. These provisions will not alter a director’s or officer’s liability under federal securities laws. The inclusion of this provision in Booz Allen Hamilton Holding Corporation’s certificate of incorporation may discourage or deter stockholders or management from bringing a lawsuit against directors or officers for a breach of their fiduciary duties, even though such an action, if successful, might otherwise have benefited Booz Allen Hamilton Holding Corporation and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Corporation’s amended and restated bylaws require it to indemnify and advance expenses to its directors and officers to the fullest extent not prohibited by the DGCL and other applicable law, except in the case of a proceeding instituted by the director without the approval of the board of directors of Booz Allen Hamilton Holding Corporation. Booz Allen Hamilton Holding Corporation’s amended and restated bylaws also provide that it is required to indemnify its directors and officers, to the fullest extent permitted by law, for all judgments, fines, settlements, legal fees and other expenses incurred in connection with pending or threatened legal proceedings because of the director’s or officer’s positions with Booz Allen Hamilton Holding Corporation or another entity that the director or officer serves at Booz Allen Hamilton Holding Corporation’s request, subject to various conditions, and to advance funds to Booz Allen Hamilton Holding Corporation’s directors and officers to enable them to defend against such proceedings. To receive indemnification, the director or officer must have been successful in the legal proceeding or have acted in good faith and in what was reasonably believed to be a lawful manner in Booz Allen Hamilton Holding Corporation’s best interest and, with respect to any criminal proceeding, had no reasonable cause to believe his or her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has entered into an indemnification agreement with each of its directors and certain of its officers. The indemnification agreements provide its directors and certain of its officers with contractual rights to the indemnification and expense advancement rights provided under Booz Allen Hamilton Holding Corporation’s amended and restated bylaws, as well as contractual rights to additional indemnification as provided in the indemnification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Exclusive Forum Provision.</w:t>
      </w:r>
      <w:r>
        <w:rPr>
          <w:rFonts w:ascii="Times New Roman;Times;serif" w:hAnsi="Times New Roman;Times;serif"/>
          <w:b w:val="false"/>
          <w:i w:val="false"/>
          <w:caps w:val="false"/>
          <w:smallCaps w:val="false"/>
          <w:color w:val="000000"/>
          <w:spacing w:val="4"/>
          <w:sz w:val="20"/>
        </w:rPr>
        <w:t xml:space="preserve">   Booz Allen Hamilton Holding Corporation’s amended and restated certificate of incorporation provides that the Court of Chancery of the State of Delaware shall be the sole and exclusive forum for (i) any derivative action or proceeding brought on behalf of the Company, (ii) any action asserting a claim of breach of a fiduciary duty owed by any director or officer of the Company to the Company or the Company’s stockholders, (iii) any action asserting a claim against the Company arising pursuant to any provision of the DGCL or Booz Allen Hamilton Holding Corporation’s amended and restated certificate of incorporation or amended and restated bylaws, or (iv) any action asserting a claim against the Company governed by the internal affairs doctrine.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serves as transfer agent and registrar for Booz Allen Hamilton Holding Corporation’s Class A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DS1"/>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elect to offer depositary shares representing receipts for fractional interests in debt securities, common stock or preferred stock. Booz Allen Hamilton may elect to offer depositary shares representing receipts for fractional interests in debt securities. In this case, we will issue receipts for depositary shares, each of which will represent a fraction of a debt security, or share of common stock or of a particular series of preferred stock,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deposit the debt securities or shares of common stock or any series of preferred stock represented by depositary shares under a deposit agreement between Booz Allen Hamilton Holding Corporation or Booz Allen Hamilton, as applicable, and a depositary which we will name in the applicable prospectus supplement. The depositary will be the transfer agent, registrar and dividend disbursing agent for the depositary shares. Unless otherwise provided in the applicable prospectus supplement, and subject to the terms of the deposit agreement, as an owner of a depositary share you will be entitled, in proportion to the applicable fraction of a debt security or share of common stock or preferred stock represented by the depositary share, to all the rights and preferences of the debt security or common stock or preferred stock, as the case may be, represented by the depositary share, including, as the case may be, interest, dividend, voting, conversion, redemption, sinking fund, repayment at maturity, subscription and liquidation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of the deposit agreement is a summary. It summarizes only those terms of the deposit agreement that we believe will be most important to your decision to invest in our depositary shares. You should keep in mind, however, that it is the deposit agreement, and not this summary, which defines your rights as a holder of depositary shares. There may be other provisions in the deposit agreement, our amended and restated certificates of incorporation and the certificates of designation for the applicable series of preferred stock that are, or will be, filed with the SEC that are also important to you. You should read the deposit agreement for a full description of the terms of the depositary shares. The form of the deposit agreement will be filed as an exhibit to the registration statement of which this prospectus forms a part. See “Where You Can Find More Information” for information on how to obtain copies of these documents.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payments of interest, cash dividends or other cash distributions received on the debt securities, common stock or preferred stock, as the case may be, to you in proportion to the number of depositary shares that you own on the relevant record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distribution other than in cash, the depositary will distribute property received by it to you in an equitable manner, unless the depositary determines that it is not feasible to make a distribution. In that case the depositary may adopt another method for the distribution, including selling the property and distributing the net proceeds from the sale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a debt security, share of common stock or series of preferred stock represented by depositary shares, the depositary will redeem your depositary shares from the proceeds received by the depositary resulting from the redemption. The redemption price per depositary share will be equal to the applicable fraction of the redemption price per debt security or share of common stock or preferred stock, as the case may be, payable in relation to the redeemed series of debt securities, common stock or preferred stock. Whenever we redeem debt securities or shares of common stock or preferred stock held by the depositary, the depositary will redeem as of the same redemption date the number of depositary shares representing, as the case may be, the debt securities or shares of common stock or preferred stock redeemed. If fewer than all the depositary shares are to be redeemed, the depositary shares to be redeemed will be selected by lot, proportionately or by any other equitable method as the depositary may determine. After the date fixed for redemption, depositary shares called for redemption will no longer be deemed to be outstanding and all rights of the holders of depositary shares will cease, except the right to receive the monies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Rights under the Indentures or Voting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you, as a holder of fractional interests in deposited common stock or preferred stock, are entitled to vote, or of any request for instructions or directions from you, as a holder of interests in deposited debt securities, the depositary will mail to you the information contained in that notice. Each record holder of the depositary shares on the record date will be entitled to instruct the depositary how to give instructions or directions with respect to the debt securities represented by that holder’s depositary shares or how to vote the amount of the common stock or preferred stock represented by that holder’s depositary shares. The record date for the depositary shares will be the same date as the record date for the debt securities, common stock or preferred stock, as the case may be. The depositary will endeavor, to the extent practicable, to give instructions or directions with respect to the debt securities or to vote the amount of the common stock or preferred stock, as the case may be, represented by the depositary shares in accordance with those instructions. We will agree to take all reasonable action which the depositary may deem necessary to enable the depositary to do so. The depositary will abstain from giving instructions or directions with respect to the debt securities or voting shares of the common stock or preferred stock, as the case may be, if it does not receive specific instructions from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depositary may amend the form of depositary receipt evidencing the depositary shares and any provision of the deposit agreement at any time. However, any amendment which materially and adversely alters the rights of the holders of the depositary shares will not be effective unless the amendment has been approved by the holders of at least a majority of the depositary shares then outstanding.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will terminate if: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have been redeemed, or </w:t>
      </w:r>
      <w:r>
        <mc:AlternateContent>
          <mc:Choice Requires="wps">
            <w:drawing>
              <wp:anchor behindDoc="0" distT="876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complete repayment or redemption of the debt securities or a final distribution in respect of the common stock or preferred stock, including in connection with our liquidation, dissolution or winding up, and the repayment, redemption or distribution proceeds, as the case may be, have been distributed to you. </w:t>
      </w:r>
      <w:r>
        <mc:AlternateContent>
          <mc:Choice Requires="wps">
            <w:drawing>
              <wp:anchor behindDoc="0" distT="889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We also may, at any time, remove the depositary. Any resignation or removal will take effect upon the appointment of a successor depositary and its acceptance of such appointment. We must appoint the successor depositary within 60 days after delivery of the notice of resignation or removal. The successor depositary must be a bank or trust company having its principal office in the United States and having a combined capital and surplus of at least $50 million.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depositary arrangements. We will pay charges of the depositary in connection with the initial deposit of the debt securities, common stock or preferred stock, as the case may be, and issuance of depositary receipts, all withdrawals of shares of debt securities, common stock or preferred stock, as the case may be, by you and any repayment or redemption of the debt securities, common stock or preferred stock, as the case may be. You will pay transfer and other taxes and governmental charges, as well as the other charges that are expressly provided in the deposit agreement to be for your account.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all reports and communications from us which are delivered to the depositary and which we are required or otherwise determine to furnish to holders of debt securities, common stock or preferred stock, as the case may be. In addition, the depositary will make available for inspection by holders of depositary receipts at the principal office of the depositary, and at such other places as it may from time to time deem advisable, any reports and communications we deliver to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depositary will be liable under the deposit agreement to you other than for the depositary’s gross negligence, willful misconduct or bad faith. Neither we nor the depositary will be obligated to prosecute or defend any legal proceedings relating to any depositary shares, debt securities, common stock or preferred stock unless satisfactory indemnity is furnished. We and the depositary may rely upon written advice of counsel or accountants, or upon information provided by persons presenting debt securities or shares of common stock or preferred stock for deposit, you or other persons believed to be competent and on documents which we and the depositary believe to be genuine.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OW"/>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issue warrants to purchase debt securities, preferred stock, common stock or other securities described in this prospectus, property or assets (including rights to receive payment in cash or securities based on the value, rate or price of one or more specified commodities, currencies, securities or indices) as well as other types of warrants. Booz Allen Hamilton may issue warrants to purchase debt securities. We may issue warrants independently or together with any other securities, and they may be attached to or separate from those securities. We will issue the warrants under warrant agreements between us and a bank or trust company, as warrant agent, that we will describe in the prospectus supplement relating to the warrants that we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of the warrants is a summary. It summarizes only those terms of the warrants and the warrant agreement which we believe will be most important to your decision to invest in our warrants. You should keep in mind, however, that it is the warrant agreement and the warrant certificate relating to the warrants, and not this summary, which defines your rights as a warrant holder. There may be other provisions in the warrant agreement and the warrant certificate relating to the warrants which are also important to you. You should read these documents for a full description of the terms of the warrants. Forms of these documents will be filed as exhibits to the registration statement of which this prospectus forms a part. See “Where You Can Find More Information” for information on how to obtain copies of these documents.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warrants to purchase debt securities that we may offer, the warrant agreement relating to the debt warrants and the warrant certificates representing the debt warrants. These terms will include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warrants;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debt securities for which the debt warrants are exercisable; </w:t>
      </w:r>
      <w:r>
        <mc:AlternateContent>
          <mc:Choice Requires="wps">
            <w:drawing>
              <wp:anchor behindDoc="0" distT="6858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the debt warrants; </w:t>
      </w:r>
      <w:r>
        <mc:AlternateContent>
          <mc:Choice Requires="wps">
            <w:drawing>
              <wp:anchor behindDoc="0" distT="6858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we will issue the debt warrants, the principal amount of debt securities that you may purchase upon exercise of each debt warrant and the price or prices at which such principal amount may be purchased upon exercise; </w:t>
      </w:r>
      <w:r>
        <mc:AlternateContent>
          <mc:Choice Requires="wps">
            <w:drawing>
              <wp:anchor behindDoc="0" distT="6858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if other than in U.S. dollars, in which such debt warrants are to be issued or for which the debt warrants may be exercised; </w:t>
      </w:r>
      <w:r>
        <mc:AlternateContent>
          <mc:Choice Requires="wps">
            <w:drawing>
              <wp:anchor behindDoc="0" distT="6858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and conditions relating to the exercise of the debt warrants; </w:t>
      </w:r>
      <w:r>
        <mc:AlternateContent>
          <mc:Choice Requires="wps">
            <w:drawing>
              <wp:anchor behindDoc="0" distT="6858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related debt securities and any guarantee issued with the debt warrants, and the number of debt warrants issued with each debt security; </w:t>
      </w:r>
      <w:r>
        <mc:AlternateContent>
          <mc:Choice Requires="wps">
            <w:drawing>
              <wp:anchor behindDoc="0" distT="6858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if other than in U.S. dollars, in which any principal, premium, if any, or interest on the debt securities purchasable upon exercise of the debt warrants will be payable; </w:t>
      </w:r>
      <w:r>
        <mc:AlternateContent>
          <mc:Choice Requires="wps">
            <w:drawing>
              <wp:anchor behindDoc="0" distT="6858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from which you may separately transfer the debt warrants and the related securities; </w:t>
      </w:r>
      <w:r>
        <mc:AlternateContent>
          <mc:Choice Requires="wps">
            <w:drawing>
              <wp:anchor behindDoc="0" distT="6858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your right to exercise the debt warrants commences, and the date on which your right expires; </w:t>
      </w:r>
      <w:r>
        <mc:AlternateContent>
          <mc:Choice Requires="wps">
            <w:drawing>
              <wp:anchor behindDoc="0" distT="6731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or minimum number of the debt warrants which you may exercise at any time; </w:t>
      </w:r>
      <w:r>
        <mc:AlternateContent>
          <mc:Choice Requires="wps">
            <w:drawing>
              <wp:anchor behindDoc="0" distT="6731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w:t>
      </w:r>
      <w:r>
        <mc:AlternateContent>
          <mc:Choice Requires="wps">
            <w:drawing>
              <wp:anchor behindDoc="0" distT="6731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warrants and terms, procedures and limitations relating to your exercise of the debt warrants; and </w:t>
      </w:r>
      <w:r>
        <mc:AlternateContent>
          <mc:Choice Requires="wps">
            <w:drawing>
              <wp:anchor behindDoc="0" distT="6731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securities you may purchase upon exercise of the debt warrants. </w:t>
      </w:r>
      <w:r>
        <mc:AlternateContent>
          <mc:Choice Requires="wps">
            <w:drawing>
              <wp:anchor behindDoc="0" distT="673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describe in the applicable prospectus supplement any provisions for a change in the exercise price or expiration date of the warrants and the kind, frequency and timing of any notice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You may exchange debt warrant certificates for new debt warrant certificates of different denominations and may exercise debt warrants at the corporate trust office of the warrant agent or any other office that we indicate in the applicable prospectus supplement. Prior to exercise, you will not have any of the rights of holders of the debt securities purchasable upon that exercise and will not be entitled to payments of principal, premium, if any, or interest on the debt securities purchasable upon the exercise.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issue other warrants. Booz Allen Hamilton Holding Corporation will describe in the applicable prospectus supplement the following terms of those warrants: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warrants;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which may include preferred stock, common stock or other securities, property or assets (including rights to receive payment in cash or securities based on the value, rate or price of one or more specified commodities, currencies, securities or indices), for which you may exercise the warrants;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the warrants;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Booz Allen Hamilton Holding Corporation will issue the warrants, the number of securities or amount of other property or assets that you may purchase upon exercise of each warrant and the price or prices at which such securities, property or assets may be purchased;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currencies, or currency units, if other than in U.S. dollars, in which such debt warrants are to be issued or for which the debt warrants may be exercised;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and conditions relating to the exercise of the warrants;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related securities issued with the warrants, and the number of warrants issued with each security;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from which you may separately transfer the warrants and the related securities;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your right to exercise the warrants commences, and the date on which your right expires;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or minimum number of warrants which you may exercise at any time;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and </w:t>
      </w:r>
      <w:r>
        <mc:AlternateContent>
          <mc:Choice Requires="wps">
            <w:drawing>
              <wp:anchor behindDoc="0" distT="7747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warrants, including terms, procedures and limitations relating to your exchange and exercise of the warrants. </w:t>
      </w:r>
      <w:r>
        <mc:AlternateContent>
          <mc:Choice Requires="wps">
            <w:drawing>
              <wp:anchor behindDoc="0" distT="7747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will also describe in the applicable prospectus supplement any provisions for a change in the exercise price or the expiration date of the warrants and the kind, frequency and timing of any notice to be given. You may exchange warrant certificates for new warrant certificates of different denominations and may exercise warrants at the corporate trust office of the warrant agent or any other office that Booz Allen Hamilton Holding Corporation indicates in the applicable prospectus supplement. Prior to the exercise of your warrants, you will not have any of the rights of holders of the preferred stock, common stock or other securities purchasable upon that exercise and will not be entitled to dividend payments, if any, or voting rights of the preferred stock, common stock or other securities purchasable upon the exercise.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prospectus supplement relating to the warrants the principal amount or the number of the securities, or amounts of other property or assets, that you may purchase for cash upon exercise of a warrant, and the exercise price. You may exercise a warrant as described in the prospectus supplement relating to the warrants at any time up to the close of business on the expiration date stated in the applicable prospectus supplement. Unexercised warrants will become void after the close of business on the expiration date, or any later expiration date that we determine.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forward the securities purchasable upon the exercise as soon as practicable after receipt of payment and the properly completed and executed warrant certificate at the corporate trust office of the warrant agent or other office stated in the applicable prospectus supplement. If you exercise less than all of the warrants represented by the warrant certificate, we will issue you a new warrant certificate for the remaining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PC"/>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may issue purchase contracts for the purchase or sale of a number of its debt securities, shares of its common stock or preferred stock, or other securities described in this prospectus or the applicable prospectus supplement at a future date or dates. Booz Allen Hamilton may issue purchase contracts for the purchase or sale of its debt securities or other securities described in this prospectus or the applicable prospectus supplement at a future date or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will obligate holders to purchase from us and obligate us to sell to the holders a number of debt securities, shares of common stock or preferred stock, or other securities described in this prospectus or the applicable prospectus supplement at a future date or dates. Alternatively, the purchase contacts may obligate or entitle us to purchase from the holders, and obligate or entitle the holders to sell to us, a specific or varying number of debt securities, shares of common stock or preferred stock, or other securities described in this prospectus or the applicable prospectus supplement at a future date or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require us to make periodic payments to the holders of the purchase contracts or vice versa. These payments may be unsecured or prefunded on some basis to be specified in the applicable prospectus supplement. The purchase contracts may require holders to secure their obligations thereunder in a specified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purchase contracts will specify the material terms of the purchase contracts and any applicable pledge or depositary arrangements, including one or more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stated amount that a holder will be obligated to pay under the purchase contract in order to purchase debt securities, common stock, preferred stock, or other securities described in this prospectus or the formula by which such amount shall be determined.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date or dates on which the holder will be obligated to purchase such securities. The prospectus supplement will specify whether the occurrence of any events may cause the settlement date to occur on an earlier date and the terms on which an early settlement would occur.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events, if any, that will cause our obligations and the obligations of the holder under the purchase contract to terminate.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rate, which is a number that, when multiplied by the stated amount of a purchase contract, determines the number of securities that we will be obligated to sell and a holder will be obligated to purchase under that purchase contract upon payment of the stated amount of that purchase contract. The settlement rate may be determined by the application of a formula specified in the prospectus supplement. If a formula is specified, it may be based on the market price of such securities over a specified period or it may be based on some other reference statistic.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contracts will be issued separately or as part of units consisting of a purchase contract and an underlying security with an aggregate principal amount equal to the stated amount. Any underlying securities will be pledged by the holder to secure its obligations under a purchase contract.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of underlying security, if any, that is pledged by the holder to secure its obligations under a purchase contract. Underlying securities may be debt securities, common stock, preferred stock, or other securities described in this prospectus or the applicable prospectus supplement.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pledge arrangement relating to any underlying securities, including the terms on which distributions or payments of interest and principal on any underlying securities will be retained by a collateral agent, delivered to us or be distributed to the holder.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contract fee, if any, that may be payable by us to the holder or by the holder to us, the date or dates on which the contract fee will be payable and the extent to which we or the holder, as applicable, may defer payment of the contract fee on those payment dates. The contract fee may be calculated as a percentage of the stated amount of the purchase contract or otherwise.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of the purchase contracts and any applicable underlying security or pledge or depository arrangements in this prospectus and in any prospectus supplement are summaries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provisions of the applicable agreements and are subject to and qualified in their entirety by reference to the terms and provisions of the purchase contract agreement, pledge agreement and deposit agreement, forms of which will be filed as exhibits to the registration statement of which this prospectus forms a part. See “Where You Can Find More Information” for information on how to obtain copies of these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DOU"/>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the applicable prospectus supplement, we may issue units comprising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We may issue units in one or more series, which will be described in the applicable prospectus supplement. The applicable prospectus supplement will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the securities comprising the units may be held or transferred separately;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any unit agent for the units, if applicable, and of any other depositaries, execution or paying agents, transfer agents, registrars or other agents;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terms of any unit agreement governing the units;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provisions for the issuance, payment, settlement, transfer or exchange of the units or of the debt securities, common stock, preferred stock, purchase contracts or warrants constituting the unit; and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U.S. federal income tax consequences.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will be filed as exhibits to the registration statement of which this prospectus forms a part. See “Where You Can Find More Information” for information on how to obtain copies of these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O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from time to time in one or more transactions separately or as units with other securities. We may sell the securities of or within any series to or through agents, underwriters, dealers, remarketing firms or other third parties or directly to one or more purchasers or through a combination of any of these methods. Booz Allen Hamilton Holding Corporation may issue securities as a dividend or distribution or in a subscription rights offering to our existing security holders. In some cases, we or dealers acting with us or on behalf of us may also purchase securities and reoffer them to the public. We may also offer and sell, or agree to deliver, securities pursuant to, or in connection with, any option agreement or other contractual arrangement. This prospectus may be used in connection with any offering of our securities through any of these methods or other methods described in the applicable prospectus supplement. Each prospectus supplement will describe the method of distribution of the securities and any applicable restrictions.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whom we designate may solicit offers to purchase the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any agent involved in offering or selling securities, and disclose any commissions that we will pay to the agent, in the applicable prospectus supplement. </w:t>
      </w:r>
      <w:r>
        <mc:AlternateContent>
          <mc:Choice Requires="wps">
            <w:drawing>
              <wp:anchor behindDoc="0" distT="7747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agents will act on a best efforts basis for the period of their appointment. </w:t>
      </w:r>
      <w:r>
        <mc:AlternateContent>
          <mc:Choice Requires="wps">
            <w:drawing>
              <wp:anchor behindDoc="0" distT="774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be deemed to be underwriters under the Securities Act of 1933, as amended (the “Securities Act”) of any of the securities that they offer or sell.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an underwriter or underwriters in the offer or sale of the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an underwriter or underwriters, we will execute an underwriting agreement with the underwriter or underwriters at the time that we reach an agreement for the sale of the securities.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names of the managing underwriter or underwriters, as well as the names of any other underwriters, and the terms of the transactions, including the compensation the underwriters will receive, in the applicable prospectus supplement.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the obligations of the underwriters to purchase any securities will be conditioned on customary closing conditions and the underwriters will be obligated to purchase all of such series of securities, if any are purchased.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 dealer to sell the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 dealer, we, as principal, will sell the securities to the dealer.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will then sell the securities to the public at varying prices that the dealer will determine at the time it sells the securities.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 of the dealer and the terms of the transactions with the dealer in the applicable prospectus supplement.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solicit directly offers to purchase the securities, and we may directly sell the securities to institutional or other investors. We will describe the terms of direct sales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engage in at-the-market offerings into an existing trading market in accordance with Rule 415(a)(4) of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Booz Allen Hamilton Holding Corporation offers securities in a subscription rights offering to its existing security holders, Booz Allen Hamilton Holding Corporation may enter into a standby underwriting agreement with dealers, acting as standby underwriters. Booz Allen Hamilton Holding Corporation may pay the standby underwriters a commitment fee for the securities they commit to purchase on a standby basis. If Booz Allen Hamilton Holding Corporation does not enter into a standby underwriting arrangement, it may retain a dealer-manager to manage a subscription rights offering for Booz Allen Hamilton Holding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in the ordinary course of their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and underwriters to solicit offers by certain institutions to purchase the securities at the public offering price under delayed delivery contracts.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delayed delivery contracts, we will disclose that we are using them in the applicable prospectus supplement and will tell you when we will demand payment and delivery of the securities under the delayed delivery contracts.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delayed delivery contracts will be subject only to the conditions that we describe in the applicable prospectus supplement.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commission that underwriters and agents soliciting purchases of the securities under delayed contracts will be entitled to receive.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distribution of the securities is completed, SEC rules may limit the ability of underwriters and other participants in the offering to bid for and purchase the securities. As an exception to these rules, the underwriters in certain circumstances are permitted to engage in certain transactions that stabilize the price of the securities. Such transactions consist of bids or purchases for the purpose of pegging, fixing or maintaining the price of the securities. In connection with an offering,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hold and must be closed out by purchasing those securities in the open market. Stabilizing transactions consist of various bids for or purchases made by the underwriters in the open market prior to the completion of an offering. The underwriters also may impose a penalty bid on certain underwriters. This occurs when a particular underwriter repays to the underwriting syndicate a portion of the underwriting discount received by it because the underwriting syndicate has repurchased securities sold by or for the account of that underwriter in stabilizing or short-covering transactions. These activities by the underwriters, as well as other purchases by the underwriters for their own account, may have the effect of preventing or retarding a decline in the market price of the securities, and may stabilize, maintain or otherwise affect the market price of the securities. As a result, the price of the securities may be higher than the price that otherwise might exist in the open market. If these activities are commenced, they may be discontinued by the underwriters at any time. These transactions may be effected on an exchange or automated quotation system, if the securities are listed on that exchange or admitted for trading on that automated quotation system, or in the over-the-counter market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loan or pledge securities to third parties that in turn may sell the securities using this prospectus and the applicable prospectus supplement or, if we default in the case of a pledge, may offer and sell the securities from time to time using this prospectus and the applicable prospectus supplement. Such third parties may transfer their short positions to investors in the securities or in connection with a concurrent offering of other securities offered by this prospectus and the applicable prospectus supplement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applicable prospectus supplement, including in short sale transactions, or may lend securities in order to facilitate short sale transactions by others. If so, the third party may use securities pledged by us or borrowed from us or others to settle those sales 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one business day, unless the parties to any such trade expressly agree otherwise. The applicable prospectus supplement may provide that the settlement date for securities may be more than one business day after the trade date. Accordingly, in such a case, if you wish to trade securities on any date prior to the first business day before the settlement date for such securities, you will be required, by virtue of the fact that such securities initially are expected to settle in more than one scheduled business day after the trade date,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5% or more of the net proceeds of any offering of securities made under this prospectus will be received by a member of the Financial Industry Regulatory Authority (“FINRA”) participating in the offering or affiliates or associated persons of such FINRA member, the offering will be conducted in accordance with FINRA Rule 5121 (or any successor rule). In order 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any exemption from registration or qualification requirements is available and is complied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VOS"/>
      <w:bookmarkEnd w:id="18"/>
      <w:r>
        <w:rPr>
          <w:rFonts w:ascii="calibri;arial;sans-serif" w:hAnsi="calibri;arial;sans-serif"/>
          <w:b w:val="false"/>
          <w:i w:val="false"/>
          <w:caps w:val="false"/>
          <w:smallCaps w:val="false"/>
          <w:color w:val="000000"/>
          <w:sz w:val="16"/>
        </w:rPr>
        <w:t>​</w:t>
      </w:r>
      <w:bookmarkStart w:id="19" w:name="tEXP"/>
      <w:bookmarkEnd w:id="19"/>
      <w:r>
        <w:rPr>
          <w:rFonts w:ascii="calibri;arial;sans-serif" w:hAnsi="calibri;arial;sans-serif"/>
          <w:b w:val="false"/>
          <w:i w:val="false"/>
          <w:caps w:val="false"/>
          <w:smallCaps w:val="false"/>
          <w:color w:val="000000"/>
          <w:sz w:val="16"/>
        </w:rPr>
        <w:t>​</w:t>
      </w:r>
      <w:bookmarkStart w:id="20" w:name="tWY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validity of any securities offered by this prospectus will be passed upon for us by Debevoise &amp; Plimpton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Booz Allen Hamilton Holding Corporation appearing in Booz Allen Hamilton Holding Corporation’s </w:t>
      </w:r>
      <w:hyperlink r:id="rId3">
        <w:r>
          <w:rPr>
            <w:rStyle w:val="InternetLink"/>
          </w:rPr>
          <w:t>Annual Report (Form 10-K) for the year ended March 31, 2026</w:t>
        </w:r>
      </w:hyperlink>
      <w:r>
        <w:rPr>
          <w:rFonts w:ascii="Times New Roman;Times;serif" w:hAnsi="Times New Roman;Times;serif"/>
          <w:b w:val="false"/>
          <w:i w:val="false"/>
          <w:caps w:val="false"/>
          <w:smallCaps w:val="false"/>
          <w:color w:val="000000"/>
          <w:spacing w:val="4"/>
          <w:sz w:val="20"/>
        </w:rPr>
        <w:t xml:space="preserve">, and the effectiveness of Booz Allen Hamilton Holding Corporation’s internal control over financial reporting as of March 31, 2026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under the Exchange Act. The SEC maintains an Internet site, http://www.sec.gov, which contains reports, proxy and information statements and other information regarding issuers that are subject to the SEC’s reporting requirements. Our website is located at www.boozallen.com. We post filings on our website as soon as practicable after they are electronically filed with, or furnished to, the SEC. All such postings and filings are available on the “Investor Relations” portion of our website free of charge. Information contained on or connected to any website referenced in this prospectus, any accompanying prospectus supplement and the documents incorporated by reference herein and therein is not incorporated by reference in this prospectus, any accompanying prospectus supplement and the documents incorporated by reference herein and therein, and any website references are intended to be inactive textual references only unless expressly noted.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have filed with the SEC relating to the securities to be offered. This prospectus does not contain all of the information we have included in the registration statement and the accompanying exhibits and schedules in accordance with the rules and regulations of the SEC, and we refer you to such documents. The statements in this prospectus pertaining to the content of any contract, agreement or other document that is an exhibit to the registration statement necessarily are summaries of their material provisions and do not describe all exceptions and qualifications contained in those contracts, agreements or documents. You should read those contracts, agreements or documents for information that may be important to you. The registration statement, exhibits and schedules are available through the SEC’s Internet 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IBR"/>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information into this prospectus,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This prospectus incorporates by reference the documents listed below: </w:t>
      </w:r>
    </w:p>
    <w:p>
      <w:pPr>
        <w:pStyle w:val="TextBody"/>
        <w:bidi w:val="0"/>
        <w:spacing w:lineRule="atLeast" w:line="240" w:before="120" w:after="0"/>
        <w:ind w:left="1993" w:right="0" w:hanging="0"/>
        <w:jc w:val="left"/>
        <w:rPr/>
      </w:pPr>
      <w:hyperlink r:id="rId4">
        <w:r>
          <w:rPr>
            <w:rStyle w:val="InternetLink"/>
          </w:rPr>
          <w:t>Annual Report on Form 10-K for the fiscal year ended March 31, 2026, filed with the SEC on May 22, 2026</w:t>
        </w:r>
      </w:hyperlink>
      <w:r>
        <w:rPr>
          <w:rFonts w:ascii="Times New Roman;Times;serif" w:hAnsi="Times New Roman;Times;serif"/>
          <w:b w:val="false"/>
          <w:i w:val="false"/>
          <w:caps w:val="false"/>
          <w:smallCaps w:val="false"/>
          <w:color w:val="000000"/>
          <w:spacing w:val="4"/>
          <w:sz w:val="20"/>
        </w:rPr>
        <w:t xml:space="preserve">, including those portions of our </w:t>
      </w:r>
      <w:hyperlink r:id="rId5">
        <w:r>
          <w:rPr>
            <w:rStyle w:val="InternetLink"/>
          </w:rPr>
          <w:t>definitive Proxy Statement on Schedule 14A for the 2026 Annual Meeting of Stockholders, filed with the SEC on June 11, 2026</w:t>
        </w:r>
      </w:hyperlink>
      <w:r>
        <w:rPr>
          <w:rFonts w:ascii="Times New Roman;Times;serif" w:hAnsi="Times New Roman;Times;serif"/>
          <w:b w:val="false"/>
          <w:i w:val="false"/>
          <w:caps w:val="false"/>
          <w:smallCaps w:val="false"/>
          <w:color w:val="000000"/>
          <w:spacing w:val="4"/>
          <w:sz w:val="20"/>
        </w:rPr>
        <w:t xml:space="preserve">, that are incorporated by reference into such Annual Report;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6">
        <w:r>
          <w:rPr>
            <w:rStyle w:val="InternetLink"/>
          </w:rPr>
          <w:t>Quarterly Report on Form 10-Q for the quarter ended June 30, 2026, filed with the SEC on July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7">
        <w:r>
          <w:rPr>
            <w:rStyle w:val="InternetLink"/>
          </w:rPr>
          <w:t>April 27, 2026</w:t>
        </w:r>
      </w:hyperlink>
      <w:r>
        <w:rPr>
          <w:rFonts w:ascii="Times New Roman;Times;serif" w:hAnsi="Times New Roman;Times;serif"/>
          <w:b w:val="false"/>
          <w:i w:val="false"/>
          <w:caps w:val="false"/>
          <w:smallCaps w:val="false"/>
          <w:color w:val="000000"/>
          <w:spacing w:val="4"/>
          <w:sz w:val="20"/>
        </w:rPr>
        <w:t xml:space="preserve"> (Item 5.02 only), </w:t>
      </w:r>
      <w:hyperlink r:id="rId8">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(Item 5.02 only), </w:t>
      </w:r>
      <w:hyperlink r:id="rId9">
        <w:r>
          <w:rPr>
            <w:rStyle w:val="InternetLink"/>
          </w:rPr>
          <w:t>June 22, 2026</w:t>
        </w:r>
      </w:hyperlink>
      <w:r>
        <w:rPr>
          <w:rFonts w:ascii="Times New Roman;Times;serif" w:hAnsi="Times New Roman;Times;serif"/>
          <w:b w:val="false"/>
          <w:i w:val="false"/>
          <w:caps w:val="false"/>
          <w:smallCaps w:val="false"/>
          <w:color w:val="000000"/>
          <w:spacing w:val="4"/>
          <w:sz w:val="20"/>
        </w:rPr>
        <w:t xml:space="preserve"> (Item 1.01 only), and </w:t>
      </w:r>
      <w:hyperlink r:id="rId10">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(Item 5.07); and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capital stock contained in our </w:t>
      </w:r>
      <w:hyperlink r:id="rId11">
        <w:r>
          <w:rPr>
            <w:rStyle w:val="InternetLink"/>
          </w:rPr>
          <w:t>Form 8-A12B, filed with the SEC on November 16, 2010</w:t>
        </w:r>
      </w:hyperlink>
      <w:r>
        <w:rPr>
          <w:rFonts w:ascii="Times New Roman;Times;serif" w:hAnsi="Times New Roman;Times;serif"/>
          <w:b w:val="false"/>
          <w:i w:val="false"/>
          <w:caps w:val="false"/>
          <w:smallCaps w:val="false"/>
          <w:color w:val="000000"/>
          <w:spacing w:val="4"/>
          <w:sz w:val="20"/>
        </w:rPr>
        <w:t xml:space="preserve">, as supplemented by the section entitled “Description of Capital Stock” in this prospectus.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documents filed by us pursuant to Sections 13(a), 13(c), 14 and 15(d) of the Exchange Act from the date of this prospectus and prior to the termination of the offering of the securities shall also be deemed to be incorporated in this prospectus by reference;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information furnished and not filed by us under any item of any current report on Form 8-K, including related exhibits, is not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filing incorporated by reference into this prospectus through us or from the SEC through the SEC’s Internet site or at the address listed above. We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You should direct requests for those documents to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Booz Allen Hamilton Holding Corporation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8283 Greensboro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McLean, Virginia 22102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(703) 902-5000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Attn: Investor Relations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general categories of expenses, other than underwriting compensation, the registrant anticipates it will incur in connection with the issuance and distribution of the securities being registered. Except for the SEC registration fee, all amounts shown are estimates. </w:t>
      </w:r>
    </w:p>
    <w:tbl>
      <w:tblPr>
        <w:tblW w:w="4821" w:type="dxa"/>
        <w:jc w:val="left"/>
        <w:tblInd w:w="1393" w:type="dxa"/>
        <w:tblLayout w:type="fixed"/>
        <w:tblCellMar>
          <w:top w:w="0" w:type="dxa"/>
          <w:left w:w="0" w:type="dxa"/>
          <w:bottom w:w="0" w:type="dxa"/>
          <w:right w:w="0" w:type="dxa"/>
        </w:tblCellMar>
      </w:tblPr>
      <w:tblGrid>
        <w:gridCol w:w="124"/>
        <w:gridCol w:w="3115"/>
        <w:gridCol w:w="109"/>
        <w:gridCol w:w="109"/>
        <w:gridCol w:w="109"/>
        <w:gridCol w:w="226"/>
        <w:gridCol w:w="7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 </w:t>
            </w:r>
            <w:r>
              <w:rPr/>
              <w:t>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Listing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   </w:t>
            </w: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Trustees’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   </w:t>
            </w: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Printing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   </w:t>
            </w: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   </w:t>
            </w: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   </w:t>
            </w: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Transfer agent fees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   </w:t>
            </w: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Rating agency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   </w:t>
            </w: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1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  </w:t>
            </w: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is relying on Rule 456(b) and Rule 457(r) under the Securities Act to defer payment of the registration fee. </w:t>
      </w:r>
      <w:r>
        <mc:AlternateContent>
          <mc:Choice Requires="wps">
            <w:drawing>
              <wp:anchor behindDoc="0" distT="10287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expenses are not presently known. </w:t>
      </w:r>
      <w:r>
        <mc:AlternateContent>
          <mc:Choice Requires="wps">
            <w:drawing>
              <wp:anchor behindDoc="0" distT="508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regarding estimated expenses of issuance and distribution of each identified class of securities being registered will be provided at the time information as to such class is included in a prospectus supplement in accordance with Rule 430B.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Booz Allen Hamilton Holding Corporation and Booz Allen Hamilton Inc. are incorporated under the laws of the state of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permits a Delaware corporation to include a provision in its certificate of incorporation eliminating or limiting the personal liability of officers who have consented to service of process to the registered agent of the corporation (such officers, “senior officers”) and directors to the corporation or its stockholders for monetary damages for breach of the director’s or senior officer’s fiduciary duty. This provision, however, may not eliminate or limit liability (1) for breach of the director’s or senior officer’s duty of loyalty to the corporation or its stockholders, (2) for acts or omissions not in good faith or involving intentional misconduct or a knowing violation of law, (3) with respect to directors, under Section 174 of the DGCL, which provides for liability of directors for unlawful payments of dividends or unlawful stock purchases or redemptions, (4) for any transaction from which the director or senior officer derived an improper personal benefit, or (5) with respect to senior officers, in any action by or in the right of the corporation. Our amended and restated certificate of incorporation contains such a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145(c) of the DGCL provides that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145(e) of the DGCL permits a Delaware corporation to advance litigation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145(g) of the DGCL specifically allows a Delaware corporation to purchase liability insurance on behalf of its directors and officers and to insure against potential liability of such directors and officers regardless of whether the corporation would have the power to indemnify such directors and officers under Section 145 of the DGCL.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Booz Allen Hamilton Holding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Seventh Amended and Restated Certificate of Incorporation of Booz Allen Hamilton Holding Corporation (the “Certificate of Incorporation of Booz Allen Hamilton Holding Corporation”) contains provisions relating to the liability of directors and senior officers. These provisions eliminate a director’s or a senior officer’s personal liability for monetary damages resulting from a breach of fiduciary duty, except in circumstances involving: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or senior officer’s duty of loyalty;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or omissions of a director or senior officer that are not in good faith or which involve intentional misconduct or a knowing violation of the law;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liability of a director under Section 174 of the Delaware General Corporation Law (unlawful dividends);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or senior officer derives an improper personal benefit; or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liability of a senior officer in any action by or in right of Booz Allen Hamilton Holding Corporation.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effect of the limitation on liability provision is that a stockholder will be unable to prosecute an action for monetary damages against a director or senior officer unless the stockholder can demonstrate a basis for liability for which indemnification is not available under the DGCL. These provisions, however, should not limit or eliminate Booz Allen Hamilton Holding Corporation’s rights or any stockholder’s rights to seek non-monetary relief, such as an injunction or rescission, in the event of a breach of director’s or senior officer’s fiduciary duty. These provisions will not alter a director’s or senior officer’s liability under federal securities laws. The inclusion of this provision in the Certificate of Incorporation of Booz Allen Hamilton Holding Corporation may discourage or deter stockholders or management from bringing a lawsuit against directors or senior officers for a breach of their fiduciary duties, even though such an action, if successful, might otherwise have benefited Booz Allen Hamilton Holding Corporation and its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Bylaws of Booz Allen Hamilton Holding Corporation (the “Bylaws of Booz Allen Hamilton Holding Corporation”) require Booz Allen Hamilton Holding Corporation to indemnify its directors and officers to the fullest extent permitted by the DGCL and other applicable law, except in the case of a proceeding instituted by the director without the approval of the board of directors of Booz Allen Hamilton Holding Corporation, for all judgments, fines, settlements, legal fees and other expenses incurred in connection with pending or threatened legal proceedings because of the director’s or officer’s positions with Booz Allen Hamilton Holding Corporation or another entity that the director or officer serves at Booz Allen Hamilton Holding Corporation’s request, subject to various conditions, and to advance funds to Booz Allen Hamilton Holding Corporation’s directors and officers to enable them to defend against such proceedings. To receive indemnification, the director or officer must have been successful in the legal proceeding or have acted in good faith and in what was reasonably believed to be a lawful manner in the best interest of Booz Allen Hamilton Holding Corporation and, with respect to any criminal proceeding, had no reasonable cause to believe his or her conduct was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pursuant to certain indemnification agreements between Booz Allen Hamilton Holding Corporation and each of its directors and executive officers, Booz Allen Hamilton Holding Corporation has agreed to indemnify such individuals against certain liabilities arising out of service as a director or officer of the Company and its subsidiaries. The indemnification agreements provide such directors and executive officers with contractual rights to the indemnification and expense advancement rights provided under the Bylaws of Booz Allen Hamilton Holding Corporation, as well as contractual rights to additional indemnification as provided in the indemnification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summaries are necessarily subject to the complete text of the DGCL and the Certificate of Incorporation of Booz Allen Hamilton Holding Corporation and the Bylaws of Booz Allen Hamilton Holding Corporation.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Booz Allen Hamilton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of Booz Allen Hamilton Inc. (the “Bylaws of Booz Allen Hamilton Inc.”) contains provisions relating to the liability of directors. These provisions eliminate a director’s personal liability for monetary damages resulting from a breach of fiduciary duty, except in circumstances involving: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or omissions that are not in good faith or which involve intentional misconduct or a knowing violation of the law;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liability of a director under Section 174 of the Delaware General Corporation Law (unlawful dividends); or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derives an improper personal benefit.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Booz Allen Hamilton Inc.’s rights or any stockholder’s rights to seek non-monetary relief, such as an injunction or rescission, in the event of a breach of director’s fiduciary duty. These provisions will not alter a director’s liability under federal securities laws. The inclusion of this provision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of Booz Allen Hamilton Inc. may discourage or deter stockholders or management from bringing a lawsuit against directors for a breach of their fiduciary duties, even though such an action, if successful, might otherwise have benefited Booz Allen Hamilton Inc. and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of Booz Allen Hamilton Inc. require Booz Allen Hamilton Inc. to indemnify its directors and officers to the fullest extent permitted by the DGCL and other applicable law, except in the case of an action, suit or proceeding in relation to matters as to which any such person shall be adjudged to be liable for gross negligence or willful misconduct in the performance of his or her duty, and to advance funds to Booz Allen Hamilton Inc.’s directors and officers to enable them to defend against such proceedings.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summaries are necessarily subject to the complete text of the DGCL and the Bylaws of Booz Allen Hamilton Inc.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789"/>
        <w:gridCol w:w="109"/>
        <w:gridCol w:w="109"/>
        <w:gridCol w:w="752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9"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2">
              <w:r>
                <w:rPr>
                  <w:rStyle w:val="InternetLink"/>
                </w:rPr>
                <w:t>Amended and Restated Certificate of Incorporation of Booz Allen Hamilton Inc. (Incorporated by reference to Exhibit 3.1 to our Registration Statement on Form S-3, filed on July 31, 2023 (File No. 333-273531)).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3">
              <w:r>
                <w:rPr>
                  <w:rStyle w:val="InternetLink"/>
                </w:rPr>
                <w:t>Amended and Restated Bylaws of Booz Allen Hamilton Inc. (Incorporated by reference to Exhibit 3.2 to our Registration Statement on Form S-3, filed on July 31, 2023 (File No. 333-273531)).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4">
              <w:r>
                <w:rPr>
                  <w:rStyle w:val="InternetLink"/>
                </w:rPr>
                <w:t>Seventh Amended and Restated Certificate of Incorporation of Booz Allen Hamilton Holding Corporation (Incorporated by reference to Exhibit 3.1 to our Current Report on Form 8-K, filed on July 28, 2023 (File No. 001-34972)).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5">
              <w:r>
                <w:rPr>
                  <w:rStyle w:val="InternetLink"/>
                </w:rPr>
                <w:t>Amended and Restated Bylaws of Booz Allen Hamilton Holding Corporation (Incorporated by reference to Exhibit 3.2 to our Current Report on Form 8-K, filed on July 28, 2023 (File No. 001-34972)).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6">
              <w:r>
                <w:rPr>
                  <w:rStyle w:val="InternetLink"/>
                </w:rPr>
                <w:t>Form of Stock Certificate of Booz Allen Hamilton Holding Corporation (Incorporated by reference to Exhibit 4.5 to the Company’s Registration Statement on Form S-1 (File No. 333-167645)).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7">
              <w:r>
                <w:rPr>
                  <w:rStyle w:val="InternetLink"/>
                </w:rPr>
                <w:t>Indenture dated as of August 4, 2023, among Booz Allen Hamilton Inc., as issuer, Booz Allen Hamilton Holding Corporation, as parent guarantor, and U.S. Bank Trust Company, National Association, as trustee (Incorporated by reference to Exhibit 4.1 to the Company’s Current Report on Form 8-K filed on August 4, 2023 (File No. 001-34972)).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8">
              <w:r>
                <w:rPr>
                  <w:rStyle w:val="InternetLink"/>
                </w:rPr>
                <w:t>Form of Indenture to be entered into between Booz Allen Hamilton Holding Corporation, as issuer and U.S. Bank Trust Company, National Association, as trustee (Incorporated by reference to Exhibit 4.3 to our Registration on Form S-3, filed on July 31, 2023 (File No. 333-273531)).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Depositary Receipt.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Deposit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Warrant Agreement, including form of Warrant.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Purchase Contract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Unit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pPr>
            <w:r>
              <w:rPr>
                <w:spacing w:val="4"/>
              </w:rPr>
              <w:t>4.9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0"/>
              <w:jc w:val="left"/>
              <w:rPr/>
            </w:pPr>
            <w:hyperlink r:id="rId19">
              <w:r>
                <w:rPr>
                  <w:rStyle w:val="InternetLink"/>
                  <w:spacing w:val="4"/>
                </w:rPr>
                <w:t>Form of Global Security of Booz Allen Hamilton Holding Corporation (debt securities) (included in Form of Indenture to be entered into between Booz Allen Hamilton Holding Corporation, as issuer and U.S. Bank Trust Company, National Association, as trustee, filed as Exhibit 4.3).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2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0">
              <w:r>
                <w:rPr>
                  <w:rStyle w:val="InternetLink"/>
                </w:rPr>
                <w:t>Form of Global Security of Booz Allen Hamilton Inc. (debt securities) (included in Indenture dated as of August 4, 2023, among Booz Allen Hamilton Inc., as issuer, Booz Allen Hamilton Holding Corporation, as parent guarantor, and U.S. Bank Trust Company, National Association, as trustee, filed as Exhibit 4.2).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793"/>
        <w:gridCol w:w="109"/>
        <w:gridCol w:w="109"/>
        <w:gridCol w:w="752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3"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hyperlink w:anchor="tm267274d3_ex5-1.htm">
              <w:r>
                <w:rPr>
                  <w:rStyle w:val="InternetLink"/>
                  <w:spacing w:val="4"/>
                </w:rPr>
                <w:t>Opinion of Debevoise &amp; Plimpton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hyperlink w:anchor="tm267274d3_ex23-1.htm">
              <w:r>
                <w:rPr>
                  <w:rStyle w:val="InternetLink"/>
                  <w:spacing w:val="4"/>
                </w:rPr>
                <w:t>Consent of Ernst &amp; Young LLP,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hyperlink w:anchor="tm267274d3_ex5-1.htm">
              <w:r>
                <w:rPr>
                  <w:rStyle w:val="InternetLink"/>
                  <w:spacing w:val="4"/>
                </w:rPr>
                <w:t>Consent of Debevoise &amp; Plimpton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hyperlink w:anchor="tSIG2">
              <w:r>
                <w:rPr>
                  <w:rStyle w:val="InternetLink"/>
                  <w:spacing w:val="4"/>
                </w:rPr>
                <w:t>Powers of Attorney of certain officers and directors of Booz Allen Hamilton Inc. (included in the signature pages of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ind w:left="100" w:right="0" w:hanging="0"/>
              <w:jc w:val="left"/>
              <w:rPr>
                <w:spacing w:val="4"/>
              </w:rPr>
            </w:pPr>
            <w:r>
              <w:rPr>
                <w:spacing w:val="4"/>
              </w:rPr>
              <w:t xml:space="preserve">24.2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hyperlink w:anchor="tSIG1">
              <w:r>
                <w:rPr>
                  <w:rStyle w:val="InternetLink"/>
                  <w:spacing w:val="4"/>
                </w:rPr>
                <w:t>Powers of Attorney of certain officers and directors of Booz Allen Hamilton Holding Corporation (included in the signature pages of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ind w:left="100" w:right="0" w:hanging="0"/>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283"/>
              <w:jc w:val="left"/>
              <w:rPr/>
            </w:pPr>
            <w:hyperlink w:anchor="tm267274d3_ex25-1.htm">
              <w:r>
                <w:rPr>
                  <w:rStyle w:val="InternetLink"/>
                </w:rPr>
                <w:t>Statement of Eligibility on Form T-1 under the Trust Indenture Act of 1939, as amended, of U.S. Bank Trust Company, National Association, as Trustee under the Form of Indenture of Booz Allen Hamilton Inc., relating to the debt securities.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25.2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283"/>
              <w:jc w:val="left"/>
              <w:rPr/>
            </w:pPr>
            <w:hyperlink w:anchor="tm267274d3_ex25-2.htm">
              <w:r>
                <w:rPr>
                  <w:rStyle w:val="InternetLink"/>
                </w:rPr>
                <w:t>Statement of Eligibility on Form T-1 under the Trust Indenture Act of 1939, as amended, of U.S. Bank Trust Company, National Association, as Trustee under the Form of Indenture of Booz Allen Hamilton Holding Corporation, relating to the debt securities.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0"/>
              <w:jc w:val="center"/>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hyperlink w:anchor="tm267274d2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as an exhibit to a report on Form 8-K or other report to be filed by the Company pursuant to Section 13(a) or 15(d) of the Exchange Act and incorporated herein by reference. </w:t>
      </w:r>
      <w:r>
        <mc:AlternateContent>
          <mc:Choice Requires="wps">
            <w:drawing>
              <wp:anchor behindDoc="0" distT="9525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undersigned registrant hereby undertakes: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to any purchaser: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to any purchaser in the initial distribution of the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undersigned registrant relating to the offering required to be filed pursuant to Rule 424;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undersigned registrant or used or referred to by the undersigned registrant;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undersigned registrant to the purchaser.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undersigned registrant hereby undertakes that: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The undersigned registrant hereby undertakes to file an application for the purpose of determining the eligibility of the trustee to act under subsection (a) of Section 310 of the Trust Indenture Act of 1939, as amended (the “Act”) in accordance with the rules and regulations prescribed by the SEC under Section 305(b)(2) of the 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SIG1"/>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McLean, State of Virginia, on July 24, 2026. </w:t>
      </w:r>
    </w:p>
    <w:p>
      <w:pPr>
        <w:pStyle w:val="TextBody"/>
        <w:bidi w:val="0"/>
        <w:spacing w:lineRule="atLeast" w:line="22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BOOZ ALLEN HAMILTON HOLDING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8"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Horacio D. Rozanski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97180" distB="0" distL="2794000" distR="0" simplePos="0" locked="0" layoutInCell="1" allowOverlap="1" relativeHeight="158">
                <wp:simplePos x="0" y="0"/>
                <wp:positionH relativeFrom="column">
                  <wp:align>left</wp:align>
                </wp:positionH>
                <wp:positionV relativeFrom="line">
                  <wp:align>top</wp:align>
                </wp:positionV>
                <wp:extent cx="254000" cy="525780"/>
                <wp:effectExtent l="0" t="0" r="0" b="0"/>
                <wp:wrapSquare wrapText="right"/>
                <wp:docPr id="153" name="Frame15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4pt;mso-wrap-distance-bottom:0pt;margin-top:23.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Horacio D. Rozanski </w:t>
      </w:r>
      <w:r>
        <mc:AlternateContent>
          <mc:Choice Requires="wps">
            <w:drawing>
              <wp:anchor behindDoc="0" distT="17780" distB="0" distL="3048000" distR="0" simplePos="0" locked="0" layoutInCell="1" allowOverlap="1" relativeHeight="159">
                <wp:simplePos x="0" y="0"/>
                <wp:positionH relativeFrom="column">
                  <wp:align>left</wp:align>
                </wp:positionH>
                <wp:positionV relativeFrom="line">
                  <wp:align>top</wp:align>
                </wp:positionV>
                <wp:extent cx="406400" cy="525780"/>
                <wp:effectExtent l="0" t="0" r="0" b="0"/>
                <wp:wrapSquare wrapText="right"/>
                <wp:docPr id="154" name="Frame153"/>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4pt;mso-wrap-distance-bottom:0pt;margin-top:1.4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r>
        <mc:AlternateContent>
          <mc:Choice Requires="wps">
            <w:drawing>
              <wp:anchor behindDoc="0" distT="0" distB="0" distL="3048000" distR="0" simplePos="0" locked="0" layoutInCell="1" allowOverlap="1" relativeHeight="160">
                <wp:simplePos x="0" y="0"/>
                <wp:positionH relativeFrom="column">
                  <wp:align>left</wp:align>
                </wp:positionH>
                <wp:positionV relativeFrom="line">
                  <wp:posOffset>635</wp:posOffset>
                </wp:positionV>
                <wp:extent cx="4064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MEN BY THESE PRESENTS, that each person whose signature appears below constitutes and appoints each of Horacio D. Rozanski, Troy Lahr and Joshua E. Petty jointly and severally, as his or her true and lawful attorney-in-fact and agent, acting alone, with full power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U.S. Securities and Exchange Commission, granting unto said attorney-in-fact full power and authority to do and perform each and every act and thing requisite or necessary to be done in and about the premises, as such person, hereby ratifying and confirming all that said attorney-in-fact and agent, or his or her substitute or substitutes, may lawfully do or cause to be done by virtue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on Form S-3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1850"/>
        <w:gridCol w:w="109"/>
        <w:gridCol w:w="109"/>
        <w:gridCol w:w="5062"/>
        <w:gridCol w:w="109"/>
        <w:gridCol w:w="109"/>
        <w:gridCol w:w="118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8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0"/>
              <w:jc w:val="left"/>
              <w:rPr/>
            </w:pPr>
            <w:r>
              <w:rPr>
                <w:spacing w:val="4"/>
              </w:rPr>
              <w:t>/s/ Horacio D. Rozanski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Horacio D. Rozanski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2" w:type="dxa"/>
            <w:tcBorders/>
            <w:tcMar>
              <w:top w:w="28" w:type="dxa"/>
              <w:left w:w="28" w:type="dxa"/>
              <w:right w:w="28" w:type="dxa"/>
            </w:tcMar>
            <w:vAlign w:val="center"/>
          </w:tcPr>
          <w:p>
            <w:pPr>
              <w:pStyle w:val="TableContents"/>
              <w:bidi w:val="0"/>
              <w:spacing w:before="0" w:after="0"/>
              <w:jc w:val="center"/>
              <w:rPr/>
            </w:pPr>
            <w:r>
              <w:rPr>
                <w:spacing w:val="4"/>
              </w:rPr>
              <w:t>Chairman and Chief Executive Officer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0"/>
              <w:jc w:val="left"/>
              <w:rPr/>
            </w:pPr>
            <w:r>
              <w:rPr>
                <w:spacing w:val="4"/>
              </w:rPr>
              <w:t>/s/ Troy Lahr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Troy Lahr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Executive Vice President, Chief Financial Officer (Principal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0"/>
              <w:jc w:val="left"/>
              <w:rPr/>
            </w:pPr>
            <w:r>
              <w:rPr>
                <w:spacing w:val="4"/>
              </w:rPr>
              <w:t>/s/ Dennis Metzfield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Dennis Metzfield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2" w:type="dxa"/>
            <w:tcBorders/>
            <w:tcMar>
              <w:bottom w:w="0" w:type="dxa"/>
            </w:tcMar>
            <w:vAlign w:val="center"/>
          </w:tcPr>
          <w:p>
            <w:pPr>
              <w:pStyle w:val="TableContents"/>
              <w:bidi w:val="0"/>
              <w:spacing w:before="0" w:after="0"/>
              <w:jc w:val="center"/>
              <w:rPr>
                <w:spacing w:val="4"/>
              </w:rPr>
            </w:pPr>
            <w:r>
              <w:rPr>
                <w:spacing w:val="4"/>
              </w:rPr>
              <w:t xml:space="preserve">Vice President, Controller and Chief Accounting Officer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0"/>
              <w:jc w:val="left"/>
              <w:rPr/>
            </w:pPr>
            <w:r>
              <w:rPr>
                <w:spacing w:val="4"/>
              </w:rPr>
              <w:t>/s/ Debra L. Dial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Debra L. Dial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0"/>
              <w:jc w:val="left"/>
              <w:rPr/>
            </w:pPr>
            <w:r>
              <w:rPr>
                <w:spacing w:val="4"/>
              </w:rPr>
              <w:t>/s/ Michèle A. Flournoy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Michèle A. Flournoy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0"/>
              <w:jc w:val="left"/>
              <w:rPr/>
            </w:pPr>
            <w:r>
              <w:rPr>
                <w:spacing w:val="4"/>
              </w:rPr>
              <w:t>/s/ Mark E. Gaumond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Mark E. Gaumond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0"/>
              <w:jc w:val="left"/>
              <w:rPr/>
            </w:pPr>
            <w:r>
              <w:rPr>
                <w:spacing w:val="4"/>
              </w:rPr>
              <w:t>/s/ Ellen Jewett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Ellen Jewett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0" w:type="dxa"/>
            <w:tcBorders/>
            <w:tcMar>
              <w:bottom w:w="0" w:type="dxa"/>
            </w:tcMar>
            <w:vAlign w:val="center"/>
          </w:tcPr>
          <w:p>
            <w:pPr>
              <w:pStyle w:val="TableContents"/>
              <w:bidi w:val="0"/>
              <w:spacing w:before="0" w:after="0"/>
              <w:jc w:val="left"/>
              <w:rPr/>
            </w:pPr>
            <w:r>
              <w:rPr>
                <w:spacing w:val="4"/>
              </w:rPr>
              <w:t>/s/ Gretchen W. McClain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Gretchen W. McClain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6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904" w:type="dxa"/>
        <w:jc w:val="left"/>
        <w:tblInd w:w="1393" w:type="dxa"/>
        <w:tblLayout w:type="fixed"/>
        <w:tblCellMar>
          <w:top w:w="0" w:type="dxa"/>
          <w:left w:w="0" w:type="dxa"/>
          <w:bottom w:w="28" w:type="dxa"/>
          <w:right w:w="0" w:type="dxa"/>
        </w:tblCellMar>
      </w:tblPr>
      <w:tblGrid>
        <w:gridCol w:w="124"/>
        <w:gridCol w:w="2728"/>
        <w:gridCol w:w="109"/>
        <w:gridCol w:w="109"/>
        <w:gridCol w:w="974"/>
        <w:gridCol w:w="109"/>
        <w:gridCol w:w="109"/>
        <w:gridCol w:w="148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72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0"/>
              <w:jc w:val="left"/>
              <w:rPr/>
            </w:pPr>
            <w:r>
              <w:rPr>
                <w:spacing w:val="4"/>
              </w:rPr>
              <w:t>/s/ Ryan P. Nolan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Ryan P. Nolan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0"/>
              <w:jc w:val="left"/>
              <w:rPr/>
            </w:pPr>
            <w:r>
              <w:rPr>
                <w:spacing w:val="4"/>
              </w:rPr>
              <w:t>/s/ Robert C. O’Brien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Robert C. O’Brien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0"/>
              <w:jc w:val="left"/>
              <w:rPr/>
            </w:pPr>
            <w:r>
              <w:rPr>
                <w:spacing w:val="4"/>
              </w:rPr>
              <w:t>/s/ Rory P. Read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Rory P. Read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0"/>
              <w:jc w:val="left"/>
              <w:rPr/>
            </w:pPr>
            <w:r>
              <w:rPr>
                <w:spacing w:val="4"/>
              </w:rPr>
              <w:t>/s/ William M. Thornberry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William M. Thornberry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SIG2"/>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McLean, State of Virginia, on July 24, 2026.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BOOZ ALLEN HAMILTON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2"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Horacio D. Rozanski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6070" distB="0" distL="2794000" distR="0" simplePos="0" locked="0" layoutInCell="1" allowOverlap="1" relativeHeight="161">
                <wp:simplePos x="0" y="0"/>
                <wp:positionH relativeFrom="column">
                  <wp:align>left</wp:align>
                </wp:positionH>
                <wp:positionV relativeFrom="line">
                  <wp:align>top</wp:align>
                </wp:positionV>
                <wp:extent cx="254000" cy="525780"/>
                <wp:effectExtent l="0" t="0" r="0" b="0"/>
                <wp:wrapSquare wrapText="right"/>
                <wp:docPr id="156" name="Frame15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1pt;mso-wrap-distance-bottom:0pt;margin-top:24.1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Horacio D. Rozanski </w:t>
      </w:r>
      <w:r>
        <mc:AlternateContent>
          <mc:Choice Requires="wps">
            <w:drawing>
              <wp:anchor behindDoc="0" distT="25400" distB="0" distL="3048000" distR="0" simplePos="0" locked="0" layoutInCell="1" allowOverlap="1" relativeHeight="162">
                <wp:simplePos x="0" y="0"/>
                <wp:positionH relativeFrom="column">
                  <wp:align>left</wp:align>
                </wp:positionH>
                <wp:positionV relativeFrom="line">
                  <wp:align>top</wp:align>
                </wp:positionV>
                <wp:extent cx="406400" cy="525780"/>
                <wp:effectExtent l="0" t="0" r="0" b="0"/>
                <wp:wrapSquare wrapText="right"/>
                <wp:docPr id="157" name="Frame156"/>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r>
        <mc:AlternateContent>
          <mc:Choice Requires="wps">
            <w:drawing>
              <wp:anchor behindDoc="0" distT="0" distB="0" distL="3048000" distR="0" simplePos="0" locked="0" layoutInCell="1" allowOverlap="1" relativeHeight="163">
                <wp:simplePos x="0" y="0"/>
                <wp:positionH relativeFrom="column">
                  <wp:align>left</wp:align>
                </wp:positionH>
                <wp:positionV relativeFrom="line">
                  <wp:posOffset>635</wp:posOffset>
                </wp:positionV>
                <wp:extent cx="4064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MEN BY THESE PRESENTS, that each person whose signature appears below constitutes and appoints each of Horacio D. Rozanski, Troy Lahr and Joshua E. Petty, jointly and severally, as his or her true and lawful attorney-in-fact and agent, acting alone, with full power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U.S. Securities and Exchange Commission, granting unto said attorney-in-fact full power and authority to do and perform each and every act and thing requisite or necessary to be done in and about the premises, as such person, hereby ratifying and confirming all that said attorney-in-fact and agent, or his or her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on Form S-3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1823"/>
        <w:gridCol w:w="109"/>
        <w:gridCol w:w="109"/>
        <w:gridCol w:w="5100"/>
        <w:gridCol w:w="109"/>
        <w:gridCol w:w="109"/>
        <w:gridCol w:w="117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82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0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left"/>
              <w:rPr/>
            </w:pPr>
            <w:r>
              <w:rPr>
                <w:spacing w:val="4"/>
              </w:rPr>
              <w:t>/s/ Horacio D. Rozanski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Horacio D. Rozanski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0" w:type="dxa"/>
            <w:tcBorders/>
            <w:tcMar>
              <w:top w:w="28" w:type="dxa"/>
              <w:left w:w="28" w:type="dxa"/>
              <w:right w:w="28" w:type="dxa"/>
            </w:tcMar>
            <w:vAlign w:val="center"/>
          </w:tcPr>
          <w:p>
            <w:pPr>
              <w:pStyle w:val="TableContents"/>
              <w:bidi w:val="0"/>
              <w:spacing w:before="0" w:after="0"/>
              <w:jc w:val="center"/>
              <w:rPr/>
            </w:pPr>
            <w:r>
              <w:rPr>
                <w:spacing w:val="4"/>
              </w:rPr>
              <w:t>Chairman and Chief Executive Officer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left"/>
              <w:rPr/>
            </w:pPr>
            <w:r>
              <w:rPr>
                <w:spacing w:val="4"/>
              </w:rPr>
              <w:t>/s/ Troy Lahr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Troy Lahr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0" w:type="dxa"/>
            <w:tcBorders/>
            <w:tcMar>
              <w:top w:w="28" w:type="dxa"/>
              <w:left w:w="28" w:type="dxa"/>
              <w:right w:w="28" w:type="dxa"/>
            </w:tcMar>
            <w:vAlign w:val="center"/>
          </w:tcPr>
          <w:p>
            <w:pPr>
              <w:pStyle w:val="TableContents"/>
              <w:bidi w:val="0"/>
              <w:spacing w:before="0" w:after="0"/>
              <w:jc w:val="center"/>
              <w:rPr/>
            </w:pPr>
            <w:r>
              <w:rPr>
                <w:spacing w:val="4"/>
              </w:rPr>
              <w:t>Executive Vice President, 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left"/>
              <w:rPr/>
            </w:pPr>
            <w:r>
              <w:rPr>
                <w:spacing w:val="4"/>
              </w:rPr>
              <w:t>/s/ Dennis Metzfield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Dennis Metzfield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0" w:type="dxa"/>
            <w:tcBorders/>
            <w:tcMar>
              <w:bottom w:w="0" w:type="dxa"/>
            </w:tcMar>
            <w:vAlign w:val="center"/>
          </w:tcPr>
          <w:p>
            <w:pPr>
              <w:pStyle w:val="TableContents"/>
              <w:bidi w:val="0"/>
              <w:spacing w:before="0" w:after="0"/>
              <w:jc w:val="center"/>
              <w:rPr>
                <w:spacing w:val="4"/>
              </w:rPr>
            </w:pPr>
            <w:r>
              <w:rPr>
                <w:spacing w:val="4"/>
              </w:rPr>
              <w:t xml:space="preserve">Vice President, Controller and Chief Accounting Officer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left"/>
              <w:rPr/>
            </w:pPr>
            <w:r>
              <w:rPr>
                <w:spacing w:val="4"/>
              </w:rPr>
              <w:t>/s/ Debra L. Dial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Debra L. Dial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left"/>
              <w:rPr/>
            </w:pPr>
            <w:r>
              <w:rPr>
                <w:spacing w:val="4"/>
              </w:rPr>
              <w:t>/s/ Michèle A. Flournoy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Michèle A. Flournoy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left"/>
              <w:rPr/>
            </w:pPr>
            <w:r>
              <w:rPr>
                <w:spacing w:val="4"/>
              </w:rPr>
              <w:t>/s/ Mark E. Gaumond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Mark E. Gaumond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left"/>
              <w:rPr/>
            </w:pPr>
            <w:r>
              <w:rPr>
                <w:spacing w:val="4"/>
              </w:rPr>
              <w:t>/s/ Ellen Jewett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Ellen Jewett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left"/>
              <w:rPr/>
            </w:pPr>
            <w:r>
              <w:rPr>
                <w:spacing w:val="4"/>
              </w:rPr>
              <w:t>/s/ Gretchen W. McClain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Gretchen W. McClain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00"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904" w:type="dxa"/>
        <w:jc w:val="left"/>
        <w:tblInd w:w="1393" w:type="dxa"/>
        <w:tblLayout w:type="fixed"/>
        <w:tblCellMar>
          <w:top w:w="0" w:type="dxa"/>
          <w:left w:w="0" w:type="dxa"/>
          <w:bottom w:w="28" w:type="dxa"/>
          <w:right w:w="0" w:type="dxa"/>
        </w:tblCellMar>
      </w:tblPr>
      <w:tblGrid>
        <w:gridCol w:w="124"/>
        <w:gridCol w:w="2728"/>
        <w:gridCol w:w="109"/>
        <w:gridCol w:w="109"/>
        <w:gridCol w:w="974"/>
        <w:gridCol w:w="109"/>
        <w:gridCol w:w="109"/>
        <w:gridCol w:w="148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72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0"/>
              <w:jc w:val="left"/>
              <w:rPr/>
            </w:pPr>
            <w:r>
              <w:rPr>
                <w:spacing w:val="4"/>
              </w:rPr>
              <w:t>/s/ Ryan P. Nolan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Ryan P. Nolan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0"/>
              <w:jc w:val="left"/>
              <w:rPr/>
            </w:pPr>
            <w:r>
              <w:rPr>
                <w:spacing w:val="4"/>
              </w:rPr>
              <w:t>/s/ Robert C. O’Brien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Robert C. O’Brien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0"/>
              <w:jc w:val="left"/>
              <w:rPr/>
            </w:pPr>
            <w:r>
              <w:rPr>
                <w:spacing w:val="4"/>
              </w:rPr>
              <w:t>/s/ Rory P. Read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Rory P. Read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8" w:type="dxa"/>
            <w:tcBorders/>
            <w:tcMar>
              <w:bottom w:w="0" w:type="dxa"/>
            </w:tcMar>
            <w:vAlign w:val="center"/>
          </w:tcPr>
          <w:p>
            <w:pPr>
              <w:pStyle w:val="TableContents"/>
              <w:bidi w:val="0"/>
              <w:spacing w:before="0" w:after="0"/>
              <w:jc w:val="left"/>
              <w:rPr/>
            </w:pPr>
            <w:r>
              <w:rPr>
                <w:spacing w:val="4"/>
              </w:rPr>
              <w:t>/s/ William M. Thornberry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William M. Thornberry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caps w:val="false"/>
          <w:smallCaps w:val="false"/>
        </w:rPr>
      </w:pPr>
      <w:bookmarkStart w:id="24" w:name="tm267274d3_ex5-1.htm"/>
      <w:bookmarkStart w:id="25" w:name="kstm267274d3_ex5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257550" cy="619125"/>
            <wp:effectExtent l="0" t="0" r="0" b="0"/>
            <wp:docPr id="15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 descr=""/>
                    <pic:cNvPicPr>
                      <a:picLocks noChangeAspect="1" noChangeArrowheads="1"/>
                    </pic:cNvPicPr>
                  </pic:nvPicPr>
                  <pic:blipFill>
                    <a:blip r:embed="rId21"/>
                    <a:stretch>
                      <a:fillRect/>
                    </a:stretch>
                  </pic:blipFill>
                  <pic:spPr bwMode="auto">
                    <a:xfrm>
                      <a:off x="0" y="0"/>
                      <a:ext cx="3257550"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Booz Allen Hamilton Holding Corporation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8283 Greensboro Drive</w:t>
        <w:br/>
        <w:t>McLean, Virginia 22102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Booz Allen Hamilton Inc.</w:t>
        <w:br/>
        <w:t>8283 Greensboro Drive</w:t>
        <w:br/>
        <w:t>McLean, Virginia 22102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Booz Allen Hamilton Holding Corporation and Booz Allen Hamilton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New York counsel to Booz Allen Hamilton Holding Corporation,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Booz Allen Hamilton Inc., a Delaware corporation (“</w:t>
      </w:r>
      <w:r>
        <w:rPr>
          <w:rFonts w:ascii="Times New Roman;Times;Serif" w:hAnsi="Times New Roman;Times;Serif"/>
          <w:b w:val="false"/>
          <w:i w:val="false"/>
          <w:caps w:val="false"/>
          <w:smallCaps w:val="false"/>
          <w:sz w:val="20"/>
          <w:u w:val="single"/>
        </w:rPr>
        <w:t>Booz Allen Hamilton</w:t>
      </w:r>
      <w:r>
        <w:rPr>
          <w:rFonts w:ascii="Times New Roman;Times;Serif" w:hAnsi="Times New Roman;Times;Serif"/>
          <w:b w:val="false"/>
          <w:i w:val="false"/>
          <w:caps w:val="false"/>
          <w:smallCaps w:val="false"/>
          <w:sz w:val="20"/>
        </w:rPr>
        <w:t>”; Booz Allen Hamilton and the Company are each referred to herein as an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and, together, as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in connection with the filing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a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relating to the proposed issuance from time to time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debt securities of Booz Allen Hamilton (the “</w:t>
      </w:r>
      <w:r>
        <w:rPr>
          <w:rFonts w:ascii="Times New Roman;Times;Serif" w:hAnsi="Times New Roman;Times;Serif"/>
          <w:b w:val="false"/>
          <w:i w:val="false"/>
          <w:caps w:val="false"/>
          <w:smallCaps w:val="false"/>
          <w:sz w:val="20"/>
          <w:u w:val="single"/>
        </w:rPr>
        <w:t>Subsidiary Debt Securities</w:t>
      </w:r>
      <w:r>
        <w:rPr>
          <w:rFonts w:ascii="Times New Roman;Times;Serif" w:hAnsi="Times New Roman;Times;Serif"/>
          <w:b w:val="false"/>
          <w:i w:val="false"/>
          <w:caps w:val="false"/>
          <w:smallCaps w:val="false"/>
          <w:sz w:val="20"/>
        </w:rPr>
        <w:t>”) to be issued pursuant to the senior indenture, dated as of August 4, 2023, (the “</w:t>
      </w:r>
      <w:r>
        <w:rPr>
          <w:rFonts w:ascii="Times New Roman;Times;Serif" w:hAnsi="Times New Roman;Times;Serif"/>
          <w:b w:val="false"/>
          <w:i w:val="false"/>
          <w:caps w:val="false"/>
          <w:smallCaps w:val="false"/>
          <w:sz w:val="20"/>
          <w:u w:val="single"/>
        </w:rPr>
        <w:t>Subsidiary Indenture</w:t>
      </w:r>
      <w:r>
        <w:rPr>
          <w:rFonts w:ascii="Times New Roman;Times;Serif" w:hAnsi="Times New Roman;Times;Serif"/>
          <w:b w:val="false"/>
          <w:i w:val="false"/>
          <w:caps w:val="false"/>
          <w:smallCaps w:val="false"/>
          <w:sz w:val="20"/>
        </w:rPr>
        <w:t>”) by and among Booz Allen Hamilton, the Company, as guarantor,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debt securities of the Company (the “</w:t>
      </w:r>
      <w:r>
        <w:rPr>
          <w:rFonts w:ascii="Times New Roman;Times;Serif" w:hAnsi="Times New Roman;Times;Serif"/>
          <w:b w:val="false"/>
          <w:i w:val="false"/>
          <w:caps w:val="false"/>
          <w:smallCaps w:val="false"/>
          <w:sz w:val="20"/>
          <w:u w:val="single"/>
        </w:rPr>
        <w:t>Parent Debt Securities</w:t>
      </w:r>
      <w:r>
        <w:rPr>
          <w:rFonts w:ascii="Times New Roman;Times;Serif" w:hAnsi="Times New Roman;Times;Serif"/>
          <w:b w:val="false"/>
          <w:i w:val="false"/>
          <w:caps w:val="false"/>
          <w:smallCaps w:val="false"/>
          <w:sz w:val="20"/>
        </w:rPr>
        <w:t>” and, together with the Subsidiary Debt Securities,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to be issued pursuant to an indenture (the “</w:t>
      </w:r>
      <w:r>
        <w:rPr>
          <w:rFonts w:ascii="Times New Roman;Times;Serif" w:hAnsi="Times New Roman;Times;Serif"/>
          <w:b w:val="false"/>
          <w:i w:val="false"/>
          <w:caps w:val="false"/>
          <w:smallCaps w:val="false"/>
          <w:sz w:val="20"/>
          <w:u w:val="single"/>
        </w:rPr>
        <w:t>Parent Indenture</w:t>
      </w:r>
      <w:r>
        <w:rPr>
          <w:rFonts w:ascii="Times New Roman;Times;Serif" w:hAnsi="Times New Roman;Times;Serif"/>
          <w:b w:val="false"/>
          <w:i w:val="false"/>
          <w:caps w:val="false"/>
          <w:smallCaps w:val="false"/>
          <w:sz w:val="20"/>
        </w:rPr>
        <w:t>” and, together with the Subsidiary Indenture, the “</w:t>
      </w:r>
      <w:r>
        <w:rPr>
          <w:rFonts w:ascii="Times New Roman;Times;Serif" w:hAnsi="Times New Roman;Times;Serif"/>
          <w:b w:val="false"/>
          <w:i w:val="false"/>
          <w:caps w:val="false"/>
          <w:smallCaps w:val="false"/>
          <w:sz w:val="20"/>
          <w:u w:val="single"/>
        </w:rPr>
        <w:t>Indentures</w:t>
      </w:r>
      <w:r>
        <w:rPr>
          <w:rFonts w:ascii="Times New Roman;Times;Serif" w:hAnsi="Times New Roman;Times;Serif"/>
          <w:b w:val="false"/>
          <w:i w:val="false"/>
          <w:caps w:val="false"/>
          <w:smallCaps w:val="false"/>
          <w:sz w:val="20"/>
        </w:rPr>
        <w:t>”) to be entered into between the Company and the Trustee, as trustee;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shares of preferred stock of the Company, par value $0.01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shares of Class A common stock of the Company,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(v) depositary shares representing receipts for fractional interests in Debt Securities, Preferred Stock or Common Stock (the “</w:t>
      </w:r>
      <w:r>
        <w:rPr>
          <w:rFonts w:ascii="Times New Roman;Times;Serif" w:hAnsi="Times New Roman;Times;Serif"/>
          <w:b w:val="false"/>
          <w:i w:val="false"/>
          <w:caps w:val="false"/>
          <w:smallCaps w:val="false"/>
          <w:sz w:val="20"/>
          <w:u w:val="single"/>
        </w:rPr>
        <w:t>Depositary Shares</w:t>
      </w:r>
      <w:r>
        <w:rPr>
          <w:rFonts w:ascii="Times New Roman;Times;Serif" w:hAnsi="Times New Roman;Times;Serif"/>
          <w:b w:val="false"/>
          <w:i w:val="false"/>
          <w:caps w:val="false"/>
          <w:smallCaps w:val="false"/>
          <w:sz w:val="20"/>
        </w:rPr>
        <w:t>”) pursuant to a deposit agreement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warrants representing rights to purchase Debt Securities, Preferred Stock, Common Stock or other types of securities, property or assets as well as other types of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pursuant to one or more warrant agreements (“</w:t>
      </w:r>
      <w:r>
        <w:rPr>
          <w:rFonts w:ascii="Times New Roman;Times;Serif" w:hAnsi="Times New Roman;Times;Serif"/>
          <w:b w:val="false"/>
          <w:i w:val="false"/>
          <w:caps w:val="false"/>
          <w:smallCaps w:val="false"/>
          <w:sz w:val="20"/>
          <w:u w:val="single"/>
        </w:rPr>
        <w:t>Warrant Agreements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purchase contracts representing rights or obligations to purchase or sell Debt Securities, Preferred Stock, Common Stock or other securities (the “</w:t>
      </w:r>
      <w:r>
        <w:rPr>
          <w:rFonts w:ascii="Times New Roman;Times;Serif" w:hAnsi="Times New Roman;Times;Serif"/>
          <w:b w:val="false"/>
          <w:i w:val="false"/>
          <w:caps w:val="false"/>
          <w:smallCaps w:val="false"/>
          <w:sz w:val="20"/>
          <w:u w:val="single"/>
        </w:rPr>
        <w:t>Purchase Contracts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units, each representing ownership of Debt Securities, Preferred Stock, Common Stock, Warrants, Purchase Contracts or debt obligations of third parties, including U.S. Treasury securities (the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guarantees by Booz Allen Hamilton of the obligations of the Company under any securities that the Company may register under the Securities Act (the “</w:t>
      </w:r>
      <w:r>
        <w:rPr>
          <w:rFonts w:ascii="Times New Roman;Times;Serif" w:hAnsi="Times New Roman;Times;Serif"/>
          <w:b w:val="false"/>
          <w:i w:val="false"/>
          <w:caps w:val="false"/>
          <w:smallCaps w:val="false"/>
          <w:sz w:val="20"/>
          <w:u w:val="single"/>
        </w:rPr>
        <w:t>Subsidiary Guarantees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guarantees by the Company of the obligations of Booz Allen Hamilton under any securities that Booz Allen Hamilton may register under the Securities Act (the “</w:t>
      </w:r>
      <w:r>
        <w:rPr>
          <w:rFonts w:ascii="Times New Roman;Times;Serif" w:hAnsi="Times New Roman;Times;Serif"/>
          <w:b w:val="false"/>
          <w:i w:val="false"/>
          <w:caps w:val="false"/>
          <w:smallCaps w:val="false"/>
          <w:sz w:val="20"/>
          <w:u w:val="single"/>
        </w:rPr>
        <w:t>Parent Guarantees</w:t>
      </w:r>
      <w:r>
        <w:rPr>
          <w:rFonts w:ascii="Times New Roman;Times;Serif" w:hAnsi="Times New Roman;Times;Serif"/>
          <w:b w:val="false"/>
          <w:i w:val="false"/>
          <w:caps w:val="false"/>
          <w:smallCaps w:val="false"/>
          <w:sz w:val="20"/>
        </w:rPr>
        <w:t>” and, together with the Subsidiary Guarantees, the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any other securities that may be described from time to time in the Registration Statement by means of a post-effective amendment (the “</w:t>
      </w:r>
      <w:r>
        <w:rPr>
          <w:rFonts w:ascii="Times New Roman;Times;Serif" w:hAnsi="Times New Roman;Times;Serif"/>
          <w:b w:val="false"/>
          <w:i w:val="false"/>
          <w:caps w:val="false"/>
          <w:smallCaps w:val="false"/>
          <w:sz w:val="20"/>
          <w:u w:val="single"/>
        </w:rPr>
        <w:t>Other Securities</w:t>
      </w:r>
      <w:r>
        <w:rPr>
          <w:rFonts w:ascii="Times New Roman;Times;Serif" w:hAnsi="Times New Roman;Times;Serif"/>
          <w:b w:val="false"/>
          <w:i w:val="false"/>
          <w:caps w:val="false"/>
          <w:smallCaps w:val="false"/>
          <w:sz w:val="20"/>
        </w:rPr>
        <w:t>” and, together with the Debt Securities, Preferred Stock, Common Stock, Depositary Shares, Warrants, Purchase Contracts, Units, and Guarantees,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114425" cy="152400"/>
            <wp:effectExtent l="0" t="0" r="0" b="0"/>
            <wp:docPr id="16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 descr=""/>
                    <pic:cNvPicPr>
                      <a:picLocks noChangeAspect="1" noChangeArrowheads="1"/>
                    </pic:cNvPicPr>
                  </pic:nvPicPr>
                  <pic:blipFill>
                    <a:blip r:embed="rId22"/>
                    <a:stretch>
                      <a:fillRect/>
                    </a:stretch>
                  </pic:blipFill>
                  <pic:spPr bwMode="auto">
                    <a:xfrm>
                      <a:off x="0" y="0"/>
                      <a:ext cx="1114425" cy="15240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875" w:type="dxa"/>
        <w:jc w:val="left"/>
        <w:tblInd w:w="0" w:type="dxa"/>
        <w:tblLayout w:type="fixed"/>
        <w:tblCellMar>
          <w:top w:w="0" w:type="dxa"/>
          <w:left w:w="0" w:type="dxa"/>
          <w:bottom w:w="0" w:type="dxa"/>
          <w:right w:w="0" w:type="dxa"/>
        </w:tblCellMar>
      </w:tblPr>
      <w:tblGrid>
        <w:gridCol w:w="3530"/>
        <w:gridCol w:w="200"/>
        <w:gridCol w:w="1145"/>
      </w:tblGrid>
      <w:tr>
        <w:trPr/>
        <w:tc>
          <w:tcPr>
            <w:tcW w:w="3530"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Booz Allen Hamilton Holding Corporation</w:t>
            </w:r>
          </w:p>
        </w:tc>
        <w:tc>
          <w:tcPr>
            <w:tcW w:w="20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Booz Allen Hamilton Inc.</w:t>
            </w:r>
          </w:p>
        </w:tc>
        <w:tc>
          <w:tcPr>
            <w:tcW w:w="200" w:type="dxa"/>
            <w:tcBorders/>
            <w:vAlign w:val="center"/>
          </w:tcPr>
          <w:p>
            <w:pPr>
              <w:pStyle w:val="TableContents"/>
              <w:bidi w:val="0"/>
              <w:spacing w:before="0" w:after="283"/>
              <w:jc w:val="center"/>
              <w:rPr/>
            </w:pPr>
            <w:r>
              <w:rPr/>
              <w:t> </w:t>
            </w:r>
            <w:r>
              <w:rPr/>
              <w:t>2</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opinions expressed below, we have: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examined and relied on the originals, or copies certified or otherwise identified to our satisfaction, of the Registration Statement and the Indentures and such agreements, corporate and other organizational documents and records of each of Booz Allen Hamilton and the Company and such other certificates of public officials, officers and representatives of each of Booz Allen Hamilton and the Company and other persons as we have deemed appropriate for the purposes of such opinions;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examined and relied as to factual matters upon, and have assumed the accuracy of, the statements made in the certificates of public officials, officers and representatives of each of Booz Allen Hamilton and the Company and other persons delivered to us;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made such investigations of law as we have deemed appropriate as a basis for such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we have assumed, with your permission, without independent investigation or inquiry: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authenticity and completeness of all documents that we examined;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genuineness of all signatures on all documents that we examined;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conformity to authentic originals and completeness of documents examined by us that are certified, conformed or reproduction, photostatic or other copies;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the legal capacity of all natural persons executing documents;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the valid existence and good standing of the Trustee;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the corporate or other power and authority of the Trustee to enter into and perform its obligations under each Indenture;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the due authorization, execution and delivery of each Indenture by the Trustee; and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the enforceability of each Indenture against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assumptions, qualifications and limitations hereinafter set forth,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terms of the Subsidiary Debt Securities and their issuance and sale have been duly authorized and approved by all necessary action of the Subsidiary Board or any duly authorized committee thereof,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terms of the Subsidiary Debt Securities have been duly established in accordance with the Subsidiary Indenture so as not to violate any applicable law, rule or regulation or result in a default under or a breach of any agreement or instrument binding upon Booz Allen Hamilton and so as to comply with any requirement or restriction imposed by any court or governmental body having jurisdiction over Booz Allen Hamilton;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Subsidiary Debt Securities have been duly executed, authenticated, issued and delivered as contemplated by the Registration Statement and any prospectus supplement relating thereto and in accordance with the terms of the Subsidiary Indenture and any underwriting agreement, Warrants, Warrant Agreements or Purchase Contracts relating to such issuance, against payment of the consideration fixed therefor by the Subsidiary Board or any duly authorized committee thereof, the Subsidiary Debt Securities will be validly issued and will constitute valid and binding obligations of Booz Allen Hamilton enforceable against Booz Allen Hamilton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875" w:type="dxa"/>
        <w:jc w:val="left"/>
        <w:tblInd w:w="0" w:type="dxa"/>
        <w:tblLayout w:type="fixed"/>
        <w:tblCellMar>
          <w:top w:w="0" w:type="dxa"/>
          <w:left w:w="0" w:type="dxa"/>
          <w:bottom w:w="0" w:type="dxa"/>
          <w:right w:w="0" w:type="dxa"/>
        </w:tblCellMar>
      </w:tblPr>
      <w:tblGrid>
        <w:gridCol w:w="3530"/>
        <w:gridCol w:w="200"/>
        <w:gridCol w:w="1145"/>
      </w:tblGrid>
      <w:tr>
        <w:trPr/>
        <w:tc>
          <w:tcPr>
            <w:tcW w:w="3530"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Booz Allen Hamilton Holding Corporation</w:t>
            </w:r>
          </w:p>
        </w:tc>
        <w:tc>
          <w:tcPr>
            <w:tcW w:w="20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Booz Allen Hamilton Inc.</w:t>
            </w:r>
          </w:p>
        </w:tc>
        <w:tc>
          <w:tcPr>
            <w:tcW w:w="200" w:type="dxa"/>
            <w:tcBorders/>
            <w:vAlign w:val="center"/>
          </w:tcPr>
          <w:p>
            <w:pPr>
              <w:pStyle w:val="TableContents"/>
              <w:bidi w:val="0"/>
              <w:spacing w:before="0" w:after="283"/>
              <w:jc w:val="center"/>
              <w:rPr/>
            </w:pPr>
            <w:r>
              <w:rPr/>
              <w:t> </w:t>
            </w:r>
            <w:r>
              <w:rPr/>
              <w:t>3</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and the execution and delivery, of the Parent Indenture have been duly authorized and approved by all necessary action of the board of directors of the Company (the “</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the Parent Board and the Subsidiary Board each being referred to as a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or any duly authorized committee thereof;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Parent Indenture has been duly executed and delivered by the Company and the Trustee;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terms of the Parent Debt Securities and their issuance and sale have been duly authorized and approved by all necessary action of the Parent Board or any duly authorized committee thereof,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terms of the Parent Debt Securities have been duly established in accordance with the Parent Indenture so as not to violate any applicable law, rule or regulation or result in a default under or a breach of any agreement or instrument binding upon the Company and so as to comply with any requirement or restriction imposed by any court or governmental body having jurisdiction over the Company;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the Parent Debt Securities have been duly executed, authenticated, issued and delivered as contemplated by the Registration Statement and any prospectus supplement relating thereto and in accordance with the terms of the Parent Indenture and any underwriting agreement, Warrants, Warrant Agreements or Purchase Contracts relating to such issuance, against payment of the consideration fixed therefor by the Parent Board or any duly authorized committee thereof, the Parent Debt Securities will be validly issued and will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of the Preferred Stock and of its issuance and sale have been duly established in conformity with the Company’s Amended and Restated Certificate of Incorporation and authorized and approved by all necessary action of the Parent Board or any duly authorized committee thereof so as not to violate any applicable law, rule or regulation or result in a default under or a breach of any agreement or instrument binding upon the Company and so as to comply with any requirement or restriction imposed by any court or governmental body having jurisdiction over the Company;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 Certificate of Designations fixing and determining the terms of the Preferred Stock has been duly filed with the Secretary of State of the State of Delaware;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Preferred Stock has been duly executed, issued and delivered as contemplated by the Registration Statement and any prospectus supplement relating thereto, and in accordance with such action of the Parent Board or any duly authorized committee thereof and the terms of any underwriting agreement, Warrants or Warrant Agreements or Purchase Contracts relating to such issuance, against payment of the consideration fixed therefor by the Parent Board or any duly authorized committee thereof, the Preferred Stock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875" w:type="dxa"/>
        <w:jc w:val="left"/>
        <w:tblInd w:w="0" w:type="dxa"/>
        <w:tblLayout w:type="fixed"/>
        <w:tblCellMar>
          <w:top w:w="0" w:type="dxa"/>
          <w:left w:w="0" w:type="dxa"/>
          <w:bottom w:w="0" w:type="dxa"/>
          <w:right w:w="0" w:type="dxa"/>
        </w:tblCellMar>
      </w:tblPr>
      <w:tblGrid>
        <w:gridCol w:w="3530"/>
        <w:gridCol w:w="200"/>
        <w:gridCol w:w="1145"/>
      </w:tblGrid>
      <w:tr>
        <w:trPr/>
        <w:tc>
          <w:tcPr>
            <w:tcW w:w="3530"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Booz Allen Hamilton Holding Corporation</w:t>
            </w:r>
          </w:p>
        </w:tc>
        <w:tc>
          <w:tcPr>
            <w:tcW w:w="20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Booz Allen Hamilton Inc.</w:t>
            </w:r>
          </w:p>
        </w:tc>
        <w:tc>
          <w:tcPr>
            <w:tcW w:w="200" w:type="dxa"/>
            <w:tcBorders/>
            <w:vAlign w:val="center"/>
          </w:tcPr>
          <w:p>
            <w:pPr>
              <w:pStyle w:val="TableContents"/>
              <w:bidi w:val="0"/>
              <w:spacing w:before="0" w:after="283"/>
              <w:jc w:val="center"/>
              <w:rPr/>
            </w:pPr>
            <w:r>
              <w:rPr/>
              <w:t> </w:t>
            </w:r>
            <w:r>
              <w:rPr/>
              <w:t>4</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of the issuance and sale of the Common Stock have been duly authorized and approved by all necessary action of the Parent Board or any duly authorized committee thereof so as not to violate any applicable law, rule or regulation or result in a default under or a breach of any agreement or instrument binding upon the Company and so as to comply with any requirement or restriction imposed by any court or governmental body having jurisdiction over the Company;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Common Stock has been duly executed, issued, and delivered as contemplated by the Registration Statement and any prospectus supplement relating thereto and in accordance with such action of the Parent Board or any duly authorized committee thereof and the terms of any underwriting agreement, Warrants or Warrant Agreements or Purchase Contracts relating to such issuance, against payment of the consideration fixed therefor by the Parent Board or any duly authorized committee thereof, the Common Stock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and the execution and delivery, of the Deposit Agreement relating to the Depositary Shares and the terms of the Depositary Shares and of their issuance and sale have been duly authorized and approved by all necessary action of the applicable Board or any duly authorized committee thereof;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Deposit Agreement and the depositary receipts evidencing the Depositary Shares (the “</w:t>
      </w:r>
      <w:r>
        <w:rPr>
          <w:rFonts w:ascii="Times New Roman;Times;Serif" w:hAnsi="Times New Roman;Times;Serif"/>
          <w:b w:val="false"/>
          <w:i w:val="false"/>
          <w:caps w:val="false"/>
          <w:smallCaps w:val="false"/>
          <w:sz w:val="20"/>
          <w:u w:val="single"/>
        </w:rPr>
        <w:t>Depositary Receipts</w:t>
      </w:r>
      <w:r>
        <w:rPr>
          <w:rFonts w:ascii="Times New Roman;Times;Serif" w:hAnsi="Times New Roman;Times;Serif"/>
          <w:b w:val="false"/>
          <w:i w:val="false"/>
          <w:caps w:val="false"/>
          <w:smallCaps w:val="false"/>
          <w:sz w:val="20"/>
        </w:rPr>
        <w:t>”) have been duly authorized, executed and delivered by the applicable Issuer and such depositary as shall have been duly appointed by such Issuer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terms of the Depositary Shares and the Depositary Receipts have been established in accordance with the applicable Deposit Agreement so as not to violate any applicable law, rule or regulation or result in a default under or a breach of any agreement or instrument binding upon the applicable Issuer and so as to comply with any applicable requirement or restriction imposed by any court or governmental authority having jurisdiction over the applicable Issuer;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in the case of Depositary Shares representing fractional interests in any Parent Debt Securities, the Parent Indenture has been duly authorized, executed and delivered by the Company and the Trustee, as contemplated in paragraph 2 above,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the Debt Securities relating to the Depositary Shares have been duly authorized, executed, authenticated, issued and delivered as contemplated in paragraph 1 or 2 above, as the case may be,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Preferred Stock relating to the Depositary Shares has been duly authorized and validly issued and is fully paid and non-assessable as contemplated in paragraph 3 above,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the Common Stock relating to the Depositary Shares has been duly authorized and validly issued and is fully paid and non-assessable as contemplated in paragraph 4 above and, in the case of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such Debt Securities, Preferred Stock or Common Stock have been deposited with the Depositary under the applicable Deposit Agreement;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the Depositary Receipts have been duly executed, countersigned, registered and delivered as contemplated by the Registration Statement and any prospectus supplement related thereto and in accordance with the terms of the Deposit Agreement and any underwriting agreement, Warrants, Warrant Agreements or Purchase Contracts relating to such issuance, against payment of the consideration fixed therefor by the applicable Board or any duly authorized committee thereof, the Depositary Receipts will be validly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875" w:type="dxa"/>
        <w:jc w:val="left"/>
        <w:tblInd w:w="0" w:type="dxa"/>
        <w:tblLayout w:type="fixed"/>
        <w:tblCellMar>
          <w:top w:w="0" w:type="dxa"/>
          <w:left w:w="0" w:type="dxa"/>
          <w:bottom w:w="0" w:type="dxa"/>
          <w:right w:w="0" w:type="dxa"/>
        </w:tblCellMar>
      </w:tblPr>
      <w:tblGrid>
        <w:gridCol w:w="3530"/>
        <w:gridCol w:w="200"/>
        <w:gridCol w:w="1145"/>
      </w:tblGrid>
      <w:tr>
        <w:trPr/>
        <w:tc>
          <w:tcPr>
            <w:tcW w:w="3530"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Booz Allen Hamilton Holding Corporation</w:t>
            </w:r>
          </w:p>
        </w:tc>
        <w:tc>
          <w:tcPr>
            <w:tcW w:w="20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Booz Allen Hamilton Inc.</w:t>
            </w:r>
          </w:p>
        </w:tc>
        <w:tc>
          <w:tcPr>
            <w:tcW w:w="200" w:type="dxa"/>
            <w:tcBorders/>
            <w:vAlign w:val="center"/>
          </w:tcPr>
          <w:p>
            <w:pPr>
              <w:pStyle w:val="TableContents"/>
              <w:bidi w:val="0"/>
              <w:spacing w:before="0" w:after="283"/>
              <w:jc w:val="center"/>
              <w:rPr/>
            </w:pPr>
            <w:r>
              <w:rPr/>
              <w:t> </w:t>
            </w:r>
            <w:r>
              <w:rPr/>
              <w:t>5</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and the execution and delivery, of the Warrants and any Warrant Agreement relating to the Warrants and the terms of the issuance and sale of the Warrants and related matters have been duly authorized and approved by all necessary action of the applicable Board or any duly authorized committee thereof;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Warrant Agreement or Warrant Agreements relating to the Warrants have been duly executed and delivered by the applicable Issuer and such warrant agent as shall have been duly appointed by such Issuer;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terms of the Warrants have been established in accordance with the applicable Warrant Agreement so as not to violate any applicable law, rule or regulation or result in a default under or a breach of any agreement or instrument binding upon the applicable Issuer and so as to comply with any requirement or restriction imposed by any court or governmental body having jurisdiction over the applicable Issuer;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the Warrants or certificates representing the Warrants have been duly executed, authenticated, issued and delivered as contemplated by the Registration Statement and any prospectus supplement relating thereto and in accordance with the terms of any Warrant Agreement and underwriting agreement relating to such issuance, against payment of the consideration fixed therefor by the applicable Board or any duly authorized committee thereof, the Warrants will constitute valid and binding obligations of the applicable Issuer, enforceable against the applicable Issuer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and the execution and delivery, of the Purchase Contracts and the terms of the issuance and sale thereof and related matters have been duly authorized and approved by all necessary action of the applicable Board or any duly authorized committee thereof;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terms of the Purchase Contracts have been established so as not to violate any applicable law, rule or regulation or result in a default under or a breach of any agreement or instrument binding upon the applicable Issuer and so as to comply with any requirement or restriction imposed by any court or governmental body having jurisdiction over the applicable Issuer;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Purchase Contracts have been duly executed and delivered by the applicable Issuer and such contract agent as shall have been duly appointed by the applicable Issuer, and any certificates representing Purchase Contracts have been duly executed, authenticated, if required, issued and delivered, in each case as contemplated by the Registration Statement and any prospectus supplement relating thereto and in accordance with the terms of any Purchase Contract and underwriting agreement related to such issuance, against payment of the consideration fixed therefor by the applicable Board or any duly authorized committee thereof, the Purchase Contracts will constitute valid and binding obligations of the Issuer thereof, enforceable against such Issuer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875" w:type="dxa"/>
        <w:jc w:val="left"/>
        <w:tblInd w:w="0" w:type="dxa"/>
        <w:tblLayout w:type="fixed"/>
        <w:tblCellMar>
          <w:top w:w="0" w:type="dxa"/>
          <w:left w:w="0" w:type="dxa"/>
          <w:bottom w:w="0" w:type="dxa"/>
          <w:right w:w="0" w:type="dxa"/>
        </w:tblCellMar>
      </w:tblPr>
      <w:tblGrid>
        <w:gridCol w:w="3530"/>
        <w:gridCol w:w="200"/>
        <w:gridCol w:w="1145"/>
      </w:tblGrid>
      <w:tr>
        <w:trPr/>
        <w:tc>
          <w:tcPr>
            <w:tcW w:w="3530"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Booz Allen Hamilton Holding Corporation</w:t>
            </w:r>
          </w:p>
        </w:tc>
        <w:tc>
          <w:tcPr>
            <w:tcW w:w="20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Booz Allen Hamilton Inc.</w:t>
            </w:r>
          </w:p>
        </w:tc>
        <w:tc>
          <w:tcPr>
            <w:tcW w:w="200" w:type="dxa"/>
            <w:tcBorders/>
            <w:vAlign w:val="center"/>
          </w:tcPr>
          <w:p>
            <w:pPr>
              <w:pStyle w:val="TableContents"/>
              <w:bidi w:val="0"/>
              <w:spacing w:before="0" w:after="283"/>
              <w:jc w:val="center"/>
              <w:rPr/>
            </w:pPr>
            <w:r>
              <w:rPr/>
              <w:t> </w:t>
            </w:r>
            <w:r>
              <w:rPr/>
              <w:t>6</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of the Units and the terms of the issuance and sale thereof and related matters have been duly authorized and approved by all necessary action of the applicable Board or any duly authorized committee thereof;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terms of the Units have been established so as not to violate any applicable law, rule or regulation or result in a default under or a breach of any agreement or instrument binding upon the applicable Issuer and so as to comply with any requirement or restriction imposed by any court or governmental body having jurisdiction over the applicable Issuer;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Purchase Contracts that form a part of the Units have been duly authorized, executed, authenticated (if required), issued and delivered as contemplated in paragraph 7 above,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the Parent Indenture relating to any Parent Debt Securities (or undivided beneficial interests therein) that form a part of the Units or that are deposited under the Deposit Agreement referred to below has been duly authorized, executed and delivered by the Company and the Trustee as contemplated in paragraph 2 above,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any Debt Securities (or undivided beneficial interests therein) that form a part of the Units or that are deposited under the Deposit Agreement referred to below have been duly authorized, executed, authenticated, issued and delivered as contemplated in paragraphs 1 or 2 above, as the case may be,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Preferred Stock that forms a part of the Units has been duly authorized, executed, issued and delivered as contemplated in paragraph 3 above,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the Common Stock that forms a part of the Units has been duly authorized, executed, issued and delivered as contemplated in paragraph 4 above,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)(1) the Deposit Agreement relating to the Depositary Shares that form a part of the Units, the related Depositary Shares and the Depositary Receipts evidencing such Depositary Shares have been duly authorized, executed, authenticated, if required, and delivered as contemplated in paragraph 5 above,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in the case of Depositary Shares representing fractional interests in any Parent Debt Securities, the Parent Indenture has been duly authorized, executed and delivered by the Company and the Trustee, as contemplated in paragraph 2 above,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the Debt Securities relating to the Depositary Shares have been duly authorized, executed, authenticated, issued and delivered as contemplated in paragraph 1 or 2 above, as the case may be,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the Warrants that form a part of the Units have been duly authorized, executed, issued and delivered as contemplated in paragraph 6 above,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the Purchase Contracts that form a part of the Units have been duly authorized, executed, issued and delivered as contemplated in paragraph 7 above,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the debt obligations of third parties, including U.S. Treasury securities, that form a part of the Units have been duly authorized, issued and delivered in accordance with their terms;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the certificates representing the Units have been duly executed, authenticated, if required, issued and delivered as contemplated by the Registration Statement and any prospectus supplement relating thereto and in accordance with the terms of any Purchase Contract and underwriting agreement relating to such issuance, against payment of the consideration fixed therefor by the applicable Board or any duly authorized committee thereof, the Units will be validly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875" w:type="dxa"/>
        <w:jc w:val="left"/>
        <w:tblInd w:w="0" w:type="dxa"/>
        <w:tblLayout w:type="fixed"/>
        <w:tblCellMar>
          <w:top w:w="0" w:type="dxa"/>
          <w:left w:w="0" w:type="dxa"/>
          <w:bottom w:w="0" w:type="dxa"/>
          <w:right w:w="0" w:type="dxa"/>
        </w:tblCellMar>
      </w:tblPr>
      <w:tblGrid>
        <w:gridCol w:w="3530"/>
        <w:gridCol w:w="200"/>
        <w:gridCol w:w="1145"/>
      </w:tblGrid>
      <w:tr>
        <w:trPr/>
        <w:tc>
          <w:tcPr>
            <w:tcW w:w="3530"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Booz Allen Hamilton Holding Corporation</w:t>
            </w:r>
          </w:p>
        </w:tc>
        <w:tc>
          <w:tcPr>
            <w:tcW w:w="20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Booz Allen Hamilton Inc.</w:t>
            </w:r>
          </w:p>
        </w:tc>
        <w:tc>
          <w:tcPr>
            <w:tcW w:w="200" w:type="dxa"/>
            <w:tcBorders/>
            <w:vAlign w:val="center"/>
          </w:tcPr>
          <w:p>
            <w:pPr>
              <w:pStyle w:val="TableContents"/>
              <w:bidi w:val="0"/>
              <w:spacing w:before="0" w:after="283"/>
              <w:jc w:val="center"/>
              <w:rPr/>
            </w:pPr>
            <w:r>
              <w:rPr/>
              <w:t> </w:t>
            </w:r>
            <w:r>
              <w:rPr/>
              <w:t>7</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of a Guarantee have been duly authorized by all necessary action of the applicable Board or any duly authorized committee thereof so as not to violate any applicable law, rule or regulation or result in a default under or a breach of any agreement or instrument binding upon the applicable guarantor and so as to comply with any requirement or restriction imposed by any court or governmental body having jurisdiction over the applicable guarantor;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such Guarantee has been validly executed and delivered by the applicable guarantor, such Guarantee will constitute a valid and binding obligation of such guarantor enforceable against such Issuer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any Parent Debt Securities are exchangeable or convertible into Common Stock, when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of the issuance of the Common Stock have been duly authorized and approved by all necessary action of the Parent Board or any duly authorized committee thereof;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Common Stock has been issued in exchange for or upon conversion of such Parent Debt Securities as contemplated by the Registration Statement and any prospectus supplement relating thereto in accordance with the terms of such Parent Debt Securities and the Parent Indenture so as not to violate any applicable law, rule or regulation or result in a default under or a violation of any agreement or instrument binding upon the Company and so as to comply with any applicable requirement or restriction imposed by any court or governmental authority having jurisdiction over the Company, the Common Stock so issued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are subject to the effects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bankruptcy, insolvency, fraudulent conveyance, fraudulent transfer, reorganization and moratorium laws, and other similar laws relating to or affecting creditors’ rights or remedies generally;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general equitable principles (whether considered in a proceeding in equity or at law);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concepts of good faith, diligence, reasonableness and fair dealing and standards of materiality;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limitations on the validity or enforceability of indemnification, contribution or exculpation under the applicable law (including, without limitation, court decisions) or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laws of any jurisdiction other than the laws of the State of New York and the General Corporation Law of the State of Delaware, each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4875" w:type="dxa"/>
        <w:jc w:val="left"/>
        <w:tblInd w:w="0" w:type="dxa"/>
        <w:tblLayout w:type="fixed"/>
        <w:tblCellMar>
          <w:top w:w="0" w:type="dxa"/>
          <w:left w:w="0" w:type="dxa"/>
          <w:bottom w:w="0" w:type="dxa"/>
          <w:right w:w="0" w:type="dxa"/>
        </w:tblCellMar>
      </w:tblPr>
      <w:tblGrid>
        <w:gridCol w:w="3530"/>
        <w:gridCol w:w="200"/>
        <w:gridCol w:w="1145"/>
      </w:tblGrid>
      <w:tr>
        <w:trPr/>
        <w:tc>
          <w:tcPr>
            <w:tcW w:w="3530"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Booz Allen Hamilton Holding Corporation</w:t>
            </w:r>
          </w:p>
        </w:tc>
        <w:tc>
          <w:tcPr>
            <w:tcW w:w="20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Booz Allen Hamilton Inc.</w:t>
            </w:r>
          </w:p>
        </w:tc>
        <w:tc>
          <w:tcPr>
            <w:tcW w:w="200" w:type="dxa"/>
            <w:tcBorders/>
            <w:vAlign w:val="center"/>
          </w:tcPr>
          <w:p>
            <w:pPr>
              <w:pStyle w:val="TableContents"/>
              <w:bidi w:val="0"/>
              <w:spacing w:before="0" w:after="283"/>
              <w:jc w:val="center"/>
              <w:rPr/>
            </w:pPr>
            <w:r>
              <w:rPr/>
              <w:t> </w:t>
            </w:r>
            <w:r>
              <w:rPr/>
              <w:t>8</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“Validity of Securities” in the prospectus forming a part thereof. In giving such consent, we do not thereby concede that we are in the category of persons whose consent is required under Section 7 of the Securities Act or the rules and regulations of the SEC thereunder.</w:t>
      </w:r>
    </w:p>
    <w:p>
      <w:pPr>
        <w:pStyle w:val="TextBody"/>
        <w:bidi w:val="0"/>
        <w:spacing w:before="0" w:after="0"/>
        <w:ind w:left="0" w:right="0" w:hanging="0"/>
        <w:jc w:val="left"/>
        <w:rPr>
          <w:caps w:val="false"/>
          <w:smallCaps w:val="false"/>
        </w:rPr>
      </w:pPr>
      <w:r>
        <w:rPr>
          <w:caps w:val="false"/>
          <w:smallCaps w:val="false"/>
        </w:rPr>
        <w:t> </w:t>
      </w:r>
    </w:p>
    <w:tbl>
      <w:tblPr>
        <w:tblW w:w="2585" w:type="dxa"/>
        <w:jc w:val="left"/>
        <w:tblInd w:w="0" w:type="dxa"/>
        <w:tblLayout w:type="fixed"/>
        <w:tblCellMar>
          <w:top w:w="0" w:type="dxa"/>
          <w:left w:w="0" w:type="dxa"/>
          <w:bottom w:w="0" w:type="dxa"/>
          <w:right w:w="0" w:type="dxa"/>
        </w:tblCellMar>
      </w:tblPr>
      <w:tblGrid>
        <w:gridCol w:w="75"/>
        <w:gridCol w:w="2510"/>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Debevoise &amp; Plimpton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6" w:name="tm267274d3_ex23-1.htm"/>
      <w:bookmarkStart w:id="27" w:name="kstm267274d3_ex231"/>
      <w:bookmarkEnd w:id="26"/>
      <w:bookmarkEnd w:id="27"/>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Booz Allen Hamilton Holding Corporation for the registration of debt securities, guarantees, preferred stock, common stock, depositary shares, warrants, purchase contracts, and units and to the incorporation by reference therein of our reports dated May 22, 2026, with respect to the consolidated financial statements of Booz Allen Hamilton Holding Corporation, and the effectiveness of internal control over financial reporting of Booz Allen Hamilton Holding Corporation, included in its Annual Report (Form 10-K) for the year ended March 31, 2026,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Tysons, Virginia</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p>
      <w:pPr>
        <w:pStyle w:val="TextBody"/>
        <w:bidi w:val="0"/>
        <w:spacing w:before="0" w:after="0"/>
        <w:ind w:left="0" w:right="0" w:hanging="0"/>
        <w:jc w:val="left"/>
        <w:rPr>
          <w:caps w:val="false"/>
          <w:smallCaps w:val="false"/>
        </w:rPr>
      </w:pPr>
      <w:bookmarkStart w:id="28" w:name="tm267274d3_ex25-1.htm"/>
      <w:bookmarkStart w:id="29" w:name="kstm267274d3_ex25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Statement of Eligibility Under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Trust Indenture Act of 1939 of a</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Corporation Designated to Act as Trustee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10" w:type="dxa"/>
        <w:tblLayout w:type="fixed"/>
        <w:tblCellMar>
          <w:top w:w="28" w:type="dxa"/>
          <w:left w:w="108" w:type="dxa"/>
          <w:bottom w:w="28" w:type="dxa"/>
          <w:right w:w="10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Monique L. Green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5065 Wooster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Cincinnati, OH 45226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 343-1566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Booz Allen Hamilton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10" w:type="dxa"/>
        <w:tblLayout w:type="fixed"/>
        <w:tblCellMar>
          <w:top w:w="28" w:type="dxa"/>
          <w:left w:w="108" w:type="dxa"/>
          <w:bottom w:w="28" w:type="dxa"/>
          <w:right w:w="10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36-2513626</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10" w:type="dxa"/>
        <w:tblLayout w:type="fixed"/>
        <w:tblCellMar>
          <w:top w:w="28" w:type="dxa"/>
          <w:left w:w="108" w:type="dxa"/>
          <w:bottom w:w="28" w:type="dxa"/>
          <w:right w:w="108" w:type="dxa"/>
        </w:tblCellMar>
      </w:tblPr>
      <w:tblGrid>
        <w:gridCol w:w="3275"/>
        <w:gridCol w:w="920"/>
      </w:tblGrid>
      <w:tr>
        <w:trPr/>
        <w:tc>
          <w:tcPr>
            <w:tcW w:w="3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8283 Greensboro Drive</w:t>
              <w:br/>
              <w:t>McLean, VA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22102</w:t>
            </w:r>
          </w:p>
        </w:tc>
      </w:tr>
      <w:tr>
        <w:trPr/>
        <w:tc>
          <w:tcPr>
            <w:tcW w:w="3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           GENERAL INFORMATION</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Furnish the following information as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Name and address of each examining or supervising authority to which it is subject.</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Whether it is authorized to exercise corporate trust powers.</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2.           AFFILIATIONS WITH THE OBLIGOR. </w:t>
      </w:r>
      <w:r>
        <w:rPr>
          <w:rFonts w:ascii="Times New Roman;Times;Serif" w:hAnsi="Times New Roman;Times;Serif"/>
          <w:b w:val="false"/>
          <w:i/>
          <w:caps w:val="false"/>
          <w:smallCaps w:val="false"/>
          <w:sz w:val="20"/>
        </w:rPr>
        <w:t>If the obligor is an affiliate of the Trustee, describe each such affiliation.</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
        <w:gridCol w:w="9462"/>
      </w:tblGrid>
      <w:tr>
        <w:trPr/>
        <w:tc>
          <w:tcPr>
            <w:tcW w:w="743" w:type="dxa"/>
            <w:tcBorders/>
            <w:vAlign w:val="center"/>
          </w:tcPr>
          <w:p>
            <w:pPr>
              <w:pStyle w:val="TableContents"/>
              <w:bidi w:val="0"/>
              <w:spacing w:before="0" w:after="283"/>
              <w:jc w:val="left"/>
              <w:rPr>
                <w:b/>
                <w:sz w:val="20"/>
              </w:rPr>
            </w:pPr>
            <w:r>
              <w:rPr>
                <w:b/>
                <w:sz w:val="20"/>
              </w:rPr>
              <w:t>Items 3-15</w:t>
            </w:r>
          </w:p>
        </w:tc>
        <w:tc>
          <w:tcPr>
            <w:tcW w:w="9462" w:type="dxa"/>
            <w:tcBorders/>
            <w:vAlign w:val="center"/>
          </w:tcPr>
          <w:p>
            <w:pPr>
              <w:pStyle w:val="TableContents"/>
              <w:bidi w:val="0"/>
              <w:spacing w:before="0" w:after="283"/>
              <w:jc w:val="both"/>
              <w:rPr>
                <w:i/>
              </w:rPr>
            </w:pPr>
            <w:r>
              <w:rPr>
                <w:i/>
              </w:rPr>
              <w:t>Items 3-15 are not applicable because to the best of the Trustee's knowledge, the obligor is not in default under any Indenture for which the Trustee acts as Trustee.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16.         LIST OF EXHIBITS: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List below all exhibits filed as a part of this statement of eligibility and qualification.</w:t>
      </w:r>
    </w:p>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20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070" w:type="dxa"/>
            <w:tcBorders/>
            <w:vAlign w:val="center"/>
          </w:tcPr>
          <w:p>
            <w:pPr>
              <w:pStyle w:val="TableContents"/>
              <w:bidi w:val="0"/>
              <w:spacing w:before="0" w:after="283"/>
              <w:jc w:val="left"/>
              <w:rPr/>
            </w:pPr>
            <w:r>
              <w:rPr/>
              <w:t>A copy of the Articles of Association of the Trustee, attached as Exhibit 1.</w:t>
            </w:r>
          </w:p>
        </w:tc>
      </w:tr>
    </w:tbl>
    <w:p>
      <w:pPr>
        <w:pStyle w:val="TextBody"/>
        <w:bidi w:val="0"/>
        <w:spacing w:before="0" w:after="0"/>
        <w:ind w:left="1440" w:right="0" w:hanging="144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0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283"/>
              <w:jc w:val="left"/>
              <w:rPr/>
            </w:pPr>
            <w:r>
              <w:rPr/>
              <w:t>A copy of the certificate of authority of the Trustee to commence business, attached as Exhibit 2.</w:t>
            </w:r>
          </w:p>
        </w:tc>
      </w:tr>
    </w:tbl>
    <w:p>
      <w:pPr>
        <w:pStyle w:val="TextBody"/>
        <w:bidi w:val="0"/>
        <w:spacing w:before="0" w:after="0"/>
        <w:ind w:left="1440" w:right="0" w:hanging="144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20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9395" w:type="dxa"/>
            <w:tcBorders/>
            <w:vAlign w:val="center"/>
          </w:tcPr>
          <w:p>
            <w:pPr>
              <w:pStyle w:val="TableContents"/>
              <w:bidi w:val="0"/>
              <w:spacing w:before="0" w:after="283"/>
              <w:jc w:val="left"/>
              <w:rPr/>
            </w:pPr>
            <w:r>
              <w:rPr/>
              <w:t>A copy of the authorization of the Trustee to exercise corporate trust powers, included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0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380" w:type="dxa"/>
            <w:tcBorders/>
            <w:vAlign w:val="center"/>
          </w:tcPr>
          <w:p>
            <w:pPr>
              <w:pStyle w:val="TableContents"/>
              <w:bidi w:val="0"/>
              <w:spacing w:before="0" w:after="283"/>
              <w:jc w:val="left"/>
              <w:rPr/>
            </w:pPr>
            <w:r>
              <w:rPr/>
              <w:t>A copy of the existing bylaws of the Trustee, attached as Exhibit 4.</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0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5945" w:type="dxa"/>
            <w:tcBorders/>
            <w:vAlign w:val="center"/>
          </w:tcPr>
          <w:p>
            <w:pPr>
              <w:pStyle w:val="TableContents"/>
              <w:bidi w:val="0"/>
              <w:spacing w:before="0" w:after="283"/>
              <w:jc w:val="left"/>
              <w:rPr/>
            </w:pPr>
            <w:r>
              <w:rPr/>
              <w:t>A copy of each Indenture referred to in Item 4. 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6.</w:t>
            </w:r>
          </w:p>
        </w:tc>
        <w:tc>
          <w:tcPr>
            <w:tcW w:w="9972" w:type="dxa"/>
            <w:tcBorders/>
            <w:vAlign w:val="center"/>
          </w:tcPr>
          <w:p>
            <w:pPr>
              <w:pStyle w:val="TableContents"/>
              <w:bidi w:val="0"/>
              <w:spacing w:before="0" w:after="283"/>
              <w:jc w:val="left"/>
              <w:rPr/>
            </w:pPr>
            <w:r>
              <w:rPr/>
              <w:t>The consent of the Trustee required by Section 321(b) of the Trust Indenture Act of 1939, attached as Exhibit 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7.</w:t>
            </w:r>
          </w:p>
        </w:tc>
        <w:tc>
          <w:tcPr>
            <w:tcW w:w="9992" w:type="dxa"/>
            <w:tcBorders/>
            <w:vAlign w:val="center"/>
          </w:tcPr>
          <w:p>
            <w:pPr>
              <w:pStyle w:val="TableContents"/>
              <w:bidi w:val="0"/>
              <w:spacing w:before="0" w:after="283"/>
              <w:jc w:val="both"/>
              <w:rPr/>
            </w:pPr>
            <w:r>
              <w:rPr/>
              <w:t>Report of Condition of the Trustee as of March 31, 2026, published pursuant to law or the requirements of its supervising or examining authority, attached as Exhibit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Cincinnati, State of Ohio on the 14th of July, 2026.</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320"/>
        <w:gridCol w:w="17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Monique L. Green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Monique L. Green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 OF ASSOCIATION</w:t>
        <w:br/>
        <w:t>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39"/>
        <w:gridCol w:w="9814"/>
      </w:tblGrid>
      <w:tr>
        <w:trPr/>
        <w:tc>
          <w:tcPr>
            <w:tcW w:w="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20"/>
              </w:rPr>
            </w:pPr>
            <w:r>
              <w:rPr>
                <w:sz w:val="20"/>
              </w:rPr>
              <w:t>(1)</w:t>
            </w:r>
          </w:p>
        </w:tc>
        <w:tc>
          <w:tcPr>
            <w:tcW w:w="9814" w:type="dxa"/>
            <w:tcBorders/>
            <w:vAlign w:val="center"/>
          </w:tcPr>
          <w:p>
            <w:pPr>
              <w:pStyle w:val="TableContents"/>
              <w:bidi w:val="0"/>
              <w:spacing w:before="0" w:after="283"/>
              <w:jc w:val="left"/>
              <w:rPr/>
            </w:pPr>
            <w:r>
              <w:rPr/>
              <w:t>Define the duties of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8" w:type="dxa"/>
            <w:tcBorders/>
            <w:vAlign w:val="center"/>
          </w:tcPr>
          <w:p>
            <w:pPr>
              <w:pStyle w:val="TableContents"/>
              <w:bidi w:val="0"/>
              <w:spacing w:before="0" w:after="283"/>
              <w:jc w:val="both"/>
              <w:rPr/>
            </w:pPr>
            <w:r>
              <w:rPr/>
              <w:t>Delegate the performance of its duties, but not the responsibility for its duties, to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(3)</w:t>
            </w:r>
          </w:p>
        </w:tc>
        <w:tc>
          <w:tcPr>
            <w:tcW w:w="9945" w:type="dxa"/>
            <w:tcBorders/>
            <w:vAlign w:val="center"/>
          </w:tcPr>
          <w:p>
            <w:pPr>
              <w:pStyle w:val="TableContents"/>
              <w:bidi w:val="0"/>
              <w:spacing w:before="0" w:after="283"/>
              <w:jc w:val="both"/>
              <w:rPr/>
            </w:pPr>
            <w:r>
              <w:rPr/>
              <w:t>Fix the compensation and enter employment contracts with its officers and employees upon reasonable terms and conditions consistent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743"/>
        <w:gridCol w:w="9347"/>
      </w:tblGrid>
      <w:tr>
        <w:trPr/>
        <w:tc>
          <w:tcPr>
            <w:tcW w:w="11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20"/>
              </w:rPr>
            </w:pPr>
            <w:r>
              <w:rPr>
                <w:sz w:val="20"/>
              </w:rPr>
              <w:t>(4)</w:t>
            </w:r>
          </w:p>
        </w:tc>
        <w:tc>
          <w:tcPr>
            <w:tcW w:w="9347" w:type="dxa"/>
            <w:tcBorders/>
            <w:vAlign w:val="center"/>
          </w:tcPr>
          <w:p>
            <w:pPr>
              <w:pStyle w:val="TableContents"/>
              <w:bidi w:val="0"/>
              <w:spacing w:before="0" w:after="283"/>
              <w:jc w:val="left"/>
              <w:rPr/>
            </w:pPr>
            <w:r>
              <w:rPr/>
              <w:t>Dismiss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43"/>
        <w:gridCol w:w="9809"/>
      </w:tblGrid>
      <w:tr>
        <w:trPr/>
        <w:tc>
          <w:tcPr>
            <w:tcW w:w="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20"/>
              </w:rPr>
            </w:pPr>
            <w:r>
              <w:rPr>
                <w:sz w:val="20"/>
              </w:rPr>
              <w:t>(5)</w:t>
            </w:r>
          </w:p>
        </w:tc>
        <w:tc>
          <w:tcPr>
            <w:tcW w:w="9809" w:type="dxa"/>
            <w:tcBorders/>
            <w:vAlign w:val="center"/>
          </w:tcPr>
          <w:p>
            <w:pPr>
              <w:pStyle w:val="TableContents"/>
              <w:bidi w:val="0"/>
              <w:spacing w:before="0" w:after="283"/>
              <w:jc w:val="left"/>
              <w:rPr/>
            </w:pPr>
            <w:r>
              <w:rPr/>
              <w:t>Require bonds from officers and employees and to fix the penalty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69"/>
        <w:gridCol w:w="9895"/>
      </w:tblGrid>
      <w:tr>
        <w:trPr/>
        <w:tc>
          <w:tcPr>
            <w:tcW w:w="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20"/>
              </w:rPr>
            </w:pPr>
            <w:r>
              <w:rPr>
                <w:sz w:val="20"/>
              </w:rPr>
              <w:t>(6)</w:t>
            </w:r>
          </w:p>
        </w:tc>
        <w:tc>
          <w:tcPr>
            <w:tcW w:w="9895" w:type="dxa"/>
            <w:tcBorders/>
            <w:vAlign w:val="center"/>
          </w:tcPr>
          <w:p>
            <w:pPr>
              <w:pStyle w:val="TableContents"/>
              <w:bidi w:val="0"/>
              <w:spacing w:before="0" w:after="283"/>
              <w:jc w:val="both"/>
              <w:rPr/>
            </w:pPr>
            <w:r>
              <w:rPr/>
              <w:t>Ratify written policies authorized by the Association's management or committees of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(7)</w:t>
            </w:r>
          </w:p>
        </w:tc>
        <w:tc>
          <w:tcPr>
            <w:tcW w:w="9968" w:type="dxa"/>
            <w:tcBorders/>
            <w:vAlign w:val="center"/>
          </w:tcPr>
          <w:p>
            <w:pPr>
              <w:pStyle w:val="TableContents"/>
              <w:bidi w:val="0"/>
              <w:spacing w:before="0" w:after="283"/>
              <w:jc w:val="both"/>
              <w:rPr/>
            </w:pPr>
            <w:r>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79"/>
        <w:gridCol w:w="9768"/>
      </w:tblGrid>
      <w:tr>
        <w:trPr/>
        <w:tc>
          <w:tcPr>
            <w:tcW w:w="5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20"/>
              </w:rPr>
            </w:pPr>
            <w:r>
              <w:rPr>
                <w:sz w:val="20"/>
              </w:rPr>
              <w:t>(8)</w:t>
            </w:r>
          </w:p>
        </w:tc>
        <w:tc>
          <w:tcPr>
            <w:tcW w:w="9768" w:type="dxa"/>
            <w:tcBorders/>
            <w:vAlign w:val="center"/>
          </w:tcPr>
          <w:p>
            <w:pPr>
              <w:pStyle w:val="TableContents"/>
              <w:bidi w:val="0"/>
              <w:spacing w:before="0" w:after="283"/>
              <w:jc w:val="left"/>
              <w:rPr/>
            </w:pPr>
            <w:r>
              <w:rPr/>
              <w:t>Manage and administer the business and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(9)</w:t>
            </w:r>
          </w:p>
        </w:tc>
        <w:tc>
          <w:tcPr>
            <w:tcW w:w="9943" w:type="dxa"/>
            <w:tcBorders/>
            <w:vAlign w:val="center"/>
          </w:tcPr>
          <w:p>
            <w:pPr>
              <w:pStyle w:val="TableContents"/>
              <w:bidi w:val="0"/>
              <w:spacing w:before="0" w:after="283"/>
              <w:jc w:val="left"/>
              <w:rPr/>
            </w:pPr>
            <w:r>
              <w:rPr/>
              <w:t>Adopt initial Bylaws, not inconsistent with law or the Articles of Association, for managing the business and regulating the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20"/>
              </w:rPr>
            </w:pPr>
            <w:r>
              <w:rPr>
                <w:sz w:val="20"/>
              </w:rPr>
              <w:t>(10)</w:t>
            </w:r>
          </w:p>
        </w:tc>
        <w:tc>
          <w:tcPr>
            <w:tcW w:w="9834" w:type="dxa"/>
            <w:tcBorders/>
            <w:vAlign w:val="center"/>
          </w:tcPr>
          <w:p>
            <w:pPr>
              <w:pStyle w:val="TableContents"/>
              <w:bidi w:val="0"/>
              <w:spacing w:before="0" w:after="283"/>
              <w:jc w:val="left"/>
              <w:rPr/>
            </w:pPr>
            <w:r>
              <w:rPr/>
              <w:t>Amend or repeal Bylaws, except to the extent that the Articles of Association reserve this power in whole or in part to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1857"/>
        <w:gridCol w:w="8147"/>
      </w:tblGrid>
      <w:tr>
        <w:trPr/>
        <w:tc>
          <w:tcPr>
            <w:tcW w:w="20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20"/>
              </w:rPr>
            </w:pPr>
            <w:r>
              <w:rPr>
                <w:sz w:val="20"/>
              </w:rPr>
              <w:t>(11)</w:t>
            </w:r>
          </w:p>
        </w:tc>
        <w:tc>
          <w:tcPr>
            <w:tcW w:w="8147" w:type="dxa"/>
            <w:tcBorders/>
            <w:vAlign w:val="center"/>
          </w:tcPr>
          <w:p>
            <w:pPr>
              <w:pStyle w:val="TableContents"/>
              <w:bidi w:val="0"/>
              <w:spacing w:before="0" w:after="283"/>
              <w:jc w:val="left"/>
              <w:rPr/>
            </w:pPr>
            <w:r>
              <w:rPr/>
              <w:t>Make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479"/>
        <w:gridCol w:w="9675"/>
      </w:tblGrid>
      <w:tr>
        <w:trPr/>
        <w:tc>
          <w:tcPr>
            <w:tcW w:w="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20"/>
              </w:rPr>
            </w:pPr>
            <w:r>
              <w:rPr>
                <w:sz w:val="20"/>
              </w:rPr>
              <w:t>(12)</w:t>
            </w:r>
          </w:p>
        </w:tc>
        <w:tc>
          <w:tcPr>
            <w:tcW w:w="9675" w:type="dxa"/>
            <w:tcBorders/>
            <w:vAlign w:val="center"/>
          </w:tcPr>
          <w:p>
            <w:pPr>
              <w:pStyle w:val="TableContents"/>
              <w:bidi w:val="0"/>
              <w:spacing w:before="0" w:after="283"/>
              <w:jc w:val="left"/>
              <w:rPr/>
            </w:pPr>
            <w:r>
              <w:rPr/>
              <w:t>Generally perform all acts that are legal for a board of directors to perform.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we have hereunto set our hands this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position w:val="7"/>
          <w:sz w:val="16"/>
          <w:sz w:val="20"/>
          <w:u w:val="single"/>
        </w:rPr>
        <w:t>th</w:t>
      </w:r>
      <w:r>
        <w:rPr>
          <w:rFonts w:ascii="Times New Roman;Times;Serif" w:hAnsi="Times New Roman;Times;Serif"/>
          <w:b w:val="false"/>
          <w:i w:val="false"/>
          <w:caps w:val="false"/>
          <w:smallCaps w:val="false"/>
          <w:sz w:val="20"/>
        </w:rPr>
        <w:t xml:space="preserve"> of June, 1997.</w:t>
      </w:r>
    </w:p>
    <w:p>
      <w:pPr>
        <w:pStyle w:val="TextBody"/>
        <w:bidi w:val="0"/>
        <w:spacing w:before="0" w:after="0"/>
        <w:ind w:left="0" w:right="0" w:hanging="0"/>
        <w:jc w:val="left"/>
        <w:rPr>
          <w:caps w:val="false"/>
          <w:smallCaps w:val="false"/>
        </w:rPr>
      </w:pPr>
      <w:r>
        <w:rPr>
          <w:caps w:val="false"/>
          <w:smallCaps w:val="false"/>
        </w:rPr>
        <w:t> </w:t>
      </w:r>
    </w:p>
    <w:tbl>
      <w:tblPr>
        <w:tblW w:w="1925" w:type="dxa"/>
        <w:jc w:val="left"/>
        <w:tblInd w:w="0" w:type="dxa"/>
        <w:tblLayout w:type="fixed"/>
        <w:tblCellMar>
          <w:top w:w="0" w:type="dxa"/>
          <w:left w:w="0" w:type="dxa"/>
          <w:bottom w:w="28" w:type="dxa"/>
          <w:right w:w="0" w:type="dxa"/>
        </w:tblCellMar>
      </w:tblPr>
      <w:tblGrid>
        <w:gridCol w:w="1850"/>
        <w:gridCol w:w="75"/>
      </w:tblGrid>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T. Grubb</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T. Grubb</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D. Sznewajs</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D. Sznewajs</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Dwight V. Board</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Dwight V. Board</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P.K. Chatterjee</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P.K. Chatterjee</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Lane</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Lane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295900" cy="6648450"/>
            <wp:effectExtent l="0" t="0" r="0" b="0"/>
            <wp:docPr id="16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4" descr=""/>
                    <pic:cNvPicPr>
                      <a:picLocks noChangeAspect="1" noChangeArrowheads="1"/>
                    </pic:cNvPicPr>
                  </pic:nvPicPr>
                  <pic:blipFill>
                    <a:blip r:embed="rId23"/>
                    <a:stretch>
                      <a:fillRect/>
                    </a:stretch>
                  </pic:blipFill>
                  <pic:spPr bwMode="auto">
                    <a:xfrm>
                      <a:off x="0" y="0"/>
                      <a:ext cx="5295900" cy="6648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such special meeting, unless otherwise provided by law, shall be called upon not less than ten (10) days nor more than sixty (60) days prior notice stating the purpose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3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3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14, 2026</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320"/>
        <w:gridCol w:w="17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Monique L. Green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Monique L. Green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Condition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3/31/2026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4325"/>
        <w:gridCol w:w="60"/>
        <w:gridCol w:w="125"/>
        <w:gridCol w:w="845"/>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2,159,991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&amp; Lease Financing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573,596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2,898,815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 Funds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Demand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221,704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and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1,171,635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Undivided Profits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1,505,276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Minority Interest in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2,677,111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2,898,815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0" w:name="tm267274d3_ex25-2.htm"/>
      <w:bookmarkStart w:id="31" w:name="kstm267274d3_ex252"/>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Statement of Eligibility Under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Trust Indenture Act of 1939 of a</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Corporation Designated to Act as Trustee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10" w:type="dxa"/>
        <w:tblLayout w:type="fixed"/>
        <w:tblCellMar>
          <w:top w:w="28" w:type="dxa"/>
          <w:left w:w="108" w:type="dxa"/>
          <w:bottom w:w="28" w:type="dxa"/>
          <w:right w:w="10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Monique L. Green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5065 Wooster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Cincinnati, OH 45226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 343-1566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Booz Allen Hamilton Holding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tbl>
      <w:tblPr>
        <w:tblW w:w="7795" w:type="dxa"/>
        <w:jc w:val="left"/>
        <w:tblInd w:w="-10" w:type="dxa"/>
        <w:tblLayout w:type="fixed"/>
        <w:tblCellMar>
          <w:top w:w="28" w:type="dxa"/>
          <w:left w:w="108" w:type="dxa"/>
          <w:bottom w:w="28" w:type="dxa"/>
          <w:right w:w="10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26-2634160</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10" w:type="dxa"/>
        <w:tblLayout w:type="fixed"/>
        <w:tblCellMar>
          <w:top w:w="28" w:type="dxa"/>
          <w:left w:w="108" w:type="dxa"/>
          <w:bottom w:w="28" w:type="dxa"/>
          <w:right w:w="108" w:type="dxa"/>
        </w:tblCellMar>
      </w:tblPr>
      <w:tblGrid>
        <w:gridCol w:w="3275"/>
        <w:gridCol w:w="920"/>
      </w:tblGrid>
      <w:tr>
        <w:trPr/>
        <w:tc>
          <w:tcPr>
            <w:tcW w:w="3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8283 Greensboro Drive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22102</w:t>
            </w:r>
          </w:p>
        </w:tc>
      </w:tr>
      <w:tr>
        <w:trPr/>
        <w:tc>
          <w:tcPr>
            <w:tcW w:w="3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ind w:left="0" w:right="0" w:hanging="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65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b/>
                <w:sz w:val="20"/>
              </w:rPr>
            </w:pPr>
            <w:r>
              <w:rPr>
                <w:b/>
                <w:sz w:val="20"/>
              </w:rPr>
              <w:t xml:space="preserve">Item 1. </w:t>
            </w:r>
          </w:p>
        </w:tc>
        <w:tc>
          <w:tcPr>
            <w:tcW w:w="8090" w:type="dxa"/>
            <w:tcBorders/>
            <w:vAlign w:val="center"/>
          </w:tcPr>
          <w:p>
            <w:pPr>
              <w:pStyle w:val="TableContents"/>
              <w:bidi w:val="0"/>
              <w:spacing w:before="0" w:after="283"/>
              <w:jc w:val="both"/>
              <w:rPr/>
            </w:pPr>
            <w:r>
              <w:rPr>
                <w:b/>
              </w:rPr>
              <w:t>GENERAL INFORMATION</w:t>
            </w:r>
            <w:r>
              <w:rPr>
                <w:b/>
                <w:i/>
              </w:rPr>
              <w:t>.</w:t>
            </w:r>
            <w:r>
              <w:rPr/>
              <w:t xml:space="preserve"> Furnish the following information as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0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7985" w:type="dxa"/>
            <w:tcBorders/>
            <w:vAlign w:val="center"/>
          </w:tcPr>
          <w:p>
            <w:pPr>
              <w:pStyle w:val="TableContents"/>
              <w:bidi w:val="0"/>
              <w:spacing w:before="0" w:after="283"/>
              <w:jc w:val="left"/>
              <w:rPr>
                <w:i/>
              </w:rPr>
            </w:pPr>
            <w:r>
              <w:rPr>
                <w:i/>
              </w:rPr>
              <w:t>Name and address of each examining or supervising authority to which it is subject.</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85"/>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b)</w:t>
            </w:r>
          </w:p>
        </w:tc>
        <w:tc>
          <w:tcPr>
            <w:tcW w:w="5630" w:type="dxa"/>
            <w:tcBorders/>
            <w:vAlign w:val="center"/>
          </w:tcPr>
          <w:p>
            <w:pPr>
              <w:pStyle w:val="TableContents"/>
              <w:bidi w:val="0"/>
              <w:spacing w:before="0" w:after="283"/>
              <w:jc w:val="both"/>
              <w:rPr>
                <w:i/>
              </w:rPr>
            </w:pPr>
            <w:r>
              <w:rPr>
                <w:i/>
              </w:rPr>
              <w:t>Whether it is authorized to exercise corporate trust powers.</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7"/>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b/>
                <w:sz w:val="20"/>
              </w:rPr>
            </w:pPr>
            <w:r>
              <w:rPr>
                <w:b/>
                <w:sz w:val="20"/>
              </w:rPr>
              <w:t xml:space="preserve">Item 2. </w:t>
            </w:r>
          </w:p>
        </w:tc>
        <w:tc>
          <w:tcPr>
            <w:tcW w:w="9560" w:type="dxa"/>
            <w:tcBorders/>
            <w:vAlign w:val="center"/>
          </w:tcPr>
          <w:p>
            <w:pPr>
              <w:pStyle w:val="TableContents"/>
              <w:bidi w:val="0"/>
              <w:spacing w:before="0" w:after="283"/>
              <w:jc w:val="both"/>
              <w:rPr/>
            </w:pPr>
            <w:r>
              <w:rPr>
                <w:b/>
              </w:rPr>
              <w:t>AFFILIATIONS WITH THE OBLIGOR.</w:t>
            </w:r>
            <w:r>
              <w:rPr/>
              <w:t xml:space="preserve"> </w:t>
            </w:r>
            <w:r>
              <w:rPr>
                <w:i/>
              </w:rPr>
              <w:t>If the obligor is an affiliate of the Trustee, describe each such affiliation.</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28"/>
        <w:gridCol w:w="9439"/>
      </w:tblGrid>
      <w:tr>
        <w:trPr/>
        <w:tc>
          <w:tcPr>
            <w:tcW w:w="3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b/>
                <w:sz w:val="20"/>
              </w:rPr>
            </w:pPr>
            <w:r>
              <w:rPr>
                <w:b/>
                <w:sz w:val="20"/>
              </w:rPr>
              <w:t>Items 3-15</w:t>
            </w:r>
          </w:p>
        </w:tc>
        <w:tc>
          <w:tcPr>
            <w:tcW w:w="9439" w:type="dxa"/>
            <w:tcBorders/>
            <w:vAlign w:val="center"/>
          </w:tcPr>
          <w:p>
            <w:pPr>
              <w:pStyle w:val="TableContents"/>
              <w:bidi w:val="0"/>
              <w:spacing w:before="0" w:after="283"/>
              <w:jc w:val="left"/>
              <w:rPr>
                <w:i/>
              </w:rPr>
            </w:pPr>
            <w:r>
              <w:rPr>
                <w:i/>
              </w:rPr>
              <w:t>Items 3-15 are not applicable because to the best of the Trustee's knowledge, the obligor is not in default under any Indenture for which the Trustee acts as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97"/>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b/>
                <w:sz w:val="20"/>
              </w:rPr>
            </w:pPr>
            <w:r>
              <w:rPr>
                <w:b/>
                <w:sz w:val="20"/>
              </w:rPr>
              <w:t>Item 16.</w:t>
            </w:r>
          </w:p>
        </w:tc>
        <w:tc>
          <w:tcPr>
            <w:tcW w:w="9470" w:type="dxa"/>
            <w:tcBorders/>
            <w:vAlign w:val="center"/>
          </w:tcPr>
          <w:p>
            <w:pPr>
              <w:pStyle w:val="TableContents"/>
              <w:bidi w:val="0"/>
              <w:spacing w:before="0" w:after="283"/>
              <w:jc w:val="both"/>
              <w:rPr/>
            </w:pPr>
            <w:r>
              <w:rPr>
                <w:b/>
                <w:sz w:val="20"/>
              </w:rPr>
              <w:t>LIST OF EXHIBITS:</w:t>
            </w:r>
            <w:r>
              <w:rPr/>
              <w:t xml:space="preserve"> </w:t>
            </w:r>
            <w:r>
              <w:rPr>
                <w:i/>
              </w:rPr>
              <w:t>List below all exhibits filed as a part of this statement of eligibility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20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070" w:type="dxa"/>
            <w:tcBorders/>
            <w:vAlign w:val="center"/>
          </w:tcPr>
          <w:p>
            <w:pPr>
              <w:pStyle w:val="TableContents"/>
              <w:bidi w:val="0"/>
              <w:spacing w:before="0" w:after="283"/>
              <w:jc w:val="both"/>
              <w:rPr/>
            </w:pPr>
            <w:r>
              <w:rPr/>
              <w:t>A copy of the Articles of Association of the Trustee, attached as Exhibit 1.</w:t>
            </w:r>
          </w:p>
        </w:tc>
      </w:tr>
    </w:tbl>
    <w:p>
      <w:pPr>
        <w:pStyle w:val="TextBody"/>
        <w:bidi w:val="0"/>
        <w:spacing w:before="0" w:after="0"/>
        <w:ind w:left="0" w:right="0" w:hanging="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0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283"/>
              <w:jc w:val="both"/>
              <w:rPr/>
            </w:pPr>
            <w:r>
              <w:rPr/>
              <w:t>A copy of the certificate of authority of the Trustee to commence business, attached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20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9395" w:type="dxa"/>
            <w:tcBorders/>
            <w:vAlign w:val="center"/>
          </w:tcPr>
          <w:p>
            <w:pPr>
              <w:pStyle w:val="TableContents"/>
              <w:bidi w:val="0"/>
              <w:spacing w:before="0" w:after="283"/>
              <w:jc w:val="both"/>
              <w:rPr/>
            </w:pPr>
            <w:r>
              <w:rPr/>
              <w:t>A copy of the authorization of the Trustee to exercise corporate trust powers, included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0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380" w:type="dxa"/>
            <w:tcBorders/>
            <w:vAlign w:val="center"/>
          </w:tcPr>
          <w:p>
            <w:pPr>
              <w:pStyle w:val="TableContents"/>
              <w:bidi w:val="0"/>
              <w:spacing w:before="0" w:after="283"/>
              <w:jc w:val="left"/>
              <w:rPr/>
            </w:pPr>
            <w:r>
              <w:rPr/>
              <w:t>A copy of the existing bylaws of the Trustee, attached as Exhibit 4.</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0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5945" w:type="dxa"/>
            <w:tcBorders/>
            <w:vAlign w:val="center"/>
          </w:tcPr>
          <w:p>
            <w:pPr>
              <w:pStyle w:val="TableContents"/>
              <w:bidi w:val="0"/>
              <w:spacing w:before="0" w:after="283"/>
              <w:jc w:val="left"/>
              <w:rPr/>
            </w:pPr>
            <w:r>
              <w:rPr/>
              <w:t>A copy of each Indenture referred to in Item 4. 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6.</w:t>
            </w:r>
          </w:p>
        </w:tc>
        <w:tc>
          <w:tcPr>
            <w:tcW w:w="9972" w:type="dxa"/>
            <w:tcBorders/>
            <w:vAlign w:val="center"/>
          </w:tcPr>
          <w:p>
            <w:pPr>
              <w:pStyle w:val="TableContents"/>
              <w:bidi w:val="0"/>
              <w:spacing w:before="0" w:after="283"/>
              <w:jc w:val="left"/>
              <w:rPr/>
            </w:pPr>
            <w:r>
              <w:rPr/>
              <w:t>The consent of the Trustee required by Section 321(b) of the Trust Indenture Act of 1939, attached as Exhibit 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7.</w:t>
            </w:r>
          </w:p>
        </w:tc>
        <w:tc>
          <w:tcPr>
            <w:tcW w:w="9992" w:type="dxa"/>
            <w:tcBorders/>
            <w:vAlign w:val="center"/>
          </w:tcPr>
          <w:p>
            <w:pPr>
              <w:pStyle w:val="TableContents"/>
              <w:bidi w:val="0"/>
              <w:spacing w:before="0" w:after="283"/>
              <w:jc w:val="left"/>
              <w:rPr/>
            </w:pPr>
            <w:r>
              <w:rPr/>
              <w:t>Report of Condition of the Trustee as of March 31, 2026, published pursuant to law or the requirements of its supervising or examining authority, attached as Exhibit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Cincinnati, State of Ohio on the 14th of July, 2026.</w:t>
      </w:r>
    </w:p>
    <w:tbl>
      <w:tblPr>
        <w:tblW w:w="2155" w:type="dxa"/>
        <w:jc w:val="left"/>
        <w:tblInd w:w="0" w:type="dxa"/>
        <w:tblLayout w:type="fixed"/>
        <w:tblCellMar>
          <w:top w:w="0" w:type="dxa"/>
          <w:left w:w="0" w:type="dxa"/>
          <w:bottom w:w="0" w:type="dxa"/>
          <w:right w:w="0" w:type="dxa"/>
        </w:tblCellMar>
      </w:tblPr>
      <w:tblGrid>
        <w:gridCol w:w="75"/>
        <w:gridCol w:w="320"/>
        <w:gridCol w:w="17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Monique L. Green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Monique L. Green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49"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41"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45"/>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7085" w:type="dxa"/>
            <w:tcBorders/>
            <w:vAlign w:val="center"/>
          </w:tcPr>
          <w:p>
            <w:pPr>
              <w:pStyle w:val="TableContents"/>
              <w:bidi w:val="0"/>
              <w:spacing w:before="0" w:after="283"/>
              <w:jc w:val="left"/>
              <w:rPr/>
            </w:pPr>
            <w:r>
              <w:rPr/>
              <w:t>Define the duties of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7" w:type="dxa"/>
            <w:tcBorders/>
            <w:vAlign w:val="center"/>
          </w:tcPr>
          <w:p>
            <w:pPr>
              <w:pStyle w:val="TableContents"/>
              <w:bidi w:val="0"/>
              <w:spacing w:before="0" w:after="283"/>
              <w:jc w:val="both"/>
              <w:rPr/>
            </w:pPr>
            <w:r>
              <w:rPr/>
              <w:t>Delegate the performance of its duties, but not the responsibility for its duties, to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(3)</w:t>
            </w:r>
          </w:p>
        </w:tc>
        <w:tc>
          <w:tcPr>
            <w:tcW w:w="9944" w:type="dxa"/>
            <w:tcBorders/>
            <w:vAlign w:val="center"/>
          </w:tcPr>
          <w:p>
            <w:pPr>
              <w:pStyle w:val="TableContents"/>
              <w:bidi w:val="0"/>
              <w:spacing w:before="0" w:after="283"/>
              <w:jc w:val="both"/>
              <w:rPr/>
            </w:pPr>
            <w:r>
              <w:rPr/>
              <w:t>Fix the compensation and enter employment contracts with its officers and employees upon reasonable terms and conditions consistent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(4)</w:t>
            </w:r>
          </w:p>
        </w:tc>
        <w:tc>
          <w:tcPr>
            <w:tcW w:w="3080" w:type="dxa"/>
            <w:tcBorders/>
            <w:vAlign w:val="center"/>
          </w:tcPr>
          <w:p>
            <w:pPr>
              <w:pStyle w:val="TableContents"/>
              <w:bidi w:val="0"/>
              <w:spacing w:before="0" w:after="283"/>
              <w:jc w:val="left"/>
              <w:rPr/>
            </w:pPr>
            <w:r>
              <w:rPr/>
              <w:t>Dismiss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245"/>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(5)</w:t>
            </w:r>
          </w:p>
        </w:tc>
        <w:tc>
          <w:tcPr>
            <w:tcW w:w="6995" w:type="dxa"/>
            <w:tcBorders/>
            <w:vAlign w:val="center"/>
          </w:tcPr>
          <w:p>
            <w:pPr>
              <w:pStyle w:val="TableContents"/>
              <w:bidi w:val="0"/>
              <w:spacing w:before="0" w:after="283"/>
              <w:jc w:val="left"/>
              <w:rPr/>
            </w:pPr>
            <w:r>
              <w:rPr/>
              <w:t>Require bonds from officers and employees and to fix the penalty thereof.</w:t>
            </w:r>
          </w:p>
        </w:tc>
      </w:tr>
    </w:tbl>
    <w:p>
      <w:pPr>
        <w:pStyle w:val="TextBody"/>
        <w:bidi w:val="0"/>
        <w:spacing w:before="0" w:after="0"/>
        <w:ind w:left="0" w:right="0" w:hanging="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245"/>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(6)</w:t>
            </w:r>
          </w:p>
        </w:tc>
        <w:tc>
          <w:tcPr>
            <w:tcW w:w="9020" w:type="dxa"/>
            <w:tcBorders/>
            <w:vAlign w:val="center"/>
          </w:tcPr>
          <w:p>
            <w:pPr>
              <w:pStyle w:val="TableContents"/>
              <w:bidi w:val="0"/>
              <w:spacing w:before="0" w:after="283"/>
              <w:jc w:val="both"/>
              <w:rPr/>
            </w:pPr>
            <w:r>
              <w:rPr/>
              <w:t>Ratify written policies authorized by the Association's management or committees of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(7)</w:t>
            </w:r>
          </w:p>
        </w:tc>
        <w:tc>
          <w:tcPr>
            <w:tcW w:w="9967" w:type="dxa"/>
            <w:tcBorders/>
            <w:vAlign w:val="center"/>
          </w:tcPr>
          <w:p>
            <w:pPr>
              <w:pStyle w:val="TableContents"/>
              <w:bidi w:val="0"/>
              <w:spacing w:before="0" w:after="283"/>
              <w:jc w:val="left"/>
              <w:rPr/>
            </w:pPr>
            <w:r>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35"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4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(8)</w:t>
            </w:r>
          </w:p>
        </w:tc>
        <w:tc>
          <w:tcPr>
            <w:tcW w:w="6320" w:type="dxa"/>
            <w:tcBorders/>
            <w:vAlign w:val="center"/>
          </w:tcPr>
          <w:p>
            <w:pPr>
              <w:pStyle w:val="TableContents"/>
              <w:bidi w:val="0"/>
              <w:spacing w:before="0" w:after="283"/>
              <w:jc w:val="left"/>
              <w:rPr/>
            </w:pPr>
            <w:r>
              <w:rPr/>
              <w:t>Manage and administer the business and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(9)</w:t>
            </w:r>
          </w:p>
        </w:tc>
        <w:tc>
          <w:tcPr>
            <w:tcW w:w="9942" w:type="dxa"/>
            <w:tcBorders/>
            <w:vAlign w:val="center"/>
          </w:tcPr>
          <w:p>
            <w:pPr>
              <w:pStyle w:val="TableContents"/>
              <w:bidi w:val="0"/>
              <w:spacing w:before="0" w:after="283"/>
              <w:jc w:val="left"/>
              <w:rPr/>
            </w:pPr>
            <w:r>
              <w:rPr/>
              <w:t>Adopt initial Bylaws, not inconsistent with law or the Articles of Association, for managing the business and regulating the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20"/>
              </w:rPr>
            </w:pPr>
            <w:r>
              <w:rPr>
                <w:sz w:val="20"/>
              </w:rPr>
              <w:t>(10)</w:t>
            </w:r>
          </w:p>
        </w:tc>
        <w:tc>
          <w:tcPr>
            <w:tcW w:w="9833" w:type="dxa"/>
            <w:tcBorders/>
            <w:vAlign w:val="center"/>
          </w:tcPr>
          <w:p>
            <w:pPr>
              <w:pStyle w:val="TableContents"/>
              <w:bidi w:val="0"/>
              <w:spacing w:before="0" w:after="283"/>
              <w:jc w:val="left"/>
              <w:rPr/>
            </w:pPr>
            <w:r>
              <w:rPr/>
              <w:t>Amend or repeal Bylaws, except to the extent that the Articles of Association reserve this power in whole or in part to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35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(11)</w:t>
            </w:r>
          </w:p>
        </w:tc>
        <w:tc>
          <w:tcPr>
            <w:tcW w:w="1535" w:type="dxa"/>
            <w:tcBorders/>
            <w:vAlign w:val="center"/>
          </w:tcPr>
          <w:p>
            <w:pPr>
              <w:pStyle w:val="TableContents"/>
              <w:bidi w:val="0"/>
              <w:spacing w:before="0" w:after="283"/>
              <w:jc w:val="left"/>
              <w:rPr/>
            </w:pPr>
            <w:r>
              <w:rPr/>
              <w:t>Make contracts.</w:t>
            </w:r>
          </w:p>
        </w:tc>
      </w:tr>
    </w:tbl>
    <w:p>
      <w:pPr>
        <w:pStyle w:val="TextBody"/>
        <w:bidi w:val="0"/>
        <w:spacing w:before="0" w:after="0"/>
        <w:ind w:left="0" w:right="0" w:hanging="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35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20"/>
              </w:rPr>
            </w:pPr>
            <w:r>
              <w:rPr>
                <w:sz w:val="20"/>
              </w:rPr>
              <w:t>(12)</w:t>
            </w:r>
          </w:p>
        </w:tc>
        <w:tc>
          <w:tcPr>
            <w:tcW w:w="7070" w:type="dxa"/>
            <w:tcBorders/>
            <w:vAlign w:val="center"/>
          </w:tcPr>
          <w:p>
            <w:pPr>
              <w:pStyle w:val="TableContents"/>
              <w:bidi w:val="0"/>
              <w:spacing w:before="0" w:after="283"/>
              <w:jc w:val="left"/>
              <w:rPr/>
            </w:pPr>
            <w:r>
              <w:rPr/>
              <w:t>Generally perform all acts that are legal for a board of directors to perform.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53"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we have hereunto set our hands this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position w:val="7"/>
          <w:sz w:val="16"/>
          <w:sz w:val="20"/>
          <w:u w:val="single"/>
        </w:rPr>
        <w:t>th</w:t>
      </w:r>
      <w:r>
        <w:rPr>
          <w:rFonts w:ascii="Times New Roman;Times;Serif" w:hAnsi="Times New Roman;Times;Serif"/>
          <w:b w:val="false"/>
          <w:i w:val="false"/>
          <w:caps w:val="false"/>
          <w:smallCaps w:val="false"/>
          <w:sz w:val="20"/>
        </w:rPr>
        <w:t xml:space="preserve"> of June, 1997.</w:t>
      </w:r>
    </w:p>
    <w:p>
      <w:pPr>
        <w:pStyle w:val="TextBody"/>
        <w:bidi w:val="0"/>
        <w:spacing w:before="0" w:after="0"/>
        <w:ind w:left="0" w:right="0" w:hanging="0"/>
        <w:jc w:val="left"/>
        <w:rPr>
          <w:caps w:val="false"/>
          <w:smallCaps w:val="false"/>
        </w:rPr>
      </w:pPr>
      <w:r>
        <w:rPr>
          <w:caps w:val="false"/>
          <w:smallCaps w:val="false"/>
        </w:rPr>
        <w:t> </w:t>
      </w:r>
    </w:p>
    <w:tbl>
      <w:tblPr>
        <w:tblW w:w="1925" w:type="dxa"/>
        <w:jc w:val="left"/>
        <w:tblInd w:w="0" w:type="dxa"/>
        <w:tblLayout w:type="fixed"/>
        <w:tblCellMar>
          <w:top w:w="0" w:type="dxa"/>
          <w:left w:w="0" w:type="dxa"/>
          <w:bottom w:w="28" w:type="dxa"/>
          <w:right w:w="0" w:type="dxa"/>
        </w:tblCellMar>
      </w:tblPr>
      <w:tblGrid>
        <w:gridCol w:w="1850"/>
        <w:gridCol w:w="75"/>
      </w:tblGrid>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T. Grubb</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T. Grubb</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D. Sznewajs</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D. Sznewajs</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Dwight V. Board</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Dwight V. Board</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P.K. Chatterjee</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 Chatterjee</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Lane</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Lane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514975" cy="7134225"/>
            <wp:effectExtent l="0" t="0" r="0" b="0"/>
            <wp:docPr id="16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 descr=""/>
                    <pic:cNvPicPr>
                      <a:picLocks noChangeAspect="1" noChangeArrowheads="1"/>
                    </pic:cNvPicPr>
                  </pic:nvPicPr>
                  <pic:blipFill>
                    <a:blip r:embed="rId24"/>
                    <a:stretch>
                      <a:fillRect/>
                    </a:stretch>
                  </pic:blipFill>
                  <pic:spPr bwMode="auto">
                    <a:xfrm>
                      <a:off x="0" y="0"/>
                      <a:ext cx="5514975" cy="7134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14, 2026</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320"/>
        <w:gridCol w:w="17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Monique L. Green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Monique L. Green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Condition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3/31/2026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p>
      <w:pPr>
        <w:pStyle w:val="TextBody"/>
        <w:bidi w:val="0"/>
        <w:spacing w:before="0" w:after="0"/>
        <w:ind w:left="0" w:right="0" w:firstLine="5940"/>
        <w:jc w:val="left"/>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4325"/>
        <w:gridCol w:w="60"/>
        <w:gridCol w:w="125"/>
        <w:gridCol w:w="875"/>
        <w:gridCol w:w="75"/>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3/31/2026</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2,159,991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&amp; Lease Financing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573,596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2,898,815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 Funds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Demand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221,704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and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1,171,635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Undivided Profits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1,505,276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Minority Interest in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2,677,111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2,898,815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940"/>
        <w:jc w:val="left"/>
        <w:rPr>
          <w:caps w:val="false"/>
          <w:smallCaps w:val="false"/>
        </w:rPr>
      </w:pPr>
      <w:r>
        <w:rPr>
          <w:caps w:val="false"/>
          <w:smallCaps w:val="false"/>
        </w:rPr>
        <w:t> </w:t>
      </w:r>
    </w:p>
    <w:p>
      <w:pPr>
        <w:pStyle w:val="TextBody"/>
        <w:bidi w:val="0"/>
        <w:spacing w:before="0" w:after="0"/>
        <w:ind w:left="0" w:right="0" w:firstLine="59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tm267274d2_ex-filingfees.htm"/>
      <w:bookmarkStart w:id="33" w:name="kstm267274d2_exfilingfees"/>
      <w:bookmarkStart w:id="34" w:name="tm267274d2_ex-filingfees.htm"/>
      <w:bookmarkStart w:id="35" w:name="kstm267274d2_exfilingfees"/>
      <w:bookmarkEnd w:id="34"/>
      <w:bookmarkEnd w:id="35"/>
      <w:r>
        <w:br w:type="page"/>
      </w:r>
    </w:p>
    <w:tbl>
      <w:tblPr>
        <w:tblW w:w="3920" w:type="dxa"/>
        <w:jc w:val="left"/>
        <w:tblInd w:w="0" w:type="dxa"/>
        <w:tblLayout w:type="fixed"/>
        <w:tblCellMar>
          <w:top w:w="28" w:type="dxa"/>
          <w:left w:w="28" w:type="dxa"/>
          <w:bottom w:w="28" w:type="dxa"/>
          <w:right w:w="28" w:type="dxa"/>
        </w:tblCellMar>
      </w:tblPr>
      <w:tblGrid>
        <w:gridCol w:w="3766"/>
        <w:gridCol w:w="154"/>
      </w:tblGrid>
      <w:tr>
        <w:trPr/>
        <w:tc>
          <w:tcPr>
            <w:tcW w:w="392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76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jc w:val="left"/>
              <w:rPr>
                <w:b/>
              </w:rPr>
            </w:pPr>
            <w:r>
              <w:rPr>
                <w:b/>
              </w:rPr>
              <w:t xml:space="preserve">Booz Allen Hamilton Holding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59" w:type="dxa"/>
        <w:jc w:val="left"/>
        <w:tblInd w:w="0" w:type="dxa"/>
        <w:tblLayout w:type="fixed"/>
        <w:tblCellMar>
          <w:top w:w="28" w:type="dxa"/>
          <w:left w:w="28" w:type="dxa"/>
          <w:bottom w:w="28" w:type="dxa"/>
          <w:right w:w="28" w:type="dxa"/>
        </w:tblCellMar>
      </w:tblPr>
      <w:tblGrid>
        <w:gridCol w:w="1126"/>
        <w:gridCol w:w="346"/>
        <w:gridCol w:w="946"/>
        <w:gridCol w:w="1306"/>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0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5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06" w:type="dxa"/>
            <w:tcBorders/>
            <w:shd w:fill="E7E7E2" w:val="clear"/>
            <w:vAlign w:val="center"/>
          </w:tcPr>
          <w:p>
            <w:pPr>
              <w:pStyle w:val="TableContents"/>
              <w:bidi w:val="0"/>
              <w:spacing w:before="0" w:after="283"/>
              <w:jc w:val="left"/>
              <w:rPr/>
            </w:pPr>
            <w:r>
              <w:rPr/>
              <w:t xml:space="preserve">Common Stock of Booz Allen Hamilton Holding Corporation,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06" w:type="dxa"/>
            <w:tcBorders/>
            <w:shd w:fill="E7E7E2" w:val="clear"/>
            <w:vAlign w:val="center"/>
          </w:tcPr>
          <w:p>
            <w:pPr>
              <w:pStyle w:val="TableContents"/>
              <w:bidi w:val="0"/>
              <w:spacing w:before="0" w:after="283"/>
              <w:jc w:val="left"/>
              <w:rPr/>
            </w:pPr>
            <w:r>
              <w:rPr/>
              <w:t xml:space="preserve">Preferred Stock of Booz Allen Hamilton Holding Corporation,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306" w:type="dxa"/>
            <w:tcBorders/>
            <w:shd w:fill="E7E7E2" w:val="clear"/>
            <w:vAlign w:val="center"/>
          </w:tcPr>
          <w:p>
            <w:pPr>
              <w:pStyle w:val="TableContents"/>
              <w:bidi w:val="0"/>
              <w:spacing w:before="0" w:after="283"/>
              <w:jc w:val="left"/>
              <w:rPr/>
            </w:pPr>
            <w:r>
              <w:rPr/>
              <w:t xml:space="preserve">Debt Securities of Booz Allen Hamilton Holding Corporation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Depositary Shares of Booz Allen Hamilton Holding Corporation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Warrants of Booz Allen Hamilton Holding Corporation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Purchase Contracts of Booz Allen Hamilton Holding Corporation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Units of Booz Allen Hamilton Holding Corporation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Guarantees of Booz Allen Hamilton Holding Corporation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9 </w:t>
            </w:r>
          </w:p>
        </w:tc>
        <w:tc>
          <w:tcPr>
            <w:tcW w:w="946" w:type="dxa"/>
            <w:tcBorders/>
            <w:shd w:fill="E7E7E2" w:val="clear"/>
            <w:vAlign w:val="center"/>
          </w:tcPr>
          <w:p>
            <w:pPr>
              <w:pStyle w:val="TableContents"/>
              <w:bidi w:val="0"/>
              <w:spacing w:before="0" w:after="283"/>
              <w:jc w:val="left"/>
              <w:rPr/>
            </w:pPr>
            <w:r>
              <w:rPr/>
              <w:t xml:space="preserve">Debt </w:t>
            </w:r>
          </w:p>
        </w:tc>
        <w:tc>
          <w:tcPr>
            <w:tcW w:w="1306" w:type="dxa"/>
            <w:tcBorders/>
            <w:shd w:fill="E7E7E2" w:val="clear"/>
            <w:vAlign w:val="center"/>
          </w:tcPr>
          <w:p>
            <w:pPr>
              <w:pStyle w:val="TableContents"/>
              <w:bidi w:val="0"/>
              <w:spacing w:before="0" w:after="283"/>
              <w:jc w:val="left"/>
              <w:rPr/>
            </w:pPr>
            <w:r>
              <w:rPr/>
              <w:t xml:space="preserve">Debt Securities of Booz Allen Hamilton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10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Depositary Shares of Booz Allen Hamilton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11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Warrants of Booz Allen Hamilton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12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Purchase Contracts of Booz Allen Hamilton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13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Units of Booz Allen Hamilton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14 </w:t>
            </w:r>
          </w:p>
        </w:tc>
        <w:tc>
          <w:tcPr>
            <w:tcW w:w="946" w:type="dxa"/>
            <w:tcBorders/>
            <w:shd w:fill="E7E7E2" w:val="clear"/>
            <w:vAlign w:val="center"/>
          </w:tcPr>
          <w:p>
            <w:pPr>
              <w:pStyle w:val="TableContents"/>
              <w:bidi w:val="0"/>
              <w:spacing w:before="0" w:after="283"/>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Guarantees of Booz Allen Hamilton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3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5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3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6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6" w:name="MaxAggtOfferingPrice"/>
            <w:bookmarkEnd w:id="36"/>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6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6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6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NetFee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6"/>
        <w:gridCol w:w="1288"/>
        <w:gridCol w:w="8641"/>
      </w:tblGrid>
      <w:tr>
        <w:trPr/>
        <w:tc>
          <w:tcPr>
            <w:tcW w:w="27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29" w:type="dxa"/>
            <w:gridSpan w:val="2"/>
            <w:tcBorders/>
            <w:vAlign w:val="center"/>
          </w:tcPr>
          <w:p>
            <w:pPr>
              <w:pStyle w:val="TableContents"/>
              <w:bidi w:val="0"/>
              <w:spacing w:before="0" w:after="283"/>
              <w:jc w:val="left"/>
              <w:rPr/>
            </w:pPr>
            <w:r>
              <w:rPr/>
              <w:t xml:space="preserve">(a) An unspecified aggregate initial offering price and number or amount of the securities of each identified class is being registered as may from time to time be sold at unspecified prices. Separate consideration may or may not be received for securities that are issuable on exercise, conversion or exchange of other securities or that are issued in units or represented by depositary shares. Any securities registered hereunder may be sold separately or as units with other securities registered hereunder. The registrants are relying on Rule 456(b) and Rule 457(r) under the Securities Act of 1933, as amended (the "Securities Act"), to defer payment of all of the registration fee. (b) In accordance with Rules 456(b) and 457(r) of the Securities Act, the registrants are deferring payment of all of the registration fee required in connection with this registration statement and will pay such fees on a "pay-as-you-go" basis.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29" w:type="dxa"/>
            <w:gridSpan w:val="2"/>
            <w:tcBorders/>
            <w:vAlign w:val="center"/>
          </w:tcPr>
          <w:p>
            <w:pPr>
              <w:pStyle w:val="TableContents"/>
              <w:bidi w:val="0"/>
              <w:spacing w:before="0" w:after="283"/>
              <w:jc w:val="left"/>
              <w:rPr/>
            </w:pPr>
            <w:r>
              <w:rPr/>
              <w:t xml:space="preserve">See Fee Note 1.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29" w:type="dxa"/>
            <w:gridSpan w:val="2"/>
            <w:tcBorders/>
            <w:vAlign w:val="center"/>
          </w:tcPr>
          <w:p>
            <w:pPr>
              <w:pStyle w:val="TableContents"/>
              <w:bidi w:val="0"/>
              <w:spacing w:before="0" w:after="283"/>
              <w:jc w:val="left"/>
              <w:rPr/>
            </w:pPr>
            <w:r>
              <w:rPr/>
              <w:t xml:space="preserve">See Fee Note 1.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29" w:type="dxa"/>
            <w:gridSpan w:val="2"/>
            <w:tcBorders/>
            <w:vAlign w:val="center"/>
          </w:tcPr>
          <w:p>
            <w:pPr>
              <w:pStyle w:val="TableContents"/>
              <w:bidi w:val="0"/>
              <w:spacing w:before="0" w:after="283"/>
              <w:jc w:val="left"/>
              <w:rPr/>
            </w:pPr>
            <w:r>
              <w:rPr/>
              <w:t xml:space="preserve">(a) The depositary shares issued hereunder will be evidenced by depositary receipts issued pursuant to a deposit agreement. Booz Allen Hamilton Holding Corporation may elect to offer depositary shares representing receipts for fractional interests in debt securities, common stock or preferred stock. Booz Allen Hamilton Inc. may elect to offer depositary shares representing receipts for fractional interests in debt securities. (b) See Fee Note 1.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29" w:type="dxa"/>
            <w:gridSpan w:val="2"/>
            <w:tcBorders/>
            <w:vAlign w:val="center"/>
          </w:tcPr>
          <w:p>
            <w:pPr>
              <w:pStyle w:val="TableContents"/>
              <w:bidi w:val="0"/>
              <w:spacing w:before="0" w:after="283"/>
              <w:jc w:val="left"/>
              <w:rPr/>
            </w:pPr>
            <w:r>
              <w:rPr/>
              <w:t xml:space="preserve">(a) Booz Allen Hamilton Holding Corporation may issue warrants to purchase debt securities, preferred stock, common stock or other securities described in this prospectus, property or assets (including rights to receive payment in cash or securities based on the value, rate or price of one or more specified commodities, currencies, securities or indices) as well as other types of warrants. Booz Allen Hamilton Inc. may issue warrants to purchase debt securities. (b) See Fee Note 1.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9929" w:type="dxa"/>
            <w:gridSpan w:val="2"/>
            <w:tcBorders/>
            <w:vAlign w:val="center"/>
          </w:tcPr>
          <w:p>
            <w:pPr>
              <w:pStyle w:val="TableContents"/>
              <w:bidi w:val="0"/>
              <w:spacing w:before="0" w:after="283"/>
              <w:jc w:val="left"/>
              <w:rPr/>
            </w:pPr>
            <w:r>
              <w:rPr/>
              <w:t xml:space="preserve">(a) Booz Allen Hamilton Holding Corporation may issue purchase contracts for the purchase or sale of a number of its debt securities, shares of its common stock or preferred stock, or other securities described in this prospectus or the applicable prospectus supplement at a future date or dates. Booz Allen Hamilton Inc. may issue purchase contracts for the purchase or sale of its debt securities or other securities described in this prospectus or the applicable prospectus supplement at a future date or dates. (b) See Fee Note 1.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9929" w:type="dxa"/>
            <w:gridSpan w:val="2"/>
            <w:tcBorders/>
            <w:vAlign w:val="center"/>
          </w:tcPr>
          <w:p>
            <w:pPr>
              <w:pStyle w:val="TableContents"/>
              <w:bidi w:val="0"/>
              <w:spacing w:before="0" w:after="283"/>
              <w:jc w:val="left"/>
              <w:rPr/>
            </w:pPr>
            <w:r>
              <w:rPr/>
              <w:t xml:space="preserve">(a) Units may be issued under a unit agreement and will represent an interest in one or more securities including its debt securities, shares of its common stock or preferred stock and its purchase contracts, which may include debt obligations of third parties, such as U.S. Treasury securities. (b) See Fee Note 1.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9929" w:type="dxa"/>
            <w:gridSpan w:val="2"/>
            <w:tcBorders/>
            <w:vAlign w:val="center"/>
          </w:tcPr>
          <w:p>
            <w:pPr>
              <w:pStyle w:val="TableContents"/>
              <w:bidi w:val="0"/>
              <w:spacing w:before="0" w:after="283"/>
              <w:jc w:val="left"/>
              <w:rPr/>
            </w:pPr>
            <w:r>
              <w:rPr/>
              <w:t xml:space="preserve">(a) Booz Allen Hamilton Inc. may guarantee, fully and unconditionally or otherwise, Booz Allen Hamilton Holding Corporation's obligations with respect to any non-convertible securities, other than common stock. Booz Allen Hamilton Holding Corporation will fully and unconditionally guarantee Booz Allen Hamilton Inc.'s payment obligations with respect to the debt securities issued by Booz Allen Hamilton Inc. Pursuant to Rule 457(n) under the Securities Act, no registration fee is required with respect to such guarantees. (b) See Fee Note 1.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9</w:t>
            </w:r>
            <w:r>
              <w:rPr/>
              <w:t xml:space="preserve"> </w:t>
            </w:r>
          </w:p>
        </w:tc>
        <w:tc>
          <w:tcPr>
            <w:tcW w:w="9929" w:type="dxa"/>
            <w:gridSpan w:val="2"/>
            <w:tcBorders/>
            <w:vAlign w:val="center"/>
          </w:tcPr>
          <w:p>
            <w:pPr>
              <w:pStyle w:val="TableContents"/>
              <w:bidi w:val="0"/>
              <w:spacing w:before="0" w:after="283"/>
              <w:jc w:val="left"/>
              <w:rPr/>
            </w:pPr>
            <w:r>
              <w:rPr/>
              <w:t xml:space="preserve">See Fee Note 1.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10</w:t>
            </w:r>
            <w:r>
              <w:rPr/>
              <w:t xml:space="preserve"> </w:t>
            </w:r>
          </w:p>
        </w:tc>
        <w:tc>
          <w:tcPr>
            <w:tcW w:w="9929" w:type="dxa"/>
            <w:gridSpan w:val="2"/>
            <w:tcBorders/>
            <w:vAlign w:val="center"/>
          </w:tcPr>
          <w:p>
            <w:pPr>
              <w:pStyle w:val="TableContents"/>
              <w:bidi w:val="0"/>
              <w:spacing w:before="0" w:after="283"/>
              <w:jc w:val="left"/>
              <w:rPr/>
            </w:pPr>
            <w:r>
              <w:rPr/>
              <w:t xml:space="preserve">See Fee Note 4.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11</w:t>
            </w:r>
            <w:r>
              <w:rPr/>
              <w:t xml:space="preserve"> </w:t>
            </w:r>
          </w:p>
        </w:tc>
        <w:tc>
          <w:tcPr>
            <w:tcW w:w="9929" w:type="dxa"/>
            <w:gridSpan w:val="2"/>
            <w:tcBorders/>
            <w:vAlign w:val="center"/>
          </w:tcPr>
          <w:p>
            <w:pPr>
              <w:pStyle w:val="TableContents"/>
              <w:bidi w:val="0"/>
              <w:spacing w:before="0" w:after="283"/>
              <w:jc w:val="left"/>
              <w:rPr/>
            </w:pPr>
            <w:r>
              <w:rPr/>
              <w:t xml:space="preserve">See Fee Note 5.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12</w:t>
            </w:r>
            <w:r>
              <w:rPr/>
              <w:t xml:space="preserve"> </w:t>
            </w:r>
          </w:p>
        </w:tc>
        <w:tc>
          <w:tcPr>
            <w:tcW w:w="9929" w:type="dxa"/>
            <w:gridSpan w:val="2"/>
            <w:tcBorders/>
            <w:vAlign w:val="center"/>
          </w:tcPr>
          <w:p>
            <w:pPr>
              <w:pStyle w:val="TableContents"/>
              <w:bidi w:val="0"/>
              <w:spacing w:before="0" w:after="283"/>
              <w:jc w:val="left"/>
              <w:rPr/>
            </w:pPr>
            <w:r>
              <w:rPr/>
              <w:t xml:space="preserve">See Fee Note 6.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13</w:t>
            </w:r>
            <w:r>
              <w:rPr/>
              <w:t xml:space="preserve"> </w:t>
            </w:r>
          </w:p>
        </w:tc>
        <w:tc>
          <w:tcPr>
            <w:tcW w:w="9929" w:type="dxa"/>
            <w:gridSpan w:val="2"/>
            <w:tcBorders/>
            <w:vAlign w:val="center"/>
          </w:tcPr>
          <w:p>
            <w:pPr>
              <w:pStyle w:val="TableContents"/>
              <w:bidi w:val="0"/>
              <w:spacing w:before="0" w:after="283"/>
              <w:jc w:val="left"/>
              <w:rPr/>
            </w:pPr>
            <w:r>
              <w:rPr/>
              <w:t xml:space="preserve">See Fee Note 7.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lineRule="auto" w:line="288" w:before="0" w:after="0"/>
              <w:ind w:left="0" w:right="0" w:hanging="0"/>
              <w:jc w:val="left"/>
              <w:rPr/>
            </w:pPr>
            <w:r>
              <w:rPr>
                <w:sz w:val="15"/>
              </w:rPr>
              <w:t>14</w:t>
            </w:r>
            <w:r>
              <w:rPr/>
              <w:t xml:space="preserve"> </w:t>
            </w:r>
          </w:p>
        </w:tc>
        <w:tc>
          <w:tcPr>
            <w:tcW w:w="9929" w:type="dxa"/>
            <w:gridSpan w:val="2"/>
            <w:tcBorders/>
            <w:vAlign w:val="center"/>
          </w:tcPr>
          <w:p>
            <w:pPr>
              <w:pStyle w:val="TableContents"/>
              <w:bidi w:val="0"/>
              <w:spacing w:before="0" w:after="283"/>
              <w:jc w:val="left"/>
              <w:rPr/>
            </w:pPr>
            <w:r>
              <w:rPr/>
              <w:t xml:space="preserve">See Fee Note 8. </w:t>
            </w:r>
          </w:p>
        </w:tc>
      </w:tr>
      <w:tr>
        <w:trPr/>
        <w:tc>
          <w:tcPr>
            <w:tcW w:w="1564" w:type="dxa"/>
            <w:gridSpan w:val="2"/>
            <w:tcBorders/>
            <w:vAlign w:val="center"/>
          </w:tcPr>
          <w:p>
            <w:pPr>
              <w:pStyle w:val="HorizontalLine"/>
              <w:pBdr>
                <w:bottom w:val="double" w:sz="2" w:space="0" w:color="808080"/>
              </w:pBdr>
              <w:bidi w:val="0"/>
              <w:spacing w:before="0" w:after="283"/>
              <w:jc w:val="left"/>
              <w:rPr/>
            </w:pPr>
            <w:r>
              <w:rPr/>
            </w:r>
          </w:p>
        </w:tc>
        <w:tc>
          <w:tcPr>
            <w:tcW w:w="864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43646/000162828026037521/bah-20260331.htm" TargetMode="External"/><Relationship Id="rId4" Type="http://schemas.openxmlformats.org/officeDocument/2006/relationships/hyperlink" Target="https://www.sec.gov/ix?doc=/Archives/edgar/data/1443646/000162828026037521/bah-20260331.htm" TargetMode="External"/><Relationship Id="rId5" Type="http://schemas.openxmlformats.org/officeDocument/2006/relationships/hyperlink" Target="https://www.sec.gov/ix?doc=/Archives/edgar/data/1443646/000144364626000021/bah-20260611.htm" TargetMode="External"/><Relationship Id="rId6" Type="http://schemas.openxmlformats.org/officeDocument/2006/relationships/hyperlink" Target="https://www.sec.gov/ix?doc=/Archives/edgar/data/0001443646/000162828026049495/bah-20260630.htm" TargetMode="External"/><Relationship Id="rId7" Type="http://schemas.openxmlformats.org/officeDocument/2006/relationships/hyperlink" Target="https://www.sec.gov/ix?doc=/Archives/edgar/data/1443646/000144364626000007/bah-20260421.htm" TargetMode="External"/><Relationship Id="rId8" Type="http://schemas.openxmlformats.org/officeDocument/2006/relationships/hyperlink" Target="https://www.sec.gov/ix?doc=/Archives/edgar/data/1443646/000144364626000014/bah-20260507.htm" TargetMode="External"/><Relationship Id="rId9" Type="http://schemas.openxmlformats.org/officeDocument/2006/relationships/hyperlink" Target="https://www.sec.gov/ix?doc=/Archives/edgar/data/1443646/000110465926076094/tm2618424d1_8k.htm" TargetMode="External"/><Relationship Id="rId10" Type="http://schemas.openxmlformats.org/officeDocument/2006/relationships/hyperlink" Target="https://www.sec.gov/ix?doc=/Archives/edgar/data/0001443646/000144364626000029/bah-20260722.htm" TargetMode="External"/><Relationship Id="rId11" Type="http://schemas.openxmlformats.org/officeDocument/2006/relationships/hyperlink" Target="https://www.sec.gov/Archives/edgar/data/1443646/000095012310106072/w80451e8va12b.htm" TargetMode="External"/><Relationship Id="rId12" Type="http://schemas.openxmlformats.org/officeDocument/2006/relationships/hyperlink" Target="https://www.sec.gov/Archives/edgar/data/13222/000110465923085577/tm2322307d2_ex3-1.htm" TargetMode="External"/><Relationship Id="rId13" Type="http://schemas.openxmlformats.org/officeDocument/2006/relationships/hyperlink" Target="https://www.sec.gov/Archives/edgar/data/13222/000110465923085577/tm2322307d2_ex3-2.htm" TargetMode="External"/><Relationship Id="rId14" Type="http://schemas.openxmlformats.org/officeDocument/2006/relationships/hyperlink" Target="https://www.sec.gov/Archives/edgar/data/1443646/000110465923085311/tm2322176d1_ex3-1.htm" TargetMode="External"/><Relationship Id="rId15" Type="http://schemas.openxmlformats.org/officeDocument/2006/relationships/hyperlink" Target="https://www.sec.gov/Archives/edgar/data/1443646/000110465923085311/tm2322176d1_ex3-2.htm" TargetMode="External"/><Relationship Id="rId16" Type="http://schemas.openxmlformats.org/officeDocument/2006/relationships/hyperlink" Target="https://www.sec.gov/Archives/edgar/data/1443646/000095012310090358/w77668a3exv4w5.htm" TargetMode="External"/><Relationship Id="rId17" Type="http://schemas.openxmlformats.org/officeDocument/2006/relationships/hyperlink" Target="https://www.sec.gov/Archives/edgar/data/1443646/000110465923087821/tm2322889d1_ex4-1.htm" TargetMode="External"/><Relationship Id="rId18" Type="http://schemas.openxmlformats.org/officeDocument/2006/relationships/hyperlink" Target="https://www.sec.gov/Archives/edgar/data/1443646/000110465923085577/tm2322307d2_ex4-3.htm" TargetMode="External"/><Relationship Id="rId19" Type="http://schemas.openxmlformats.org/officeDocument/2006/relationships/hyperlink" Target="https://www.sec.gov/Archives/edgar/data/1443646/000110465923085577/tm2322307d2_ex4-3.htm" TargetMode="External"/><Relationship Id="rId20" Type="http://schemas.openxmlformats.org/officeDocument/2006/relationships/hyperlink" Target="https://www.sec.gov/Archives/edgar/data/1443646/000110465923087821/tm2322889d1_ex4-1.htm" TargetMode="External"/><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5.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42266</Words>
  <Characters>222294</Characters>
  <CharactersWithSpaces>265992</CharactersWithSpaces>
  <Paragraphs>3238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