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328295</wp:posOffset>
            </wp:positionH>
            <wp:positionV relativeFrom="page">
              <wp:posOffset>600710</wp:posOffset>
            </wp:positionV>
            <wp:extent cx="68986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8640" cy="698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621030</wp:posOffset>
            </wp:positionV>
            <wp:extent cx="68986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8640" cy="698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ind w:left="4380"/>
        <w:spacing w:after="0"/>
        <w:rPr>
          <w:sz w:val="20"/>
          <w:szCs w:val="20"/>
          <w:color w:val="auto"/>
        </w:rPr>
      </w:pPr>
      <w:r>
        <w:rPr>
          <w:rFonts w:ascii="Arial" w:cs="Arial" w:eastAsia="Arial" w:hAnsi="Arial"/>
          <w:sz w:val="14"/>
          <w:szCs w:val="14"/>
          <w:color w:val="auto"/>
        </w:rPr>
        <w:t>___________________________________</w:t>
      </w:r>
    </w:p>
    <w:p>
      <w:pPr>
        <w:spacing w:after="0" w:line="6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10-K</w:t>
      </w:r>
    </w:p>
    <w:p>
      <w:pPr>
        <w:spacing w:after="0" w:line="23" w:lineRule="exact"/>
        <w:rPr>
          <w:sz w:val="24"/>
          <w:szCs w:val="24"/>
          <w:color w:val="auto"/>
        </w:rPr>
      </w:pPr>
    </w:p>
    <w:p>
      <w:pPr>
        <w:ind w:left="4420"/>
        <w:spacing w:after="0"/>
        <w:rPr>
          <w:sz w:val="20"/>
          <w:szCs w:val="20"/>
          <w:color w:val="auto"/>
        </w:rPr>
      </w:pPr>
      <w:r>
        <w:rPr>
          <w:rFonts w:ascii="Arial" w:cs="Arial" w:eastAsia="Arial" w:hAnsi="Arial"/>
          <w:sz w:val="14"/>
          <w:szCs w:val="14"/>
          <w:color w:val="auto"/>
        </w:rPr>
        <w:t>___________________________________</w:t>
      </w:r>
    </w:p>
    <w:p>
      <w:pPr>
        <w:spacing w:after="0" w:line="2" w:lineRule="exact"/>
        <w:rPr>
          <w:sz w:val="24"/>
          <w:szCs w:val="24"/>
          <w:color w:val="auto"/>
        </w:rPr>
      </w:pPr>
    </w:p>
    <w:p>
      <w:pPr>
        <w:spacing w:after="0"/>
        <w:rPr>
          <w:sz w:val="20"/>
          <w:szCs w:val="20"/>
          <w:color w:val="auto"/>
        </w:rPr>
      </w:pPr>
      <w:r>
        <w:rPr>
          <w:rFonts w:ascii="Arial" w:cs="Arial" w:eastAsia="Arial" w:hAnsi="Arial"/>
          <w:sz w:val="11"/>
          <w:szCs w:val="11"/>
          <w:color w:val="auto"/>
        </w:rPr>
        <w:t>(Mark One)</w:t>
      </w:r>
    </w:p>
    <w:p>
      <w:pPr>
        <w:spacing w:after="0" w:line="8"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 the fiscal year ended March 31, 2021</w:t>
      </w:r>
    </w:p>
    <w:p>
      <w:pPr>
        <w:spacing w:after="0" w:line="98" w:lineRule="exact"/>
        <w:rPr>
          <w:sz w:val="24"/>
          <w:szCs w:val="24"/>
          <w:color w:val="auto"/>
        </w:rPr>
      </w:pPr>
    </w:p>
    <w:p>
      <w:pPr>
        <w:ind w:left="340" w:hanging="335"/>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3"/>
          </w:tcPr>
          <w:p>
            <w:pPr>
              <w:ind w:left="740"/>
              <w:spacing w:after="0"/>
              <w:rPr>
                <w:sz w:val="20"/>
                <w:szCs w:val="20"/>
                <w:color w:val="auto"/>
              </w:rPr>
            </w:pPr>
            <w:r>
              <w:rPr>
                <w:rFonts w:ascii="Arial" w:cs="Arial" w:eastAsia="Arial" w:hAnsi="Arial"/>
                <w:sz w:val="14"/>
                <w:szCs w:val="14"/>
                <w:b w:val="1"/>
                <w:bCs w:val="1"/>
                <w:color w:val="auto"/>
                <w:w w:val="94"/>
              </w:rPr>
              <w:t>For the transition period from</w:t>
            </w:r>
          </w:p>
        </w:tc>
        <w:tc>
          <w:tcPr>
            <w:tcW w:w="360" w:type="dxa"/>
            <w:vAlign w:val="bottom"/>
          </w:tcPr>
          <w:p>
            <w:pPr>
              <w:spacing w:after="0"/>
              <w:rPr>
                <w:sz w:val="14"/>
                <w:szCs w:val="14"/>
                <w:color w:val="auto"/>
              </w:rPr>
            </w:pPr>
          </w:p>
        </w:tc>
        <w:tc>
          <w:tcPr>
            <w:tcW w:w="3380" w:type="dxa"/>
            <w:vAlign w:val="bottom"/>
            <w:gridSpan w:val="3"/>
          </w:tcPr>
          <w:p>
            <w:pPr>
              <w:ind w:left="4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360" w:type="dxa"/>
            <w:vAlign w:val="bottom"/>
            <w:gridSpan w:val="7"/>
          </w:tcPr>
          <w:p>
            <w:pPr>
              <w:jc w:val="center"/>
              <w:ind w:right="2020"/>
              <w:spacing w:after="0"/>
              <w:rPr>
                <w:sz w:val="20"/>
                <w:szCs w:val="20"/>
                <w:color w:val="auto"/>
              </w:rPr>
            </w:pPr>
            <w:r>
              <w:rPr>
                <w:rFonts w:ascii="Arial" w:cs="Arial" w:eastAsia="Arial" w:hAnsi="Arial"/>
                <w:sz w:val="14"/>
                <w:szCs w:val="14"/>
                <w:b w:val="1"/>
                <w:bCs w:val="1"/>
                <w:color w:val="auto"/>
                <w:w w:val="90"/>
              </w:rPr>
              <w:t>Commission File No. 001-34972</w:t>
            </w: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00" w:type="dxa"/>
            <w:vAlign w:val="bottom"/>
            <w:gridSpan w:val="5"/>
          </w:tcPr>
          <w:p>
            <w:pPr>
              <w:jc w:val="center"/>
              <w:ind w:left="392"/>
              <w:spacing w:after="0"/>
              <w:rPr>
                <w:sz w:val="20"/>
                <w:szCs w:val="20"/>
                <w:color w:val="auto"/>
              </w:rPr>
            </w:pPr>
            <w:r>
              <w:rPr>
                <w:rFonts w:ascii="Arial" w:cs="Arial" w:eastAsia="Arial" w:hAnsi="Arial"/>
                <w:sz w:val="14"/>
                <w:szCs w:val="14"/>
                <w:color w:val="auto"/>
                <w:w w:val="91"/>
              </w:rPr>
              <w:t>___________________________________</w:t>
            </w: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9"/>
          </w:tcPr>
          <w:p>
            <w:pPr>
              <w:jc w:val="center"/>
              <w:ind w:right="780"/>
              <w:spacing w:after="0"/>
              <w:rPr>
                <w:sz w:val="20"/>
                <w:szCs w:val="20"/>
                <w:color w:val="auto"/>
              </w:rPr>
            </w:pPr>
            <w:r>
              <w:rPr>
                <w:rFonts w:ascii="Arial" w:cs="Arial" w:eastAsia="Arial" w:hAnsi="Arial"/>
                <w:sz w:val="34"/>
                <w:szCs w:val="34"/>
                <w:b w:val="1"/>
                <w:bCs w:val="1"/>
                <w:color w:val="auto"/>
                <w:w w:val="92"/>
              </w:rPr>
              <w:t>Booz Allen Hamilton Holding Corporation</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360" w:type="dxa"/>
            <w:vAlign w:val="bottom"/>
            <w:gridSpan w:val="7"/>
          </w:tcPr>
          <w:p>
            <w:pPr>
              <w:jc w:val="center"/>
              <w:ind w:right="204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00" w:type="dxa"/>
            <w:vAlign w:val="bottom"/>
            <w:gridSpan w:val="5"/>
          </w:tcPr>
          <w:p>
            <w:pPr>
              <w:jc w:val="center"/>
              <w:ind w:left="392"/>
              <w:spacing w:after="0"/>
              <w:rPr>
                <w:sz w:val="20"/>
                <w:szCs w:val="20"/>
                <w:color w:val="auto"/>
              </w:rPr>
            </w:pPr>
            <w:r>
              <w:rPr>
                <w:rFonts w:ascii="Arial" w:cs="Arial" w:eastAsia="Arial" w:hAnsi="Arial"/>
                <w:sz w:val="14"/>
                <w:szCs w:val="14"/>
                <w:color w:val="auto"/>
                <w:w w:val="91"/>
              </w:rPr>
              <w:t>___________________________________</w:t>
            </w: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480" w:type="dxa"/>
            <w:vAlign w:val="bottom"/>
            <w:gridSpan w:val="4"/>
          </w:tcPr>
          <w:p>
            <w:pPr>
              <w:jc w:val="center"/>
              <w:ind w:left="757"/>
              <w:spacing w:after="0"/>
              <w:rPr>
                <w:sz w:val="20"/>
                <w:szCs w:val="20"/>
                <w:color w:val="auto"/>
              </w:rPr>
            </w:pPr>
            <w:r>
              <w:rPr>
                <w:rFonts w:ascii="Arial" w:cs="Arial" w:eastAsia="Arial" w:hAnsi="Arial"/>
                <w:sz w:val="14"/>
                <w:szCs w:val="14"/>
                <w:b w:val="1"/>
                <w:bCs w:val="1"/>
                <w:color w:val="auto"/>
                <w:w w:val="94"/>
              </w:rPr>
              <w:t>Delaware</w:t>
            </w:r>
          </w:p>
        </w:tc>
        <w:tc>
          <w:tcPr>
            <w:tcW w:w="1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26-2634160</w:t>
            </w:r>
          </w:p>
        </w:tc>
        <w:tc>
          <w:tcPr>
            <w:tcW w:w="0" w:type="dxa"/>
            <w:vAlign w:val="bottom"/>
          </w:tcPr>
          <w:p>
            <w:pPr>
              <w:spacing w:after="0"/>
              <w:rPr>
                <w:sz w:val="1"/>
                <w:szCs w:val="1"/>
                <w:color w:val="auto"/>
              </w:rPr>
            </w:pPr>
          </w:p>
        </w:tc>
      </w:tr>
      <w:tr>
        <w:trPr>
          <w:trHeight w:val="113"/>
        </w:trPr>
        <w:tc>
          <w:tcPr>
            <w:tcW w:w="3480" w:type="dxa"/>
            <w:vAlign w:val="bottom"/>
            <w:gridSpan w:val="4"/>
          </w:tcPr>
          <w:p>
            <w:pPr>
              <w:jc w:val="center"/>
              <w:ind w:left="757"/>
              <w:spacing w:after="0" w:line="113" w:lineRule="exact"/>
              <w:rPr>
                <w:sz w:val="20"/>
                <w:szCs w:val="20"/>
                <w:color w:val="auto"/>
              </w:rPr>
            </w:pPr>
            <w:r>
              <w:rPr>
                <w:rFonts w:ascii="Arial" w:cs="Arial" w:eastAsia="Arial" w:hAnsi="Arial"/>
                <w:sz w:val="11"/>
                <w:szCs w:val="11"/>
                <w:b w:val="1"/>
                <w:bCs w:val="1"/>
                <w:color w:val="auto"/>
                <w:w w:val="94"/>
              </w:rPr>
              <w:t>(State or other jurisdiction of</w:t>
            </w:r>
          </w:p>
        </w:tc>
        <w:tc>
          <w:tcPr>
            <w:tcW w:w="16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60" w:type="dxa"/>
            <w:vAlign w:val="bottom"/>
            <w:gridSpan w:val="2"/>
          </w:tcPr>
          <w:p>
            <w:pPr>
              <w:jc w:val="center"/>
              <w:ind w:left="1500"/>
              <w:spacing w:after="0" w:line="113" w:lineRule="exact"/>
              <w:rPr>
                <w:sz w:val="20"/>
                <w:szCs w:val="20"/>
                <w:color w:val="auto"/>
              </w:rPr>
            </w:pPr>
            <w:r>
              <w:rPr>
                <w:rFonts w:ascii="Arial" w:cs="Arial" w:eastAsia="Arial" w:hAnsi="Arial"/>
                <w:sz w:val="11"/>
                <w:szCs w:val="11"/>
                <w:b w:val="1"/>
                <w:bCs w:val="1"/>
                <w:color w:val="auto"/>
                <w:w w:val="97"/>
              </w:rPr>
              <w:t>(I.R.S. Employer</w:t>
            </w:r>
          </w:p>
        </w:tc>
        <w:tc>
          <w:tcPr>
            <w:tcW w:w="0" w:type="dxa"/>
            <w:vAlign w:val="bottom"/>
          </w:tcPr>
          <w:p>
            <w:pPr>
              <w:spacing w:after="0"/>
              <w:rPr>
                <w:sz w:val="1"/>
                <w:szCs w:val="1"/>
                <w:color w:val="auto"/>
              </w:rPr>
            </w:pPr>
          </w:p>
        </w:tc>
      </w:tr>
      <w:tr>
        <w:trPr>
          <w:trHeight w:val="147"/>
        </w:trPr>
        <w:tc>
          <w:tcPr>
            <w:tcW w:w="3480" w:type="dxa"/>
            <w:vAlign w:val="bottom"/>
            <w:gridSpan w:val="4"/>
          </w:tcPr>
          <w:p>
            <w:pPr>
              <w:jc w:val="center"/>
              <w:ind w:left="777"/>
              <w:spacing w:after="0"/>
              <w:rPr>
                <w:sz w:val="20"/>
                <w:szCs w:val="20"/>
                <w:color w:val="auto"/>
              </w:rPr>
            </w:pPr>
            <w:r>
              <w:rPr>
                <w:rFonts w:ascii="Arial" w:cs="Arial" w:eastAsia="Arial" w:hAnsi="Arial"/>
                <w:sz w:val="11"/>
                <w:szCs w:val="11"/>
                <w:b w:val="1"/>
                <w:bCs w:val="1"/>
                <w:color w:val="auto"/>
                <w:w w:val="94"/>
              </w:rPr>
              <w:t>incorporation or organization)</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00"/>
              <w:spacing w:after="0"/>
              <w:rPr>
                <w:sz w:val="20"/>
                <w:szCs w:val="20"/>
                <w:color w:val="auto"/>
              </w:rPr>
            </w:pPr>
            <w:r>
              <w:rPr>
                <w:rFonts w:ascii="Arial" w:cs="Arial" w:eastAsia="Arial" w:hAnsi="Arial"/>
                <w:sz w:val="11"/>
                <w:szCs w:val="11"/>
                <w:b w:val="1"/>
                <w:bCs w:val="1"/>
                <w:color w:val="auto"/>
                <w:w w:val="96"/>
              </w:rPr>
              <w:t>Identification No.)</w:t>
            </w:r>
          </w:p>
        </w:tc>
        <w:tc>
          <w:tcPr>
            <w:tcW w:w="0" w:type="dxa"/>
            <w:vAlign w:val="bottom"/>
          </w:tcPr>
          <w:p>
            <w:pPr>
              <w:spacing w:after="0"/>
              <w:rPr>
                <w:sz w:val="1"/>
                <w:szCs w:val="1"/>
                <w:color w:val="auto"/>
              </w:rPr>
            </w:pPr>
          </w:p>
        </w:tc>
      </w:tr>
      <w:tr>
        <w:trPr>
          <w:trHeight w:val="218"/>
        </w:trPr>
        <w:tc>
          <w:tcPr>
            <w:tcW w:w="1960" w:type="dxa"/>
            <w:vAlign w:val="bottom"/>
          </w:tcPr>
          <w:p>
            <w:pPr>
              <w:ind w:left="460"/>
              <w:spacing w:after="0"/>
              <w:rPr>
                <w:sz w:val="20"/>
                <w:szCs w:val="20"/>
                <w:color w:val="auto"/>
              </w:rPr>
            </w:pPr>
            <w:r>
              <w:rPr>
                <w:rFonts w:ascii="Arial" w:cs="Arial" w:eastAsia="Arial" w:hAnsi="Arial"/>
                <w:sz w:val="14"/>
                <w:szCs w:val="14"/>
                <w:b w:val="1"/>
                <w:bCs w:val="1"/>
                <w:color w:val="auto"/>
                <w:w w:val="94"/>
              </w:rPr>
              <w:t>8283 Greensboro Drive,</w:t>
            </w:r>
          </w:p>
        </w:tc>
        <w:tc>
          <w:tcPr>
            <w:tcW w:w="28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4"/>
                <w:szCs w:val="14"/>
                <w:b w:val="1"/>
                <w:bCs w:val="1"/>
                <w:color w:val="auto"/>
              </w:rPr>
              <w:t>McLean,</w:t>
            </w:r>
          </w:p>
        </w:tc>
        <w:tc>
          <w:tcPr>
            <w:tcW w:w="2620" w:type="dxa"/>
            <w:vAlign w:val="bottom"/>
            <w:gridSpan w:val="3"/>
          </w:tcPr>
          <w:p>
            <w:pPr>
              <w:ind w:left="120"/>
              <w:spacing w:after="0"/>
              <w:rPr>
                <w:sz w:val="20"/>
                <w:szCs w:val="20"/>
                <w:color w:val="auto"/>
              </w:rPr>
            </w:pPr>
            <w:r>
              <w:rPr>
                <w:rFonts w:ascii="Arial" w:cs="Arial" w:eastAsia="Arial" w:hAnsi="Arial"/>
                <w:sz w:val="14"/>
                <w:szCs w:val="14"/>
                <w:b w:val="1"/>
                <w:bCs w:val="1"/>
                <w:color w:val="auto"/>
              </w:rPr>
              <w:t>Virginia</w:t>
            </w:r>
          </w:p>
        </w:tc>
        <w:tc>
          <w:tcPr>
            <w:tcW w:w="360" w:type="dxa"/>
            <w:vAlign w:val="bottom"/>
          </w:tcPr>
          <w:p>
            <w:pPr>
              <w:spacing w:after="0"/>
              <w:rPr>
                <w:sz w:val="18"/>
                <w:szCs w:val="18"/>
                <w:color w:val="auto"/>
              </w:rPr>
            </w:pPr>
          </w:p>
        </w:tc>
        <w:tc>
          <w:tcPr>
            <w:tcW w:w="3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22102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480" w:type="dxa"/>
            <w:vAlign w:val="bottom"/>
            <w:gridSpan w:val="4"/>
          </w:tcPr>
          <w:p>
            <w:pPr>
              <w:jc w:val="center"/>
              <w:ind w:left="757"/>
              <w:spacing w:after="0"/>
              <w:rPr>
                <w:sz w:val="20"/>
                <w:szCs w:val="20"/>
                <w:color w:val="auto"/>
              </w:rPr>
            </w:pPr>
            <w:r>
              <w:rPr>
                <w:rFonts w:ascii="Arial" w:cs="Arial" w:eastAsia="Arial" w:hAnsi="Arial"/>
                <w:sz w:val="11"/>
                <w:szCs w:val="11"/>
                <w:b w:val="1"/>
                <w:bCs w:val="1"/>
                <w:color w:val="auto"/>
                <w:w w:val="90"/>
              </w:rPr>
              <w:t>(Address of principal executive offices)</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00"/>
              <w:spacing w:after="0"/>
              <w:rPr>
                <w:sz w:val="20"/>
                <w:szCs w:val="20"/>
                <w:color w:val="auto"/>
              </w:rPr>
            </w:pPr>
            <w:r>
              <w:rPr>
                <w:rFonts w:ascii="Arial" w:cs="Arial" w:eastAsia="Arial" w:hAnsi="Arial"/>
                <w:sz w:val="11"/>
                <w:szCs w:val="11"/>
                <w:b w:val="1"/>
                <w:bCs w:val="1"/>
                <w:color w:val="auto"/>
                <w:w w:val="99"/>
              </w:rPr>
              <w:t>(Zip Code)</w:t>
            </w:r>
          </w:p>
        </w:tc>
        <w:tc>
          <w:tcPr>
            <w:tcW w:w="0" w:type="dxa"/>
            <w:vAlign w:val="bottom"/>
          </w:tcPr>
          <w:p>
            <w:pPr>
              <w:spacing w:after="0"/>
              <w:rPr>
                <w:sz w:val="1"/>
                <w:szCs w:val="1"/>
                <w:color w:val="auto"/>
              </w:rPr>
            </w:pPr>
          </w:p>
        </w:tc>
      </w:tr>
      <w:tr>
        <w:trPr>
          <w:trHeight w:val="235"/>
        </w:trPr>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(703) 902-5000</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360" w:type="dxa"/>
            <w:vAlign w:val="bottom"/>
            <w:gridSpan w:val="7"/>
          </w:tcPr>
          <w:p>
            <w:pPr>
              <w:jc w:val="center"/>
              <w:ind w:right="2040"/>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360" w:type="dxa"/>
            <w:vAlign w:val="bottom"/>
            <w:gridSpan w:val="7"/>
          </w:tcPr>
          <w:p>
            <w:pPr>
              <w:jc w:val="center"/>
              <w:ind w:right="2040"/>
              <w:spacing w:after="0"/>
              <w:rPr>
                <w:sz w:val="20"/>
                <w:szCs w:val="20"/>
                <w:color w:val="auto"/>
              </w:rPr>
            </w:pPr>
            <w:r>
              <w:rPr>
                <w:rFonts w:ascii="Arial" w:cs="Arial" w:eastAsia="Arial" w:hAnsi="Arial"/>
                <w:sz w:val="13"/>
                <w:szCs w:val="13"/>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227"/>
        </w:trPr>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1"/>
              </w:rPr>
              <w:t>Title of Each Class</w:t>
            </w:r>
          </w:p>
        </w:tc>
        <w:tc>
          <w:tcPr>
            <w:tcW w:w="166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Trading Symbol</w:t>
            </w:r>
          </w:p>
        </w:tc>
        <w:tc>
          <w:tcPr>
            <w:tcW w:w="360" w:type="dxa"/>
            <w:vAlign w:val="bottom"/>
          </w:tcPr>
          <w:p>
            <w:pPr>
              <w:spacing w:after="0"/>
              <w:rPr>
                <w:sz w:val="19"/>
                <w:szCs w:val="19"/>
                <w:color w:val="auto"/>
              </w:rPr>
            </w:pPr>
          </w:p>
        </w:tc>
        <w:tc>
          <w:tcPr>
            <w:tcW w:w="3380" w:type="dxa"/>
            <w:vAlign w:val="bottom"/>
            <w:gridSpan w:val="3"/>
          </w:tcPr>
          <w:p>
            <w:pPr>
              <w:jc w:val="center"/>
              <w:ind w:left="614"/>
              <w:spacing w:after="0"/>
              <w:rPr>
                <w:sz w:val="20"/>
                <w:szCs w:val="20"/>
                <w:color w:val="auto"/>
              </w:rPr>
            </w:pPr>
            <w:r>
              <w:rPr>
                <w:rFonts w:ascii="Arial" w:cs="Arial" w:eastAsia="Arial" w:hAnsi="Arial"/>
                <w:sz w:val="11"/>
                <w:szCs w:val="11"/>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960" w:type="dxa"/>
            <w:vAlign w:val="bottom"/>
          </w:tcPr>
          <w:p>
            <w:pPr>
              <w:spacing w:after="0"/>
              <w:rPr>
                <w:sz w:val="16"/>
                <w:szCs w:val="16"/>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color w:val="auto"/>
                <w:w w:val="90"/>
              </w:rPr>
              <w:t>Class A Common Stock</w:t>
            </w:r>
          </w:p>
        </w:tc>
        <w:tc>
          <w:tcPr>
            <w:tcW w:w="166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1"/>
                <w:szCs w:val="11"/>
                <w:color w:val="auto"/>
              </w:rPr>
              <w:t>BAH</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360" w:type="dxa"/>
            <w:vAlign w:val="bottom"/>
            <w:gridSpan w:val="7"/>
          </w:tcPr>
          <w:p>
            <w:pPr>
              <w:jc w:val="center"/>
              <w:ind w:right="2020"/>
              <w:spacing w:after="0"/>
              <w:rPr>
                <w:sz w:val="20"/>
                <w:szCs w:val="20"/>
                <w:color w:val="auto"/>
              </w:rPr>
            </w:pPr>
            <w:r>
              <w:rPr>
                <w:rFonts w:ascii="Arial" w:cs="Arial" w:eastAsia="Arial" w:hAnsi="Arial"/>
                <w:sz w:val="13"/>
                <w:szCs w:val="13"/>
                <w:b w:val="1"/>
                <w:bCs w:val="1"/>
                <w:color w:val="auto"/>
                <w:w w:val="86"/>
              </w:rPr>
              <w:t>Securities registered pursuant to Section 12(g) of the Act:</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None.</w:t>
            </w: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980" w:type="dxa"/>
            <w:vAlign w:val="bottom"/>
            <w:gridSpan w:val="4"/>
          </w:tcPr>
          <w:p>
            <w:pPr>
              <w:jc w:val="right"/>
              <w:ind w:right="176"/>
              <w:spacing w:after="0" w:line="124" w:lineRule="exact"/>
              <w:rPr>
                <w:sz w:val="20"/>
                <w:szCs w:val="20"/>
                <w:color w:val="auto"/>
              </w:rPr>
            </w:pPr>
            <w:r>
              <w:rPr>
                <w:rFonts w:ascii="Arial" w:cs="Arial" w:eastAsia="Arial" w:hAnsi="Arial"/>
                <w:sz w:val="13"/>
                <w:szCs w:val="13"/>
                <w:color w:val="auto"/>
              </w:rPr>
              <w:t>__________________</w:t>
            </w:r>
          </w:p>
        </w:tc>
        <w:tc>
          <w:tcPr>
            <w:tcW w:w="3380" w:type="dxa"/>
            <w:vAlign w:val="bottom"/>
            <w:gridSpan w:val="3"/>
            <w:vMerge w:val="restart"/>
          </w:tcPr>
          <w:p>
            <w:pPr>
              <w:jc w:val="center"/>
              <w:ind w:right="276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49"/>
        </w:trPr>
        <w:tc>
          <w:tcPr>
            <w:tcW w:w="6100" w:type="dxa"/>
            <w:vAlign w:val="bottom"/>
            <w:gridSpan w:val="7"/>
          </w:tcPr>
          <w:p>
            <w:pPr>
              <w:spacing w:after="0"/>
              <w:rPr>
                <w:sz w:val="20"/>
                <w:szCs w:val="20"/>
                <w:color w:val="auto"/>
              </w:rPr>
            </w:pPr>
            <w:r>
              <w:rPr>
                <w:rFonts w:ascii="Arial" w:cs="Arial" w:eastAsia="Arial" w:hAnsi="Arial"/>
                <w:sz w:val="13"/>
                <w:szCs w:val="13"/>
                <w:color w:val="auto"/>
                <w:w w:val="90"/>
              </w:rPr>
              <w:t>Indicate by check mark if the registrant is a well-known seasoned issuer, as defined in Rule 405 of the Securities Act.</w:t>
            </w:r>
          </w:p>
        </w:tc>
        <w:tc>
          <w:tcPr>
            <w:tcW w:w="360" w:type="dxa"/>
            <w:vAlign w:val="bottom"/>
          </w:tcPr>
          <w:p>
            <w:pPr>
              <w:spacing w:after="0" w:line="150" w:lineRule="exact"/>
              <w:rPr>
                <w:sz w:val="20"/>
                <w:szCs w:val="20"/>
                <w:color w:val="auto"/>
              </w:rPr>
            </w:pPr>
            <w:r>
              <w:rPr>
                <w:rFonts w:ascii="Arial" w:cs="Arial" w:eastAsia="Arial" w:hAnsi="Arial"/>
                <w:sz w:val="13"/>
                <w:szCs w:val="13"/>
                <w:color w:val="auto"/>
                <w:w w:val="87"/>
              </w:rPr>
              <w:t xml:space="preserve">Yes </w:t>
            </w:r>
            <w:r>
              <w:rPr>
                <w:rFonts w:ascii="MS PGothic" w:cs="MS PGothic" w:eastAsia="MS PGothic" w:hAnsi="MS PGothic"/>
                <w:sz w:val="13"/>
                <w:szCs w:val="13"/>
                <w:color w:val="auto"/>
                <w:w w:val="87"/>
              </w:rPr>
              <w:t>☒</w:t>
            </w:r>
          </w:p>
        </w:tc>
        <w:tc>
          <w:tcPr>
            <w:tcW w:w="3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100" w:type="dxa"/>
            <w:vAlign w:val="bottom"/>
            <w:gridSpan w:val="7"/>
          </w:tcPr>
          <w:p>
            <w:pPr>
              <w:spacing w:after="0"/>
              <w:rPr>
                <w:sz w:val="20"/>
                <w:szCs w:val="20"/>
                <w:color w:val="auto"/>
              </w:rPr>
            </w:pPr>
            <w:r>
              <w:rPr>
                <w:rFonts w:ascii="Arial" w:cs="Arial" w:eastAsia="Arial" w:hAnsi="Arial"/>
                <w:sz w:val="13"/>
                <w:szCs w:val="13"/>
                <w:color w:val="auto"/>
                <w:w w:val="89"/>
              </w:rPr>
              <w:t>Indicate by check mark if the registrant is not required to file reports pursuant to Section 13 or Section 15(d) of the Act.</w:t>
            </w:r>
          </w:p>
        </w:tc>
        <w:tc>
          <w:tcPr>
            <w:tcW w:w="360" w:type="dxa"/>
            <w:vAlign w:val="bottom"/>
          </w:tcPr>
          <w:p>
            <w:pPr>
              <w:ind w:left="120"/>
              <w:spacing w:after="0"/>
              <w:rPr>
                <w:sz w:val="20"/>
                <w:szCs w:val="20"/>
                <w:color w:val="auto"/>
              </w:rPr>
            </w:pPr>
            <w:r>
              <w:rPr>
                <w:rFonts w:ascii="Arial" w:cs="Arial" w:eastAsia="Arial" w:hAnsi="Arial"/>
                <w:sz w:val="13"/>
                <w:szCs w:val="13"/>
                <w:color w:val="auto"/>
                <w:w w:val="97"/>
              </w:rPr>
              <w:t>Yes</w:t>
            </w:r>
          </w:p>
        </w:tc>
        <w:tc>
          <w:tcPr>
            <w:tcW w:w="3380" w:type="dxa"/>
            <w:vAlign w:val="bottom"/>
            <w:gridSpan w:val="3"/>
          </w:tcPr>
          <w:p>
            <w:pPr>
              <w:jc w:val="center"/>
              <w:ind w:right="280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4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149"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720"/>
              <w:spacing w:after="0"/>
              <w:rPr>
                <w:sz w:val="20"/>
                <w:szCs w:val="20"/>
                <w:color w:val="auto"/>
              </w:rPr>
            </w:pPr>
            <w:r>
              <w:rPr>
                <w:rFonts w:ascii="Arial" w:cs="Arial" w:eastAsia="Arial" w:hAnsi="Arial"/>
                <w:sz w:val="13"/>
                <w:szCs w:val="13"/>
                <w:color w:val="auto"/>
              </w:rPr>
              <w:t>Accelerated filer</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2"/>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3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720"/>
              <w:spacing w:after="0"/>
              <w:rPr>
                <w:sz w:val="20"/>
                <w:szCs w:val="20"/>
                <w:color w:val="auto"/>
              </w:rPr>
            </w:pPr>
            <w:r>
              <w:rPr>
                <w:rFonts w:ascii="Arial" w:cs="Arial" w:eastAsia="Arial" w:hAnsi="Arial"/>
                <w:sz w:val="13"/>
                <w:szCs w:val="13"/>
                <w:color w:val="auto"/>
              </w:rPr>
              <w:t>Smaller reporting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0"/>
        </w:trPr>
        <w:tc>
          <w:tcPr>
            <w:tcW w:w="19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4840" w:type="dxa"/>
            <w:vAlign w:val="bottom"/>
          </w:tcPr>
          <w:p>
            <w:pPr>
              <w:ind w:left="2720"/>
              <w:spacing w:after="0"/>
              <w:rPr>
                <w:sz w:val="20"/>
                <w:szCs w:val="20"/>
                <w:color w:val="auto"/>
              </w:rPr>
            </w:pPr>
            <w:r>
              <w:rPr>
                <w:rFonts w:ascii="Arial" w:cs="Arial" w:eastAsia="Arial" w:hAnsi="Arial"/>
                <w:sz w:val="13"/>
                <w:szCs w:val="13"/>
                <w:color w:val="auto"/>
              </w:rPr>
              <w:t>Emerging growth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9" w:lineRule="exact"/>
        <w:rPr>
          <w:sz w:val="24"/>
          <w:szCs w:val="24"/>
          <w:color w:val="auto"/>
        </w:rPr>
      </w:pPr>
    </w:p>
    <w:p>
      <w:pPr>
        <w:ind w:right="14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8" w:lineRule="exact"/>
        <w:rPr>
          <w:sz w:val="24"/>
          <w:szCs w:val="24"/>
          <w:color w:val="auto"/>
        </w:rPr>
      </w:pPr>
    </w:p>
    <w:p>
      <w:pPr>
        <w:ind w:right="6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030" w:right="419" w:bottom="1440" w:gutter="0" w:footer="0" w:header="0"/>
        </w:sectPr>
      </w:pPr>
    </w:p>
    <w:bookmarkStart w:id="1" w:name="page2"/>
    <w:bookmarkEnd w:id="1"/>
    <w:p>
      <w:pPr>
        <w:spacing w:after="0" w:line="150" w:lineRule="exact"/>
        <w:tabs>
          <w:tab w:leader="none" w:pos="5920" w:val="left"/>
          <w:tab w:leader="none" w:pos="64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56" w:lineRule="exact"/>
        <w:rPr>
          <w:sz w:val="20"/>
          <w:szCs w:val="20"/>
          <w:color w:val="auto"/>
        </w:rPr>
      </w:pPr>
    </w:p>
    <w:p>
      <w:pPr>
        <w:ind w:right="120"/>
        <w:spacing w:after="0" w:line="257" w:lineRule="auto"/>
        <w:rPr>
          <w:sz w:val="20"/>
          <w:szCs w:val="20"/>
          <w:color w:val="auto"/>
        </w:rPr>
      </w:pPr>
      <w:r>
        <w:rPr>
          <w:rFonts w:ascii="Arial" w:cs="Arial" w:eastAsia="Arial" w:hAnsi="Arial"/>
          <w:sz w:val="13"/>
          <w:szCs w:val="13"/>
          <w:color w:val="auto"/>
        </w:rPr>
        <w:t>As of September 30, 2020, the last business day of the registrant's most recently completed second quarter, the aggregate market value of the registrant's voting and non-voting common stock held by non-affiliates was $11,257,045,142.</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r>
        <w:rPr>
          <w:rFonts w:ascii="Arial" w:cs="Arial" w:eastAsia="Arial" w:hAnsi="Arial"/>
          <w:sz w:val="14"/>
          <w:szCs w:val="14"/>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5680" w:type="dxa"/>
            <w:vAlign w:val="bottom"/>
            <w:gridSpan w:val="2"/>
          </w:tcPr>
          <w:p>
            <w:pPr>
              <w:jc w:val="center"/>
              <w:ind w:left="3439"/>
              <w:spacing w:after="0"/>
              <w:rPr>
                <w:sz w:val="20"/>
                <w:szCs w:val="20"/>
                <w:color w:val="auto"/>
              </w:rPr>
            </w:pPr>
            <w:r>
              <w:rPr>
                <w:rFonts w:ascii="Arial" w:cs="Arial" w:eastAsia="Arial" w:hAnsi="Arial"/>
                <w:sz w:val="11"/>
                <w:szCs w:val="11"/>
                <w:b w:val="1"/>
                <w:bCs w:val="1"/>
                <w:color w:val="auto"/>
                <w:w w:val="89"/>
              </w:rPr>
              <w:t>Shares Outstanding</w:t>
            </w:r>
          </w:p>
        </w:tc>
      </w:tr>
      <w:tr>
        <w:trPr>
          <w:trHeight w:val="148"/>
        </w:trPr>
        <w:tc>
          <w:tcPr>
            <w:tcW w:w="2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5680" w:type="dxa"/>
            <w:vAlign w:val="bottom"/>
            <w:gridSpan w:val="2"/>
          </w:tcPr>
          <w:p>
            <w:pPr>
              <w:jc w:val="center"/>
              <w:ind w:left="3439"/>
              <w:spacing w:after="0"/>
              <w:rPr>
                <w:sz w:val="20"/>
                <w:szCs w:val="20"/>
                <w:color w:val="auto"/>
              </w:rPr>
            </w:pPr>
            <w:r>
              <w:rPr>
                <w:rFonts w:ascii="Arial" w:cs="Arial" w:eastAsia="Arial" w:hAnsi="Arial"/>
                <w:sz w:val="11"/>
                <w:szCs w:val="11"/>
                <w:b w:val="1"/>
                <w:bCs w:val="1"/>
                <w:color w:val="auto"/>
                <w:w w:val="93"/>
              </w:rPr>
              <w:t>as of May 17, 2021</w:t>
            </w:r>
          </w:p>
        </w:tc>
      </w:tr>
      <w:tr>
        <w:trPr>
          <w:trHeight w:val="181"/>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5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135,407,562</w:t>
            </w:r>
          </w:p>
        </w:tc>
      </w:tr>
      <w:tr>
        <w:trPr>
          <w:trHeight w:val="117"/>
        </w:trPr>
        <w:tc>
          <w:tcPr>
            <w:tcW w:w="220" w:type="dxa"/>
            <w:vAlign w:val="bottom"/>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0"/>
        </w:trPr>
        <w:tc>
          <w:tcPr>
            <w:tcW w:w="2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Portions of the registrant’s Proxy Statement for its Annual Meeting of Stockholders scheduled for July 28, 2021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424815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98"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40" w:type="dxa"/>
            <w:vAlign w:val="bottom"/>
            <w:gridSpan w:val="8"/>
          </w:tcPr>
          <w:p>
            <w:pPr>
              <w:ind w:left="520"/>
              <w:spacing w:after="0"/>
              <w:rPr>
                <w:sz w:val="20"/>
                <w:szCs w:val="20"/>
                <w:color w:val="auto"/>
              </w:rPr>
            </w:pPr>
            <w:r>
              <w:rPr>
                <w:rFonts w:ascii="Arial" w:cs="Arial" w:eastAsia="Arial" w:hAnsi="Arial"/>
                <w:sz w:val="14"/>
                <w:szCs w:val="14"/>
                <w:b w:val="1"/>
                <w:bCs w:val="1"/>
                <w:color w:val="auto"/>
              </w:rPr>
              <w:t>TABLE OF CONTENTS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82"/>
        </w:trPr>
        <w:tc>
          <w:tcPr>
            <w:tcW w:w="20" w:type="dxa"/>
            <w:vAlign w:val="bottom"/>
          </w:tcPr>
          <w:p>
            <w:pPr>
              <w:spacing w:after="0"/>
              <w:rPr>
                <w:sz w:val="24"/>
                <w:szCs w:val="24"/>
                <w:color w:val="auto"/>
              </w:rPr>
            </w:pPr>
          </w:p>
        </w:tc>
        <w:tc>
          <w:tcPr>
            <w:tcW w:w="10780" w:type="dxa"/>
            <w:vAlign w:val="bottom"/>
            <w:gridSpan w:val="25"/>
          </w:tcPr>
          <w:p>
            <w:pPr>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INTRODUCTORY NOTE</w:t>
              </w:r>
            </w:hyperlink>
          </w:p>
        </w:tc>
        <w:tc>
          <w:tcPr>
            <w:tcW w:w="480" w:type="dxa"/>
            <w:vAlign w:val="bottom"/>
            <w:gridSpan w:val="3"/>
          </w:tcPr>
          <w:p>
            <w:pPr>
              <w:jc w:val="right"/>
              <w:ind w:right="320"/>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1</w:t>
              </w:r>
            </w:hyperlink>
          </w:p>
        </w:tc>
      </w:tr>
      <w:tr>
        <w:trPr>
          <w:trHeight w:val="203"/>
        </w:trPr>
        <w:tc>
          <w:tcPr>
            <w:tcW w:w="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rPr>
                <w:rFonts w:ascii="Arial" w:cs="Arial" w:eastAsia="Arial" w:hAnsi="Arial"/>
                <w:sz w:val="14"/>
                <w:szCs w:val="14"/>
                <w:b w:val="1"/>
                <w:bCs w:val="1"/>
                <w:color w:val="0000FF"/>
                <w:w w:val="95"/>
              </w:rPr>
            </w:pPr>
            <w:hyperlink w:anchor="page5">
              <w:r>
                <w:rPr>
                  <w:rFonts w:ascii="Arial" w:cs="Arial" w:eastAsia="Arial" w:hAnsi="Arial"/>
                  <w:sz w:val="14"/>
                  <w:szCs w:val="14"/>
                  <w:b w:val="1"/>
                  <w:bCs w:val="1"/>
                  <w:color w:val="0000FF"/>
                  <w:w w:val="95"/>
                </w:rPr>
                <w:t>PART I</w:t>
              </w:r>
            </w:hyperlink>
          </w:p>
        </w:tc>
        <w:tc>
          <w:tcPr>
            <w:tcW w:w="1060" w:type="dxa"/>
            <w:vAlign w:val="bottom"/>
            <w:tcBorders>
              <w:top w:val="single" w:sz="8" w:color="0000FF"/>
            </w:tcBorders>
            <w:gridSpan w:val="3"/>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4"/>
                <w:szCs w:val="14"/>
                <w:b w:val="1"/>
                <w:bCs w:val="1"/>
                <w:color w:val="0000FF"/>
                <w:w w:val="76"/>
              </w:rPr>
            </w:pPr>
            <w:hyperlink w:anchor="page5">
              <w:r>
                <w:rPr>
                  <w:rFonts w:ascii="Arial" w:cs="Arial" w:eastAsia="Arial" w:hAnsi="Arial"/>
                  <w:sz w:val="14"/>
                  <w:szCs w:val="14"/>
                  <w:b w:val="1"/>
                  <w:bCs w:val="1"/>
                  <w:color w:val="0000FF"/>
                  <w:w w:val="76"/>
                </w:rPr>
                <w:t>3</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w:t>
            </w:r>
          </w:p>
        </w:tc>
        <w:tc>
          <w:tcPr>
            <w:tcW w:w="9260" w:type="dxa"/>
            <w:vAlign w:val="bottom"/>
            <w:gridSpan w:val="21"/>
          </w:tcPr>
          <w:p>
            <w:pPr>
              <w:spacing w:after="0"/>
              <w:rPr>
                <w:rFonts w:ascii="Arial" w:cs="Arial" w:eastAsia="Arial" w:hAnsi="Arial"/>
                <w:sz w:val="14"/>
                <w:szCs w:val="14"/>
                <w:b w:val="1"/>
                <w:bCs w:val="1"/>
                <w:color w:val="0000FF"/>
              </w:rPr>
            </w:pPr>
            <w:hyperlink w:anchor="page6">
              <w:r>
                <w:rPr>
                  <w:rFonts w:ascii="Arial" w:cs="Arial" w:eastAsia="Arial" w:hAnsi="Arial"/>
                  <w:sz w:val="14"/>
                  <w:szCs w:val="14"/>
                  <w:b w:val="1"/>
                  <w:bCs w:val="1"/>
                  <w:color w:val="0000FF"/>
                </w:rPr>
                <w:t>Business</w:t>
              </w:r>
            </w:hyperlink>
          </w:p>
        </w:tc>
        <w:tc>
          <w:tcPr>
            <w:tcW w:w="480" w:type="dxa"/>
            <w:vAlign w:val="bottom"/>
            <w:gridSpan w:val="3"/>
          </w:tcPr>
          <w:p>
            <w:pPr>
              <w:jc w:val="right"/>
              <w:ind w:right="320"/>
              <w:spacing w:after="0"/>
              <w:rPr>
                <w:rFonts w:ascii="Arial" w:cs="Arial" w:eastAsia="Arial" w:hAnsi="Arial"/>
                <w:sz w:val="14"/>
                <w:szCs w:val="14"/>
                <w:b w:val="1"/>
                <w:bCs w:val="1"/>
                <w:color w:val="0000FF"/>
              </w:rPr>
            </w:pPr>
            <w:hyperlink w:anchor="page6">
              <w:r>
                <w:rPr>
                  <w:rFonts w:ascii="Arial" w:cs="Arial" w:eastAsia="Arial" w:hAnsi="Arial"/>
                  <w:sz w:val="14"/>
                  <w:szCs w:val="14"/>
                  <w:b w:val="1"/>
                  <w:bCs w:val="1"/>
                  <w:color w:val="0000FF"/>
                </w:rPr>
                <w:t>3</w:t>
              </w:r>
            </w:hyperlink>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1A.</w:t>
            </w:r>
          </w:p>
        </w:tc>
        <w:tc>
          <w:tcPr>
            <w:tcW w:w="780" w:type="dxa"/>
            <w:vAlign w:val="bottom"/>
            <w:tcBorders>
              <w:bottom w:val="single" w:sz="8" w:color="0000FF"/>
            </w:tcBorders>
            <w:gridSpan w:val="4"/>
          </w:tcPr>
          <w:p>
            <w:pPr>
              <w:spacing w:after="0"/>
              <w:rPr>
                <w:rFonts w:ascii="Arial" w:cs="Arial" w:eastAsia="Arial" w:hAnsi="Arial"/>
                <w:sz w:val="14"/>
                <w:szCs w:val="14"/>
                <w:b w:val="1"/>
                <w:bCs w:val="1"/>
                <w:color w:val="0000FF"/>
                <w:w w:val="90"/>
              </w:rPr>
            </w:pPr>
            <w:hyperlink w:anchor="page17">
              <w:r>
                <w:rPr>
                  <w:rFonts w:ascii="Arial" w:cs="Arial" w:eastAsia="Arial" w:hAnsi="Arial"/>
                  <w:sz w:val="14"/>
                  <w:szCs w:val="14"/>
                  <w:b w:val="1"/>
                  <w:bCs w:val="1"/>
                  <w:color w:val="0000FF"/>
                  <w:w w:val="90"/>
                </w:rPr>
                <w:t>Risk Factors</w:t>
              </w:r>
            </w:hyperlink>
          </w:p>
        </w:tc>
        <w:tc>
          <w:tcPr>
            <w:tcW w:w="8480" w:type="dxa"/>
            <w:vAlign w:val="bottom"/>
            <w:gridSpan w:val="17"/>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17">
              <w:r>
                <w:rPr>
                  <w:rFonts w:ascii="Arial" w:cs="Arial" w:eastAsia="Arial" w:hAnsi="Arial"/>
                  <w:sz w:val="14"/>
                  <w:szCs w:val="14"/>
                  <w:b w:val="1"/>
                  <w:bCs w:val="1"/>
                  <w:color w:val="0000FF"/>
                  <w:w w:val="89"/>
                </w:rPr>
                <w:t>14</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1B.</w:t>
            </w:r>
          </w:p>
        </w:tc>
        <w:tc>
          <w:tcPr>
            <w:tcW w:w="9260" w:type="dxa"/>
            <w:vAlign w:val="bottom"/>
            <w:gridSpan w:val="21"/>
          </w:tcPr>
          <w:p>
            <w:pPr>
              <w:spacing w:after="0"/>
              <w:rPr>
                <w:rFonts w:ascii="Arial" w:cs="Arial" w:eastAsia="Arial" w:hAnsi="Arial"/>
                <w:sz w:val="14"/>
                <w:szCs w:val="14"/>
                <w:b w:val="1"/>
                <w:bCs w:val="1"/>
                <w:color w:val="0000FF"/>
              </w:rPr>
            </w:pPr>
            <w:hyperlink w:anchor="page42">
              <w:r>
                <w:rPr>
                  <w:rFonts w:ascii="Arial" w:cs="Arial" w:eastAsia="Arial" w:hAnsi="Arial"/>
                  <w:sz w:val="14"/>
                  <w:szCs w:val="14"/>
                  <w:b w:val="1"/>
                  <w:bCs w:val="1"/>
                  <w:color w:val="0000FF"/>
                </w:rPr>
                <w:t>Unresolved Staff Comments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42">
              <w:r>
                <w:rPr>
                  <w:rFonts w:ascii="Arial" w:cs="Arial" w:eastAsia="Arial" w:hAnsi="Arial"/>
                  <w:sz w:val="14"/>
                  <w:szCs w:val="14"/>
                  <w:b w:val="1"/>
                  <w:bCs w:val="1"/>
                  <w:color w:val="0000FF"/>
                  <w:w w:val="89"/>
                </w:rPr>
                <w:t>39</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2.</w:t>
            </w:r>
          </w:p>
        </w:tc>
        <w:tc>
          <w:tcPr>
            <w:tcW w:w="640" w:type="dxa"/>
            <w:vAlign w:val="bottom"/>
            <w:tcBorders>
              <w:top w:val="single" w:sz="8" w:color="0000FF"/>
              <w:bottom w:val="single" w:sz="8" w:color="0000FF"/>
            </w:tcBorders>
            <w:gridSpan w:val="3"/>
          </w:tcPr>
          <w:p>
            <w:pPr>
              <w:spacing w:after="0"/>
              <w:rPr>
                <w:rFonts w:ascii="Arial" w:cs="Arial" w:eastAsia="Arial" w:hAnsi="Arial"/>
                <w:sz w:val="14"/>
                <w:szCs w:val="14"/>
                <w:b w:val="1"/>
                <w:bCs w:val="1"/>
                <w:color w:val="0000FF"/>
                <w:w w:val="89"/>
              </w:rPr>
            </w:pPr>
            <w:hyperlink w:anchor="page42">
              <w:r>
                <w:rPr>
                  <w:rFonts w:ascii="Arial" w:cs="Arial" w:eastAsia="Arial" w:hAnsi="Arial"/>
                  <w:sz w:val="14"/>
                  <w:szCs w:val="14"/>
                  <w:b w:val="1"/>
                  <w:bCs w:val="1"/>
                  <w:color w:val="0000FF"/>
                  <w:w w:val="89"/>
                </w:rPr>
                <w:t>Properties</w:t>
              </w:r>
            </w:hyperlink>
          </w:p>
        </w:tc>
        <w:tc>
          <w:tcPr>
            <w:tcW w:w="1060" w:type="dxa"/>
            <w:vAlign w:val="bottom"/>
            <w:tcBorders>
              <w:top w:val="single" w:sz="8" w:color="0000FF"/>
            </w:tcBorders>
            <w:gridSpan w:val="7"/>
          </w:tcPr>
          <w:p>
            <w:pPr>
              <w:spacing w:after="0"/>
              <w:rPr>
                <w:sz w:val="17"/>
                <w:szCs w:val="17"/>
                <w:color w:val="auto"/>
              </w:rPr>
            </w:pPr>
          </w:p>
        </w:tc>
        <w:tc>
          <w:tcPr>
            <w:tcW w:w="7560" w:type="dxa"/>
            <w:vAlign w:val="bottom"/>
            <w:gridSpan w:val="11"/>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4"/>
                <w:szCs w:val="14"/>
                <w:b w:val="1"/>
                <w:bCs w:val="1"/>
                <w:color w:val="0000FF"/>
                <w:w w:val="89"/>
              </w:rPr>
            </w:pPr>
            <w:hyperlink w:anchor="page42">
              <w:r>
                <w:rPr>
                  <w:rFonts w:ascii="Arial" w:cs="Arial" w:eastAsia="Arial" w:hAnsi="Arial"/>
                  <w:sz w:val="14"/>
                  <w:szCs w:val="14"/>
                  <w:b w:val="1"/>
                  <w:bCs w:val="1"/>
                  <w:color w:val="0000FF"/>
                  <w:w w:val="89"/>
                </w:rPr>
                <w:t>39</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3.</w:t>
            </w:r>
          </w:p>
        </w:tc>
        <w:tc>
          <w:tcPr>
            <w:tcW w:w="9260" w:type="dxa"/>
            <w:vAlign w:val="bottom"/>
            <w:gridSpan w:val="21"/>
          </w:tcPr>
          <w:p>
            <w:pPr>
              <w:spacing w:after="0"/>
              <w:rPr>
                <w:rFonts w:ascii="Arial" w:cs="Arial" w:eastAsia="Arial" w:hAnsi="Arial"/>
                <w:sz w:val="14"/>
                <w:szCs w:val="14"/>
                <w:b w:val="1"/>
                <w:bCs w:val="1"/>
                <w:color w:val="0000FF"/>
              </w:rPr>
            </w:pPr>
            <w:hyperlink w:anchor="page42">
              <w:r>
                <w:rPr>
                  <w:rFonts w:ascii="Arial" w:cs="Arial" w:eastAsia="Arial" w:hAnsi="Arial"/>
                  <w:sz w:val="14"/>
                  <w:szCs w:val="14"/>
                  <w:b w:val="1"/>
                  <w:bCs w:val="1"/>
                  <w:color w:val="0000FF"/>
                </w:rPr>
                <w:t>Legal Proceedings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42">
              <w:r>
                <w:rPr>
                  <w:rFonts w:ascii="Arial" w:cs="Arial" w:eastAsia="Arial" w:hAnsi="Arial"/>
                  <w:sz w:val="14"/>
                  <w:szCs w:val="14"/>
                  <w:b w:val="1"/>
                  <w:bCs w:val="1"/>
                  <w:color w:val="0000FF"/>
                  <w:w w:val="89"/>
                </w:rPr>
                <w:t>39</w:t>
              </w:r>
            </w:hyperlink>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4.</w:t>
            </w:r>
          </w:p>
        </w:tc>
        <w:tc>
          <w:tcPr>
            <w:tcW w:w="9260" w:type="dxa"/>
            <w:vAlign w:val="bottom"/>
            <w:gridSpan w:val="21"/>
          </w:tcPr>
          <w:p>
            <w:pPr>
              <w:spacing w:after="0"/>
              <w:rPr>
                <w:rFonts w:ascii="Arial" w:cs="Arial" w:eastAsia="Arial" w:hAnsi="Arial"/>
                <w:sz w:val="14"/>
                <w:szCs w:val="14"/>
                <w:b w:val="1"/>
                <w:bCs w:val="1"/>
                <w:color w:val="0000FF"/>
              </w:rPr>
            </w:pPr>
            <w:hyperlink w:anchor="page43">
              <w:r>
                <w:rPr>
                  <w:rFonts w:ascii="Arial" w:cs="Arial" w:eastAsia="Arial" w:hAnsi="Arial"/>
                  <w:sz w:val="14"/>
                  <w:szCs w:val="14"/>
                  <w:b w:val="1"/>
                  <w:bCs w:val="1"/>
                  <w:color w:val="0000FF"/>
                </w:rPr>
                <w:t>Mine Safety Disclosures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43">
              <w:r>
                <w:rPr>
                  <w:rFonts w:ascii="Arial" w:cs="Arial" w:eastAsia="Arial" w:hAnsi="Arial"/>
                  <w:sz w:val="14"/>
                  <w:szCs w:val="14"/>
                  <w:b w:val="1"/>
                  <w:bCs w:val="1"/>
                  <w:color w:val="0000FF"/>
                  <w:w w:val="89"/>
                </w:rPr>
                <w:t>40</w:t>
              </w:r>
            </w:hyperlink>
          </w:p>
        </w:tc>
      </w:tr>
      <w:tr>
        <w:trPr>
          <w:trHeight w:val="203"/>
        </w:trPr>
        <w:tc>
          <w:tcPr>
            <w:tcW w:w="20" w:type="dxa"/>
            <w:vAlign w:val="bottom"/>
          </w:tcPr>
          <w:p>
            <w:pPr>
              <w:spacing w:after="0"/>
              <w:rPr>
                <w:sz w:val="17"/>
                <w:szCs w:val="17"/>
                <w:color w:val="auto"/>
              </w:rPr>
            </w:pPr>
          </w:p>
        </w:tc>
        <w:tc>
          <w:tcPr>
            <w:tcW w:w="520" w:type="dxa"/>
            <w:vAlign w:val="bottom"/>
            <w:tcBorders>
              <w:bottom w:val="single" w:sz="8" w:color="0000FF"/>
            </w:tcBorders>
            <w:gridSpan w:val="2"/>
          </w:tcPr>
          <w:p>
            <w:pPr>
              <w:spacing w:after="0"/>
              <w:rPr>
                <w:rFonts w:ascii="Arial" w:cs="Arial" w:eastAsia="Arial" w:hAnsi="Arial"/>
                <w:sz w:val="14"/>
                <w:szCs w:val="14"/>
                <w:b w:val="1"/>
                <w:bCs w:val="1"/>
                <w:color w:val="0000FF"/>
              </w:rPr>
            </w:pPr>
            <w:hyperlink w:anchor="page45">
              <w:r>
                <w:rPr>
                  <w:rFonts w:ascii="Arial" w:cs="Arial" w:eastAsia="Arial" w:hAnsi="Arial"/>
                  <w:sz w:val="14"/>
                  <w:szCs w:val="14"/>
                  <w:b w:val="1"/>
                  <w:bCs w:val="1"/>
                  <w:color w:val="0000FF"/>
                </w:rPr>
                <w:t>PART II</w:t>
              </w:r>
            </w:hyperlink>
          </w:p>
        </w:tc>
        <w:tc>
          <w:tcPr>
            <w:tcW w:w="1000" w:type="dxa"/>
            <w:vAlign w:val="bottom"/>
            <w:gridSpan w:val="2"/>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4"/>
                <w:szCs w:val="14"/>
                <w:b w:val="1"/>
                <w:bCs w:val="1"/>
                <w:color w:val="0000FF"/>
                <w:w w:val="89"/>
              </w:rPr>
            </w:pPr>
            <w:hyperlink w:anchor="page45">
              <w:r>
                <w:rPr>
                  <w:rFonts w:ascii="Arial" w:cs="Arial" w:eastAsia="Arial" w:hAnsi="Arial"/>
                  <w:sz w:val="14"/>
                  <w:szCs w:val="14"/>
                  <w:b w:val="1"/>
                  <w:bCs w:val="1"/>
                  <w:color w:val="0000FF"/>
                  <w:w w:val="89"/>
                </w:rPr>
                <w:t>43</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5.</w:t>
            </w:r>
          </w:p>
        </w:tc>
        <w:tc>
          <w:tcPr>
            <w:tcW w:w="9260" w:type="dxa"/>
            <w:vAlign w:val="bottom"/>
            <w:gridSpan w:val="21"/>
          </w:tcPr>
          <w:p>
            <w:pPr>
              <w:spacing w:after="0"/>
              <w:rPr>
                <w:rFonts w:ascii="Arial" w:cs="Arial" w:eastAsia="Arial" w:hAnsi="Arial"/>
                <w:sz w:val="14"/>
                <w:szCs w:val="14"/>
                <w:b w:val="1"/>
                <w:bCs w:val="1"/>
                <w:color w:val="0000FF"/>
              </w:rPr>
            </w:pPr>
            <w:hyperlink w:anchor="page46">
              <w:r>
                <w:rPr>
                  <w:rFonts w:ascii="Arial" w:cs="Arial" w:eastAsia="Arial" w:hAnsi="Arial"/>
                  <w:sz w:val="14"/>
                  <w:szCs w:val="14"/>
                  <w:b w:val="1"/>
                  <w:bCs w:val="1"/>
                  <w:color w:val="0000FF"/>
                </w:rPr>
                <w:t>Market for Registrant's Common Equity, Related Stockholder Matters and Issuer Purchases of Equity Securities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46">
              <w:r>
                <w:rPr>
                  <w:rFonts w:ascii="Arial" w:cs="Arial" w:eastAsia="Arial" w:hAnsi="Arial"/>
                  <w:sz w:val="14"/>
                  <w:szCs w:val="14"/>
                  <w:b w:val="1"/>
                  <w:bCs w:val="1"/>
                  <w:color w:val="0000FF"/>
                  <w:w w:val="89"/>
                </w:rPr>
                <w:t>43</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6.</w:t>
            </w:r>
          </w:p>
        </w:tc>
        <w:tc>
          <w:tcPr>
            <w:tcW w:w="6820" w:type="dxa"/>
            <w:vAlign w:val="bottom"/>
            <w:tcBorders>
              <w:top w:val="single" w:sz="8" w:color="0000FF"/>
            </w:tcBorders>
            <w:gridSpan w:val="20"/>
          </w:tcPr>
          <w:p>
            <w:pPr>
              <w:spacing w:after="0"/>
              <w:rPr>
                <w:rFonts w:ascii="Arial" w:cs="Arial" w:eastAsia="Arial" w:hAnsi="Arial"/>
                <w:sz w:val="14"/>
                <w:szCs w:val="14"/>
                <w:b w:val="1"/>
                <w:bCs w:val="1"/>
                <w:color w:val="0000FF"/>
              </w:rPr>
            </w:pPr>
            <w:hyperlink w:anchor="page47">
              <w:r>
                <w:rPr>
                  <w:rFonts w:ascii="Arial" w:cs="Arial" w:eastAsia="Arial" w:hAnsi="Arial"/>
                  <w:sz w:val="14"/>
                  <w:szCs w:val="14"/>
                  <w:b w:val="1"/>
                  <w:bCs w:val="1"/>
                  <w:color w:val="0000FF"/>
                </w:rPr>
                <w:t>Selected Financial Data</w:t>
              </w:r>
            </w:hyperlink>
          </w:p>
        </w:tc>
        <w:tc>
          <w:tcPr>
            <w:tcW w:w="244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47">
              <w:r>
                <w:rPr>
                  <w:rFonts w:ascii="Arial" w:cs="Arial" w:eastAsia="Arial" w:hAnsi="Arial"/>
                  <w:sz w:val="14"/>
                  <w:szCs w:val="14"/>
                  <w:b w:val="1"/>
                  <w:bCs w:val="1"/>
                  <w:color w:val="0000FF"/>
                  <w:w w:val="89"/>
                </w:rPr>
                <w:t>44</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7.</w:t>
            </w:r>
          </w:p>
        </w:tc>
        <w:tc>
          <w:tcPr>
            <w:tcW w:w="5380" w:type="dxa"/>
            <w:vAlign w:val="bottom"/>
            <w:tcBorders>
              <w:bottom w:val="single" w:sz="8" w:color="0000FF"/>
            </w:tcBorders>
            <w:gridSpan w:val="17"/>
          </w:tcPr>
          <w:p>
            <w:pPr>
              <w:spacing w:after="0"/>
              <w:rPr>
                <w:rFonts w:ascii="Arial" w:cs="Arial" w:eastAsia="Arial" w:hAnsi="Arial"/>
                <w:sz w:val="14"/>
                <w:szCs w:val="14"/>
                <w:b w:val="1"/>
                <w:bCs w:val="1"/>
                <w:color w:val="0000FF"/>
                <w:w w:val="90"/>
              </w:rPr>
            </w:pPr>
            <w:hyperlink w:anchor="page48">
              <w:r>
                <w:rPr>
                  <w:rFonts w:ascii="Arial" w:cs="Arial" w:eastAsia="Arial" w:hAnsi="Arial"/>
                  <w:sz w:val="14"/>
                  <w:szCs w:val="14"/>
                  <w:b w:val="1"/>
                  <w:bCs w:val="1"/>
                  <w:color w:val="0000FF"/>
                  <w:w w:val="90"/>
                </w:rPr>
                <w:t>Management's Discussion and Analysis of Financial Condition and Results of Operations</w:t>
              </w:r>
            </w:hyperlink>
          </w:p>
        </w:tc>
        <w:tc>
          <w:tcPr>
            <w:tcW w:w="3880" w:type="dxa"/>
            <w:vAlign w:val="bottom"/>
            <w:gridSpan w:val="4"/>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48">
              <w:r>
                <w:rPr>
                  <w:rFonts w:ascii="Arial" w:cs="Arial" w:eastAsia="Arial" w:hAnsi="Arial"/>
                  <w:sz w:val="14"/>
                  <w:szCs w:val="14"/>
                  <w:b w:val="1"/>
                  <w:bCs w:val="1"/>
                  <w:color w:val="0000FF"/>
                  <w:w w:val="89"/>
                </w:rPr>
                <w:t>46</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7A.</w:t>
            </w:r>
          </w:p>
        </w:tc>
        <w:tc>
          <w:tcPr>
            <w:tcW w:w="3680" w:type="dxa"/>
            <w:vAlign w:val="bottom"/>
            <w:tcBorders>
              <w:bottom w:val="single" w:sz="8" w:color="0000FF"/>
            </w:tcBorders>
            <w:gridSpan w:val="15"/>
          </w:tcPr>
          <w:p>
            <w:pPr>
              <w:spacing w:after="0"/>
              <w:rPr>
                <w:rFonts w:ascii="Arial" w:cs="Arial" w:eastAsia="Arial" w:hAnsi="Arial"/>
                <w:sz w:val="14"/>
                <w:szCs w:val="14"/>
                <w:b w:val="1"/>
                <w:bCs w:val="1"/>
                <w:color w:val="0000FF"/>
                <w:w w:val="92"/>
              </w:rPr>
            </w:pPr>
            <w:hyperlink w:anchor="page70">
              <w:r>
                <w:rPr>
                  <w:rFonts w:ascii="Arial" w:cs="Arial" w:eastAsia="Arial" w:hAnsi="Arial"/>
                  <w:sz w:val="14"/>
                  <w:szCs w:val="14"/>
                  <w:b w:val="1"/>
                  <w:bCs w:val="1"/>
                  <w:color w:val="0000FF"/>
                  <w:w w:val="92"/>
                </w:rPr>
                <w:t>Quantitative and Qualitative Disclosures About Market Risk</w:t>
              </w:r>
            </w:hyperlink>
          </w:p>
        </w:tc>
        <w:tc>
          <w:tcPr>
            <w:tcW w:w="5580" w:type="dxa"/>
            <w:vAlign w:val="bottom"/>
            <w:gridSpan w:val="6"/>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70">
              <w:r>
                <w:rPr>
                  <w:rFonts w:ascii="Arial" w:cs="Arial" w:eastAsia="Arial" w:hAnsi="Arial"/>
                  <w:sz w:val="14"/>
                  <w:szCs w:val="14"/>
                  <w:b w:val="1"/>
                  <w:bCs w:val="1"/>
                  <w:color w:val="0000FF"/>
                  <w:w w:val="89"/>
                </w:rPr>
                <w:t>68</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8.</w:t>
            </w:r>
          </w:p>
        </w:tc>
        <w:tc>
          <w:tcPr>
            <w:tcW w:w="9260" w:type="dxa"/>
            <w:vAlign w:val="bottom"/>
            <w:gridSpan w:val="21"/>
          </w:tcPr>
          <w:p>
            <w:pPr>
              <w:spacing w:after="0"/>
              <w:rPr>
                <w:rFonts w:ascii="Arial" w:cs="Arial" w:eastAsia="Arial" w:hAnsi="Arial"/>
                <w:sz w:val="14"/>
                <w:szCs w:val="14"/>
                <w:b w:val="1"/>
                <w:bCs w:val="1"/>
                <w:color w:val="0000FF"/>
              </w:rPr>
            </w:pPr>
            <w:hyperlink w:anchor="page71">
              <w:r>
                <w:rPr>
                  <w:rFonts w:ascii="Arial" w:cs="Arial" w:eastAsia="Arial" w:hAnsi="Arial"/>
                  <w:sz w:val="14"/>
                  <w:szCs w:val="14"/>
                  <w:b w:val="1"/>
                  <w:bCs w:val="1"/>
                  <w:color w:val="0000FF"/>
                </w:rPr>
                <w:t>Financial Statements and Supplementary Data</w:t>
              </w:r>
            </w:hyperlink>
          </w:p>
        </w:tc>
        <w:tc>
          <w:tcPr>
            <w:tcW w:w="480" w:type="dxa"/>
            <w:vAlign w:val="bottom"/>
            <w:gridSpan w:val="3"/>
          </w:tcPr>
          <w:p>
            <w:pPr>
              <w:jc w:val="right"/>
              <w:ind w:right="320"/>
              <w:spacing w:after="0"/>
              <w:rPr>
                <w:rFonts w:ascii="Arial" w:cs="Arial" w:eastAsia="Arial" w:hAnsi="Arial"/>
                <w:sz w:val="14"/>
                <w:szCs w:val="14"/>
                <w:b w:val="1"/>
                <w:bCs w:val="1"/>
                <w:color w:val="0000FF"/>
              </w:rPr>
            </w:pPr>
            <w:hyperlink w:anchor="page71">
              <w:r>
                <w:rPr>
                  <w:rFonts w:ascii="Arial" w:cs="Arial" w:eastAsia="Arial" w:hAnsi="Arial"/>
                  <w:sz w:val="14"/>
                  <w:szCs w:val="14"/>
                  <w:b w:val="1"/>
                  <w:bCs w:val="1"/>
                  <w:color w:val="0000FF"/>
                </w:rPr>
                <w:t>1</w:t>
              </w:r>
            </w:hyperlink>
          </w:p>
        </w:tc>
      </w:tr>
      <w:tr>
        <w:trPr>
          <w:trHeight w:val="20"/>
        </w:trPr>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9.</w:t>
            </w:r>
          </w:p>
        </w:tc>
        <w:tc>
          <w:tcPr>
            <w:tcW w:w="9260" w:type="dxa"/>
            <w:vAlign w:val="bottom"/>
            <w:gridSpan w:val="21"/>
          </w:tcPr>
          <w:p>
            <w:pPr>
              <w:spacing w:after="0"/>
              <w:rPr>
                <w:rFonts w:ascii="Arial" w:cs="Arial" w:eastAsia="Arial" w:hAnsi="Arial"/>
                <w:sz w:val="14"/>
                <w:szCs w:val="14"/>
                <w:b w:val="1"/>
                <w:bCs w:val="1"/>
                <w:color w:val="0000FF"/>
              </w:rPr>
            </w:pPr>
            <w:hyperlink w:anchor="page117">
              <w:r>
                <w:rPr>
                  <w:rFonts w:ascii="Arial" w:cs="Arial" w:eastAsia="Arial" w:hAnsi="Arial"/>
                  <w:sz w:val="14"/>
                  <w:szCs w:val="14"/>
                  <w:b w:val="1"/>
                  <w:bCs w:val="1"/>
                  <w:color w:val="0000FF"/>
                </w:rPr>
                <w:t>Changes in and Disagreements With Accountants on Accounting and Financial Disclosure</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117">
              <w:r>
                <w:rPr>
                  <w:rFonts w:ascii="Arial" w:cs="Arial" w:eastAsia="Arial" w:hAnsi="Arial"/>
                  <w:sz w:val="14"/>
                  <w:szCs w:val="14"/>
                  <w:b w:val="1"/>
                  <w:bCs w:val="1"/>
                  <w:color w:val="0000FF"/>
                  <w:w w:val="89"/>
                </w:rPr>
                <w:t>69</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9A.</w:t>
            </w:r>
          </w:p>
        </w:tc>
        <w:tc>
          <w:tcPr>
            <w:tcW w:w="5420" w:type="dxa"/>
            <w:vAlign w:val="bottom"/>
            <w:tcBorders>
              <w:top w:val="single" w:sz="8" w:color="0000FF"/>
            </w:tcBorders>
            <w:gridSpan w:val="18"/>
          </w:tcPr>
          <w:p>
            <w:pPr>
              <w:spacing w:after="0"/>
              <w:rPr>
                <w:rFonts w:ascii="Arial" w:cs="Arial" w:eastAsia="Arial" w:hAnsi="Arial"/>
                <w:sz w:val="14"/>
                <w:szCs w:val="14"/>
                <w:b w:val="1"/>
                <w:bCs w:val="1"/>
                <w:color w:val="0000FF"/>
              </w:rPr>
            </w:pPr>
            <w:hyperlink w:anchor="page118">
              <w:r>
                <w:rPr>
                  <w:rFonts w:ascii="Arial" w:cs="Arial" w:eastAsia="Arial" w:hAnsi="Arial"/>
                  <w:sz w:val="14"/>
                  <w:szCs w:val="14"/>
                  <w:b w:val="1"/>
                  <w:bCs w:val="1"/>
                  <w:color w:val="0000FF"/>
                </w:rPr>
                <w:t>Controls and Procedures</w:t>
              </w:r>
            </w:hyperlink>
          </w:p>
        </w:tc>
        <w:tc>
          <w:tcPr>
            <w:tcW w:w="3840" w:type="dxa"/>
            <w:vAlign w:val="bottom"/>
            <w:gridSpan w:val="3"/>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118">
              <w:r>
                <w:rPr>
                  <w:rFonts w:ascii="Arial" w:cs="Arial" w:eastAsia="Arial" w:hAnsi="Arial"/>
                  <w:sz w:val="14"/>
                  <w:szCs w:val="14"/>
                  <w:b w:val="1"/>
                  <w:bCs w:val="1"/>
                  <w:color w:val="0000FF"/>
                  <w:w w:val="89"/>
                </w:rPr>
                <w:t>69</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9B.</w:t>
            </w:r>
          </w:p>
        </w:tc>
        <w:tc>
          <w:tcPr>
            <w:tcW w:w="1500" w:type="dxa"/>
            <w:vAlign w:val="bottom"/>
            <w:tcBorders>
              <w:top w:val="single" w:sz="8" w:color="0000FF"/>
            </w:tcBorders>
            <w:gridSpan w:val="9"/>
          </w:tcPr>
          <w:p>
            <w:pPr>
              <w:spacing w:after="0"/>
              <w:rPr>
                <w:rFonts w:ascii="Arial" w:cs="Arial" w:eastAsia="Arial" w:hAnsi="Arial"/>
                <w:sz w:val="14"/>
                <w:szCs w:val="14"/>
                <w:b w:val="1"/>
                <w:bCs w:val="1"/>
                <w:color w:val="0000FF"/>
              </w:rPr>
            </w:pPr>
            <w:hyperlink w:anchor="page119">
              <w:r>
                <w:rPr>
                  <w:rFonts w:ascii="Arial" w:cs="Arial" w:eastAsia="Arial" w:hAnsi="Arial"/>
                  <w:sz w:val="14"/>
                  <w:szCs w:val="14"/>
                  <w:b w:val="1"/>
                  <w:bCs w:val="1"/>
                  <w:color w:val="0000FF"/>
                </w:rPr>
                <w:t>Other Information</w:t>
              </w:r>
            </w:hyperlink>
          </w:p>
        </w:tc>
        <w:tc>
          <w:tcPr>
            <w:tcW w:w="7760" w:type="dxa"/>
            <w:vAlign w:val="bottom"/>
            <w:gridSpan w:val="12"/>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119">
              <w:r>
                <w:rPr>
                  <w:rFonts w:ascii="Arial" w:cs="Arial" w:eastAsia="Arial" w:hAnsi="Arial"/>
                  <w:sz w:val="14"/>
                  <w:szCs w:val="14"/>
                  <w:b w:val="1"/>
                  <w:bCs w:val="1"/>
                  <w:color w:val="0000FF"/>
                  <w:w w:val="89"/>
                </w:rPr>
                <w:t>71</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spacing w:after="0"/>
              <w:rPr>
                <w:rFonts w:ascii="Arial" w:cs="Arial" w:eastAsia="Arial" w:hAnsi="Arial"/>
                <w:sz w:val="14"/>
                <w:szCs w:val="14"/>
                <w:b w:val="1"/>
                <w:bCs w:val="1"/>
                <w:color w:val="0000FF"/>
              </w:rPr>
            </w:pPr>
            <w:hyperlink w:anchor="page120">
              <w:r>
                <w:rPr>
                  <w:rFonts w:ascii="Arial" w:cs="Arial" w:eastAsia="Arial" w:hAnsi="Arial"/>
                  <w:sz w:val="14"/>
                  <w:szCs w:val="14"/>
                  <w:b w:val="1"/>
                  <w:bCs w:val="1"/>
                  <w:color w:val="0000FF"/>
                </w:rPr>
                <w:t>PART III</w:t>
              </w:r>
            </w:hyperlink>
          </w:p>
        </w:tc>
        <w:tc>
          <w:tcPr>
            <w:tcW w:w="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120">
              <w:r>
                <w:rPr>
                  <w:rFonts w:ascii="Arial" w:cs="Arial" w:eastAsia="Arial" w:hAnsi="Arial"/>
                  <w:sz w:val="14"/>
                  <w:szCs w:val="14"/>
                  <w:b w:val="1"/>
                  <w:bCs w:val="1"/>
                  <w:color w:val="0000FF"/>
                  <w:w w:val="89"/>
                </w:rPr>
                <w:t>71</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10.</w:t>
            </w:r>
          </w:p>
        </w:tc>
        <w:tc>
          <w:tcPr>
            <w:tcW w:w="9260" w:type="dxa"/>
            <w:vAlign w:val="bottom"/>
            <w:gridSpan w:val="21"/>
          </w:tcPr>
          <w:p>
            <w:pPr>
              <w:spacing w:after="0"/>
              <w:rPr>
                <w:rFonts w:ascii="Arial" w:cs="Arial" w:eastAsia="Arial" w:hAnsi="Arial"/>
                <w:sz w:val="14"/>
                <w:szCs w:val="14"/>
                <w:b w:val="1"/>
                <w:bCs w:val="1"/>
                <w:color w:val="0000FF"/>
              </w:rPr>
            </w:pPr>
            <w:hyperlink w:anchor="page120">
              <w:r>
                <w:rPr>
                  <w:rFonts w:ascii="Arial" w:cs="Arial" w:eastAsia="Arial" w:hAnsi="Arial"/>
                  <w:sz w:val="14"/>
                  <w:szCs w:val="14"/>
                  <w:b w:val="1"/>
                  <w:bCs w:val="1"/>
                  <w:color w:val="0000FF"/>
                </w:rPr>
                <w:t>Directors, Executive Officers and Corporate Governance</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120">
              <w:r>
                <w:rPr>
                  <w:rFonts w:ascii="Arial" w:cs="Arial" w:eastAsia="Arial" w:hAnsi="Arial"/>
                  <w:sz w:val="14"/>
                  <w:szCs w:val="14"/>
                  <w:b w:val="1"/>
                  <w:bCs w:val="1"/>
                  <w:color w:val="0000FF"/>
                  <w:w w:val="89"/>
                </w:rPr>
                <w:t>71</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11.</w:t>
            </w:r>
          </w:p>
        </w:tc>
        <w:tc>
          <w:tcPr>
            <w:tcW w:w="3440" w:type="dxa"/>
            <w:vAlign w:val="bottom"/>
            <w:tcBorders>
              <w:top w:val="single" w:sz="8" w:color="0000FF"/>
            </w:tcBorders>
            <w:gridSpan w:val="14"/>
          </w:tcPr>
          <w:p>
            <w:pPr>
              <w:spacing w:after="0"/>
              <w:rPr>
                <w:rFonts w:ascii="Arial" w:cs="Arial" w:eastAsia="Arial" w:hAnsi="Arial"/>
                <w:sz w:val="14"/>
                <w:szCs w:val="14"/>
                <w:b w:val="1"/>
                <w:bCs w:val="1"/>
                <w:color w:val="0000FF"/>
              </w:rPr>
            </w:pPr>
            <w:hyperlink w:anchor="page120">
              <w:r>
                <w:rPr>
                  <w:rFonts w:ascii="Arial" w:cs="Arial" w:eastAsia="Arial" w:hAnsi="Arial"/>
                  <w:sz w:val="14"/>
                  <w:szCs w:val="14"/>
                  <w:b w:val="1"/>
                  <w:bCs w:val="1"/>
                  <w:color w:val="0000FF"/>
                </w:rPr>
                <w:t>Executive Compensation</w:t>
              </w:r>
            </w:hyperlink>
          </w:p>
        </w:tc>
        <w:tc>
          <w:tcPr>
            <w:tcW w:w="5820" w:type="dxa"/>
            <w:vAlign w:val="bottom"/>
            <w:gridSpan w:val="7"/>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120">
              <w:r>
                <w:rPr>
                  <w:rFonts w:ascii="Arial" w:cs="Arial" w:eastAsia="Arial" w:hAnsi="Arial"/>
                  <w:sz w:val="14"/>
                  <w:szCs w:val="14"/>
                  <w:b w:val="1"/>
                  <w:bCs w:val="1"/>
                  <w:color w:val="0000FF"/>
                  <w:w w:val="89"/>
                </w:rPr>
                <w:t>71</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12.</w:t>
            </w:r>
          </w:p>
        </w:tc>
        <w:tc>
          <w:tcPr>
            <w:tcW w:w="6140" w:type="dxa"/>
            <w:vAlign w:val="bottom"/>
            <w:tcBorders>
              <w:bottom w:val="single" w:sz="8" w:color="0000FF"/>
            </w:tcBorders>
            <w:gridSpan w:val="19"/>
          </w:tcPr>
          <w:p>
            <w:pPr>
              <w:spacing w:after="0"/>
              <w:rPr>
                <w:rFonts w:ascii="Arial" w:cs="Arial" w:eastAsia="Arial" w:hAnsi="Arial"/>
                <w:sz w:val="14"/>
                <w:szCs w:val="14"/>
                <w:b w:val="1"/>
                <w:bCs w:val="1"/>
                <w:color w:val="0000FF"/>
                <w:w w:val="91"/>
              </w:rPr>
            </w:pPr>
            <w:hyperlink w:anchor="page120">
              <w:r>
                <w:rPr>
                  <w:rFonts w:ascii="Arial" w:cs="Arial" w:eastAsia="Arial" w:hAnsi="Arial"/>
                  <w:sz w:val="14"/>
                  <w:szCs w:val="14"/>
                  <w:b w:val="1"/>
                  <w:bCs w:val="1"/>
                  <w:color w:val="0000FF"/>
                  <w:w w:val="91"/>
                </w:rPr>
                <w:t>Security Ownership of Certain Beneficial Owners and Management and Related Stockholder Matters</w:t>
              </w:r>
            </w:hyperlink>
          </w:p>
        </w:tc>
        <w:tc>
          <w:tcPr>
            <w:tcW w:w="312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120">
              <w:r>
                <w:rPr>
                  <w:rFonts w:ascii="Arial" w:cs="Arial" w:eastAsia="Arial" w:hAnsi="Arial"/>
                  <w:sz w:val="14"/>
                  <w:szCs w:val="14"/>
                  <w:b w:val="1"/>
                  <w:bCs w:val="1"/>
                  <w:color w:val="0000FF"/>
                  <w:w w:val="89"/>
                </w:rPr>
                <w:t>72</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13.</w:t>
            </w:r>
          </w:p>
        </w:tc>
        <w:tc>
          <w:tcPr>
            <w:tcW w:w="4620" w:type="dxa"/>
            <w:vAlign w:val="bottom"/>
            <w:tcBorders>
              <w:bottom w:val="single" w:sz="8" w:color="0000FF"/>
            </w:tcBorders>
            <w:gridSpan w:val="16"/>
          </w:tcPr>
          <w:p>
            <w:pPr>
              <w:spacing w:after="0"/>
              <w:rPr>
                <w:rFonts w:ascii="Arial" w:cs="Arial" w:eastAsia="Arial" w:hAnsi="Arial"/>
                <w:sz w:val="14"/>
                <w:szCs w:val="14"/>
                <w:b w:val="1"/>
                <w:bCs w:val="1"/>
                <w:color w:val="0000FF"/>
                <w:w w:val="90"/>
              </w:rPr>
            </w:pPr>
            <w:hyperlink w:anchor="page121">
              <w:r>
                <w:rPr>
                  <w:rFonts w:ascii="Arial" w:cs="Arial" w:eastAsia="Arial" w:hAnsi="Arial"/>
                  <w:sz w:val="14"/>
                  <w:szCs w:val="14"/>
                  <w:b w:val="1"/>
                  <w:bCs w:val="1"/>
                  <w:color w:val="0000FF"/>
                  <w:w w:val="90"/>
                </w:rPr>
                <w:t>Certain Relationships and Related Transactions, and Director Independence</w:t>
              </w:r>
            </w:hyperlink>
          </w:p>
        </w:tc>
        <w:tc>
          <w:tcPr>
            <w:tcW w:w="4640" w:type="dxa"/>
            <w:vAlign w:val="bottom"/>
            <w:gridSpan w:val="5"/>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4"/>
                <w:szCs w:val="14"/>
                <w:b w:val="1"/>
                <w:bCs w:val="1"/>
                <w:color w:val="0000FF"/>
                <w:w w:val="89"/>
              </w:rPr>
            </w:pPr>
            <w:hyperlink w:anchor="page121">
              <w:r>
                <w:rPr>
                  <w:rFonts w:ascii="Arial" w:cs="Arial" w:eastAsia="Arial" w:hAnsi="Arial"/>
                  <w:sz w:val="14"/>
                  <w:szCs w:val="14"/>
                  <w:b w:val="1"/>
                  <w:bCs w:val="1"/>
                  <w:color w:val="0000FF"/>
                  <w:w w:val="89"/>
                </w:rPr>
                <w:t>72</w:t>
              </w:r>
            </w:hyperlink>
          </w:p>
        </w:tc>
        <w:tc>
          <w:tcPr>
            <w:tcW w:w="3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14.</w:t>
            </w:r>
          </w:p>
        </w:tc>
        <w:tc>
          <w:tcPr>
            <w:tcW w:w="9260" w:type="dxa"/>
            <w:vAlign w:val="bottom"/>
            <w:gridSpan w:val="21"/>
          </w:tcPr>
          <w:p>
            <w:pPr>
              <w:spacing w:after="0"/>
              <w:rPr>
                <w:rFonts w:ascii="Arial" w:cs="Arial" w:eastAsia="Arial" w:hAnsi="Arial"/>
                <w:sz w:val="14"/>
                <w:szCs w:val="14"/>
                <w:b w:val="1"/>
                <w:bCs w:val="1"/>
                <w:color w:val="0000FF"/>
              </w:rPr>
            </w:pPr>
            <w:hyperlink w:anchor="page121">
              <w:r>
                <w:rPr>
                  <w:rFonts w:ascii="Arial" w:cs="Arial" w:eastAsia="Arial" w:hAnsi="Arial"/>
                  <w:sz w:val="14"/>
                  <w:szCs w:val="14"/>
                  <w:b w:val="1"/>
                  <w:bCs w:val="1"/>
                  <w:color w:val="0000FF"/>
                </w:rPr>
                <w:t>Principal Accounting Fees and Services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121">
              <w:r>
                <w:rPr>
                  <w:rFonts w:ascii="Arial" w:cs="Arial" w:eastAsia="Arial" w:hAnsi="Arial"/>
                  <w:sz w:val="14"/>
                  <w:szCs w:val="14"/>
                  <w:b w:val="1"/>
                  <w:bCs w:val="1"/>
                  <w:color w:val="0000FF"/>
                  <w:w w:val="89"/>
                </w:rPr>
                <w:t>72</w:t>
              </w:r>
            </w:hyperlink>
          </w:p>
        </w:tc>
      </w:tr>
      <w:tr>
        <w:trPr>
          <w:trHeight w:val="20"/>
        </w:trPr>
        <w:tc>
          <w:tcPr>
            <w:tcW w:w="2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15.</w:t>
            </w:r>
          </w:p>
        </w:tc>
        <w:tc>
          <w:tcPr>
            <w:tcW w:w="9260" w:type="dxa"/>
            <w:vAlign w:val="bottom"/>
            <w:gridSpan w:val="21"/>
          </w:tcPr>
          <w:p>
            <w:pPr>
              <w:spacing w:after="0"/>
              <w:rPr>
                <w:rFonts w:ascii="Arial" w:cs="Arial" w:eastAsia="Arial" w:hAnsi="Arial"/>
                <w:sz w:val="14"/>
                <w:szCs w:val="14"/>
                <w:b w:val="1"/>
                <w:bCs w:val="1"/>
                <w:color w:val="0000FF"/>
              </w:rPr>
            </w:pPr>
            <w:hyperlink w:anchor="page121">
              <w:r>
                <w:rPr>
                  <w:rFonts w:ascii="Arial" w:cs="Arial" w:eastAsia="Arial" w:hAnsi="Arial"/>
                  <w:sz w:val="14"/>
                  <w:szCs w:val="14"/>
                  <w:b w:val="1"/>
                  <w:bCs w:val="1"/>
                  <w:color w:val="0000FF"/>
                </w:rPr>
                <w:t>Exhibits, Financial Statement Schedules</w:t>
              </w:r>
            </w:hyperlink>
          </w:p>
        </w:tc>
        <w:tc>
          <w:tcPr>
            <w:tcW w:w="480" w:type="dxa"/>
            <w:vAlign w:val="bottom"/>
            <w:gridSpan w:val="3"/>
          </w:tcPr>
          <w:p>
            <w:pPr>
              <w:jc w:val="right"/>
              <w:ind w:right="320"/>
              <w:spacing w:after="0"/>
              <w:rPr>
                <w:rFonts w:ascii="Arial" w:cs="Arial" w:eastAsia="Arial" w:hAnsi="Arial"/>
                <w:sz w:val="14"/>
                <w:szCs w:val="14"/>
                <w:b w:val="1"/>
                <w:bCs w:val="1"/>
                <w:color w:val="0000FF"/>
                <w:w w:val="89"/>
              </w:rPr>
            </w:pPr>
            <w:hyperlink w:anchor="page121">
              <w:r>
                <w:rPr>
                  <w:rFonts w:ascii="Arial" w:cs="Arial" w:eastAsia="Arial" w:hAnsi="Arial"/>
                  <w:sz w:val="14"/>
                  <w:szCs w:val="14"/>
                  <w:b w:val="1"/>
                  <w:bCs w:val="1"/>
                  <w:color w:val="0000FF"/>
                  <w:w w:val="89"/>
                </w:rPr>
                <w:t>72</w:t>
              </w:r>
            </w:hyperlink>
          </w:p>
        </w:tc>
      </w:tr>
      <w:tr>
        <w:trPr>
          <w:trHeight w:val="203"/>
        </w:trPr>
        <w:tc>
          <w:tcPr>
            <w:tcW w:w="20" w:type="dxa"/>
            <w:vAlign w:val="bottom"/>
          </w:tcPr>
          <w:p>
            <w:pPr>
              <w:spacing w:after="0"/>
              <w:rPr>
                <w:sz w:val="17"/>
                <w:szCs w:val="17"/>
                <w:color w:val="auto"/>
              </w:rPr>
            </w:pPr>
          </w:p>
        </w:tc>
        <w:tc>
          <w:tcPr>
            <w:tcW w:w="1520" w:type="dxa"/>
            <w:vAlign w:val="bottom"/>
            <w:gridSpan w:val="4"/>
          </w:tcPr>
          <w:p>
            <w:pPr>
              <w:ind w:left="260"/>
              <w:spacing w:after="0"/>
              <w:rPr>
                <w:sz w:val="20"/>
                <w:szCs w:val="20"/>
                <w:color w:val="auto"/>
              </w:rPr>
            </w:pPr>
            <w:r>
              <w:rPr>
                <w:rFonts w:ascii="Arial" w:cs="Arial" w:eastAsia="Arial" w:hAnsi="Arial"/>
                <w:sz w:val="14"/>
                <w:szCs w:val="14"/>
                <w:b w:val="1"/>
                <w:bCs w:val="1"/>
                <w:color w:val="auto"/>
              </w:rPr>
              <w:t>Item 16.</w:t>
            </w:r>
          </w:p>
        </w:tc>
        <w:tc>
          <w:tcPr>
            <w:tcW w:w="2420" w:type="dxa"/>
            <w:vAlign w:val="bottom"/>
            <w:tcBorders>
              <w:top w:val="single" w:sz="8" w:color="0000FF"/>
            </w:tcBorders>
            <w:gridSpan w:val="12"/>
          </w:tcPr>
          <w:p>
            <w:pPr>
              <w:spacing w:after="0"/>
              <w:rPr>
                <w:rFonts w:ascii="Arial" w:cs="Arial" w:eastAsia="Arial" w:hAnsi="Arial"/>
                <w:sz w:val="14"/>
                <w:szCs w:val="14"/>
                <w:b w:val="1"/>
                <w:bCs w:val="1"/>
                <w:color w:val="0000FF"/>
              </w:rPr>
            </w:pPr>
            <w:hyperlink w:anchor="page127">
              <w:r>
                <w:rPr>
                  <w:rFonts w:ascii="Arial" w:cs="Arial" w:eastAsia="Arial" w:hAnsi="Arial"/>
                  <w:sz w:val="14"/>
                  <w:szCs w:val="14"/>
                  <w:b w:val="1"/>
                  <w:bCs w:val="1"/>
                  <w:color w:val="0000FF"/>
                </w:rPr>
                <w:t>Form 10-K Summary</w:t>
              </w:r>
            </w:hyperlink>
          </w:p>
        </w:tc>
        <w:tc>
          <w:tcPr>
            <w:tcW w:w="6840" w:type="dxa"/>
            <w:vAlign w:val="bottom"/>
            <w:gridSpan w:val="9"/>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4"/>
                <w:szCs w:val="14"/>
                <w:b w:val="1"/>
                <w:bCs w:val="1"/>
                <w:color w:val="0000FF"/>
                <w:w w:val="89"/>
              </w:rPr>
            </w:pPr>
            <w:hyperlink w:anchor="page127">
              <w:r>
                <w:rPr>
                  <w:rFonts w:ascii="Arial" w:cs="Arial" w:eastAsia="Arial" w:hAnsi="Arial"/>
                  <w:sz w:val="14"/>
                  <w:szCs w:val="14"/>
                  <w:b w:val="1"/>
                  <w:bCs w:val="1"/>
                  <w:color w:val="0000FF"/>
                  <w:w w:val="89"/>
                </w:rPr>
                <w:t>78</w:t>
              </w:r>
            </w:hyperlink>
          </w:p>
        </w:tc>
        <w:tc>
          <w:tcPr>
            <w:tcW w:w="320" w:type="dxa"/>
            <w:vAlign w:val="bottom"/>
          </w:tcPr>
          <w:p>
            <w:pPr>
              <w:spacing w:after="0"/>
              <w:rPr>
                <w:sz w:val="17"/>
                <w:szCs w:val="17"/>
                <w:color w:val="auto"/>
              </w:rPr>
            </w:pPr>
          </w:p>
        </w:tc>
      </w:tr>
      <w:tr>
        <w:trPr>
          <w:trHeight w:val="968"/>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4"/>
          <w:szCs w:val="14"/>
          <w:b w:val="1"/>
          <w:bCs w:val="1"/>
          <w:color w:val="auto"/>
        </w:rPr>
        <w:t>INTRODUCTORY NOTE</w:t>
      </w:r>
    </w:p>
    <w:p>
      <w:pPr>
        <w:spacing w:after="0" w:line="140" w:lineRule="exact"/>
        <w:rPr>
          <w:sz w:val="20"/>
          <w:szCs w:val="20"/>
          <w:color w:val="auto"/>
        </w:rPr>
      </w:pPr>
    </w:p>
    <w:p>
      <w:pPr>
        <w:ind w:right="40" w:firstLine="350"/>
        <w:spacing w:after="0" w:line="282" w:lineRule="auto"/>
        <w:rPr>
          <w:sz w:val="20"/>
          <w:szCs w:val="20"/>
          <w:color w:val="auto"/>
        </w:rPr>
      </w:pPr>
      <w:r>
        <w:rPr>
          <w:rFonts w:ascii="Arial" w:cs="Arial" w:eastAsia="Arial" w:hAnsi="Arial"/>
          <w:sz w:val="13"/>
          <w:szCs w:val="13"/>
          <w:i w:val="1"/>
          <w:iCs w:val="1"/>
          <w:color w:val="auto"/>
        </w:rPr>
        <w:t>Unless the context otherwise indicates or requires, as used in this Annual Report on Form 10-K for the fiscal year ended March 31, 2021, references to: (i) “we,”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and "Booz Allen" refer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2021. We have made rounding adjustments to reach some of the figures included in this Annual Report and, unless otherwise indicated, percentages presented in this Annual Report are approximate.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76" w:lineRule="exact"/>
        <w:rPr>
          <w:sz w:val="20"/>
          <w:szCs w:val="20"/>
          <w:color w:val="auto"/>
        </w:rPr>
      </w:pPr>
    </w:p>
    <w:p>
      <w:pPr>
        <w:ind w:right="60" w:firstLine="350"/>
        <w:spacing w:after="0" w:line="258" w:lineRule="auto"/>
        <w:rPr>
          <w:sz w:val="20"/>
          <w:szCs w:val="20"/>
          <w:color w:val="auto"/>
        </w:rPr>
      </w:pPr>
      <w:r>
        <w:rPr>
          <w:rFonts w:ascii="Arial" w:cs="Arial" w:eastAsia="Arial" w:hAnsi="Arial"/>
          <w:sz w:val="14"/>
          <w:szCs w:val="14"/>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3" w:lineRule="exact"/>
        <w:rPr>
          <w:sz w:val="20"/>
          <w:szCs w:val="20"/>
          <w:color w:val="auto"/>
        </w:rPr>
      </w:pPr>
    </w:p>
    <w:p>
      <w:pPr>
        <w:ind w:left="460" w:right="80" w:hanging="264"/>
        <w:spacing w:after="0" w:line="281"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any issue that compromises our relationships with the U.S. government or damages our professional reputation, including negative publicity concerning government contractors in general or us in particular;</w:t>
      </w:r>
    </w:p>
    <w:p>
      <w:pPr>
        <w:spacing w:after="0" w:line="4" w:lineRule="exact"/>
        <w:rPr>
          <w:rFonts w:ascii="Arial" w:cs="Arial" w:eastAsia="Arial" w:hAnsi="Arial"/>
          <w:sz w:val="14"/>
          <w:szCs w:val="14"/>
          <w:color w:val="auto"/>
        </w:rPr>
      </w:pPr>
    </w:p>
    <w:p>
      <w:pPr>
        <w:ind w:left="460" w:right="120" w:hanging="264"/>
        <w:spacing w:after="0" w:line="281"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presidential and administration transition;</w:t>
      </w:r>
    </w:p>
    <w:p>
      <w:pPr>
        <w:spacing w:after="0" w:line="4" w:lineRule="exact"/>
        <w:rPr>
          <w:rFonts w:ascii="Arial" w:cs="Arial" w:eastAsia="Arial" w:hAnsi="Arial"/>
          <w:sz w:val="14"/>
          <w:szCs w:val="14"/>
          <w:color w:val="auto"/>
        </w:rPr>
      </w:pPr>
    </w:p>
    <w:p>
      <w:pPr>
        <w:ind w:left="460" w:hanging="264"/>
        <w:spacing w:after="0" w:line="281"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4" w:lineRule="exact"/>
        <w:rPr>
          <w:rFonts w:ascii="Arial" w:cs="Arial" w:eastAsia="Arial" w:hAnsi="Arial"/>
          <w:sz w:val="14"/>
          <w:szCs w:val="14"/>
          <w:color w:val="auto"/>
        </w:rPr>
      </w:pPr>
    </w:p>
    <w:p>
      <w:pPr>
        <w:ind w:left="460" w:right="40" w:hanging="264"/>
        <w:spacing w:after="0" w:line="306" w:lineRule="auto"/>
        <w:tabs>
          <w:tab w:leader="none" w:pos="456" w:val="left"/>
        </w:tabs>
        <w:numPr>
          <w:ilvl w:val="0"/>
          <w:numId w:val="3"/>
        </w:numPr>
        <w:rPr>
          <w:rFonts w:ascii="Arial" w:cs="Arial" w:eastAsia="Arial" w:hAnsi="Arial"/>
          <w:sz w:val="13"/>
          <w:szCs w:val="13"/>
          <w:color w:val="auto"/>
        </w:rPr>
      </w:pPr>
      <w:r>
        <w:rPr>
          <w:rFonts w:ascii="Arial" w:cs="Arial" w:eastAsia="Arial" w:hAnsi="Arial"/>
          <w:sz w:val="13"/>
          <w:szCs w:val="13"/>
          <w:color w:val="auto"/>
        </w:rPr>
        <w:t>delayed funding of our contracts due to uncertainty relating to funding of the U.S. government and a possible failure of Congressional efforts to approve such funding and to craft a long-term agreement on the U.S. government’s ability to incur indebtedness in excess of its current limits, or changes in the pattern or timing of government funding and spending;</w:t>
      </w:r>
    </w:p>
    <w:p>
      <w:pPr>
        <w:ind w:left="440" w:hanging="24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U.S. government shutdowns as a result of the failure by elected officials to fund the government;</w:t>
      </w:r>
    </w:p>
    <w:p>
      <w:pPr>
        <w:spacing w:after="0" w:line="51" w:lineRule="exact"/>
        <w:rPr>
          <w:rFonts w:ascii="Arial" w:cs="Arial" w:eastAsia="Arial" w:hAnsi="Arial"/>
          <w:sz w:val="14"/>
          <w:szCs w:val="14"/>
          <w:color w:val="auto"/>
        </w:rPr>
      </w:pPr>
    </w:p>
    <w:p>
      <w:pPr>
        <w:ind w:left="460" w:right="380" w:hanging="264"/>
        <w:spacing w:after="0" w:line="281"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4" w:lineRule="exact"/>
        <w:rPr>
          <w:rFonts w:ascii="Arial" w:cs="Arial" w:eastAsia="Arial" w:hAnsi="Arial"/>
          <w:sz w:val="14"/>
          <w:szCs w:val="14"/>
          <w:color w:val="auto"/>
        </w:rPr>
      </w:pPr>
    </w:p>
    <w:p>
      <w:pPr>
        <w:ind w:left="440" w:hanging="244"/>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effects of COVID-19 and other pandemics or widespread health epidemics, including disruptions to our workforce and the impact on government spending and demand for our solutions;</w:t>
      </w:r>
    </w:p>
    <w:p>
      <w:pPr>
        <w:spacing w:after="0" w:line="74" w:lineRule="exact"/>
        <w:rPr>
          <w:rFonts w:ascii="Arial" w:cs="Arial" w:eastAsia="Arial" w:hAnsi="Arial"/>
          <w:sz w:val="12"/>
          <w:szCs w:val="12"/>
          <w:color w:val="auto"/>
        </w:rPr>
      </w:pPr>
    </w:p>
    <w:p>
      <w:pPr>
        <w:ind w:left="440" w:hanging="244"/>
        <w:spacing w:after="0"/>
        <w:tabs>
          <w:tab w:leader="none" w:pos="4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3"/>
          <w:szCs w:val="13"/>
          <w:color w:val="auto"/>
        </w:rPr>
      </w:pPr>
    </w:p>
    <w:p>
      <w:pPr>
        <w:ind w:left="460" w:right="340" w:hanging="264"/>
        <w:spacing w:after="0" w:line="281" w:lineRule="auto"/>
        <w:tabs>
          <w:tab w:leader="none" w:pos="456" w:val="left"/>
        </w:tabs>
        <w:numPr>
          <w:ilvl w:val="0"/>
          <w:numId w:val="3"/>
        </w:numPr>
        <w:rPr>
          <w:rFonts w:ascii="Arial" w:cs="Arial" w:eastAsia="Arial" w:hAnsi="Arial"/>
          <w:sz w:val="14"/>
          <w:szCs w:val="14"/>
          <w:color w:val="auto"/>
        </w:rPr>
      </w:pPr>
      <w:r>
        <w:rPr>
          <w:rFonts w:ascii="Arial" w:cs="Arial" w:eastAsia="Arial" w:hAnsi="Arial"/>
          <w:sz w:val="14"/>
          <w:szCs w:val="14"/>
          <w:color w:val="auto"/>
        </w:rPr>
        <w:t>variable purchasing patterns under U.S. government General Services Administration Multiple Award schedule contracts, or GSA schedules, blanket purchase agreements and indefinite delivery, indefinite quantity, or IDIQ, contracts;</w:t>
      </w:r>
    </w:p>
    <w:p>
      <w:pPr>
        <w:spacing w:after="0" w:line="4" w:lineRule="exact"/>
        <w:rPr>
          <w:rFonts w:ascii="Arial" w:cs="Arial" w:eastAsia="Arial" w:hAnsi="Arial"/>
          <w:sz w:val="14"/>
          <w:szCs w:val="14"/>
          <w:color w:val="auto"/>
        </w:rPr>
      </w:pPr>
    </w:p>
    <w:p>
      <w:pPr>
        <w:ind w:left="440" w:hanging="24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GSA schedules or our position as prime contractor on government-wide acquisition contract vehicles, or GWACs;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the mix of our contracts and our ability to accurately estimate or otherwise recover expenses, time, and resources for our contracts;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estimates used in recognizing revenue;</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realize the full value of and replenish our backlog, generate revenue under certain of our contracts, and the timing of our receipt of revenue under contracts included in backlog;</w:t>
      </w:r>
    </w:p>
    <w:p>
      <w:pPr>
        <w:spacing w:after="0" w:line="74" w:lineRule="exact"/>
        <w:rPr>
          <w:rFonts w:ascii="Arial" w:cs="Arial" w:eastAsia="Arial" w:hAnsi="Arial"/>
          <w:sz w:val="12"/>
          <w:szCs w:val="12"/>
          <w:color w:val="auto"/>
        </w:rPr>
      </w:pPr>
    </w:p>
    <w:p>
      <w:pPr>
        <w:ind w:left="440" w:hanging="244"/>
        <w:spacing w:after="0"/>
        <w:tabs>
          <w:tab w:leader="none" w:pos="4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internal system or service failures and security breaches, including, but not limited to, those resulting from external or internal cyber attacks on our network and internal systems;</w:t>
      </w:r>
    </w:p>
    <w:p>
      <w:pPr>
        <w:spacing w:after="0" w:line="62" w:lineRule="exact"/>
        <w:rPr>
          <w:rFonts w:ascii="Arial" w:cs="Arial" w:eastAsia="Arial" w:hAnsi="Arial"/>
          <w:sz w:val="13"/>
          <w:szCs w:val="13"/>
          <w:color w:val="auto"/>
        </w:rPr>
      </w:pPr>
    </w:p>
    <w:p>
      <w:pPr>
        <w:ind w:left="440" w:hanging="244"/>
        <w:spacing w:after="0"/>
        <w:tabs>
          <w:tab w:leader="none" w:pos="4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the implementation and operation of new financial management systems;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4" w:name="page5"/>
    <w:bookmarkEnd w:id="4"/>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inability to attract, train, or retain employees with the requisite skills and experience;</w:t>
      </w:r>
    </w:p>
    <w:p>
      <w:pPr>
        <w:spacing w:after="0" w:line="51" w:lineRule="exact"/>
        <w:rPr>
          <w:rFonts w:ascii="Arial" w:cs="Arial" w:eastAsia="Arial" w:hAnsi="Arial"/>
          <w:sz w:val="14"/>
          <w:szCs w:val="14"/>
          <w:color w:val="auto"/>
        </w:rPr>
      </w:pPr>
    </w:p>
    <w:p>
      <w:pPr>
        <w:ind w:left="460" w:right="360" w:hanging="264"/>
        <w:spacing w:after="0" w:line="281" w:lineRule="auto"/>
        <w:tabs>
          <w:tab w:leader="none" w:pos="45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 inability to timely hire, assimilate and effectively utilize our employees, ensure that employees obtain and maintain necessary security clearances and/or effectively manage our cost structure;</w:t>
      </w:r>
    </w:p>
    <w:p>
      <w:pPr>
        <w:spacing w:after="0" w:line="4"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loss of members of senior management or failure to develop new leaders;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misconduct or other improper activities from our employees or subcontractors, including the improper use or release of our clients’ sensitive or classified information;</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competition from other companies in our industry;</w:t>
      </w:r>
    </w:p>
    <w:p>
      <w:pPr>
        <w:spacing w:after="0" w:line="51" w:lineRule="exact"/>
        <w:rPr>
          <w:rFonts w:ascii="Arial" w:cs="Arial" w:eastAsia="Arial" w:hAnsi="Arial"/>
          <w:sz w:val="14"/>
          <w:szCs w:val="14"/>
          <w:color w:val="auto"/>
        </w:rPr>
      </w:pPr>
    </w:p>
    <w:p>
      <w:pPr>
        <w:ind w:left="460" w:hanging="264"/>
        <w:spacing w:after="0" w:line="281" w:lineRule="auto"/>
        <w:tabs>
          <w:tab w:leader="none" w:pos="456"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maintain strong relationships with other contractors, or the failure of contractors with which we have entered into a sub- or prime-contractor relationship to meet their obligations to us or our clients;</w:t>
      </w:r>
    </w:p>
    <w:p>
      <w:pPr>
        <w:spacing w:after="0" w:line="4" w:lineRule="exact"/>
        <w:rPr>
          <w:rFonts w:ascii="Arial" w:cs="Arial" w:eastAsia="Arial" w:hAnsi="Arial"/>
          <w:sz w:val="14"/>
          <w:szCs w:val="14"/>
          <w:color w:val="auto"/>
        </w:rPr>
      </w:pPr>
    </w:p>
    <w:p>
      <w:pPr>
        <w:ind w:left="460" w:right="80" w:hanging="264"/>
        <w:spacing w:after="0" w:line="332" w:lineRule="auto"/>
        <w:tabs>
          <w:tab w:leader="none" w:pos="456" w:val="left"/>
        </w:tabs>
        <w:numPr>
          <w:ilvl w:val="0"/>
          <w:numId w:val="4"/>
        </w:numPr>
        <w:rPr>
          <w:rFonts w:ascii="Arial" w:cs="Arial" w:eastAsia="Arial" w:hAnsi="Arial"/>
          <w:sz w:val="12"/>
          <w:szCs w:val="12"/>
          <w:color w:val="auto"/>
        </w:rPr>
      </w:pPr>
      <w:r>
        <w:rPr>
          <w:rFonts w:ascii="Arial" w:cs="Arial" w:eastAsia="Arial" w:hAnsi="Arial"/>
          <w:sz w:val="12"/>
          <w:szCs w:val="12"/>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comply with special U.S. government laws and regulations relating to our international operations;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associated with increased competition, new relationships, clients, capabilities, and service offerings in our U.S. and international businesses;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changes to our operating structure, capabilities, or strategy intended to address client needs, grow our business, or respond to market developments;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adoption by the U.S. government of new laws, rules, and regulations, such as those relating to organizational conflicts of interest issues or limits;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completed and future acquisitions, including our ability to realize the expected benefits from such acquisitions;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incurrence of additional tax liabilities, including as a result of changes in tax laws or management judgments involving complex tax matters;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inherent in the government contracting environment;</w:t>
      </w:r>
    </w:p>
    <w:p>
      <w:pPr>
        <w:spacing w:after="0" w:line="51" w:lineRule="exact"/>
        <w:rPr>
          <w:rFonts w:ascii="Arial" w:cs="Arial" w:eastAsia="Arial" w:hAnsi="Arial"/>
          <w:sz w:val="14"/>
          <w:szCs w:val="14"/>
          <w:color w:val="auto"/>
        </w:rPr>
      </w:pPr>
    </w:p>
    <w:p>
      <w:pPr>
        <w:ind w:left="460" w:right="680" w:hanging="264"/>
        <w:spacing w:after="0" w:line="306" w:lineRule="auto"/>
        <w:tabs>
          <w:tab w:leader="none" w:pos="456"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ind w:left="460" w:right="120" w:hanging="264"/>
        <w:spacing w:after="0" w:line="281" w:lineRule="auto"/>
        <w:tabs>
          <w:tab w:leader="none" w:pos="45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4"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size of our addressable markets and the amount of U.S. government spending on private contractors;</w:t>
      </w:r>
    </w:p>
    <w:p>
      <w:pPr>
        <w:spacing w:after="0" w:line="51"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our indebtedness and credit facilities which contain financial and operating covenants;</w:t>
      </w:r>
    </w:p>
    <w:p>
      <w:pPr>
        <w:spacing w:after="0" w:line="51" w:lineRule="exact"/>
        <w:rPr>
          <w:rFonts w:ascii="Arial" w:cs="Arial" w:eastAsia="Arial" w:hAnsi="Arial"/>
          <w:sz w:val="14"/>
          <w:szCs w:val="14"/>
          <w:color w:val="auto"/>
        </w:rPr>
      </w:pPr>
    </w:p>
    <w:p>
      <w:pPr>
        <w:ind w:left="460" w:right="160" w:hanging="264"/>
        <w:spacing w:after="0" w:line="281" w:lineRule="auto"/>
        <w:tabs>
          <w:tab w:leader="none" w:pos="45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4" w:lineRule="exact"/>
        <w:rPr>
          <w:rFonts w:ascii="Arial" w:cs="Arial" w:eastAsia="Arial" w:hAnsi="Arial"/>
          <w:sz w:val="14"/>
          <w:szCs w:val="14"/>
          <w:color w:val="auto"/>
        </w:rPr>
      </w:pPr>
    </w:p>
    <w:p>
      <w:pPr>
        <w:ind w:left="440" w:hanging="244"/>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risks and factors listed under “Item 1A. Risk Factors” and elsewhere in this Annual Report.</w:t>
      </w:r>
    </w:p>
    <w:p>
      <w:pPr>
        <w:spacing w:after="0" w:line="51"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76"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PART I</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jc w:val="both"/>
        <w:ind w:right="180" w:firstLine="382"/>
        <w:spacing w:after="0" w:line="297" w:lineRule="auto"/>
        <w:rPr>
          <w:sz w:val="20"/>
          <w:szCs w:val="20"/>
          <w:color w:val="auto"/>
        </w:rPr>
      </w:pPr>
      <w:r>
        <w:rPr>
          <w:rFonts w:ascii="Arial" w:cs="Arial" w:eastAsia="Arial" w:hAnsi="Arial"/>
          <w:sz w:val="13"/>
          <w:szCs w:val="13"/>
          <w:color w:val="auto"/>
        </w:rPr>
        <w:t>For more than 100 years, business, government, and military leaders have turned to Booz Allen Hamilton to solve their most complex problems. A values-driven organization with a guiding purpose to empower people to change the world, we remain focused on providing long-term solutions to our clients’ emerging and ever-changing challenges. Our people are passionate about their service to our clients and their missions and the communities in which we live and work. This is our heritage, and it is as true today as when the Company was founded in 1914.</w:t>
      </w:r>
    </w:p>
    <w:p>
      <w:pPr>
        <w:spacing w:after="0" w:line="39"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A collaborative culture is an integral part of our unique operating model, which encourages our people to bring a diversity of ideas and talent to every client engagement. Building on our legacy of passionate client service and guided by our long-term growth strategy, we blend deep expertise in management consulting with advanced technical capabilities to deliver powerful solutions. By investing in markets, capabilities, and talent and building new business models, including ventures, partnerships, and product offerings, we believe we are creating sustainable quality growth for the Company.</w:t>
      </w:r>
    </w:p>
    <w:p>
      <w:pPr>
        <w:spacing w:after="0" w:line="93"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Through our dedication to our clients' missions, and a commitment to evolving our business to address their needs, we have longstanding relationships with our clients, some more than 80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governmental efficiency to achieve better outcomes. We serve commercial clients across industries including financial services, health and life sciences, energy, and technology. We have a presence in the Middle East and other international markets.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History and Corporate Structure</w:t>
      </w:r>
    </w:p>
    <w:p>
      <w:pPr>
        <w:spacing w:after="0" w:line="98" w:lineRule="exact"/>
        <w:rPr>
          <w:sz w:val="20"/>
          <w:szCs w:val="20"/>
          <w:color w:val="auto"/>
        </w:rPr>
      </w:pPr>
    </w:p>
    <w:p>
      <w:pPr>
        <w:jc w:val="both"/>
        <w:ind w:right="80" w:firstLine="350"/>
        <w:spacing w:after="0" w:line="267" w:lineRule="auto"/>
        <w:rPr>
          <w:sz w:val="20"/>
          <w:szCs w:val="20"/>
          <w:color w:val="auto"/>
        </w:rPr>
      </w:pPr>
      <w:r>
        <w:rPr>
          <w:rFonts w:ascii="Arial" w:cs="Arial" w:eastAsia="Arial" w:hAnsi="Arial"/>
          <w:sz w:val="14"/>
          <w:szCs w:val="14"/>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analytics, digital solutions, engineering, and cyber.</w:t>
      </w:r>
    </w:p>
    <w:p>
      <w:pPr>
        <w:spacing w:after="0" w:line="57" w:lineRule="exact"/>
        <w:rPr>
          <w:sz w:val="20"/>
          <w:szCs w:val="20"/>
          <w:color w:val="auto"/>
        </w:rPr>
      </w:pPr>
    </w:p>
    <w:p>
      <w:pPr>
        <w:ind w:right="140" w:firstLine="350"/>
        <w:spacing w:after="0" w:line="321" w:lineRule="auto"/>
        <w:rPr>
          <w:sz w:val="20"/>
          <w:szCs w:val="20"/>
          <w:color w:val="auto"/>
        </w:rPr>
      </w:pPr>
      <w:r>
        <w:rPr>
          <w:rFonts w:ascii="Arial" w:cs="Arial" w:eastAsia="Arial" w:hAnsi="Arial"/>
          <w:sz w:val="13"/>
          <w:szCs w:val="13"/>
          <w:color w:val="auto"/>
        </w:rPr>
        <w:t>We are organized and operate as a corporation, but sometimes use the term “partner” to refer to our Chief Executive Officer and our Senior and Executive Vice Presidents. The use of the term “partner” reflects our collaborative culture and is not meant to imply that we operate our Company as, or have any intention to create a legal entity that is, a partnership.</w:t>
      </w:r>
    </w:p>
    <w:p>
      <w:pPr>
        <w:spacing w:after="0" w:line="24" w:lineRule="exact"/>
        <w:rPr>
          <w:sz w:val="20"/>
          <w:szCs w:val="20"/>
          <w:color w:val="auto"/>
        </w:rPr>
      </w:pPr>
    </w:p>
    <w:p>
      <w:pPr>
        <w:ind w:right="100" w:firstLine="350"/>
        <w:spacing w:after="0" w:line="258" w:lineRule="auto"/>
        <w:rPr>
          <w:sz w:val="20"/>
          <w:szCs w:val="20"/>
          <w:color w:val="auto"/>
        </w:rPr>
      </w:pPr>
      <w:r>
        <w:rPr>
          <w:rFonts w:ascii="Arial" w:cs="Arial" w:eastAsia="Arial" w:hAnsi="Arial"/>
          <w:sz w:val="14"/>
          <w:szCs w:val="14"/>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spin-off of the commercial and international business, and the sale of 100% of its outstanding common stock to Booz Allen Holding, or the Carlyle Acquisition, which was majority owned by The Carlyle Group and certain of its affiliated investment funds, or Carlyle. Our Company is a corporation that is the successor to the U.S. government consulting business of Booz Allen Hamilton following the separation. Between 2013 and 2016, we registered the offering and sale of common stock by Carlyle, and on December 6, 2016, Carlyle disposed of its remaining shares of the Company's Class A Common Stock in a registered secondary offering.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Institution and Operating Model</w:t>
      </w:r>
    </w:p>
    <w:p>
      <w:pPr>
        <w:spacing w:after="0" w:line="98" w:lineRule="exact"/>
        <w:rPr>
          <w:sz w:val="20"/>
          <w:szCs w:val="20"/>
          <w:color w:val="auto"/>
        </w:rPr>
      </w:pPr>
    </w:p>
    <w:p>
      <w:pPr>
        <w:ind w:right="60" w:firstLine="318"/>
        <w:spacing w:after="0" w:line="288" w:lineRule="auto"/>
        <w:rPr>
          <w:sz w:val="20"/>
          <w:szCs w:val="20"/>
          <w:color w:val="auto"/>
        </w:rPr>
      </w:pPr>
      <w:r>
        <w:rPr>
          <w:rFonts w:ascii="Arial" w:cs="Arial" w:eastAsia="Arial" w:hAnsi="Arial"/>
          <w:sz w:val="13"/>
          <w:szCs w:val="13"/>
          <w:color w:val="auto"/>
        </w:rPr>
        <w:t>We operate as a single profit/loss center with a single bonus pool for leadership. Our operating model encourages collaboration allowing us to bring a mix of the best talent to every client engagement. Our partnership-style culture provides the operational flexibility necessary to quickly mobilize people and capabilities to react to market changes faster than our competitors. As a result, we can go to market as a whole company rather than as a collection of individual competing business units or profit centers. Our operating model also encourages and enables continuous investment in the right markets, capabilities, and talent to position the Company for further growth by anticipating what government and commercial clients will need next.</w:t>
      </w:r>
    </w:p>
    <w:p>
      <w:pPr>
        <w:spacing w:after="0" w:line="46"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Across all markets, we address our clients’ complex and evolving needs by deploying multifaceted teams with a combination of deep mission understanding, market-leading functional capabilities, consulting talent, and true technical and engineering expertise. These client-facing teams, which are fundamental to our differentiated value proposition, better position us to create market-relevant growth strategies and plan for and meet current, future, and prospective market needs. They also help us identify and deliver against diverse client needs in a more agile manner. Our significant win rates during fiscal 2021 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 w:name="page7"/>
    <w:bookmarkEnd w:id="6"/>
    <w:p>
      <w:pPr>
        <w:ind w:right="2040"/>
        <w:spacing w:after="0" w:line="379" w:lineRule="auto"/>
        <w:rPr>
          <w:sz w:val="20"/>
          <w:szCs w:val="20"/>
          <w:color w:val="auto"/>
        </w:rPr>
      </w:pPr>
      <w:r>
        <w:rPr>
          <w:rFonts w:ascii="Arial" w:cs="Arial" w:eastAsia="Arial" w:hAnsi="Arial"/>
          <w:sz w:val="14"/>
          <w:szCs w:val="14"/>
          <w:color w:val="auto"/>
        </w:rPr>
        <w:t xml:space="preserve">new and re-competed contracts of 56% and 88%, respectively, as compared to 61% and 90%, respectively, in fiscal 2020 demonstrate the strength of this approach. </w:t>
      </w:r>
      <w:r>
        <w:rPr>
          <w:rFonts w:ascii="Arial" w:cs="Arial" w:eastAsia="Arial" w:hAnsi="Arial"/>
          <w:sz w:val="14"/>
          <w:szCs w:val="14"/>
          <w:b w:val="1"/>
          <w:bCs w:val="1"/>
          <w:color w:val="auto"/>
        </w:rPr>
        <w:t>Human Capital</w:t>
      </w:r>
    </w:p>
    <w:p>
      <w:pPr>
        <w:spacing w:after="0" w:line="1"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i w:val="1"/>
          <w:iCs w:val="1"/>
          <w:color w:val="auto"/>
        </w:rPr>
        <w:t>Purpose and Values</w:t>
      </w:r>
      <w:r>
        <w:rPr>
          <w:rFonts w:ascii="Arial" w:cs="Arial" w:eastAsia="Arial" w:hAnsi="Arial"/>
          <w:sz w:val="14"/>
          <w:szCs w:val="14"/>
          <w:color w:val="auto"/>
        </w:rPr>
        <w:t>. As one of the first organizations in the United States to adopt a formal code of business ethics, we have always believed that doing what’s right and holding ourselves and</w:t>
      </w:r>
      <w:r>
        <w:rPr>
          <w:rFonts w:ascii="Arial" w:cs="Arial" w:eastAsia="Arial" w:hAnsi="Arial"/>
          <w:sz w:val="14"/>
          <w:szCs w:val="14"/>
          <w:i w:val="1"/>
          <w:iCs w:val="1"/>
          <w:color w:val="auto"/>
        </w:rPr>
        <w:t xml:space="preserve"> </w:t>
      </w:r>
      <w:r>
        <w:rPr>
          <w:rFonts w:ascii="Arial" w:cs="Arial" w:eastAsia="Arial" w:hAnsi="Arial"/>
          <w:sz w:val="14"/>
          <w:szCs w:val="14"/>
          <w:color w:val="auto"/>
        </w:rPr>
        <w:t>others accountable is the only way to do business. Our people exemplify our purpose to “empower people to change the world” and live our values:</w:t>
      </w:r>
    </w:p>
    <w:p>
      <w:pPr>
        <w:spacing w:after="0" w:line="47"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Ferocious Integrity: Do right; hold ourselves accountable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Unflinching Courage: Speak truth to power; maintain convictions; bring bold thinking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Passionate Service: Embrace the mission; build community through generosity; make meaningful connections; listen and act with empathy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Collective Ingenuity: Find the biggest problem and solve it; be resourceful and creative; seek to make the biggest difference; harness the power of diversity; be devoted to the team</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Champion’s Heart: Crave being the best; bring joy to the pursuit; learn from failure; compete with passion</w:t>
      </w:r>
    </w:p>
    <w:p>
      <w:pPr>
        <w:spacing w:after="0" w:line="94" w:lineRule="exact"/>
        <w:rPr>
          <w:sz w:val="20"/>
          <w:szCs w:val="20"/>
          <w:color w:val="auto"/>
        </w:rPr>
      </w:pPr>
    </w:p>
    <w:p>
      <w:pPr>
        <w:ind w:right="20" w:firstLine="318"/>
        <w:spacing w:after="0" w:line="297" w:lineRule="auto"/>
        <w:rPr>
          <w:sz w:val="20"/>
          <w:szCs w:val="20"/>
          <w:color w:val="auto"/>
        </w:rPr>
      </w:pPr>
      <w:r>
        <w:rPr>
          <w:rFonts w:ascii="Arial" w:cs="Arial" w:eastAsia="Arial" w:hAnsi="Arial"/>
          <w:sz w:val="13"/>
          <w:szCs w:val="13"/>
          <w:i w:val="1"/>
          <w:iCs w:val="1"/>
          <w:color w:val="auto"/>
        </w:rPr>
        <w:t>Our People</w:t>
      </w:r>
      <w:r>
        <w:rPr>
          <w:rFonts w:ascii="Arial" w:cs="Arial" w:eastAsia="Arial" w:hAnsi="Arial"/>
          <w:sz w:val="13"/>
          <w:szCs w:val="13"/>
          <w:color w:val="auto"/>
        </w:rPr>
        <w:t>. Our ability to deliver lasting value and results to our clients has always been, and continues to be, a product of the strong character, expertise, and tremendous passion of our people.</w:t>
      </w:r>
      <w:r>
        <w:rPr>
          <w:rFonts w:ascii="Arial" w:cs="Arial" w:eastAsia="Arial" w:hAnsi="Arial"/>
          <w:sz w:val="13"/>
          <w:szCs w:val="13"/>
          <w:i w:val="1"/>
          <w:iCs w:val="1"/>
          <w:color w:val="auto"/>
        </w:rPr>
        <w:t xml:space="preserve"> </w:t>
      </w:r>
      <w:r>
        <w:rPr>
          <w:rFonts w:ascii="Arial" w:cs="Arial" w:eastAsia="Arial" w:hAnsi="Arial"/>
          <w:sz w:val="13"/>
          <w:szCs w:val="13"/>
          <w:color w:val="auto"/>
        </w:rPr>
        <w:t>Our approximately 27,700 employees work to solve hard problems by making our clients’ missions their own, combining decades of consulting and domain expertise with functional expertise in areas such as analytics, digital solutions, engineering, and cyber. Our talented people are supported by a culture of innovation, diversity, equity, and inclusion (DEI).</w:t>
      </w:r>
    </w:p>
    <w:p>
      <w:pPr>
        <w:spacing w:after="0" w:line="39"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i w:val="1"/>
          <w:iCs w:val="1"/>
          <w:color w:val="auto"/>
        </w:rPr>
        <w:t>Diversity, Equity, and Inclusion</w:t>
      </w:r>
      <w:r>
        <w:rPr>
          <w:rFonts w:ascii="Arial" w:cs="Arial" w:eastAsia="Arial" w:hAnsi="Arial"/>
          <w:sz w:val="13"/>
          <w:szCs w:val="13"/>
          <w:color w:val="auto"/>
        </w:rPr>
        <w:t>. At Booz Allen, we are committed to enhancing opportunity for all of our people to achieve their full potential. Our DEI strategy centers on leading by example</w:t>
      </w:r>
      <w:r>
        <w:rPr>
          <w:rFonts w:ascii="Arial" w:cs="Arial" w:eastAsia="Arial" w:hAnsi="Arial"/>
          <w:sz w:val="13"/>
          <w:szCs w:val="13"/>
          <w:i w:val="1"/>
          <w:iCs w:val="1"/>
          <w:color w:val="auto"/>
        </w:rPr>
        <w:t xml:space="preserve"> </w:t>
      </w:r>
      <w:r>
        <w:rPr>
          <w:rFonts w:ascii="Arial" w:cs="Arial" w:eastAsia="Arial" w:hAnsi="Arial"/>
          <w:sz w:val="13"/>
          <w:szCs w:val="13"/>
          <w:color w:val="auto"/>
        </w:rPr>
        <w:t>with transparency and inclusion, empowering potential by driving equitable access and outcomes, inspiring belonging and inclusion, and being a force for advancing equity and inclusion. In the summer of 2020, we announced our Race and Social Equity Agenda, which focuses on assessing our business practices and the impact on Black, Indigenous, and People of Color (BIPOC) individuals; increasing personal time and space for reflection and mental health; intensifying investment and accountability in BIPOC representation at all levels; accelerating our DEI learning and education programs; advancing social equity causes; and making racial and social equity a major element of our corporate philanthropy.</w:t>
      </w:r>
    </w:p>
    <w:p>
      <w:pPr>
        <w:spacing w:after="0" w:line="49"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We foster the spirit of innovation and inclusion at Booz Allen through business opportunities, events, partnerships, programs, and tools that facilitate collaboration to tackle a common challenge or pitch new products and capabilities. It is the diversity of our employees that fuels this innovation and enhances the way we work by bringing a wealth of experiences and expertise to any challenge. We celebrate difference in all forms, building an environment of diversity, equity, and inclusion regardless of ethnicity, religion, gender, sexual orientation, age, or disability. Our Business Resource Groups, which are executive-sponsored organizations that any Booz Allen employee can join, illustrate our devotion to DEI by cultivating meaningful networks and development opportunities across locations, job roles, levels, and functional expertise; celebrating inclusive action through recognition programs; and attracting diverse talent to Booz Allen.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March 31, 2021, based upon voluntary self-reporting:</w:t>
      </w:r>
    </w:p>
    <w:p>
      <w:pPr>
        <w:spacing w:after="0" w:line="94"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36% of our global workforce identified as female, including 34% of senior management and 67% of executive leadership</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32% of our U.S. workforce identified as BIPOC, including 19% of senior management and 22% of executive leadership</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Nearly 27% of our employees are veterans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87% of our employees hold bachelor’s degrees; approximately 41% hold master’s degrees; and approximately 3% hold doctoral degrees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68% of our employees hold security clearances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new employee hires, 30% globally identified as female and 37% in the U.S. identified as BIPOC</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employee departures, 30% globally identified as female and 35% in the U.S. identified as BIPOC</w:t>
      </w:r>
    </w:p>
    <w:p>
      <w:pPr>
        <w:spacing w:after="0" w:line="94" w:lineRule="exact"/>
        <w:rPr>
          <w:sz w:val="20"/>
          <w:szCs w:val="20"/>
          <w:color w:val="auto"/>
        </w:rPr>
      </w:pPr>
    </w:p>
    <w:p>
      <w:pPr>
        <w:ind w:right="120" w:firstLine="318"/>
        <w:spacing w:after="0" w:line="321" w:lineRule="auto"/>
        <w:rPr>
          <w:sz w:val="20"/>
          <w:szCs w:val="20"/>
          <w:color w:val="auto"/>
        </w:rPr>
      </w:pPr>
      <w:r>
        <w:rPr>
          <w:rFonts w:ascii="Arial" w:cs="Arial" w:eastAsia="Arial" w:hAnsi="Arial"/>
          <w:sz w:val="13"/>
          <w:szCs w:val="13"/>
          <w:i w:val="1"/>
          <w:iCs w:val="1"/>
          <w:color w:val="auto"/>
        </w:rPr>
        <w:t>Talent Acquisition and Development</w:t>
      </w:r>
      <w:r>
        <w:rPr>
          <w:rFonts w:ascii="Arial" w:cs="Arial" w:eastAsia="Arial" w:hAnsi="Arial"/>
          <w:sz w:val="13"/>
          <w:szCs w:val="13"/>
          <w:color w:val="auto"/>
        </w:rPr>
        <w:t>. We attract and retain the best people by providing them with opportunities to grow, build skills, and be appreciated for their contributions as they work on</w:t>
      </w:r>
      <w:r>
        <w:rPr>
          <w:rFonts w:ascii="Arial" w:cs="Arial" w:eastAsia="Arial" w:hAnsi="Arial"/>
          <w:sz w:val="13"/>
          <w:szCs w:val="13"/>
          <w:i w:val="1"/>
          <w:iCs w:val="1"/>
          <w:color w:val="auto"/>
        </w:rPr>
        <w:t xml:space="preserve"> </w:t>
      </w:r>
      <w:r>
        <w:rPr>
          <w:rFonts w:ascii="Arial" w:cs="Arial" w:eastAsia="Arial" w:hAnsi="Arial"/>
          <w:sz w:val="13"/>
          <w:szCs w:val="13"/>
          <w:color w:val="auto"/>
        </w:rPr>
        <w:t>our clients’ toughest challenges. We continuously invest in elements of our employee value proposition to ensure we remain an employer of choice in a highly competitive talent marketplace.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7" w:name="page8"/>
    <w:bookmarkEnd w:id="7"/>
    <w:p>
      <w:pPr>
        <w:ind w:right="220" w:firstLine="318"/>
        <w:spacing w:after="0" w:line="275" w:lineRule="auto"/>
        <w:rPr>
          <w:sz w:val="20"/>
          <w:szCs w:val="20"/>
          <w:color w:val="auto"/>
        </w:rPr>
      </w:pPr>
      <w:r>
        <w:rPr>
          <w:rFonts w:ascii="Arial" w:cs="Arial" w:eastAsia="Arial" w:hAnsi="Arial"/>
          <w:sz w:val="14"/>
          <w:szCs w:val="14"/>
          <w:color w:val="auto"/>
        </w:rPr>
        <w:t>Our Total Rewards program shows our appreciation for our employeesʼ contributions, provides them with opportunities and choice, supports well-being, and helps them navigate work-life integration. To support a resilient, high-performing workforce, we invest in financial, emotional, and physical wellness. We offer financial and non-financial benefits and incentives built to expand our employees’ life pursuits, such as continuous learning through mentoring, upskilling and reskilling programs, including Company-funded FlexEd opportunities; paid and unpaid parental leave options for birth and adoptive primary and secondary caregivers; paid time off and holidays; and civic responsibilities leave.</w:t>
      </w:r>
    </w:p>
    <w:p>
      <w:pPr>
        <w:spacing w:after="0" w:line="51"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Our employee value proposition creates a virtuous circle in which our employees know they are making a difference while growing their careers, which furthers their commitment to Booz Allen and in turn makes them ambassadors for future talent. Booz Allen has always recognized the importance of our people and culture, and we continue to build on that strong legacy as we support our employees to meet their full potential.</w:t>
      </w:r>
    </w:p>
    <w:p>
      <w:pPr>
        <w:spacing w:after="0" w:line="57" w:lineRule="exact"/>
        <w:rPr>
          <w:sz w:val="20"/>
          <w:szCs w:val="20"/>
          <w:color w:val="auto"/>
        </w:rPr>
      </w:pPr>
    </w:p>
    <w:p>
      <w:pPr>
        <w:ind w:right="140" w:firstLine="318"/>
        <w:spacing w:after="0" w:line="368" w:lineRule="auto"/>
        <w:rPr>
          <w:sz w:val="20"/>
          <w:szCs w:val="20"/>
          <w:color w:val="auto"/>
        </w:rPr>
      </w:pPr>
      <w:r>
        <w:rPr>
          <w:rFonts w:ascii="Arial" w:cs="Arial" w:eastAsia="Arial" w:hAnsi="Arial"/>
          <w:sz w:val="12"/>
          <w:szCs w:val="12"/>
          <w:i w:val="1"/>
          <w:iCs w:val="1"/>
          <w:color w:val="auto"/>
        </w:rPr>
        <w:t>Employee Engagement</w:t>
      </w:r>
      <w:r>
        <w:rPr>
          <w:rFonts w:ascii="Arial" w:cs="Arial" w:eastAsia="Arial" w:hAnsi="Arial"/>
          <w:sz w:val="12"/>
          <w:szCs w:val="12"/>
          <w:color w:val="auto"/>
        </w:rPr>
        <w:t>. We conduct an annual Employee Experience Survey (EES), which measures, among other factors, our employees’ impression of the inclusiveness of our work</w:t>
      </w:r>
      <w:r>
        <w:rPr>
          <w:rFonts w:ascii="Arial" w:cs="Arial" w:eastAsia="Arial" w:hAnsi="Arial"/>
          <w:sz w:val="12"/>
          <w:szCs w:val="12"/>
          <w:i w:val="1"/>
          <w:iCs w:val="1"/>
          <w:color w:val="auto"/>
        </w:rPr>
        <w:t xml:space="preserve"> </w:t>
      </w:r>
      <w:r>
        <w:rPr>
          <w:rFonts w:ascii="Arial" w:cs="Arial" w:eastAsia="Arial" w:hAnsi="Arial"/>
          <w:sz w:val="12"/>
          <w:szCs w:val="12"/>
          <w:color w:val="auto"/>
        </w:rPr>
        <w:t>environment. The EES results provide insights into how employees experience Booz Allen and our culture, helping our leaders better understand areas of opportunity and areas for greater attention.</w:t>
      </w:r>
    </w:p>
    <w:p>
      <w:pPr>
        <w:spacing w:after="0" w:line="1" w:lineRule="exact"/>
        <w:rPr>
          <w:sz w:val="20"/>
          <w:szCs w:val="20"/>
          <w:color w:val="auto"/>
        </w:rPr>
      </w:pPr>
    </w:p>
    <w:p>
      <w:pPr>
        <w:ind w:right="60" w:firstLine="318"/>
        <w:spacing w:after="0" w:line="331" w:lineRule="auto"/>
        <w:rPr>
          <w:sz w:val="20"/>
          <w:szCs w:val="20"/>
          <w:color w:val="auto"/>
        </w:rPr>
      </w:pPr>
      <w:r>
        <w:rPr>
          <w:rFonts w:ascii="Arial" w:cs="Arial" w:eastAsia="Arial" w:hAnsi="Arial"/>
          <w:sz w:val="12"/>
          <w:szCs w:val="12"/>
          <w:color w:val="auto"/>
        </w:rPr>
        <w:t>In fiscal 2021, as the impact of COVID-19 rapidly spread, we focused our attention on keeping each other, our families, and our clients safe; supporting our clients’ vital missions; and protecting our business. We conducted surveys of our employees to understand how we could best help them, and we launched a pandemic resilience program that committed $100 million of support for our employees and the communities where they live and work, including major benefit programs enhancements, financial and job security, enhanced caregiver support, and telework resources.</w:t>
      </w:r>
    </w:p>
    <w:p>
      <w:pPr>
        <w:spacing w:after="0" w:line="23"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i w:val="1"/>
          <w:iCs w:val="1"/>
          <w:color w:val="auto"/>
        </w:rPr>
        <w:t>Community Engagement</w:t>
      </w:r>
      <w:r>
        <w:rPr>
          <w:rFonts w:ascii="Arial" w:cs="Arial" w:eastAsia="Arial" w:hAnsi="Arial"/>
          <w:sz w:val="14"/>
          <w:szCs w:val="14"/>
          <w:color w:val="auto"/>
        </w:rPr>
        <w:t>. Our community engagement efforts bring our corporate purpose to life, empowering our people to change their worlds, deploying Booz Allen's capabilities to make a</w:t>
      </w:r>
      <w:r>
        <w:rPr>
          <w:rFonts w:ascii="Arial" w:cs="Arial" w:eastAsia="Arial" w:hAnsi="Arial"/>
          <w:sz w:val="14"/>
          <w:szCs w:val="14"/>
          <w:i w:val="1"/>
          <w:iCs w:val="1"/>
          <w:color w:val="auto"/>
        </w:rPr>
        <w:t xml:space="preserve"> </w:t>
      </w:r>
      <w:r>
        <w:rPr>
          <w:rFonts w:ascii="Arial" w:cs="Arial" w:eastAsia="Arial" w:hAnsi="Arial"/>
          <w:sz w:val="14"/>
          <w:szCs w:val="14"/>
          <w:color w:val="auto"/>
        </w:rPr>
        <w:t>difference in the places where we live and work. We maintain strong connections to these communities—creating positive impact through outreach, recruitment, advocacy, philanthropy, pro bono service, and volunteerism—all with a focus on creating pathways to resilience by connecting people, organizations, and communities with transformational innovation and technological solutions that power human potential and create a secure future for all.</w:t>
      </w:r>
    </w:p>
    <w:p>
      <w:pPr>
        <w:spacing w:after="0" w:line="61" w:lineRule="exact"/>
        <w:rPr>
          <w:sz w:val="20"/>
          <w:szCs w:val="20"/>
          <w:color w:val="auto"/>
        </w:rPr>
      </w:pPr>
    </w:p>
    <w:p>
      <w:pPr>
        <w:ind w:firstLine="318"/>
        <w:spacing w:after="0" w:line="331" w:lineRule="auto"/>
        <w:rPr>
          <w:sz w:val="20"/>
          <w:szCs w:val="20"/>
          <w:color w:val="auto"/>
        </w:rPr>
      </w:pPr>
      <w:r>
        <w:rPr>
          <w:rFonts w:ascii="Arial" w:cs="Arial" w:eastAsia="Arial" w:hAnsi="Arial"/>
          <w:sz w:val="12"/>
          <w:szCs w:val="12"/>
          <w:color w:val="auto"/>
        </w:rPr>
        <w:t>Our community engagement activities enhance our impact on society and create meaningful opportunities for our employees, who cite these programs as a source of pride and connection to Booz Allen. We take steps through oversight, technology solutions, and enterprise-wide policies to mitigate any business risks that could arise through these activities. To this end, we seek to affiliate only with organizations that are responsible stewards of corporate and employee contributions of time and money and that share our values, such as our commitment to diversity, equity, and inclusion.</w:t>
      </w:r>
    </w:p>
    <w:p>
      <w:pPr>
        <w:spacing w:after="0" w:line="23"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i w:val="1"/>
          <w:iCs w:val="1"/>
          <w:color w:val="auto"/>
        </w:rPr>
        <w:t>Awards and Recognition</w:t>
      </w:r>
      <w:r>
        <w:rPr>
          <w:rFonts w:ascii="Arial" w:cs="Arial" w:eastAsia="Arial" w:hAnsi="Arial"/>
          <w:sz w:val="14"/>
          <w:szCs w:val="14"/>
          <w:color w:val="auto"/>
        </w:rPr>
        <w:t>. The importance we place on our people continues to receive external recognition. Ethisphere, a global leader in defining and advancing ethical business practices, has</w:t>
      </w:r>
      <w:r>
        <w:rPr>
          <w:rFonts w:ascii="Arial" w:cs="Arial" w:eastAsia="Arial" w:hAnsi="Arial"/>
          <w:sz w:val="14"/>
          <w:szCs w:val="14"/>
          <w:i w:val="1"/>
          <w:iCs w:val="1"/>
          <w:color w:val="auto"/>
        </w:rPr>
        <w:t xml:space="preserve"> </w:t>
      </w:r>
      <w:r>
        <w:rPr>
          <w:rFonts w:ascii="Arial" w:cs="Arial" w:eastAsia="Arial" w:hAnsi="Arial"/>
          <w:sz w:val="14"/>
          <w:szCs w:val="14"/>
          <w:color w:val="auto"/>
        </w:rPr>
        <w:t>once again recognized Booz Allen as one of the World’s Most Ethical Companies. For the eleventh consecutive year, Booz Allen has received a perfect score on the Corporate Equality Index, a national benchmarking survey on corporate policies and practices related to LGBTQ workplace equality administered by the Human Rights Campaign Foundation, as well as designation as a “Best Place to Work for LGBTQ Equality.” In addition, for the sixth consecutive year, Booz Allen received a perfect score on the Disability Equality Index, and has been named a Disability Equality Index “Best Place to Work for Disability Inclusion.” Our inclusive culture has been further recognized by MilitarySpouse as “Top 10 Military Spouse Friendly Employers,” by Military Times as “Best for Vets,” on the “Working Mother Top 100,” and by Forbes as a “Best Employer for Veterans,” a “Best Employer for Diversity,” and a “Best Company for Women.” We were also proud recipients of the Washington Business Journal’s Corporate Philanthropy Award.</w:t>
      </w:r>
    </w:p>
    <w:p>
      <w:pPr>
        <w:spacing w:after="0" w:line="66" w:lineRule="exact"/>
        <w:rPr>
          <w:sz w:val="20"/>
          <w:szCs w:val="20"/>
          <w:color w:val="auto"/>
        </w:rPr>
      </w:pPr>
    </w:p>
    <w:p>
      <w:pPr>
        <w:ind w:right="120" w:firstLine="318"/>
        <w:spacing w:after="0" w:line="262" w:lineRule="auto"/>
        <w:rPr>
          <w:sz w:val="20"/>
          <w:szCs w:val="20"/>
          <w:color w:val="auto"/>
        </w:rPr>
      </w:pPr>
      <w:r>
        <w:rPr>
          <w:rFonts w:ascii="Arial" w:cs="Arial" w:eastAsia="Arial" w:hAnsi="Arial"/>
          <w:sz w:val="14"/>
          <w:szCs w:val="14"/>
          <w:color w:val="auto"/>
        </w:rPr>
        <w:t>We have also been honored with industry awards that showcase our employer brand, including recognition by Forbes as one of “America’s Best Employers” and a “Best Management Consulting Firm,” achieving a tenth consecutive year as one of Fortune’s “World’s Most Admired Companies,” receipt of the U.S. Small Business Association’s Dwight D. Eisenhower “Award for Excellence,” #4 ranked on Vault’s Consulting 50 and in the top 10 of Vault’s Most Prestigious Consulting Firms, #4 ranked “Best Places to Work in IT” by Computer World and Insider Pro, and #26 ranked “Largest Global Defense Contractor” by DefenseNews.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Functional Service Offerings</w:t>
      </w:r>
    </w:p>
    <w:p>
      <w:pPr>
        <w:spacing w:after="0" w:line="98"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We offer five functional service offerings supported by continued investment and innovation that drive our capacity to meet market demand today and into the future. We provide a range of technical capabilities that have had an enduring impact for our clients, our people, and the communities where we live and work.</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functional service offerings are summarized below:</w:t>
      </w:r>
    </w:p>
    <w:p>
      <w:pPr>
        <w:spacing w:after="0" w:line="94" w:lineRule="exact"/>
        <w:rPr>
          <w:sz w:val="20"/>
          <w:szCs w:val="20"/>
          <w:color w:val="auto"/>
        </w:rPr>
      </w:pPr>
    </w:p>
    <w:p>
      <w:pPr>
        <w:ind w:left="520" w:right="620" w:hanging="260"/>
        <w:spacing w:after="0" w:line="28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Consulting </w:t>
      </w:r>
      <w:r>
        <w:rPr>
          <w:rFonts w:ascii="Arial" w:cs="Arial" w:eastAsia="Arial" w:hAnsi="Arial"/>
          <w:sz w:val="14"/>
          <w:szCs w:val="14"/>
          <w:color w:val="auto"/>
        </w:rPr>
        <w:t>focuses on the talent and expertise needed to solve client problems and develop mission-oriented solutions for specific domains, business strategies, human capital,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operations through new and innovative approaches. We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3" w:right="319" w:bottom="1440" w:gutter="0" w:footer="0" w:header="0"/>
        </w:sectPr>
      </w:pPr>
    </w:p>
    <w:bookmarkStart w:id="8" w:name="page9"/>
    <w:bookmarkEnd w:id="8"/>
    <w:p>
      <w:pPr>
        <w:ind w:left="520"/>
        <w:spacing w:after="0"/>
        <w:rPr>
          <w:sz w:val="20"/>
          <w:szCs w:val="20"/>
          <w:color w:val="auto"/>
        </w:rPr>
      </w:pPr>
      <w:r>
        <w:rPr>
          <w:rFonts w:ascii="Arial" w:cs="Arial" w:eastAsia="Arial" w:hAnsi="Arial"/>
          <w:sz w:val="14"/>
          <w:szCs w:val="14"/>
          <w:color w:val="auto"/>
        </w:rPr>
        <w:t>help clients boost organizational performance, deploy new technologies in smart ways, and change and streamline processes to achieve better outcomes.</w:t>
      </w:r>
    </w:p>
    <w:p>
      <w:pPr>
        <w:spacing w:after="0" w:line="94" w:lineRule="exact"/>
        <w:rPr>
          <w:sz w:val="20"/>
          <w:szCs w:val="20"/>
          <w:color w:val="auto"/>
        </w:rPr>
      </w:pPr>
    </w:p>
    <w:p>
      <w:pPr>
        <w:ind w:left="520" w:hanging="260"/>
        <w:spacing w:after="0" w:line="288"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Analytics </w:t>
      </w:r>
      <w:r>
        <w:rPr>
          <w:rFonts w:ascii="Arial" w:cs="Arial" w:eastAsia="Arial" w:hAnsi="Arial"/>
          <w:sz w:val="13"/>
          <w:szCs w:val="13"/>
          <w:color w:val="auto"/>
        </w:rPr>
        <w:t>focuses on transformational solutions that deliver ethical and responsible outcomes in the areas of artificial intelligence (AI), such as machine learning, deep learning; data science,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such as data engineering and predictive modeling; automation and decision analytics; and emerging areas, such as quantum computing. We pioneer holistic approaches to apply these technologies to create and sustain data-driven organizations, with a focus not only on data and technology, but also the people and culture, to drive real outcomes. We act as our clients' trusted advisor, assisting them with building and operationalizing scalable analytics and AI systems based on our deep experience in a complex and evolving AI landscape.</w:t>
      </w:r>
    </w:p>
    <w:p>
      <w:pPr>
        <w:spacing w:after="0" w:line="88" w:lineRule="exact"/>
        <w:rPr>
          <w:rFonts w:ascii="Arial" w:cs="Arial" w:eastAsia="Arial" w:hAnsi="Arial"/>
          <w:sz w:val="13"/>
          <w:szCs w:val="13"/>
          <w:color w:val="auto"/>
        </w:rPr>
      </w:pPr>
    </w:p>
    <w:p>
      <w:pPr>
        <w:ind w:left="520" w:right="100" w:hanging="260"/>
        <w:spacing w:after="0" w:line="262"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Digital Solutions </w:t>
      </w:r>
      <w:r>
        <w:rPr>
          <w:rFonts w:ascii="Arial" w:cs="Arial" w:eastAsia="Arial" w:hAnsi="Arial"/>
          <w:sz w:val="14"/>
          <w:szCs w:val="14"/>
          <w:color w:val="auto"/>
        </w:rPr>
        <w:t>combines the power of modern systems development techniques and cloud platforms with the power of machine learning to transform customer and mission experiences.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blend in-depth client mission understanding and digital technical expertise with a consultative approach. We develop, design, and implement powerful solutions built on contemporary methodologies and modern architectures. We accelerate clients to open, cloud native environments, where capability can be securely developed and deployed at scale, and effort allocated toward data management challenges is redirected to analysis and insights.</w:t>
      </w:r>
    </w:p>
    <w:p>
      <w:pPr>
        <w:spacing w:after="0" w:line="60" w:lineRule="exact"/>
        <w:rPr>
          <w:rFonts w:ascii="Arial" w:cs="Arial" w:eastAsia="Arial" w:hAnsi="Arial"/>
          <w:sz w:val="14"/>
          <w:szCs w:val="14"/>
          <w:color w:val="auto"/>
        </w:rPr>
      </w:pPr>
    </w:p>
    <w:p>
      <w:pPr>
        <w:ind w:left="520" w:right="20" w:hanging="260"/>
        <w:spacing w:after="0" w:line="297"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Engineering </w:t>
      </w:r>
      <w:r>
        <w:rPr>
          <w:rFonts w:ascii="Arial" w:cs="Arial" w:eastAsia="Arial" w:hAnsi="Arial"/>
          <w:sz w:val="13"/>
          <w:szCs w:val="13"/>
          <w:color w:val="auto"/>
        </w:rPr>
        <w:t>delivers engineering services and solutions to define, develop, implement, sustain, and modernize complex physical systems. We leverage mature engineering methodologies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solve our clients' most complex problems. We bring a holistic understanding of client needs and technical strategy as well as policy experts to deliver purpose-fit solutions to problems. Our engineering capabilities include external industry standard certifications, such as International Organization for Standardization 90001 and AS9100.</w:t>
      </w:r>
    </w:p>
    <w:p>
      <w:pPr>
        <w:spacing w:after="0" w:line="39" w:lineRule="exact"/>
        <w:rPr>
          <w:rFonts w:ascii="Arial" w:cs="Arial" w:eastAsia="Arial" w:hAnsi="Arial"/>
          <w:sz w:val="13"/>
          <w:szCs w:val="13"/>
          <w:color w:val="auto"/>
        </w:rPr>
      </w:pPr>
    </w:p>
    <w:p>
      <w:pPr>
        <w:ind w:left="520" w:right="40" w:hanging="260"/>
        <w:spacing w:after="0" w:line="260"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Cyber </w:t>
      </w:r>
      <w:r>
        <w:rPr>
          <w:rFonts w:ascii="Arial" w:cs="Arial" w:eastAsia="Arial" w:hAnsi="Arial"/>
          <w:sz w:val="14"/>
          <w:szCs w:val="14"/>
          <w:color w:val="auto"/>
        </w:rPr>
        <w:t>focuses on active prevention, detection, and cost effectiveness. Active prevention includes methods of securing platforms and enterprises against cyber attacks. Detection is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instrumentation of networks to provide lead indicators of penetrations. Cost effectiveness includes our integrated engineering capabilities. Our cyber capabilities are rooted in decades of service to the U.S. federal intelligence community and today afford us the opportunity to maintain technical expertise in network security. With decades of mission intelligence combined with the most advanced tools available, we help clients understand the business value of cyber risk management and prepare for future cybersecurity needs with a lens toward efficiency and effectiveness.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Innovation and Solutions</w:t>
      </w:r>
    </w:p>
    <w:p>
      <w:pPr>
        <w:spacing w:after="0" w:line="98"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We are developing transformative solutions that build lasting value for our clients and drive focused innovation to seed next generation businesses in the areas of artificial intelligence, immersive technologies, secure mobility, advanced engineering (such as directed energy), and customer-centric modern digital platforms. We are advancing and creating the infrastructure and mechanics for new and disruptive business models by enabling a vibrant innovation culture, bringing a solutions mindset to our marketplace and sales force, and by building the Company’s presence and brand in the external innovation ecosystem. As a gateway to driving innovation, our solutions combine market-prioritized needs with the Company’s capabilities and products. These solutions enhance future revenue opportunities, monetize the Company's intellectual property, and create differentiated business models and sales channels to drive greater value for our clients.</w:t>
      </w:r>
    </w:p>
    <w:p>
      <w:pPr>
        <w:spacing w:after="0" w:line="49" w:lineRule="exact"/>
        <w:rPr>
          <w:sz w:val="20"/>
          <w:szCs w:val="20"/>
          <w:color w:val="auto"/>
        </w:rPr>
      </w:pPr>
    </w:p>
    <w:p>
      <w:pPr>
        <w:ind w:right="80" w:firstLine="318"/>
        <w:spacing w:after="0" w:line="260" w:lineRule="auto"/>
        <w:rPr>
          <w:sz w:val="20"/>
          <w:szCs w:val="20"/>
          <w:color w:val="auto"/>
        </w:rPr>
      </w:pPr>
      <w:r>
        <w:rPr>
          <w:rFonts w:ascii="Arial" w:cs="Arial" w:eastAsia="Arial" w:hAnsi="Arial"/>
          <w:sz w:val="14"/>
          <w:szCs w:val="14"/>
          <w:color w:val="auto"/>
        </w:rPr>
        <w:t>In addition, we have several acceleration functions that enable our investments and position us as an essential partner in the larger innovation ecosystem. We have a robust technology scouting team that monitors emerging technologies that can further government missions and informs where Booz Allen should "build, buy, or partner" within our own investment lifecycle. Our diverse business partner network then builds and maximizes relationships and go-to-market strategies with leading technology companies. Lastly, we maintain an active network of Innovation Centers and hubs that showcase our capabilities and solutions for clients, partners, and prospective talent—serving as physical instantiations of our commitment to galvanizing innovation with our clients and local communities.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Long-Term Growth Strategy</w:t>
      </w:r>
    </w:p>
    <w:p>
      <w:pPr>
        <w:spacing w:after="0" w:line="98"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Vision 2020 was a comprehensive strategy to transform Booz Allen and create sustainable quality growth for the Company. Fiscal 2021 was the eighth and final year of implementing the strategy, the design of which reaches back to before the government market began to contract in 2011 and 2012. We anticipated the market downturn and set in place a strategy that would allow us to emerge in a strong position vis-à-vis our competitors. Under Vision 2020, we:</w:t>
      </w:r>
    </w:p>
    <w:p>
      <w:pPr>
        <w:spacing w:after="0" w:line="57"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Moved closer to the center of our clients’ core missions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Increased the technical content of our work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Attracted and retained superior talent in diverse areas of expertise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Leveraged innovation to deliver complex, differentiated, end-to-end solutions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8" w:right="359" w:bottom="1440" w:gutter="0" w:footer="0" w:header="0"/>
        </w:sectPr>
      </w:pPr>
    </w:p>
    <w:bookmarkStart w:id="9" w:name="page10"/>
    <w:bookmarkEnd w:id="9"/>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Created a broad network of external partners and alliances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Expanded into the commercial and international markets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success of our strategy over the Vision 2020 implementation period can be seen in:</w:t>
      </w:r>
    </w:p>
    <w:p>
      <w:pPr>
        <w:spacing w:after="0" w:line="94"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Backlog growth, which achieved record levels during fiscal 2021 for the third consecutive year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Headcount growth and a corresponding shift in our talent portfolio to more technical expertise in disciplines such as systems development, cyber, and analytics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Industry-leading organic revenue growth</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Enhanced profitability and margin expansion</w:t>
      </w:r>
    </w:p>
    <w:p>
      <w:pPr>
        <w:spacing w:after="0" w:line="94"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Toward the end of Vision 2020, we commenced a strategic review process that will inform the next iteration of our long-term growth strategy. We intend to share the details of this strategy during fiscal year 2022.</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Clients</w:t>
      </w:r>
    </w:p>
    <w:p>
      <w:pPr>
        <w:spacing w:after="0" w:line="98" w:lineRule="exact"/>
        <w:rPr>
          <w:sz w:val="20"/>
          <w:szCs w:val="20"/>
          <w:color w:val="auto"/>
        </w:rPr>
      </w:pPr>
    </w:p>
    <w:p>
      <w:pPr>
        <w:ind w:right="620" w:firstLine="318"/>
        <w:spacing w:after="0" w:line="281" w:lineRule="auto"/>
        <w:rPr>
          <w:sz w:val="20"/>
          <w:szCs w:val="20"/>
          <w:color w:val="auto"/>
        </w:rPr>
      </w:pPr>
      <w:r>
        <w:rPr>
          <w:rFonts w:ascii="Arial" w:cs="Arial" w:eastAsia="Arial" w:hAnsi="Arial"/>
          <w:sz w:val="14"/>
          <w:szCs w:val="14"/>
          <w:color w:val="auto"/>
        </w:rPr>
        <w:t>Booz Allen is committed to solving our clients’ toughest challenges, and we work with a diverse base of public and private sector clients across a number of industries in the U.S. and internationally.</w:t>
      </w:r>
    </w:p>
    <w:p>
      <w:pPr>
        <w:spacing w:after="0" w:line="47"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Our clients call us to work on their hardest problems, such as delivering effective healthcare, protecting soldiers in combat and their families, and keeping our national infrastructure secure. We are investing in markets, capabilities, and talent and are building new business models through strategic ventures, partnerships, and product offerings.</w:t>
      </w:r>
    </w:p>
    <w:p>
      <w:pPr>
        <w:spacing w:after="0" w:line="47"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Our government clients include most of the cabinet-level departments of the U.S. government. We also serve large commercial clients across industries including financial services, health and life sciences, energy, and technology to solve their hardest and most sophisticated cyber challenges, and have a growing portfolio of international clients.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Large Addressable Market</w:t>
      </w:r>
    </w:p>
    <w:p>
      <w:pPr>
        <w:spacing w:after="0" w:line="94"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We believe that the U.S. government is the world’s largest consumer of management and technology consulting services. According to the Congressional Budget Office and the U.S. Department of the Treasury, the U.S. government’s total spending for its fiscal year ended September 30, 2020 was $4.8 trillion. Memorandum baseline estimates for fiscal year 2020 indicate approximately $1.4 trillion was for discretionary budget authority, including $746 billion for the Department of Defense and intelligence community and $672 billion for civil agencies. Based on data from the Federal Procurement Data System, approximately $681.9 billion, including an estimated $35.3 billion in contract spending tied directly to the COVID-19 National Interest Action code (code P20C), of the U.S. government’s fiscal year 2020 discretionary outlays were non-intelligence agency funding-related products and services procured from private contractors. We estimate that $155.6 billion of the spending directed toward private contractors in U.S. government fiscal year 2020 was for management, technology, and engineering services, with $88.6 billion spent by the Department of Defense and $67.0 billion spent by civil agencies. The agencies of the U.S. intelligence community that we serve represent an additional market. These numbers also exclude a large addressable market for our services and capabilities in the global commercial markets where we have a modest footprint.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Highlights of Booz Allen’s fiscal 2021 are as follows:</w:t>
      </w:r>
    </w:p>
    <w:p>
      <w:pPr>
        <w:spacing w:after="0" w:line="94"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derived 97% of our revenue from contracts where the end client was an agency or department of the U.S. government.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delivered services under 4,309 contracts and task orders.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derived 93% of our revenue in fiscal 2021 from engagements for which we acted as the prime contractor.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derived 13% of our revenue in fiscal 2021 from the Navy Marine Corps, which was the single largest client that we served in that year.</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Selected Long-Term Client Relationships</w:t>
      </w: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860" w:type="dxa"/>
            <w:vAlign w:val="bottom"/>
          </w:tcPr>
          <w:p>
            <w:pPr>
              <w:spacing w:after="0"/>
              <w:rPr>
                <w:sz w:val="10"/>
                <w:szCs w:val="10"/>
                <w:color w:val="auto"/>
              </w:rPr>
            </w:pP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93"/>
              </w:rPr>
              <w:t>Relationship</w:t>
            </w:r>
          </w:p>
        </w:tc>
        <w:tc>
          <w:tcPr>
            <w:tcW w:w="0" w:type="dxa"/>
            <w:vAlign w:val="bottom"/>
          </w:tcPr>
          <w:p>
            <w:pPr>
              <w:spacing w:after="0"/>
              <w:rPr>
                <w:sz w:val="1"/>
                <w:szCs w:val="1"/>
                <w:color w:val="auto"/>
              </w:rPr>
            </w:pPr>
          </w:p>
        </w:tc>
      </w:tr>
      <w:tr>
        <w:trPr>
          <w:trHeight w:val="106"/>
        </w:trPr>
        <w:tc>
          <w:tcPr>
            <w:tcW w:w="5860" w:type="dxa"/>
            <w:vAlign w:val="bottom"/>
            <w:vMerge w:val="restart"/>
          </w:tcPr>
          <w:p>
            <w:pPr>
              <w:spacing w:after="0"/>
              <w:rPr>
                <w:sz w:val="20"/>
                <w:szCs w:val="20"/>
                <w:color w:val="auto"/>
              </w:rPr>
            </w:pPr>
            <w:r>
              <w:rPr>
                <w:rFonts w:ascii="Arial" w:cs="Arial" w:eastAsia="Arial" w:hAnsi="Arial"/>
                <w:sz w:val="11"/>
                <w:szCs w:val="11"/>
                <w:b w:val="1"/>
                <w:bCs w:val="1"/>
                <w:color w:val="auto"/>
              </w:rPr>
              <w:t>Client (1)</w:t>
            </w:r>
          </w:p>
        </w:tc>
        <w:tc>
          <w:tcPr>
            <w:tcW w:w="14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Length</w:t>
            </w:r>
          </w:p>
        </w:tc>
        <w:tc>
          <w:tcPr>
            <w:tcW w:w="0" w:type="dxa"/>
            <w:vAlign w:val="bottom"/>
          </w:tcPr>
          <w:p>
            <w:pPr>
              <w:spacing w:after="0"/>
              <w:rPr>
                <w:sz w:val="1"/>
                <w:szCs w:val="1"/>
                <w:color w:val="auto"/>
              </w:rPr>
            </w:pPr>
          </w:p>
        </w:tc>
      </w:tr>
      <w:tr>
        <w:trPr>
          <w:trHeight w:val="147"/>
        </w:trPr>
        <w:tc>
          <w:tcPr>
            <w:tcW w:w="5860" w:type="dxa"/>
            <w:vAlign w:val="bottom"/>
            <w:vMerge w:val="continue"/>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(Years)</w:t>
            </w:r>
          </w:p>
        </w:tc>
        <w:tc>
          <w:tcPr>
            <w:tcW w:w="0" w:type="dxa"/>
            <w:vAlign w:val="bottom"/>
          </w:tcPr>
          <w:p>
            <w:pPr>
              <w:spacing w:after="0"/>
              <w:rPr>
                <w:sz w:val="1"/>
                <w:szCs w:val="1"/>
                <w:color w:val="auto"/>
              </w:rPr>
            </w:pPr>
          </w:p>
        </w:tc>
      </w:tr>
      <w:tr>
        <w:trPr>
          <w:trHeight w:val="172"/>
        </w:trPr>
        <w:tc>
          <w:tcPr>
            <w:tcW w:w="5860" w:type="dxa"/>
            <w:vAlign w:val="bottom"/>
          </w:tcPr>
          <w:p>
            <w:pPr>
              <w:spacing w:after="0"/>
              <w:rPr>
                <w:sz w:val="20"/>
                <w:szCs w:val="20"/>
                <w:color w:val="auto"/>
              </w:rPr>
            </w:pPr>
            <w:r>
              <w:rPr>
                <w:rFonts w:ascii="Arial" w:cs="Arial" w:eastAsia="Arial" w:hAnsi="Arial"/>
                <w:sz w:val="14"/>
                <w:szCs w:val="14"/>
                <w:color w:val="auto"/>
              </w:rPr>
              <w:t>U.S. Navy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80+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U.S. Army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70+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Department of Energy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U.S. Air Force</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National Security Agency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Department of Homeland Security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Federal Bureau of Investigation</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Internal Revenue Service</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Department of Health and Human Services</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National Reconnaissance Office</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Arial" w:cs="Arial" w:eastAsia="Arial" w:hAnsi="Arial"/>
                <w:sz w:val="14"/>
                <w:szCs w:val="14"/>
                <w:color w:val="auto"/>
              </w:rPr>
              <w:t>A U.S. intelligence agency</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 Includes predecessor organizations.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Defense Clients</w:t>
      </w:r>
    </w:p>
    <w:p>
      <w:pPr>
        <w:spacing w:after="0" w:line="94"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We are the premier digital integrator for the Department of Defense, blending decades of mission experience with state-of-the-art AI/ML, next-generation data solutions, networking, cyber, and advanced software development to help the department achieve information dominance. We bring our defense clients the best emerging technology to help them quickly and easily modernize, achieve interoperability, and win. We design open architectures to avoid vendor lock, lower lifecycle cost, and maintain a technological edge. Our technologists work hand-in-hand with our domain experts to build solutions that deliver the warfighter mission-critical information in today's digital battlespace.</w:t>
      </w:r>
    </w:p>
    <w:p>
      <w:pPr>
        <w:spacing w:after="0" w:line="61" w:lineRule="exact"/>
        <w:rPr>
          <w:sz w:val="20"/>
          <w:szCs w:val="20"/>
          <w:color w:val="auto"/>
        </w:rPr>
      </w:pPr>
    </w:p>
    <w:p>
      <w:pPr>
        <w:ind w:right="620" w:firstLine="318"/>
        <w:spacing w:after="0" w:line="281" w:lineRule="auto"/>
        <w:rPr>
          <w:sz w:val="20"/>
          <w:szCs w:val="20"/>
          <w:color w:val="auto"/>
        </w:rPr>
      </w:pPr>
      <w:r>
        <w:rPr>
          <w:rFonts w:ascii="Arial" w:cs="Arial" w:eastAsia="Arial" w:hAnsi="Arial"/>
          <w:sz w:val="14"/>
          <w:szCs w:val="14"/>
          <w:color w:val="auto"/>
        </w:rPr>
        <w:t>We count among our many defense clients all four branches of the U.S. military, the Office of the Secretary of Defense, and the Joint Staff. Our key defense clients include the Army, Navy/Marine Corps, Air Force, and Joint Combatant Commands.</w:t>
      </w:r>
    </w:p>
    <w:p>
      <w:pPr>
        <w:spacing w:after="0" w:line="47"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color w:val="auto"/>
        </w:rPr>
        <w:t>Revenue generated from defense clients was $3.9 billion, or approximately 49.6% of our revenue, in fiscal 2021 as compared to $3.6 billion, or approximately 47.3% of our revenue, in fiscal 2020. Revenue generated from defense clients also includes foreign military sales to non-U.S. government clients.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Intelligence Clients</w:t>
      </w:r>
    </w:p>
    <w:p>
      <w:pPr>
        <w:spacing w:after="0" w:line="94"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We operate at the intersection of technology and mission understanding for our clients. We deliver innovative, high-value services, capabilities, and solutions that directly impact core national security missions across the Intelligence Community and national cyber mission providers. We leverage our knowledge of the mission and tailor our capabilities for our clients—our biggest driver is the demand for innovation, requiring us to be ahead of the pace of technology adoption. Technology is at the center of our clients' missions and ours—we are investing in emerging technologies like AI, zero trust cyber solutions, multi-cloud, and 5G to adapt ahead of adversaries. The national security workforce remains focused on what's next, blending cleared and uncleared talent across dispersed geographies, ensuring mission impact. Our combination of technology, innovation, and talent is helping to shape the future of our national security ecosystem.</w:t>
      </w:r>
    </w:p>
    <w:p>
      <w:pPr>
        <w:spacing w:after="0" w:line="49"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color w:val="auto"/>
        </w:rPr>
        <w:t>Our intelligence clients are the 18 organizations of the U.S. Intelligence Community, to include independent agencies, the Department of Defense elements, such as the National Security Agency and Defense Intelligence Agency, and other departments or agencies.</w:t>
      </w:r>
    </w:p>
    <w:p>
      <w:pPr>
        <w:spacing w:after="0" w:line="47"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Revenue generated from intelligence clients was $1.6 billion, or approximately 20.0% of our revenue, in fiscal 2021 as compared to $1.6 billion, or approximately 21.6% of our revenue, in fiscal 2020.</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8" w:right="37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i w:val="1"/>
          <w:iCs w:val="1"/>
          <w:color w:val="auto"/>
        </w:rPr>
        <w:t>Civil Clients</w:t>
      </w:r>
    </w:p>
    <w:p>
      <w:pPr>
        <w:spacing w:after="0" w:line="94" w:lineRule="exact"/>
        <w:rPr>
          <w:sz w:val="20"/>
          <w:szCs w:val="20"/>
          <w:color w:val="auto"/>
        </w:rPr>
      </w:pPr>
    </w:p>
    <w:p>
      <w:pPr>
        <w:ind w:right="260" w:firstLine="318"/>
        <w:spacing w:after="0" w:line="368" w:lineRule="auto"/>
        <w:rPr>
          <w:sz w:val="20"/>
          <w:szCs w:val="20"/>
          <w:color w:val="auto"/>
        </w:rPr>
      </w:pPr>
      <w:r>
        <w:rPr>
          <w:rFonts w:ascii="Arial" w:cs="Arial" w:eastAsia="Arial" w:hAnsi="Arial"/>
          <w:sz w:val="12"/>
          <w:szCs w:val="12"/>
          <w:color w:val="auto"/>
        </w:rPr>
        <w:t>Our civil work centers on the federal missions that are the highest priority to the domestic agenda, and we excel at helping our clients innovate their most-critical missions. From healthcare, homeland security and financial services to justice, law enforcement, energy, transportation, and benefits delivery, we work at the core of the mission to address our clients' most pressing needs.</w:t>
      </w:r>
    </w:p>
    <w:p>
      <w:pPr>
        <w:spacing w:after="0" w:line="1"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Our major civil government clients include the Departments of Veterans Affairs, Health and Human Services, Treasury, Labor, Homeland Security, Justice, Energy, Commerce, and Transportation. Modernization, transformation, and reform are key needs of our clients, and we offer the technical expertise and mission understanding that is required to deliver innovative solutions to all our clients' needs across the civil portfolio.</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Revenue generated from civil government was $2.2 billion, or approximately 27.8% of our revenue, in fiscal 2021, as compared to $2.0 billion, or approximately 27.1% of our revenue, in fiscal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2020.</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Global Commercial Clients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Global commercial clients are comprised of U.S. commercial and international clients.</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For our commercial clients, we combine our consulting heritage with cybersecurity practitioner experience gained from cyber incidents and challenges in the public and private sectors to deliver market-leading cyber defense solutions that include consulting and managed service. We serve commercial clients in a variety of industries including financial services, health and life sciences, energy, and technology.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our international clients, we work alongside public and private sector leaders to help shape and execute their critical agendas.</w:t>
      </w:r>
    </w:p>
    <w:p>
      <w:pPr>
        <w:spacing w:after="0" w:line="94"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Following the 2011 expiration of our non-competition agreement with our spun-off commercial business, we re-entered the Middle East and North Africa (MENA) and other international markets. Since re-entering these markets, our strategy and technology consultants have empowered our clients in these regions with the knowledge and experience they need to build their own local resources and capabilities.</w:t>
      </w:r>
    </w:p>
    <w:p>
      <w:pPr>
        <w:spacing w:after="0" w:line="57"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Revenue generated from global commercial clients was $203.7 million, or approximately 2.6% of our revenue in fiscal 2021 as compared to $261.6 million, or approximately 4.0% of our revenue in fiscal 2020.</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Contracts</w:t>
      </w:r>
    </w:p>
    <w:p>
      <w:pPr>
        <w:spacing w:after="0" w:line="98" w:lineRule="exact"/>
        <w:rPr>
          <w:sz w:val="20"/>
          <w:szCs w:val="20"/>
          <w:color w:val="auto"/>
        </w:rPr>
      </w:pPr>
    </w:p>
    <w:p>
      <w:pPr>
        <w:ind w:right="140" w:firstLine="350"/>
        <w:spacing w:after="0" w:line="288" w:lineRule="auto"/>
        <w:rPr>
          <w:sz w:val="20"/>
          <w:szCs w:val="20"/>
          <w:color w:val="auto"/>
        </w:rPr>
      </w:pPr>
      <w:r>
        <w:rPr>
          <w:rFonts w:ascii="Arial" w:cs="Arial" w:eastAsia="Arial" w:hAnsi="Arial"/>
          <w:sz w:val="13"/>
          <w:szCs w:val="13"/>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shows that more than 80% of our revenue for fiscal 2021 was derived from 3,885 active task orders under indefinite delivery/indefinite quantity (IDIQ) contract vehicles. Our top IDIQ contract vehicle represented approximately 12.3% of our revenue in fiscal 2021. Our largest task order under an IDIQ contract vehicle accounted for approximately 3.1% of our revenue in fiscal 2021. Our largest definite contract represented approximately 3.0% of our revenue in fiscal 2021.</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U.S. government procures services through two predominant contracting methods: indefinite contract vehicles and definite contracts. Each of these is described below:</w:t>
      </w:r>
    </w:p>
    <w:p>
      <w:pPr>
        <w:spacing w:after="0" w:line="94" w:lineRule="exact"/>
        <w:rPr>
          <w:sz w:val="20"/>
          <w:szCs w:val="20"/>
          <w:color w:val="auto"/>
        </w:rPr>
      </w:pPr>
    </w:p>
    <w:p>
      <w:pPr>
        <w:ind w:left="520" w:right="40" w:hanging="260"/>
        <w:spacing w:after="0" w:line="313" w:lineRule="auto"/>
        <w:tabs>
          <w:tab w:leader="none" w:pos="516"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Indefinite contract vehicles provide for the issuance by the client of orders for services or products under the terms of the contract. Indefinite contracts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33" w:lineRule="exact"/>
        <w:rPr>
          <w:rFonts w:ascii="Arial" w:cs="Arial" w:eastAsia="Arial" w:hAnsi="Arial"/>
          <w:sz w:val="12"/>
          <w:szCs w:val="12"/>
          <w:color w:val="auto"/>
        </w:rPr>
      </w:pPr>
    </w:p>
    <w:p>
      <w:pPr>
        <w:ind w:left="520" w:right="80" w:hanging="260"/>
        <w:spacing w:after="0" w:line="260"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how it will procure those services or products. During the acquisition process, the agency may release a request for information to determine if 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12" w:name="page13"/>
    <w:bookmarkEnd w:id="12"/>
    <w:p>
      <w:pPr>
        <w:ind w:left="380"/>
        <w:spacing w:after="0"/>
        <w:rPr>
          <w:sz w:val="20"/>
          <w:szCs w:val="20"/>
          <w:color w:val="auto"/>
        </w:rPr>
      </w:pPr>
      <w:r>
        <w:rPr>
          <w:rFonts w:ascii="Arial" w:cs="Arial" w:eastAsia="Arial" w:hAnsi="Arial"/>
          <w:sz w:val="14"/>
          <w:szCs w:val="14"/>
          <w:color w:val="auto"/>
        </w:rPr>
        <w:t>Listed below are our top IDIQ contracts for fiscal 2021 and the number of active task orders under these contracts as of March 31, 2021</w:t>
      </w:r>
      <w:r>
        <w:rPr>
          <w:rFonts w:ascii="Arial" w:cs="Arial" w:eastAsia="Arial" w:hAnsi="Arial"/>
          <w:sz w:val="12"/>
          <w:szCs w:val="12"/>
          <w:color w:val="auto"/>
        </w:rPr>
        <w:t>.</w:t>
      </w:r>
    </w:p>
    <w:p>
      <w:pPr>
        <w:spacing w:after="0" w:line="179" w:lineRule="exact"/>
        <w:rPr>
          <w:sz w:val="20"/>
          <w:szCs w:val="20"/>
          <w:color w:val="auto"/>
        </w:rPr>
      </w:pPr>
    </w:p>
    <w:tbl>
      <w:tblPr>
        <w:tblLayout w:type="fixed"/>
        <w:tblInd w:w="720" w:type="dxa"/>
        <w:tblCellMar>
          <w:top w:w="0" w:type="dxa"/>
          <w:left w:w="0" w:type="dxa"/>
          <w:bottom w:w="0" w:type="dxa"/>
          <w:right w:w="0" w:type="dxa"/>
        </w:tblCellMar>
      </w:tblPr>
      <w:tr>
        <w:trPr>
          <w:trHeight w:val="126"/>
        </w:trPr>
        <w:tc>
          <w:tcPr>
            <w:tcW w:w="4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4"/>
              </w:rPr>
              <w:t>% of</w:t>
            </w: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140" w:type="dxa"/>
            <w:vAlign w:val="bottom"/>
          </w:tcPr>
          <w:p>
            <w:pPr>
              <w:spacing w:after="0"/>
              <w:rPr>
                <w:sz w:val="9"/>
                <w:szCs w:val="9"/>
                <w:color w:val="auto"/>
              </w:rPr>
            </w:pPr>
          </w:p>
        </w:tc>
        <w:tc>
          <w:tcPr>
            <w:tcW w:w="1120" w:type="dxa"/>
            <w:vAlign w:val="bottom"/>
            <w:vMerge w:val="restart"/>
          </w:tcPr>
          <w:p>
            <w:pPr>
              <w:jc w:val="center"/>
              <w:ind w:left="340"/>
              <w:spacing w:after="0"/>
              <w:rPr>
                <w:sz w:val="20"/>
                <w:szCs w:val="20"/>
                <w:color w:val="auto"/>
              </w:rPr>
            </w:pPr>
            <w:r>
              <w:rPr>
                <w:rFonts w:ascii="Arial" w:cs="Arial" w:eastAsia="Arial" w:hAnsi="Arial"/>
                <w:sz w:val="11"/>
                <w:szCs w:val="11"/>
                <w:b w:val="1"/>
                <w:bCs w:val="1"/>
                <w:color w:val="auto"/>
                <w:w w:val="89"/>
              </w:rPr>
              <w:t>Fiscal</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2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3"/>
              </w:rPr>
              <w:t>Task Orders</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98"/>
              </w:rPr>
              <w:t>Total</w:t>
            </w:r>
          </w:p>
        </w:tc>
        <w:tc>
          <w:tcPr>
            <w:tcW w:w="1420" w:type="dxa"/>
            <w:vAlign w:val="bottom"/>
            <w:gridSpan w:val="2"/>
          </w:tcPr>
          <w:p>
            <w:pPr>
              <w:jc w:val="center"/>
              <w:ind w:right="80"/>
              <w:spacing w:after="0" w:line="106" w:lineRule="exact"/>
              <w:rPr>
                <w:sz w:val="20"/>
                <w:szCs w:val="20"/>
                <w:color w:val="auto"/>
              </w:rPr>
            </w:pPr>
            <w:r>
              <w:rPr>
                <w:rFonts w:ascii="Arial" w:cs="Arial" w:eastAsia="Arial" w:hAnsi="Arial"/>
                <w:sz w:val="11"/>
                <w:szCs w:val="11"/>
                <w:b w:val="1"/>
                <w:bCs w:val="1"/>
                <w:color w:val="auto"/>
                <w:w w:val="85"/>
              </w:rPr>
              <w:t>as of</w:t>
            </w:r>
          </w:p>
        </w:tc>
        <w:tc>
          <w:tcPr>
            <w:tcW w:w="1500" w:type="dxa"/>
            <w:vAlign w:val="bottom"/>
            <w:vMerge w:val="restart"/>
          </w:tcPr>
          <w:p>
            <w:pPr>
              <w:jc w:val="right"/>
              <w:ind w:right="251"/>
              <w:spacing w:after="0"/>
              <w:rPr>
                <w:sz w:val="20"/>
                <w:szCs w:val="20"/>
                <w:color w:val="auto"/>
              </w:rPr>
            </w:pPr>
            <w:r>
              <w:rPr>
                <w:rFonts w:ascii="Arial" w:cs="Arial" w:eastAsia="Arial" w:hAnsi="Arial"/>
                <w:sz w:val="11"/>
                <w:szCs w:val="11"/>
                <w:b w:val="1"/>
                <w:bCs w:val="1"/>
                <w:color w:val="auto"/>
              </w:rPr>
              <w:t xml:space="preserve">Expiration Date </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120" w:type="dxa"/>
            <w:vAlign w:val="bottom"/>
          </w:tcPr>
          <w:p>
            <w:pPr>
              <w:jc w:val="center"/>
              <w:ind w:left="340"/>
              <w:spacing w:after="0"/>
              <w:rPr>
                <w:sz w:val="20"/>
                <w:szCs w:val="20"/>
                <w:color w:val="auto"/>
              </w:rPr>
            </w:pPr>
            <w:r>
              <w:rPr>
                <w:rFonts w:ascii="Arial" w:cs="Arial" w:eastAsia="Arial" w:hAnsi="Arial"/>
                <w:sz w:val="11"/>
                <w:szCs w:val="11"/>
                <w:b w:val="1"/>
                <w:bCs w:val="1"/>
                <w:color w:val="auto"/>
                <w:w w:val="92"/>
              </w:rPr>
              <w:t>2021 Revenue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Revenue</w:t>
            </w: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March 31, 2021</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140" w:type="dxa"/>
            <w:vAlign w:val="bottom"/>
          </w:tcPr>
          <w:p>
            <w:pPr>
              <w:spacing w:after="0"/>
              <w:rPr>
                <w:sz w:val="12"/>
                <w:szCs w:val="12"/>
                <w:color w:val="auto"/>
              </w:rPr>
            </w:pPr>
          </w:p>
        </w:tc>
        <w:tc>
          <w:tcPr>
            <w:tcW w:w="1120" w:type="dxa"/>
            <w:vAlign w:val="bottom"/>
            <w:tcBorders>
              <w:top w:val="single" w:sz="8" w:color="auto"/>
            </w:tcBorders>
          </w:tcPr>
          <w:p>
            <w:pPr>
              <w:jc w:val="center"/>
              <w:ind w:left="360"/>
              <w:spacing w:after="0"/>
              <w:rPr>
                <w:sz w:val="20"/>
                <w:szCs w:val="20"/>
                <w:color w:val="auto"/>
              </w:rPr>
            </w:pPr>
            <w:r>
              <w:rPr>
                <w:rFonts w:ascii="Arial" w:cs="Arial" w:eastAsia="Arial" w:hAnsi="Arial"/>
                <w:sz w:val="11"/>
                <w:szCs w:val="11"/>
                <w:b w:val="1"/>
                <w:bCs w:val="1"/>
                <w:color w:val="auto"/>
                <w:w w:val="93"/>
              </w:rPr>
              <w:t>(in millions)</w:t>
            </w: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One Acquisition Solution for Integrated Services</w:t>
            </w:r>
          </w:p>
        </w:tc>
        <w:tc>
          <w:tcPr>
            <w:tcW w:w="1120" w:type="dxa"/>
            <w:vAlign w:val="bottom"/>
            <w:shd w:val="clear" w:color="auto" w:fill="CCEEFF"/>
          </w:tcPr>
          <w:p>
            <w:pPr>
              <w:jc w:val="right"/>
              <w:ind w:right="98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967.3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12.3 %</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9/2/2024</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4"/>
                <w:szCs w:val="14"/>
                <w:color w:val="auto"/>
              </w:rPr>
              <w:t>Booz Allen Engineering Services - Alliant</w:t>
            </w: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857.7</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10.9 %</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4/30/2019</w:t>
            </w: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Transformation Twenty-One Total Technology Next Generation</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402.0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3/6/2026</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4"/>
                <w:szCs w:val="14"/>
                <w:color w:val="auto"/>
              </w:rPr>
              <w:t>System Engineering and Analysis/Advanced Technology Support</w:t>
            </w: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360.7</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12/31/2019</w:t>
            </w: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Information Technology Schedule 70 (Successor)</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346.9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6/28/2036</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4"/>
                <w:szCs w:val="14"/>
                <w:color w:val="auto"/>
              </w:rPr>
              <w:t>Professional Services Schedule</w:t>
            </w: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341.6</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4.3 %</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9/30/2035</w:t>
            </w: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Booz Allen Engineering Services - Alliant 2</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302.1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6/30/2028</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4"/>
                <w:szCs w:val="14"/>
                <w:color w:val="auto"/>
              </w:rPr>
              <w:t>Defense Systems Technical Area Tasks</w:t>
            </w: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247.3</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6/22/2019</w:t>
            </w:r>
          </w:p>
        </w:tc>
        <w:tc>
          <w:tcPr>
            <w:tcW w:w="0" w:type="dxa"/>
            <w:vAlign w:val="bottom"/>
          </w:tcPr>
          <w:p>
            <w:pPr>
              <w:spacing w:after="0"/>
              <w:rPr>
                <w:sz w:val="1"/>
                <w:szCs w:val="1"/>
                <w:color w:val="auto"/>
              </w:rPr>
            </w:pPr>
          </w:p>
        </w:tc>
      </w:tr>
      <w:tr>
        <w:trPr>
          <w:trHeight w:val="181"/>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Chief Information Officer - Solutions &amp; Partners 3</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222.3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5/31/2022</w:t>
            </w:r>
          </w:p>
        </w:tc>
        <w:tc>
          <w:tcPr>
            <w:tcW w:w="0" w:type="dxa"/>
            <w:vAlign w:val="bottom"/>
          </w:tcPr>
          <w:p>
            <w:pPr>
              <w:spacing w:after="0"/>
              <w:rPr>
                <w:sz w:val="1"/>
                <w:szCs w:val="1"/>
                <w:color w:val="auto"/>
              </w:rPr>
            </w:pPr>
          </w:p>
        </w:tc>
      </w:tr>
      <w:tr>
        <w:trPr>
          <w:trHeight w:val="180"/>
        </w:trPr>
        <w:tc>
          <w:tcPr>
            <w:tcW w:w="4140" w:type="dxa"/>
            <w:vAlign w:val="bottom"/>
          </w:tcPr>
          <w:p>
            <w:pPr>
              <w:spacing w:after="0"/>
              <w:rPr>
                <w:sz w:val="20"/>
                <w:szCs w:val="20"/>
                <w:color w:val="auto"/>
              </w:rPr>
            </w:pPr>
            <w:r>
              <w:rPr>
                <w:rFonts w:ascii="Arial" w:cs="Arial" w:eastAsia="Arial" w:hAnsi="Arial"/>
                <w:sz w:val="14"/>
                <w:szCs w:val="14"/>
                <w:color w:val="auto"/>
              </w:rPr>
              <w:t>DTIC Information Analysis Center Multiple Award Contract</w:t>
            </w: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137.4</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9/29/2027</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 Expiration date applies to the IDIQ vehicle. Task orders awarded under the IDIQ can run past the expiration of the IDIQ itself.</w:t>
      </w:r>
    </w:p>
    <w:p>
      <w:pPr>
        <w:spacing w:after="0" w:line="94" w:lineRule="exact"/>
        <w:rPr>
          <w:sz w:val="20"/>
          <w:szCs w:val="20"/>
          <w:color w:val="auto"/>
        </w:rPr>
      </w:pPr>
    </w:p>
    <w:p>
      <w:pPr>
        <w:ind w:firstLine="350"/>
        <w:spacing w:after="0" w:line="260" w:lineRule="auto"/>
        <w:rPr>
          <w:sz w:val="20"/>
          <w:szCs w:val="20"/>
          <w:color w:val="auto"/>
        </w:rPr>
      </w:pPr>
      <w:r>
        <w:rPr>
          <w:rFonts w:ascii="Arial" w:cs="Arial" w:eastAsia="Arial" w:hAnsi="Arial"/>
          <w:sz w:val="14"/>
          <w:szCs w:val="14"/>
          <w:color w:val="auto"/>
        </w:rPr>
        <w:t>Listed below for each specified revenue band is the number of task orders, revenue derived from the task orders, and average duration of the task orders as of March 31, 2021. The table includes revenue earned during fiscal 2021 under all task orders that were active during fiscal 2021 under these IDIQ contracts and the number of active task orders on which this revenue was earned. Average duration reflected in the table below is calculated based on the inception date of the task order, which may be prior to the beginning of fiscal 2021, and the completion date which may have been prior or subsequent to March 31, 2021. As a result, the actual average remaining duration for task orders included in this table may be less than the average duration shown in the table, and task orders included in the table may have been complete on March 31,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Number of Task</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 of Total</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06"/>
        </w:trPr>
        <w:tc>
          <w:tcPr>
            <w:tcW w:w="3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Segmentation of Task Order by Revenue Fiscal 2021</w:t>
            </w:r>
          </w:p>
        </w:tc>
        <w:tc>
          <w:tcPr>
            <w:tcW w:w="170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3"/>
              </w:rPr>
              <w:t>Orders Active During Fiscal</w:t>
            </w:r>
          </w:p>
        </w:tc>
        <w:tc>
          <w:tcPr>
            <w:tcW w:w="17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8"/>
              </w:rPr>
              <w:t>Fiscal 2021 Revenue (in millions)</w:t>
            </w:r>
          </w:p>
        </w:tc>
        <w:tc>
          <w:tcPr>
            <w:tcW w:w="1820" w:type="dxa"/>
            <w:vAlign w:val="bottom"/>
            <w:gridSpan w:val="2"/>
            <w:vMerge w:val="continue"/>
          </w:tcPr>
          <w:p>
            <w:pPr>
              <w:spacing w:after="0"/>
              <w:rPr>
                <w:sz w:val="9"/>
                <w:szCs w:val="9"/>
                <w:color w:val="auto"/>
              </w:rPr>
            </w:pPr>
          </w:p>
        </w:tc>
        <w:tc>
          <w:tcPr>
            <w:tcW w:w="164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7"/>
              </w:rPr>
              <w:t>Duration</w:t>
            </w:r>
          </w:p>
        </w:tc>
        <w:tc>
          <w:tcPr>
            <w:tcW w:w="0" w:type="dxa"/>
            <w:vAlign w:val="bottom"/>
          </w:tcPr>
          <w:p>
            <w:pPr>
              <w:spacing w:after="0"/>
              <w:rPr>
                <w:sz w:val="1"/>
                <w:szCs w:val="1"/>
                <w:color w:val="auto"/>
              </w:rPr>
            </w:pPr>
          </w:p>
        </w:tc>
      </w:tr>
      <w:tr>
        <w:trPr>
          <w:trHeight w:val="148"/>
        </w:trPr>
        <w:tc>
          <w:tcPr>
            <w:tcW w:w="3840" w:type="dxa"/>
            <w:vAlign w:val="bottom"/>
            <w:vMerge w:val="continue"/>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Revenue</w:t>
            </w:r>
          </w:p>
        </w:tc>
        <w:tc>
          <w:tcPr>
            <w:tcW w:w="1640" w:type="dxa"/>
            <w:vAlign w:val="bottom"/>
          </w:tcPr>
          <w:p>
            <w:pPr>
              <w:jc w:val="center"/>
              <w:spacing w:after="0"/>
              <w:rPr>
                <w:sz w:val="20"/>
                <w:szCs w:val="20"/>
                <w:color w:val="auto"/>
              </w:rPr>
            </w:pPr>
            <w:r>
              <w:rPr>
                <w:rFonts w:ascii="Arial" w:cs="Arial" w:eastAsia="Arial" w:hAnsi="Arial"/>
                <w:sz w:val="11"/>
                <w:szCs w:val="11"/>
                <w:b w:val="1"/>
                <w:bCs w:val="1"/>
                <w:color w:val="auto"/>
                <w:w w:val="91"/>
              </w:rPr>
              <w:t>(Years)</w:t>
            </w:r>
          </w:p>
        </w:tc>
        <w:tc>
          <w:tcPr>
            <w:tcW w:w="0" w:type="dxa"/>
            <w:vAlign w:val="bottom"/>
          </w:tcPr>
          <w:p>
            <w:pPr>
              <w:spacing w:after="0"/>
              <w:rPr>
                <w:sz w:val="1"/>
                <w:szCs w:val="1"/>
                <w:color w:val="auto"/>
              </w:rPr>
            </w:pPr>
          </w:p>
        </w:tc>
      </w:tr>
      <w:tr>
        <w:trPr>
          <w:trHeight w:val="140"/>
        </w:trPr>
        <w:tc>
          <w:tcPr>
            <w:tcW w:w="384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$1 million</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0"/>
        </w:trPr>
        <w:tc>
          <w:tcPr>
            <w:tcW w:w="3840" w:type="dxa"/>
            <w:vAlign w:val="bottom"/>
          </w:tcPr>
          <w:p>
            <w:pPr>
              <w:ind w:left="20"/>
              <w:spacing w:after="0"/>
              <w:rPr>
                <w:sz w:val="20"/>
                <w:szCs w:val="20"/>
                <w:color w:val="auto"/>
              </w:rPr>
            </w:pPr>
            <w:r>
              <w:rPr>
                <w:rFonts w:ascii="Arial" w:cs="Arial" w:eastAsia="Arial" w:hAnsi="Arial"/>
                <w:sz w:val="14"/>
                <w:szCs w:val="14"/>
                <w:color w:val="auto"/>
              </w:rPr>
              <w:t>Between $1 million and $3 million</w:t>
            </w:r>
          </w:p>
        </w:tc>
        <w:tc>
          <w:tcPr>
            <w:tcW w:w="160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743.3</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1"/>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Between $3 million and $5 million</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590.0</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0"/>
        </w:trPr>
        <w:tc>
          <w:tcPr>
            <w:tcW w:w="3840" w:type="dxa"/>
            <w:vAlign w:val="bottom"/>
          </w:tcPr>
          <w:p>
            <w:pPr>
              <w:ind w:left="20"/>
              <w:spacing w:after="0"/>
              <w:rPr>
                <w:sz w:val="20"/>
                <w:szCs w:val="20"/>
                <w:color w:val="auto"/>
              </w:rPr>
            </w:pPr>
            <w:r>
              <w:rPr>
                <w:rFonts w:ascii="Arial" w:cs="Arial" w:eastAsia="Arial" w:hAnsi="Arial"/>
                <w:sz w:val="14"/>
                <w:szCs w:val="14"/>
                <w:color w:val="auto"/>
              </w:rPr>
              <w:t>Between $5 million and $10 million</w:t>
            </w:r>
          </w:p>
        </w:tc>
        <w:tc>
          <w:tcPr>
            <w:tcW w:w="160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775.2</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1"/>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than $10 million</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3,775.0</w:t>
            </w:r>
          </w:p>
        </w:tc>
        <w:tc>
          <w:tcPr>
            <w:tcW w:w="100" w:type="dxa"/>
            <w:vAlign w:val="bottom"/>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3840" w:type="dxa"/>
            <w:vAlign w:val="bottom"/>
          </w:tcPr>
          <w:p>
            <w:pPr>
              <w:ind w:left="20"/>
              <w:spacing w:after="0"/>
              <w:rPr>
                <w:sz w:val="20"/>
                <w:szCs w:val="20"/>
                <w:color w:val="auto"/>
              </w:rPr>
            </w:pPr>
            <w:r>
              <w:rPr>
                <w:rFonts w:ascii="Arial" w:cs="Arial" w:eastAsia="Arial" w:hAnsi="Arial"/>
                <w:sz w:val="14"/>
                <w:szCs w:val="14"/>
                <w:color w:val="auto"/>
              </w:rPr>
              <w:t>Total</w:t>
            </w:r>
          </w:p>
        </w:tc>
        <w:tc>
          <w:tcPr>
            <w:tcW w:w="1600" w:type="dxa"/>
            <w:vAlign w:val="bottom"/>
          </w:tcPr>
          <w:p>
            <w:pPr>
              <w:jc w:val="right"/>
              <w:spacing w:after="0"/>
              <w:rPr>
                <w:sz w:val="20"/>
                <w:szCs w:val="20"/>
                <w:color w:val="auto"/>
              </w:rPr>
            </w:pPr>
            <w:r>
              <w:rPr>
                <w:rFonts w:ascii="Arial" w:cs="Arial" w:eastAsia="Arial" w:hAnsi="Arial"/>
                <w:sz w:val="14"/>
                <w:szCs w:val="14"/>
                <w:color w:val="auto"/>
              </w:rPr>
              <w:t>3,885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6,309.6</w:t>
            </w: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Listed below are our top definite contracts for fiscal 2021 and revenue recognized under these contracts. Classified contracts that cannot be named are noted generically in the table: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13" w:name="page14"/>
    <w:bookmarkEnd w:id="13"/>
    <w:tbl>
      <w:tblPr>
        <w:tblLayout w:type="fixed"/>
        <w:tblInd w:w="540" w:type="dxa"/>
        <w:tblCellMar>
          <w:top w:w="0" w:type="dxa"/>
          <w:left w:w="0" w:type="dxa"/>
          <w:bottom w:w="0" w:type="dxa"/>
          <w:right w:w="0" w:type="dxa"/>
        </w:tblCellMar>
      </w:tblPr>
      <w:tr>
        <w:trPr>
          <w:trHeight w:val="126"/>
        </w:trPr>
        <w:tc>
          <w:tcPr>
            <w:tcW w:w="5200" w:type="dxa"/>
            <w:vAlign w:val="bottom"/>
          </w:tcPr>
          <w:p>
            <w:pPr>
              <w:spacing w:after="0"/>
              <w:rPr>
                <w:sz w:val="10"/>
                <w:szCs w:val="10"/>
                <w:color w:val="auto"/>
              </w:rPr>
            </w:pPr>
          </w:p>
        </w:tc>
        <w:tc>
          <w:tcPr>
            <w:tcW w:w="1140" w:type="dxa"/>
            <w:vAlign w:val="bottom"/>
            <w:vMerge w:val="restart"/>
          </w:tcPr>
          <w:p>
            <w:pPr>
              <w:jc w:val="center"/>
              <w:ind w:left="360"/>
              <w:spacing w:after="0"/>
              <w:rPr>
                <w:sz w:val="20"/>
                <w:szCs w:val="20"/>
                <w:color w:val="auto"/>
              </w:rPr>
            </w:pPr>
            <w:r>
              <w:rPr>
                <w:rFonts w:ascii="Arial" w:cs="Arial" w:eastAsia="Arial" w:hAnsi="Arial"/>
                <w:sz w:val="11"/>
                <w:szCs w:val="11"/>
                <w:b w:val="1"/>
                <w:bCs w:val="1"/>
                <w:color w:val="auto"/>
                <w:w w:val="89"/>
              </w:rPr>
              <w:t>Fiscal</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left="423"/>
              <w:spacing w:after="0"/>
              <w:rPr>
                <w:sz w:val="20"/>
                <w:szCs w:val="20"/>
                <w:color w:val="auto"/>
              </w:rPr>
            </w:pPr>
            <w:r>
              <w:rPr>
                <w:rFonts w:ascii="Arial" w:cs="Arial" w:eastAsia="Arial" w:hAnsi="Arial"/>
                <w:sz w:val="11"/>
                <w:szCs w:val="11"/>
                <w:b w:val="1"/>
                <w:bCs w:val="1"/>
                <w:color w:val="auto"/>
              </w:rPr>
              <w:t>% of</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vMerge w:val="restart"/>
          </w:tcPr>
          <w:p>
            <w:pPr>
              <w:jc w:val="right"/>
              <w:ind w:right="472"/>
              <w:spacing w:after="0"/>
              <w:rPr>
                <w:sz w:val="20"/>
                <w:szCs w:val="20"/>
                <w:color w:val="auto"/>
              </w:rPr>
            </w:pPr>
            <w:r>
              <w:rPr>
                <w:rFonts w:ascii="Arial" w:cs="Arial" w:eastAsia="Arial" w:hAnsi="Arial"/>
                <w:sz w:val="11"/>
                <w:szCs w:val="11"/>
                <w:b w:val="1"/>
                <w:bCs w:val="1"/>
                <w:color w:val="auto"/>
              </w:rPr>
              <w:t>Expiration</w:t>
            </w:r>
          </w:p>
        </w:tc>
        <w:tc>
          <w:tcPr>
            <w:tcW w:w="0" w:type="dxa"/>
            <w:vAlign w:val="bottom"/>
          </w:tcPr>
          <w:p>
            <w:pPr>
              <w:spacing w:after="0"/>
              <w:rPr>
                <w:sz w:val="1"/>
                <w:szCs w:val="1"/>
                <w:color w:val="auto"/>
              </w:rPr>
            </w:pPr>
          </w:p>
        </w:tc>
      </w:tr>
      <w:tr>
        <w:trPr>
          <w:trHeight w:val="106"/>
        </w:trPr>
        <w:tc>
          <w:tcPr>
            <w:tcW w:w="52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jc w:val="center"/>
              <w:ind w:left="443"/>
              <w:spacing w:after="0" w:line="106" w:lineRule="exact"/>
              <w:rPr>
                <w:sz w:val="20"/>
                <w:szCs w:val="20"/>
                <w:color w:val="auto"/>
              </w:rPr>
            </w:pPr>
            <w:r>
              <w:rPr>
                <w:rFonts w:ascii="Arial" w:cs="Arial" w:eastAsia="Arial" w:hAnsi="Arial"/>
                <w:sz w:val="11"/>
                <w:szCs w:val="11"/>
                <w:b w:val="1"/>
                <w:bCs w:val="1"/>
                <w:color w:val="auto"/>
                <w:w w:val="98"/>
              </w:rPr>
              <w:t>Total</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40" w:type="dxa"/>
            <w:vAlign w:val="bottom"/>
            <w:tcBorders>
              <w:bottom w:val="single" w:sz="8" w:color="auto"/>
            </w:tcBorders>
          </w:tcPr>
          <w:p>
            <w:pPr>
              <w:jc w:val="center"/>
              <w:ind w:left="340"/>
              <w:spacing w:after="0"/>
              <w:rPr>
                <w:sz w:val="20"/>
                <w:szCs w:val="20"/>
                <w:color w:val="auto"/>
              </w:rPr>
            </w:pPr>
            <w:r>
              <w:rPr>
                <w:rFonts w:ascii="Arial" w:cs="Arial" w:eastAsia="Arial" w:hAnsi="Arial"/>
                <w:sz w:val="11"/>
                <w:szCs w:val="11"/>
                <w:b w:val="1"/>
                <w:bCs w:val="1"/>
                <w:color w:val="auto"/>
                <w:w w:val="89"/>
              </w:rPr>
              <w:t>2021 Revenue</w:t>
            </w: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bottom w:val="single" w:sz="8" w:color="auto"/>
            </w:tcBorders>
          </w:tcPr>
          <w:p>
            <w:pPr>
              <w:jc w:val="center"/>
              <w:ind w:left="443"/>
              <w:spacing w:after="0"/>
              <w:rPr>
                <w:sz w:val="20"/>
                <w:szCs w:val="20"/>
                <w:color w:val="auto"/>
              </w:rPr>
            </w:pPr>
            <w:r>
              <w:rPr>
                <w:rFonts w:ascii="Arial" w:cs="Arial" w:eastAsia="Arial" w:hAnsi="Arial"/>
                <w:sz w:val="11"/>
                <w:szCs w:val="11"/>
                <w:b w:val="1"/>
                <w:bCs w:val="1"/>
                <w:color w:val="auto"/>
                <w:w w:val="91"/>
              </w:rPr>
              <w:t>Revenue</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139"/>
        </w:trPr>
        <w:tc>
          <w:tcPr>
            <w:tcW w:w="5200" w:type="dxa"/>
            <w:vAlign w:val="bottom"/>
          </w:tcPr>
          <w:p>
            <w:pPr>
              <w:spacing w:after="0"/>
              <w:rPr>
                <w:sz w:val="12"/>
                <w:szCs w:val="12"/>
                <w:color w:val="auto"/>
              </w:rPr>
            </w:pPr>
          </w:p>
        </w:tc>
        <w:tc>
          <w:tcPr>
            <w:tcW w:w="1140" w:type="dxa"/>
            <w:vAlign w:val="bottom"/>
          </w:tcPr>
          <w:p>
            <w:pPr>
              <w:jc w:val="center"/>
              <w:ind w:left="340"/>
              <w:spacing w:after="0"/>
              <w:rPr>
                <w:sz w:val="20"/>
                <w:szCs w:val="20"/>
                <w:color w:val="auto"/>
              </w:rPr>
            </w:pPr>
            <w:r>
              <w:rPr>
                <w:rFonts w:ascii="Arial" w:cs="Arial" w:eastAsia="Arial" w:hAnsi="Arial"/>
                <w:sz w:val="11"/>
                <w:szCs w:val="11"/>
                <w:b w:val="1"/>
                <w:bCs w:val="1"/>
                <w:color w:val="auto"/>
                <w:w w:val="93"/>
              </w:rPr>
              <w:t>(in millions)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1140" w:type="dxa"/>
            <w:vAlign w:val="bottom"/>
            <w:shd w:val="clear" w:color="auto" w:fill="CCEEFF"/>
          </w:tcPr>
          <w:p>
            <w:pPr>
              <w:jc w:val="right"/>
              <w:ind w:right="100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238.0</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9/30/2021</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20"/>
                <w:szCs w:val="20"/>
                <w:color w:val="auto"/>
              </w:rPr>
            </w:pPr>
            <w:r>
              <w:rPr>
                <w:rFonts w:ascii="Arial" w:cs="Arial" w:eastAsia="Arial" w:hAnsi="Arial"/>
                <w:sz w:val="14"/>
                <w:szCs w:val="14"/>
                <w:color w:val="auto"/>
              </w:rPr>
              <w:t>Classified Contract</w:t>
            </w:r>
          </w:p>
        </w:tc>
        <w:tc>
          <w:tcPr>
            <w:tcW w:w="1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61.7</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0.8 %</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6/30/2025</w:t>
            </w: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3/7/2023</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20"/>
                <w:szCs w:val="20"/>
                <w:color w:val="auto"/>
              </w:rPr>
            </w:pPr>
            <w:r>
              <w:rPr>
                <w:rFonts w:ascii="Arial" w:cs="Arial" w:eastAsia="Arial" w:hAnsi="Arial"/>
                <w:sz w:val="14"/>
                <w:szCs w:val="14"/>
                <w:color w:val="auto"/>
              </w:rPr>
              <w:t>Transition Assistance Program Support Services</w:t>
            </w:r>
          </w:p>
        </w:tc>
        <w:tc>
          <w:tcPr>
            <w:tcW w:w="1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43.5</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5/16/2022</w:t>
            </w: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Classified Contract</w:t>
            </w: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5/26/2021</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20"/>
                <w:szCs w:val="20"/>
                <w:color w:val="auto"/>
              </w:rPr>
            </w:pPr>
            <w:r>
              <w:rPr>
                <w:rFonts w:ascii="Arial" w:cs="Arial" w:eastAsia="Arial" w:hAnsi="Arial"/>
                <w:sz w:val="14"/>
                <w:szCs w:val="14"/>
                <w:color w:val="auto"/>
              </w:rPr>
              <w:t>Classified Contract</w:t>
            </w:r>
          </w:p>
        </w:tc>
        <w:tc>
          <w:tcPr>
            <w:tcW w:w="1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3/31/2025</w:t>
            </w: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Recreation One Stop Support Services</w:t>
            </w: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9/30/2027</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20"/>
                <w:szCs w:val="20"/>
                <w:color w:val="auto"/>
              </w:rPr>
            </w:pPr>
            <w:r>
              <w:rPr>
                <w:rFonts w:ascii="Arial" w:cs="Arial" w:eastAsia="Arial" w:hAnsi="Arial"/>
                <w:sz w:val="14"/>
                <w:szCs w:val="14"/>
                <w:color w:val="auto"/>
              </w:rPr>
              <w:t>Classified Contract</w:t>
            </w:r>
          </w:p>
        </w:tc>
        <w:tc>
          <w:tcPr>
            <w:tcW w:w="1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9/16/2024</w:t>
            </w: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spacing w:after="0"/>
              <w:rPr>
                <w:sz w:val="20"/>
                <w:szCs w:val="20"/>
                <w:color w:val="auto"/>
              </w:rPr>
            </w:pPr>
            <w:r>
              <w:rPr>
                <w:rFonts w:ascii="Arial" w:cs="Arial" w:eastAsia="Arial" w:hAnsi="Arial"/>
                <w:sz w:val="14"/>
                <w:szCs w:val="14"/>
                <w:color w:val="auto"/>
              </w:rPr>
              <w:t>Systems Engineering and Technical Assistance</w:t>
            </w: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5/31/2021</w:t>
            </w:r>
          </w:p>
        </w:tc>
        <w:tc>
          <w:tcPr>
            <w:tcW w:w="0" w:type="dxa"/>
            <w:vAlign w:val="bottom"/>
          </w:tcPr>
          <w:p>
            <w:pPr>
              <w:spacing w:after="0"/>
              <w:rPr>
                <w:sz w:val="1"/>
                <w:szCs w:val="1"/>
                <w:color w:val="auto"/>
              </w:rPr>
            </w:pPr>
          </w:p>
        </w:tc>
      </w:tr>
      <w:tr>
        <w:trPr>
          <w:trHeight w:val="180"/>
        </w:trPr>
        <w:tc>
          <w:tcPr>
            <w:tcW w:w="5200" w:type="dxa"/>
            <w:vAlign w:val="bottom"/>
          </w:tcPr>
          <w:p>
            <w:pPr>
              <w:spacing w:after="0"/>
              <w:rPr>
                <w:sz w:val="20"/>
                <w:szCs w:val="20"/>
                <w:color w:val="auto"/>
              </w:rPr>
            </w:pPr>
            <w:r>
              <w:rPr>
                <w:rFonts w:ascii="Arial" w:cs="Arial" w:eastAsia="Arial" w:hAnsi="Arial"/>
                <w:sz w:val="14"/>
                <w:szCs w:val="14"/>
                <w:color w:val="auto"/>
              </w:rPr>
              <w:t>Classified Contract</w:t>
            </w:r>
          </w:p>
        </w:tc>
        <w:tc>
          <w:tcPr>
            <w:tcW w:w="1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8/31/2021</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define backlog to include the following three components:</w:t>
      </w:r>
    </w:p>
    <w:p>
      <w:pPr>
        <w:spacing w:after="0" w:line="94" w:lineRule="exact"/>
        <w:rPr>
          <w:sz w:val="20"/>
          <w:szCs w:val="20"/>
          <w:color w:val="auto"/>
        </w:rPr>
      </w:pPr>
    </w:p>
    <w:p>
      <w:pPr>
        <w:ind w:left="520" w:right="500" w:hanging="515"/>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Funded Backlog. </w:t>
      </w:r>
      <w:r>
        <w:rPr>
          <w:rFonts w:ascii="Arial" w:cs="Arial" w:eastAsia="Arial" w:hAnsi="Arial"/>
          <w:sz w:val="14"/>
          <w:szCs w:val="14"/>
          <w:color w:val="auto"/>
        </w:rPr>
        <w:t>Funded backlog represents the revenue value of orders for services under existing contracts for which funding is appropriated or otherwise authorized less revenue</w:t>
      </w:r>
      <w:r>
        <w:rPr>
          <w:rFonts w:ascii="Arial" w:cs="Arial" w:eastAsia="Arial" w:hAnsi="Arial"/>
          <w:sz w:val="14"/>
          <w:szCs w:val="14"/>
          <w:i w:val="1"/>
          <w:iCs w:val="1"/>
          <w:color w:val="auto"/>
        </w:rPr>
        <w:t xml:space="preserve"> </w:t>
      </w:r>
      <w:r>
        <w:rPr>
          <w:rFonts w:ascii="Arial" w:cs="Arial" w:eastAsia="Arial" w:hAnsi="Arial"/>
          <w:sz w:val="14"/>
          <w:szCs w:val="14"/>
          <w:color w:val="auto"/>
        </w:rPr>
        <w:t>previously recognized on these contracts.</w:t>
      </w:r>
    </w:p>
    <w:p>
      <w:pPr>
        <w:spacing w:after="0" w:line="47" w:lineRule="exact"/>
        <w:rPr>
          <w:rFonts w:ascii="Arial" w:cs="Arial" w:eastAsia="Arial" w:hAnsi="Arial"/>
          <w:sz w:val="14"/>
          <w:szCs w:val="14"/>
          <w:color w:val="auto"/>
        </w:rPr>
      </w:pPr>
    </w:p>
    <w:p>
      <w:pPr>
        <w:ind w:left="520" w:right="20" w:hanging="515"/>
        <w:spacing w:after="0" w:line="281" w:lineRule="auto"/>
        <w:tabs>
          <w:tab w:leader="none" w:pos="516"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Unfunded Backlog. </w:t>
      </w:r>
      <w:r>
        <w:rPr>
          <w:rFonts w:ascii="Arial" w:cs="Arial" w:eastAsia="Arial" w:hAnsi="Arial"/>
          <w:sz w:val="14"/>
          <w:szCs w:val="14"/>
          <w:color w:val="auto"/>
        </w:rPr>
        <w:t>Unfunded backlog represents the revenue value of orders (including optional orders) for services under existing contracts for which funding has not been appropriated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otherwise authorized.</w:t>
      </w:r>
    </w:p>
    <w:p>
      <w:pPr>
        <w:spacing w:after="0" w:line="47" w:lineRule="exact"/>
        <w:rPr>
          <w:rFonts w:ascii="Arial" w:cs="Arial" w:eastAsia="Arial" w:hAnsi="Arial"/>
          <w:sz w:val="14"/>
          <w:szCs w:val="14"/>
          <w:i w:val="1"/>
          <w:iCs w:val="1"/>
          <w:color w:val="auto"/>
        </w:rPr>
      </w:pPr>
    </w:p>
    <w:p>
      <w:pPr>
        <w:ind w:left="520" w:right="20" w:hanging="515"/>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i w:val="1"/>
          <w:iCs w:val="1"/>
          <w:color w:val="auto"/>
        </w:rPr>
        <w:t xml:space="preserve">Priced Options. </w:t>
      </w:r>
      <w:r>
        <w:rPr>
          <w:rFonts w:ascii="Arial" w:cs="Arial" w:eastAsia="Arial" w:hAnsi="Arial"/>
          <w:sz w:val="14"/>
          <w:szCs w:val="14"/>
          <w:color w:val="auto"/>
        </w:rPr>
        <w:t>Priced contract options represent 100% of the revenue value of all future contract option periods under existing contracts that may be exercised at our clients’ option and for</w:t>
      </w:r>
      <w:r>
        <w:rPr>
          <w:rFonts w:ascii="Arial" w:cs="Arial" w:eastAsia="Arial" w:hAnsi="Arial"/>
          <w:sz w:val="14"/>
          <w:szCs w:val="14"/>
          <w:i w:val="1"/>
          <w:iCs w:val="1"/>
          <w:color w:val="auto"/>
        </w:rPr>
        <w:t xml:space="preserve"> </w:t>
      </w:r>
      <w:r>
        <w:rPr>
          <w:rFonts w:ascii="Arial" w:cs="Arial" w:eastAsia="Arial" w:hAnsi="Arial"/>
          <w:sz w:val="14"/>
          <w:szCs w:val="14"/>
          <w:color w:val="auto"/>
        </w:rPr>
        <w:t>which funding has not been appropriated or otherwise authorized.</w:t>
      </w:r>
    </w:p>
    <w:p>
      <w:pPr>
        <w:spacing w:after="0" w:line="47"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the value of our contract backlog as of the respective dates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4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As of March 31,</w:t>
            </w:r>
          </w:p>
        </w:tc>
        <w:tc>
          <w:tcPr>
            <w:tcW w:w="1320" w:type="dxa"/>
            <w:vAlign w:val="bottom"/>
            <w:tcBorders>
              <w:bottom w:val="single" w:sz="8" w:color="auto"/>
            </w:tcBorders>
          </w:tcPr>
          <w:p>
            <w:pPr>
              <w:spacing w:after="0"/>
              <w:rPr>
                <w:sz w:val="13"/>
                <w:szCs w:val="13"/>
                <w:color w:val="auto"/>
              </w:rPr>
            </w:pPr>
          </w:p>
        </w:tc>
      </w:tr>
      <w:tr>
        <w:trPr>
          <w:trHeight w:val="142"/>
        </w:trPr>
        <w:tc>
          <w:tcPr>
            <w:tcW w:w="6140" w:type="dxa"/>
            <w:vAlign w:val="bottom"/>
          </w:tcPr>
          <w:p>
            <w:pPr>
              <w:spacing w:after="0"/>
              <w:rPr>
                <w:sz w:val="12"/>
                <w:szCs w:val="12"/>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72"/>
              <w:spacing w:after="0"/>
              <w:rPr>
                <w:sz w:val="20"/>
                <w:szCs w:val="20"/>
                <w:color w:val="auto"/>
              </w:rPr>
            </w:pPr>
            <w:r>
              <w:rPr>
                <w:rFonts w:ascii="Arial" w:cs="Arial" w:eastAsia="Arial" w:hAnsi="Arial"/>
                <w:sz w:val="11"/>
                <w:szCs w:val="11"/>
                <w:b w:val="1"/>
                <w:bCs w:val="1"/>
                <w:color w:val="auto"/>
              </w:rPr>
              <w:t>2020</w:t>
            </w:r>
          </w:p>
        </w:tc>
      </w:tr>
      <w:tr>
        <w:trPr>
          <w:trHeight w:val="139"/>
        </w:trPr>
        <w:tc>
          <w:tcPr>
            <w:tcW w:w="6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320" w:type="dxa"/>
            <w:vAlign w:val="bottom"/>
            <w:gridSpan w:val="3"/>
          </w:tcPr>
          <w:p>
            <w:pPr>
              <w:jc w:val="right"/>
              <w:ind w:right="249"/>
              <w:spacing w:after="0"/>
              <w:rPr>
                <w:sz w:val="20"/>
                <w:szCs w:val="20"/>
                <w:color w:val="auto"/>
              </w:rPr>
            </w:pPr>
            <w:r>
              <w:rPr>
                <w:rFonts w:ascii="Arial" w:cs="Arial" w:eastAsia="Arial" w:hAnsi="Arial"/>
                <w:sz w:val="11"/>
                <w:szCs w:val="11"/>
                <w:b w:val="1"/>
                <w:bCs w:val="1"/>
                <w:color w:val="auto"/>
              </w:rPr>
              <w:t>(In millions)</w:t>
            </w:r>
          </w:p>
        </w:tc>
        <w:tc>
          <w:tcPr>
            <w:tcW w:w="1320" w:type="dxa"/>
            <w:vAlign w:val="bottom"/>
          </w:tcPr>
          <w:p>
            <w:pPr>
              <w:spacing w:after="0"/>
              <w:rPr>
                <w:sz w:val="12"/>
                <w:szCs w:val="12"/>
                <w:color w:val="auto"/>
              </w:rPr>
            </w:pPr>
          </w:p>
        </w:tc>
      </w:tr>
      <w:tr>
        <w:trPr>
          <w:trHeight w:val="181"/>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Funded</w:t>
            </w:r>
          </w:p>
        </w:tc>
        <w:tc>
          <w:tcPr>
            <w:tcW w:w="1260" w:type="dxa"/>
            <w:vAlign w:val="bottom"/>
            <w:shd w:val="clear" w:color="auto" w:fill="CCEEFF"/>
          </w:tcPr>
          <w:p>
            <w:pPr>
              <w:jc w:val="right"/>
              <w:ind w:right="1094"/>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Unfunded</w:t>
            </w:r>
          </w:p>
        </w:tc>
        <w:tc>
          <w:tcPr>
            <w:tcW w:w="1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6,086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4,518</w:t>
            </w:r>
          </w:p>
        </w:tc>
      </w:tr>
      <w:tr>
        <w:trPr>
          <w:trHeight w:val="181"/>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Priced options</w:t>
            </w:r>
          </w:p>
        </w:tc>
        <w:tc>
          <w:tcPr>
            <w:tcW w:w="1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14,436</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12,796</w:t>
            </w:r>
          </w:p>
        </w:tc>
      </w:tr>
      <w:tr>
        <w:trPr>
          <w:trHeight w:val="171"/>
        </w:trPr>
        <w:tc>
          <w:tcPr>
            <w:tcW w:w="6140" w:type="dxa"/>
            <w:vAlign w:val="bottom"/>
          </w:tcPr>
          <w:p>
            <w:pPr>
              <w:ind w:left="20"/>
              <w:spacing w:after="0"/>
              <w:rPr>
                <w:sz w:val="20"/>
                <w:szCs w:val="20"/>
                <w:color w:val="auto"/>
              </w:rPr>
            </w:pPr>
            <w:r>
              <w:rPr>
                <w:rFonts w:ascii="Arial" w:cs="Arial" w:eastAsia="Arial" w:hAnsi="Arial"/>
                <w:sz w:val="14"/>
                <w:szCs w:val="14"/>
                <w:color w:val="auto"/>
              </w:rPr>
              <w:t>Total backlog</w:t>
            </w:r>
          </w:p>
        </w:tc>
        <w:tc>
          <w:tcPr>
            <w:tcW w:w="126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24,032</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20,729</w:t>
            </w:r>
          </w:p>
        </w:tc>
      </w:tr>
      <w:tr>
        <w:trPr>
          <w:trHeight w:val="20"/>
        </w:trPr>
        <w:tc>
          <w:tcPr>
            <w:tcW w:w="6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Operations—Factors and Trends Affecting Our Results of Operations—Sources of Revenue—Contract Backlog” for additional disclosure regarding our backlog. See also “Item 1A. Risk Factors—Industry and Economic Risks—We may not realize the full value of our backlog, which may result in lower than expected revenue.”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98"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The government services market is highly fragmented and competition within the government professional services industry has intensified as a result of market pressure and consolidation activity.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w:t>
      </w:r>
    </w:p>
    <w:p>
      <w:pPr>
        <w:spacing w:after="0" w:line="57"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Changing government policies and market dynamics are impacting the competitive landscape. In the past, the government’s focus on organizational conflicts of interest has driven divestitures, which have changed the competitive landscape. More recently, there has been increasing pressure from government clients to utilize small businesses, in large part because of a push by both past and present administrations to bolster the economy by helping small business owners. Finally, as a result of the foregoing factors and the drive in our markets to quickly build competencies in growth areas and achieve economies of scale, we believe that consolidation activity among market participants will continue.</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04" w:right="379" w:bottom="1440" w:gutter="0" w:footer="0" w:header="0"/>
        </w:sectPr>
      </w:pPr>
    </w:p>
    <w:bookmarkStart w:id="14" w:name="page15"/>
    <w:bookmarkEnd w:id="14"/>
    <w:p>
      <w:pPr>
        <w:ind w:firstLine="350"/>
        <w:spacing w:after="0" w:line="280" w:lineRule="auto"/>
        <w:rPr>
          <w:sz w:val="20"/>
          <w:szCs w:val="20"/>
          <w:color w:val="auto"/>
        </w:rPr>
      </w:pPr>
      <w:r>
        <w:rPr>
          <w:rFonts w:ascii="Arial" w:cs="Arial" w:eastAsia="Arial" w:hAnsi="Arial"/>
          <w:sz w:val="13"/>
          <w:szCs w:val="13"/>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(1) contractors focused principally on the provision of services to the U.S. government, (2) large defense contractors that provide both products and services to the U.S. government, and (3) diversified service providers. We compete based on our technical expertise and client knowledge, our ability to successfully recruit and retain appropriately skilled and experienced talent, our ability to deliver cost-effective multifaceted services in a timely manner, our reputation and relationship with our clients, our past performance, security clearances, and the size and scale of our Company. In addition,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Patents and Proprietary Information</w:t>
      </w:r>
    </w:p>
    <w:p>
      <w:pPr>
        <w:spacing w:after="0" w:line="98" w:lineRule="exact"/>
        <w:rPr>
          <w:sz w:val="20"/>
          <w:szCs w:val="20"/>
          <w:color w:val="auto"/>
        </w:rPr>
      </w:pPr>
    </w:p>
    <w:p>
      <w:pPr>
        <w:ind w:right="80" w:firstLine="350"/>
        <w:spacing w:after="0" w:line="284" w:lineRule="auto"/>
        <w:rPr>
          <w:sz w:val="20"/>
          <w:szCs w:val="20"/>
          <w:color w:val="auto"/>
        </w:rPr>
      </w:pPr>
      <w:r>
        <w:rPr>
          <w:rFonts w:ascii="Arial" w:cs="Arial" w:eastAsia="Arial" w:hAnsi="Arial"/>
          <w:sz w:val="13"/>
          <w:szCs w:val="13"/>
          <w:color w:val="auto"/>
        </w:rPr>
        <w:t>Our management and technology consulting services business utilizes a variety of proprietary rights in delivering products and services to our clients. We claim a proprietary interest in certain service offerings, products, software tools, methodologies, and know-how, and also have certain licenses to third-party intellectual property that may be significant to our business. While we have several patents issued and pending in the United States and in certain foreign countries, we do not consider our overall business to be materially dependent on the protection of such patents. In addition,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w:t>
      </w:r>
    </w:p>
    <w:p>
      <w:pPr>
        <w:spacing w:after="0" w:line="49" w:lineRule="exact"/>
        <w:rPr>
          <w:sz w:val="20"/>
          <w:szCs w:val="20"/>
          <w:color w:val="auto"/>
        </w:rPr>
      </w:pPr>
    </w:p>
    <w:p>
      <w:pPr>
        <w:ind w:right="20" w:firstLine="350"/>
        <w:spacing w:after="0" w:line="313" w:lineRule="auto"/>
        <w:rPr>
          <w:sz w:val="20"/>
          <w:szCs w:val="20"/>
          <w:color w:val="auto"/>
        </w:rPr>
      </w:pPr>
      <w:r>
        <w:rPr>
          <w:rFonts w:ascii="Arial" w:cs="Arial" w:eastAsia="Arial" w:hAnsi="Arial"/>
          <w:sz w:val="12"/>
          <w:szCs w:val="12"/>
          <w:color w:val="auto"/>
        </w:rPr>
        <w:t>We rely 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We have a variety of proprietary marks registered in the United States and certain foreign countries, including "Booz Allen Hamilton." Generally, registered trademarks have perpetual life, provided that they are renewed on a timely basis and continue to be used properly as trademarks. We have registered trademarks related to our name and logo in the United States, with the earliest renewal in November 2022, while the earliest renewal for our trademarks outside of the United States is September 2021.</w:t>
      </w:r>
    </w:p>
    <w:p>
      <w:pPr>
        <w:spacing w:after="0" w:line="34" w:lineRule="exact"/>
        <w:rPr>
          <w:sz w:val="20"/>
          <w:szCs w:val="20"/>
          <w:color w:val="auto"/>
        </w:rPr>
      </w:pPr>
    </w:p>
    <w:p>
      <w:pPr>
        <w:ind w:right="40" w:firstLine="350"/>
        <w:spacing w:after="0" w:line="297" w:lineRule="auto"/>
        <w:rPr>
          <w:sz w:val="20"/>
          <w:szCs w:val="20"/>
          <w:color w:val="auto"/>
        </w:rPr>
      </w:pPr>
      <w:r>
        <w:rPr>
          <w:rFonts w:ascii="Arial" w:cs="Arial" w:eastAsia="Arial" w:hAnsi="Arial"/>
          <w:sz w:val="13"/>
          <w:szCs w:val="13"/>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may include our competitors in some instances. In the case of our work as a subcontractor, our prime contractor may also have certain rights to data, information, and products we develop under the subcontract.</w:t>
      </w:r>
    </w:p>
    <w:p>
      <w:pPr>
        <w:spacing w:after="0" w:line="39"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Booz Allen Hamilton and other trademarks or service marks of Booz Allen Hamilton Inc. appearing in this Annual Report are the trademarks or registered trademarks of Booz Allen Hamilton Inc. Trade names, trademarks, and service marks of other companies appearing in this Annual Report are the property of their respective owners.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98" w:lineRule="exact"/>
        <w:rPr>
          <w:sz w:val="20"/>
          <w:szCs w:val="20"/>
          <w:color w:val="auto"/>
        </w:rPr>
      </w:pPr>
    </w:p>
    <w:p>
      <w:pPr>
        <w:ind w:right="100" w:firstLine="350"/>
        <w:spacing w:after="0" w:line="267" w:lineRule="auto"/>
        <w:rPr>
          <w:sz w:val="20"/>
          <w:szCs w:val="20"/>
          <w:color w:val="auto"/>
        </w:rPr>
      </w:pPr>
      <w:r>
        <w:rPr>
          <w:rFonts w:ascii="Arial" w:cs="Arial" w:eastAsia="Arial" w:hAnsi="Arial"/>
          <w:sz w:val="14"/>
          <w:szCs w:val="14"/>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 the following:</w:t>
      </w:r>
    </w:p>
    <w:p>
      <w:pPr>
        <w:spacing w:after="0" w:line="57" w:lineRule="exact"/>
        <w:rPr>
          <w:sz w:val="20"/>
          <w:szCs w:val="20"/>
          <w:color w:val="auto"/>
        </w:rPr>
      </w:pPr>
    </w:p>
    <w:p>
      <w:pPr>
        <w:ind w:left="520" w:right="100" w:hanging="260"/>
        <w:spacing w:after="0" w:line="262"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60" w:lineRule="exact"/>
        <w:rPr>
          <w:rFonts w:ascii="Arial" w:cs="Arial" w:eastAsia="Arial" w:hAnsi="Arial"/>
          <w:sz w:val="14"/>
          <w:szCs w:val="14"/>
          <w:color w:val="auto"/>
        </w:rPr>
      </w:pPr>
    </w:p>
    <w:p>
      <w:pPr>
        <w:ind w:left="520" w:right="26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False Claims Act, which imposes civil and criminal liability for violations, including substantial monetary penalties, for, among other things, presenting false or fraudulent claims for payments or approval;</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False Statements Act, which imposes civil and criminal liability for making false statements to the U.S. government;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15" w:name="page16"/>
    <w:bookmarkEnd w:id="15"/>
    <w:p>
      <w:pPr>
        <w:ind w:left="520" w:right="44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47" w:lineRule="exact"/>
        <w:rPr>
          <w:rFonts w:ascii="Arial" w:cs="Arial" w:eastAsia="Arial" w:hAnsi="Arial"/>
          <w:sz w:val="14"/>
          <w:szCs w:val="14"/>
          <w:color w:val="auto"/>
        </w:rPr>
      </w:pPr>
    </w:p>
    <w:p>
      <w:pPr>
        <w:ind w:left="520" w:right="38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laws and regulations restricting the ability of a contractor to provide gifts or gratuities to employees of the U.S. government;</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post-government employment laws and regulations, which restrict the ability of a contractor to recruit and hire current employees of the U.S. government and deploy former employees of the U.S. government;</w:t>
      </w:r>
    </w:p>
    <w:p>
      <w:pPr>
        <w:spacing w:after="0" w:line="47" w:lineRule="exact"/>
        <w:rPr>
          <w:rFonts w:ascii="Arial" w:cs="Arial" w:eastAsia="Arial" w:hAnsi="Arial"/>
          <w:sz w:val="14"/>
          <w:szCs w:val="14"/>
          <w:color w:val="auto"/>
        </w:rPr>
      </w:pPr>
    </w:p>
    <w:p>
      <w:pPr>
        <w:ind w:left="520" w:right="120" w:hanging="260"/>
        <w:spacing w:after="0" w:line="267"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laws, regulations, and executive orders, regulating the handling, use, and dissemination of personally identifiable information in the course of performing a U.S. government contract;</w:t>
      </w:r>
    </w:p>
    <w:p>
      <w:pPr>
        <w:spacing w:after="0" w:line="105"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47" w:lineRule="exact"/>
        <w:rPr>
          <w:rFonts w:ascii="Arial" w:cs="Arial" w:eastAsia="Arial" w:hAnsi="Arial"/>
          <w:sz w:val="14"/>
          <w:szCs w:val="14"/>
          <w:color w:val="auto"/>
        </w:rPr>
      </w:pPr>
    </w:p>
    <w:p>
      <w:pPr>
        <w:ind w:left="520" w:right="180" w:hanging="260"/>
        <w:spacing w:after="0" w:line="267"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laws, regulations, and executive orders that impose requirements on us to ensure compliance with requirements and protect the government from risks related to our supply chain;</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laws, regulations, and mandatory contract provisions providing protections to employees or subcontractors seeking to report alleged fraud, waste, and abuse related to a government contract;</w:t>
      </w:r>
    </w:p>
    <w:p>
      <w:pPr>
        <w:spacing w:after="0" w:line="116" w:lineRule="exact"/>
        <w:rPr>
          <w:rFonts w:ascii="Arial" w:cs="Arial" w:eastAsia="Arial" w:hAnsi="Arial"/>
          <w:sz w:val="12"/>
          <w:szCs w:val="12"/>
          <w:color w:val="auto"/>
        </w:rPr>
      </w:pPr>
    </w:p>
    <w:p>
      <w:pPr>
        <w:ind w:left="520" w:right="20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47"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47" w:lineRule="exact"/>
        <w:rPr>
          <w:sz w:val="20"/>
          <w:szCs w:val="20"/>
          <w:color w:val="auto"/>
        </w:rPr>
      </w:pPr>
    </w:p>
    <w:p>
      <w:pPr>
        <w:ind w:right="40" w:firstLine="350"/>
        <w:spacing w:after="0" w:line="282" w:lineRule="auto"/>
        <w:rPr>
          <w:sz w:val="20"/>
          <w:szCs w:val="20"/>
          <w:color w:val="auto"/>
        </w:rPr>
      </w:pPr>
      <w:r>
        <w:rPr>
          <w:rFonts w:ascii="Arial" w:cs="Arial" w:eastAsia="Arial" w:hAnsi="Arial"/>
          <w:sz w:val="13"/>
          <w:szCs w:val="13"/>
          <w:color w:val="auto"/>
        </w:rPr>
        <w:t>Given the magnitude of our revenue derived from contracts with the Department of Defense, the Defense Contract Audit Agency (DCAA) is our cognizant government audit agency. The DCAA audits the adequacy of our internal control systems and policies including, among other areas, compensation. The Defense Contract Management Agency (DCMA) as our cognizant government contract management agency, may determine that a portion of our employee compensation is unallowable based on the findings and recommendations in the DCAA's audits. In addition, the DCMA directly reviews the adequacy of certain other business systems, such as our purchasing system. See “Item 1A. Risk Factors—Legal and Regulatory Risks—Our work with government clients exposes us to additional risks inherent in the government contracting environment, which could reduce our revenue, disrupt our business, or otherwise materially adversely affect our results of operations.” We are also subject to audit by Inspectors General of other U.S. government agencies.</w:t>
      </w:r>
    </w:p>
    <w:p>
      <w:pPr>
        <w:spacing w:after="0" w:line="49" w:lineRule="exact"/>
        <w:rPr>
          <w:sz w:val="20"/>
          <w:szCs w:val="20"/>
          <w:color w:val="auto"/>
        </w:rPr>
      </w:pPr>
    </w:p>
    <w:p>
      <w:pPr>
        <w:ind w:right="200" w:firstLine="350"/>
        <w:spacing w:after="0" w:line="262" w:lineRule="auto"/>
        <w:rPr>
          <w:sz w:val="20"/>
          <w:szCs w:val="20"/>
          <w:color w:val="auto"/>
        </w:rPr>
      </w:pPr>
      <w:r>
        <w:rPr>
          <w:rFonts w:ascii="Arial" w:cs="Arial" w:eastAsia="Arial" w:hAnsi="Arial"/>
          <w:sz w:val="14"/>
          <w:szCs w:val="14"/>
          <w:color w:val="auto"/>
        </w:rPr>
        <w:t>The U.S. government may revise its procurement practices or adopt new contract rules and regulations at any time. To help ensure compliance with these laws and regulations, all of our employees are required to attend ethics training at least annually, and to participate in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61" w:lineRule="exact"/>
        <w:rPr>
          <w:sz w:val="20"/>
          <w:szCs w:val="20"/>
          <w:color w:val="auto"/>
        </w:rPr>
      </w:pPr>
    </w:p>
    <w:p>
      <w:pPr>
        <w:ind w:right="160" w:firstLine="350"/>
        <w:spacing w:after="0" w:line="267" w:lineRule="auto"/>
        <w:rPr>
          <w:sz w:val="20"/>
          <w:szCs w:val="20"/>
          <w:color w:val="auto"/>
        </w:rPr>
      </w:pPr>
      <w:r>
        <w:rPr>
          <w:rFonts w:ascii="Arial" w:cs="Arial" w:eastAsia="Arial" w:hAnsi="Arial"/>
          <w:sz w:val="14"/>
          <w:szCs w:val="14"/>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could take many years. As is common in the industry, our Company is subject to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16" w:name="page17"/>
    <w:bookmarkEnd w:id="16"/>
    <w:p>
      <w:pPr>
        <w:ind w:right="180"/>
        <w:spacing w:after="0" w:line="281" w:lineRule="auto"/>
        <w:rPr>
          <w:sz w:val="20"/>
          <w:szCs w:val="20"/>
          <w:color w:val="auto"/>
        </w:rPr>
      </w:pPr>
      <w:r>
        <w:rPr>
          <w:rFonts w:ascii="Arial" w:cs="Arial" w:eastAsia="Arial" w:hAnsi="Arial"/>
          <w:sz w:val="14"/>
          <w:szCs w:val="14"/>
          <w:color w:val="auto"/>
        </w:rPr>
        <w:t>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47" w:lineRule="exact"/>
        <w:rPr>
          <w:sz w:val="20"/>
          <w:szCs w:val="20"/>
          <w:color w:val="auto"/>
        </w:rPr>
      </w:pPr>
    </w:p>
    <w:p>
      <w:pPr>
        <w:ind w:right="40" w:firstLine="350"/>
        <w:spacing w:after="0" w:line="288" w:lineRule="auto"/>
        <w:rPr>
          <w:sz w:val="20"/>
          <w:szCs w:val="20"/>
          <w:color w:val="auto"/>
        </w:rPr>
      </w:pPr>
      <w:r>
        <w:rPr>
          <w:rFonts w:ascii="Arial" w:cs="Arial" w:eastAsia="Arial" w:hAnsi="Arial"/>
          <w:sz w:val="13"/>
          <w:szCs w:val="13"/>
          <w:color w:val="auto"/>
        </w:rPr>
        <w:t>The U.S. government has a broad range of actions that it can instigate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of the amount recovered by the government.</w:t>
      </w:r>
    </w:p>
    <w:p>
      <w:pPr>
        <w:spacing w:after="0" w:line="46"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See “Item 1A. Risk Factors—Legal and Regulatory Risks—We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98" w:lineRule="exact"/>
        <w:rPr>
          <w:sz w:val="20"/>
          <w:szCs w:val="20"/>
          <w:color w:val="auto"/>
        </w:rPr>
      </w:pPr>
    </w:p>
    <w:p>
      <w:pPr>
        <w:ind w:firstLine="350"/>
        <w:spacing w:after="0" w:line="284" w:lineRule="auto"/>
        <w:rPr>
          <w:sz w:val="20"/>
          <w:szCs w:val="20"/>
          <w:color w:val="auto"/>
        </w:rPr>
      </w:pPr>
      <w:r>
        <w:rPr>
          <w:rFonts w:ascii="Arial" w:cs="Arial" w:eastAsia="Arial" w:hAnsi="Arial"/>
          <w:sz w:val="13"/>
          <w:szCs w:val="13"/>
          <w:color w:val="auto"/>
        </w:rPr>
        <w:t>We file annual, quarterly, and current reports and other information with the Securities and Exchange Commission (the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Quarterly Reports on Form 10-Q, and Current Reports on Form 8-K, and any amendments to those forms) through the “Investors” portion of our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45"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1A</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Risk Factors</w:t>
      </w:r>
    </w:p>
    <w:p>
      <w:pPr>
        <w:spacing w:after="0" w:line="98"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62" w:lineRule="exact"/>
        <w:rPr>
          <w:sz w:val="20"/>
          <w:szCs w:val="20"/>
          <w:color w:val="auto"/>
        </w:rPr>
      </w:pPr>
    </w:p>
    <w:p>
      <w:pPr>
        <w:ind w:right="120" w:firstLine="350"/>
        <w:spacing w:after="0" w:line="321" w:lineRule="auto"/>
        <w:rPr>
          <w:sz w:val="20"/>
          <w:szCs w:val="20"/>
          <w:color w:val="auto"/>
        </w:rPr>
      </w:pPr>
      <w:r>
        <w:rPr>
          <w:rFonts w:ascii="Arial" w:cs="Arial" w:eastAsia="Arial" w:hAnsi="Arial"/>
          <w:sz w:val="13"/>
          <w:szCs w:val="13"/>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A summary of our risks includes, but is not limited, to the following:</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Industry and Economic Risks</w:t>
      </w:r>
    </w:p>
    <w:p>
      <w:pPr>
        <w:spacing w:after="0" w:line="98" w:lineRule="exact"/>
        <w:rPr>
          <w:sz w:val="20"/>
          <w:szCs w:val="20"/>
          <w:color w:val="auto"/>
        </w:rPr>
      </w:pPr>
    </w:p>
    <w:p>
      <w:pPr>
        <w:ind w:left="500" w:hanging="136"/>
        <w:spacing w:after="0"/>
        <w:tabs>
          <w:tab w:leader="none" w:pos="500" w:val="left"/>
        </w:tabs>
        <w:numPr>
          <w:ilvl w:val="0"/>
          <w:numId w:val="17"/>
        </w:numPr>
        <w:rPr>
          <w:rFonts w:ascii="Arial" w:cs="Arial" w:eastAsia="Arial" w:hAnsi="Arial"/>
          <w:sz w:val="14"/>
          <w:szCs w:val="14"/>
          <w:b w:val="1"/>
          <w:bCs w:val="1"/>
          <w:color w:val="auto"/>
        </w:rPr>
      </w:pPr>
      <w:r>
        <w:rPr>
          <w:rFonts w:ascii="Arial" w:cs="Arial" w:eastAsia="Arial" w:hAnsi="Arial"/>
          <w:sz w:val="14"/>
          <w:szCs w:val="14"/>
          <w:color w:val="auto"/>
        </w:rPr>
        <w:t>risks relating to our relationships with the U.S. government;</w:t>
      </w:r>
    </w:p>
    <w:p>
      <w:pPr>
        <w:spacing w:after="0" w:line="93" w:lineRule="exact"/>
        <w:rPr>
          <w:rFonts w:ascii="Arial" w:cs="Arial" w:eastAsia="Arial" w:hAnsi="Arial"/>
          <w:sz w:val="14"/>
          <w:szCs w:val="14"/>
          <w:b w:val="1"/>
          <w:bCs w:val="1"/>
          <w:color w:val="auto"/>
        </w:rPr>
      </w:pPr>
    </w:p>
    <w:p>
      <w:pPr>
        <w:ind w:left="520" w:right="460" w:hanging="156"/>
        <w:spacing w:after="0" w:line="281" w:lineRule="auto"/>
        <w:tabs>
          <w:tab w:leader="none" w:pos="515"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U.S. government spending and mission priorities, including due to uncertainty relating to funding of the U.S. government and a possible failure of Congressional efforts to approve such funding and to craft a long-term agreement on the U.S. government’s ability to incur indebtedness in excess of its current limits;</w:t>
      </w:r>
    </w:p>
    <w:p>
      <w:pPr>
        <w:spacing w:after="0" w:line="47" w:lineRule="exact"/>
        <w:rPr>
          <w:rFonts w:ascii="Arial" w:cs="Arial" w:eastAsia="Arial" w:hAnsi="Arial"/>
          <w:sz w:val="14"/>
          <w:szCs w:val="14"/>
          <w:color w:val="auto"/>
        </w:rPr>
      </w:pPr>
    </w:p>
    <w:p>
      <w:pPr>
        <w:ind w:left="500" w:hanging="136"/>
        <w:spacing w:after="0"/>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effects of COVID-19 and other pandemics or widespread health epidemics, including disruptions to our workforce and the impact on government spending and demand for our solutions;</w:t>
      </w:r>
    </w:p>
    <w:p>
      <w:pPr>
        <w:spacing w:after="0" w:line="116" w:lineRule="exact"/>
        <w:rPr>
          <w:rFonts w:ascii="Arial" w:cs="Arial" w:eastAsia="Arial" w:hAnsi="Arial"/>
          <w:sz w:val="12"/>
          <w:szCs w:val="12"/>
          <w:color w:val="auto"/>
        </w:rPr>
      </w:pPr>
    </w:p>
    <w:p>
      <w:pPr>
        <w:ind w:left="500" w:hanging="136"/>
        <w:spacing w:after="0"/>
        <w:tabs>
          <w:tab w:leader="none" w:pos="5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ability to compete effectively in the competitive bidding process and delays or losses of contract awards caused by competitors’ protests of major contract awards received by us;</w:t>
      </w:r>
    </w:p>
    <w:p>
      <w:pPr>
        <w:spacing w:after="0" w:line="105" w:lineRule="exact"/>
        <w:rPr>
          <w:rFonts w:ascii="Arial" w:cs="Arial" w:eastAsia="Arial" w:hAnsi="Arial"/>
          <w:sz w:val="13"/>
          <w:szCs w:val="13"/>
          <w:color w:val="auto"/>
        </w:rPr>
      </w:pPr>
    </w:p>
    <w:p>
      <w:pPr>
        <w:ind w:left="500" w:hanging="136"/>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loss of GSA schedules, or our position as prime contractor on GWACs;</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variable purchasing patterns under GSA schedules, blanket purchase agreements, and IDIQ contracts;</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the mix of our contracts and our ability to accurately estimate or otherwise recover expenses, time, and resources for our contracts;</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changes in estimates used in recognizing revenue;</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ability to realize the full value of and replenish our backlog, generate revenue under certain of our contracts, and the timing of our receipt of revenue under contracts included in backlog;</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17" w:name="page18"/>
    <w:bookmarkEnd w:id="17"/>
    <w:p>
      <w:pPr>
        <w:ind w:left="500" w:hanging="136"/>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internal system or service failures and security breaches, including, but not limited to, those resulting from external or internal cyber attacks on our network and internal systems;</w:t>
      </w:r>
    </w:p>
    <w:p>
      <w:pPr>
        <w:spacing w:after="0" w:line="105" w:lineRule="exact"/>
        <w:rPr>
          <w:rFonts w:ascii="Arial" w:cs="Arial" w:eastAsia="Arial" w:hAnsi="Arial"/>
          <w:sz w:val="13"/>
          <w:szCs w:val="13"/>
          <w:color w:val="auto"/>
        </w:rPr>
      </w:pPr>
    </w:p>
    <w:p>
      <w:pPr>
        <w:ind w:left="500" w:hanging="136"/>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risks related to the implementation and operation of new financial management systems;</w:t>
      </w:r>
    </w:p>
    <w:p>
      <w:pPr>
        <w:spacing w:after="0" w:line="93" w:lineRule="exact"/>
        <w:rPr>
          <w:rFonts w:ascii="Arial" w:cs="Arial" w:eastAsia="Arial" w:hAnsi="Arial"/>
          <w:sz w:val="14"/>
          <w:szCs w:val="14"/>
          <w:color w:val="auto"/>
        </w:rPr>
      </w:pPr>
    </w:p>
    <w:p>
      <w:pPr>
        <w:ind w:left="520" w:right="120" w:hanging="156"/>
        <w:spacing w:after="0" w:line="281" w:lineRule="auto"/>
        <w:tabs>
          <w:tab w:leader="none" w:pos="515"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attract, train, or retain employees with the requisite skills and experience and ensure that employees obtain and maintain necessary security clearances and effectively manage our cost structure;</w:t>
      </w:r>
    </w:p>
    <w:p>
      <w:pPr>
        <w:spacing w:after="0" w:line="47" w:lineRule="exact"/>
        <w:rPr>
          <w:rFonts w:ascii="Arial" w:cs="Arial" w:eastAsia="Arial" w:hAnsi="Arial"/>
          <w:sz w:val="14"/>
          <w:szCs w:val="14"/>
          <w:color w:val="auto"/>
        </w:rPr>
      </w:pPr>
    </w:p>
    <w:p>
      <w:pPr>
        <w:ind w:left="500" w:hanging="136"/>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misconduct or other improper activities from our employees or subcontractors, including the improper use or release of sensitive or classified information;</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increased competition from other companies in our industry;</w:t>
      </w:r>
    </w:p>
    <w:p>
      <w:pPr>
        <w:spacing w:after="0" w:line="93" w:lineRule="exact"/>
        <w:rPr>
          <w:rFonts w:ascii="Arial" w:cs="Arial" w:eastAsia="Arial" w:hAnsi="Arial"/>
          <w:sz w:val="14"/>
          <w:szCs w:val="14"/>
          <w:color w:val="auto"/>
        </w:rPr>
      </w:pPr>
    </w:p>
    <w:p>
      <w:pPr>
        <w:ind w:left="520" w:hanging="156"/>
        <w:spacing w:after="0" w:line="281" w:lineRule="auto"/>
        <w:tabs>
          <w:tab w:leader="none" w:pos="515" w:val="left"/>
        </w:tabs>
        <w:numPr>
          <w:ilvl w:val="0"/>
          <w:numId w:val="18"/>
        </w:numPr>
        <w:rPr>
          <w:rFonts w:ascii="Arial" w:cs="Arial" w:eastAsia="Arial" w:hAnsi="Arial"/>
          <w:sz w:val="14"/>
          <w:szCs w:val="14"/>
          <w:color w:val="auto"/>
        </w:rPr>
      </w:pPr>
      <w:r>
        <w:rPr>
          <w:rFonts w:ascii="Arial" w:cs="Arial" w:eastAsia="Arial" w:hAnsi="Arial"/>
          <w:sz w:val="14"/>
          <w:szCs w:val="14"/>
          <w:color w:val="auto"/>
        </w:rPr>
        <w:t>failure to maintain strong relationships with other contractors, or the failure of contractors with which we have entered into a sub- or prime-contractor relationship to meet their obligations to us or our clients;</w:t>
      </w:r>
    </w:p>
    <w:p>
      <w:pPr>
        <w:spacing w:after="0" w:line="47" w:lineRule="exact"/>
        <w:rPr>
          <w:rFonts w:ascii="Arial" w:cs="Arial" w:eastAsia="Arial" w:hAnsi="Arial"/>
          <w:sz w:val="14"/>
          <w:szCs w:val="14"/>
          <w:color w:val="auto"/>
        </w:rPr>
      </w:pPr>
    </w:p>
    <w:p>
      <w:pPr>
        <w:ind w:left="500" w:hanging="136"/>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risks related to changes to our operating structure, capabilities, or strategy intended to address client needs, grow our business, or respond to market developments; and</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risks related to completed and future acquisitions, including our ability to realize the expected benefits from such acquisitions.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Legal and Regulatory Risks</w:t>
      </w:r>
    </w:p>
    <w:p>
      <w:pPr>
        <w:spacing w:after="0" w:line="98" w:lineRule="exact"/>
        <w:rPr>
          <w:sz w:val="20"/>
          <w:szCs w:val="20"/>
          <w:color w:val="auto"/>
        </w:rPr>
      </w:pPr>
    </w:p>
    <w:p>
      <w:pPr>
        <w:ind w:left="520" w:right="100" w:hanging="156"/>
        <w:spacing w:after="0" w:line="281" w:lineRule="auto"/>
        <w:tabs>
          <w:tab w:leader="none" w:pos="515" w:val="left"/>
        </w:tabs>
        <w:numPr>
          <w:ilvl w:val="0"/>
          <w:numId w:val="19"/>
        </w:numPr>
        <w:rPr>
          <w:rFonts w:ascii="Arial" w:cs="Arial" w:eastAsia="Arial" w:hAnsi="Arial"/>
          <w:sz w:val="14"/>
          <w:szCs w:val="14"/>
          <w:b w:val="1"/>
          <w:bCs w:val="1"/>
          <w:color w:val="auto"/>
        </w:rPr>
      </w:pPr>
      <w:r>
        <w:rPr>
          <w:rFonts w:ascii="Arial" w:cs="Arial" w:eastAsia="Arial" w:hAnsi="Arial"/>
          <w:sz w:val="14"/>
          <w:szCs w:val="14"/>
          <w:color w:val="auto"/>
        </w:rPr>
        <w:t>failure to comply with numerous laws and regulations, including FAR, the False Claims Act, the Defense Federal Acquisition Regulation Supplement, and FAR Cost Accounting Standards and Cost Principles;</w:t>
      </w:r>
    </w:p>
    <w:p>
      <w:pPr>
        <w:spacing w:after="0" w:line="47" w:lineRule="exact"/>
        <w:rPr>
          <w:rFonts w:ascii="Arial" w:cs="Arial" w:eastAsia="Arial" w:hAnsi="Arial"/>
          <w:sz w:val="14"/>
          <w:szCs w:val="14"/>
          <w:b w:val="1"/>
          <w:bCs w:val="1"/>
          <w:color w:val="auto"/>
        </w:rPr>
      </w:pPr>
    </w:p>
    <w:p>
      <w:pPr>
        <w:ind w:left="500" w:hanging="136"/>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risks related to our international operations;</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adoption by the U.S. government of new laws, rules, and regulations, such as those relating to organizational conflicts of interest issues or limits;</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incurrence of additional tax liabilities, including as a result of changes in tax laws or management judgments involving complex tax matters;</w:t>
      </w:r>
    </w:p>
    <w:p>
      <w:pPr>
        <w:spacing w:after="0" w:line="93" w:lineRule="exact"/>
        <w:rPr>
          <w:rFonts w:ascii="Arial" w:cs="Arial" w:eastAsia="Arial" w:hAnsi="Arial"/>
          <w:sz w:val="14"/>
          <w:szCs w:val="14"/>
          <w:color w:val="auto"/>
        </w:rPr>
      </w:pPr>
    </w:p>
    <w:p>
      <w:pPr>
        <w:ind w:left="520" w:right="720" w:hanging="156"/>
        <w:spacing w:after="0" w:line="321" w:lineRule="auto"/>
        <w:tabs>
          <w:tab w:leader="none" w:pos="515"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spacing w:after="0" w:line="24" w:lineRule="exact"/>
        <w:rPr>
          <w:rFonts w:ascii="Arial" w:cs="Arial" w:eastAsia="Arial" w:hAnsi="Arial"/>
          <w:sz w:val="13"/>
          <w:szCs w:val="13"/>
          <w:color w:val="auto"/>
        </w:rPr>
      </w:pPr>
    </w:p>
    <w:p>
      <w:pPr>
        <w:ind w:left="500" w:hanging="136"/>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inherent uncertainties and potential adverse developments in legal or regulatory proceedings; and</w:t>
      </w:r>
    </w:p>
    <w:p>
      <w:pPr>
        <w:spacing w:after="0" w:line="93" w:lineRule="exact"/>
        <w:rPr>
          <w:rFonts w:ascii="Arial" w:cs="Arial" w:eastAsia="Arial" w:hAnsi="Arial"/>
          <w:sz w:val="14"/>
          <w:szCs w:val="14"/>
          <w:color w:val="auto"/>
        </w:rPr>
      </w:pPr>
    </w:p>
    <w:p>
      <w:pPr>
        <w:ind w:left="520" w:right="160" w:hanging="156"/>
        <w:spacing w:after="0" w:line="281" w:lineRule="auto"/>
        <w:tabs>
          <w:tab w:leader="none" w:pos="51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impact of changes in accounting rules and regulations, or interpretations thereof, that may affect the way we recognize and report our financial results, including changes in accounting rules governing recognition of revenue.</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Risks Related to Our Indebtedness</w:t>
      </w:r>
    </w:p>
    <w:p>
      <w:pPr>
        <w:spacing w:after="0" w:line="98" w:lineRule="exact"/>
        <w:rPr>
          <w:sz w:val="20"/>
          <w:szCs w:val="20"/>
          <w:color w:val="auto"/>
        </w:rPr>
      </w:pPr>
    </w:p>
    <w:p>
      <w:pPr>
        <w:ind w:left="500" w:hanging="136"/>
        <w:spacing w:after="0"/>
        <w:tabs>
          <w:tab w:leader="none" w:pos="500" w:val="left"/>
        </w:tabs>
        <w:numPr>
          <w:ilvl w:val="0"/>
          <w:numId w:val="20"/>
        </w:numPr>
        <w:rPr>
          <w:rFonts w:ascii="Arial" w:cs="Arial" w:eastAsia="Arial" w:hAnsi="Arial"/>
          <w:sz w:val="14"/>
          <w:szCs w:val="14"/>
          <w:b w:val="1"/>
          <w:bCs w:val="1"/>
          <w:color w:val="auto"/>
        </w:rPr>
      </w:pPr>
      <w:r>
        <w:rPr>
          <w:rFonts w:ascii="Arial" w:cs="Arial" w:eastAsia="Arial" w:hAnsi="Arial"/>
          <w:sz w:val="14"/>
          <w:szCs w:val="14"/>
          <w:color w:val="auto"/>
        </w:rPr>
        <w:t>the impact of our substantial indebtedness and our ability to service and refinance such indebtedness;</w:t>
      </w:r>
    </w:p>
    <w:p>
      <w:pPr>
        <w:spacing w:after="0" w:line="93" w:lineRule="exact"/>
        <w:rPr>
          <w:rFonts w:ascii="Arial" w:cs="Arial" w:eastAsia="Arial" w:hAnsi="Arial"/>
          <w:sz w:val="14"/>
          <w:szCs w:val="14"/>
          <w:b w:val="1"/>
          <w:bCs w:val="1"/>
          <w:color w:val="auto"/>
        </w:rPr>
      </w:pPr>
    </w:p>
    <w:p>
      <w:pPr>
        <w:ind w:left="500" w:hanging="136"/>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restrictions and limitations in the agreements and instruments governing our indebtedness; and</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a substantial portion of our indebtedness being secured by substantially all of our assets.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Risks Related to Our Common Stock</w:t>
      </w:r>
    </w:p>
    <w:p>
      <w:pPr>
        <w:spacing w:after="0" w:line="98" w:lineRule="exact"/>
        <w:rPr>
          <w:sz w:val="20"/>
          <w:szCs w:val="20"/>
          <w:color w:val="auto"/>
        </w:rPr>
      </w:pPr>
    </w:p>
    <w:p>
      <w:pPr>
        <w:ind w:left="500" w:hanging="136"/>
        <w:spacing w:after="0"/>
        <w:tabs>
          <w:tab w:leader="none" w:pos="500" w:val="left"/>
        </w:tabs>
        <w:numPr>
          <w:ilvl w:val="0"/>
          <w:numId w:val="21"/>
        </w:numPr>
        <w:rPr>
          <w:rFonts w:ascii="Arial" w:cs="Arial" w:eastAsia="Arial" w:hAnsi="Arial"/>
          <w:sz w:val="14"/>
          <w:szCs w:val="14"/>
          <w:b w:val="1"/>
          <w:bCs w:val="1"/>
          <w:color w:val="auto"/>
        </w:rPr>
      </w:pPr>
      <w:r>
        <w:rPr>
          <w:rFonts w:ascii="Arial" w:cs="Arial" w:eastAsia="Arial" w:hAnsi="Arial"/>
          <w:sz w:val="14"/>
          <w:szCs w:val="14"/>
          <w:color w:val="auto"/>
        </w:rPr>
        <w:t>the volatility of the market price of our Class A common stock;</w:t>
      </w:r>
    </w:p>
    <w:p>
      <w:pPr>
        <w:spacing w:after="0" w:line="93" w:lineRule="exact"/>
        <w:rPr>
          <w:rFonts w:ascii="Arial" w:cs="Arial" w:eastAsia="Arial" w:hAnsi="Arial"/>
          <w:sz w:val="14"/>
          <w:szCs w:val="14"/>
          <w:b w:val="1"/>
          <w:bCs w:val="1"/>
          <w:color w:val="auto"/>
        </w:rPr>
      </w:pPr>
    </w:p>
    <w:p>
      <w:pPr>
        <w:ind w:left="500" w:hanging="136"/>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timing and amount of our dividends, if any; and</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impact of fulfilling our obligations incident to being a public company.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and Economic Risks</w:t>
      </w:r>
    </w:p>
    <w:p>
      <w:pPr>
        <w:spacing w:after="0" w:line="98"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47"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The U.S. government is our primary client, with revenue from contracts and task orders, either as a prime or a subcontractor, with U.S. government agencies accounting for 97% of our revenue for fiscal 2021. Our belief is that the successful future growth of our business will continue to depend primarily on our ability to be awarded work under U.S. government contracts, as we expect this will be the primary source of substantially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is our performance on contracts and task orders, the strength of our professional reputation, compliance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8" w:right="359" w:bottom="1440" w:gutter="0" w:footer="0" w:header="0"/>
        </w:sectPr>
      </w:pPr>
    </w:p>
    <w:bookmarkStart w:id="18" w:name="page19"/>
    <w:bookmarkEnd w:id="18"/>
    <w:p>
      <w:pPr>
        <w:spacing w:after="0" w:line="256" w:lineRule="auto"/>
        <w:rPr>
          <w:sz w:val="20"/>
          <w:szCs w:val="20"/>
          <w:color w:val="auto"/>
        </w:rPr>
      </w:pPr>
      <w:r>
        <w:rPr>
          <w:rFonts w:ascii="Arial" w:cs="Arial" w:eastAsia="Arial" w:hAnsi="Arial"/>
          <w:sz w:val="14"/>
          <w:szCs w:val="14"/>
          <w:color w:val="auto"/>
        </w:rPr>
        <w:t>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See "—Our employees or subcontractors may engage in misconduct or other improper activities, which could harm our ability to conduct business with the U.S. government."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in particular, regardless of accuracy, may harm our reputation among federal government contractors. Due to the sensitive nature of our work and our confidentiality obligations to our customers, we may be unable or limited in our ability to respond to such negative publicity, which could also harm our reputation and business. To the extent our reputation or relationships with U.S. government agencies is impaired, our revenue and operating profits could materially decline.</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U.S. government spending levels and mission priorities could change in a manner that adversely affects our future revenue and limits our growth prospects.</w:t>
      </w:r>
    </w:p>
    <w:p>
      <w:pPr>
        <w:spacing w:after="0" w:line="94" w:lineRule="exact"/>
        <w:rPr>
          <w:sz w:val="20"/>
          <w:szCs w:val="20"/>
          <w:color w:val="auto"/>
        </w:rPr>
      </w:pPr>
    </w:p>
    <w:p>
      <w:pPr>
        <w:ind w:right="40" w:firstLine="350"/>
        <w:spacing w:after="0" w:line="267" w:lineRule="auto"/>
        <w:rPr>
          <w:sz w:val="20"/>
          <w:szCs w:val="20"/>
          <w:color w:val="auto"/>
        </w:rPr>
      </w:pPr>
      <w:r>
        <w:rPr>
          <w:rFonts w:ascii="Arial" w:cs="Arial" w:eastAsia="Arial" w:hAnsi="Arial"/>
          <w:sz w:val="14"/>
          <w:szCs w:val="14"/>
          <w:color w:val="auto"/>
        </w:rPr>
        <w:t>Our business depends upon continued U.S. government expenditures on defense, intelligence, and civil programs for which we provide support. These expenditures have not remained constant over time, have been reduced in certain periods, and have been affected by the U.S. government’s efforts to improve efficiency and reduce costs affecting U.S. government programs generally. Our business, prospects, financial condition, or operating results could be materially harmed, among other causes, by the following:</w:t>
      </w:r>
    </w:p>
    <w:p>
      <w:pPr>
        <w:spacing w:after="0" w:line="57" w:lineRule="exact"/>
        <w:rPr>
          <w:sz w:val="20"/>
          <w:szCs w:val="20"/>
          <w:color w:val="auto"/>
        </w:rPr>
      </w:pPr>
    </w:p>
    <w:p>
      <w:pPr>
        <w:ind w:left="520" w:right="50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budgetary constraints, including Congressionally mandated automatic spending cuts, affecting U.S. government spending generally, or specific agencies in particular, and changes in available funding;</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shift in the permissible federal debt limit;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shift in expenditures away from agencies or programs that we support;</w:t>
      </w:r>
    </w:p>
    <w:p>
      <w:pPr>
        <w:spacing w:after="0" w:line="93" w:lineRule="exact"/>
        <w:rPr>
          <w:rFonts w:ascii="Arial" w:cs="Arial" w:eastAsia="Arial" w:hAnsi="Arial"/>
          <w:sz w:val="14"/>
          <w:szCs w:val="14"/>
          <w:color w:val="auto"/>
        </w:rPr>
      </w:pPr>
    </w:p>
    <w:p>
      <w:pPr>
        <w:ind w:left="520" w:right="360" w:hanging="260"/>
        <w:spacing w:after="0" w:line="321" w:lineRule="auto"/>
        <w:tabs>
          <w:tab w:leader="none" w:pos="516"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24" w:lineRule="exact"/>
        <w:rPr>
          <w:rFonts w:ascii="Arial" w:cs="Arial" w:eastAsia="Arial" w:hAnsi="Arial"/>
          <w:sz w:val="13"/>
          <w:szCs w:val="13"/>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or delays in U.S. government programs that we support or related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U.S. government shutdowns due to, among other reasons, a failure by elected officials to fund the government and other potential delays in the appropriations process;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U.S. government agencies awarding contracts on a technically acceptable/lowest cost basis in order to reduce expenditures;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delays in the payment of our invoices by government payment offices;</w:t>
      </w:r>
    </w:p>
    <w:p>
      <w:pPr>
        <w:spacing w:after="0" w:line="93"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 inability by the U.S. government to fund its operations as a result of a failure to increase the U.S. government’s debt ceiling, a credit downgrade of U.S. government obligations or for any other reason; and</w:t>
      </w:r>
    </w:p>
    <w:p>
      <w:pPr>
        <w:spacing w:after="0" w:line="47"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changes in the political climate and general economic conditions, including a slowdown of the economy or unstable economic conditions and responses to COVID-19 or other conditions, such as emergency spending, that reduce funds available for other government priorities.</w:t>
      </w:r>
    </w:p>
    <w:p>
      <w:pPr>
        <w:spacing w:after="0" w:line="47" w:lineRule="exact"/>
        <w:rPr>
          <w:sz w:val="20"/>
          <w:szCs w:val="20"/>
          <w:color w:val="auto"/>
        </w:rPr>
      </w:pPr>
    </w:p>
    <w:p>
      <w:pPr>
        <w:jc w:val="both"/>
        <w:ind w:right="360" w:firstLine="318"/>
        <w:spacing w:after="0" w:line="297" w:lineRule="auto"/>
        <w:rPr>
          <w:sz w:val="20"/>
          <w:szCs w:val="20"/>
          <w:color w:val="auto"/>
        </w:rPr>
      </w:pPr>
      <w:r>
        <w:rPr>
          <w:rFonts w:ascii="Arial" w:cs="Arial" w:eastAsia="Arial" w:hAnsi="Arial"/>
          <w:sz w:val="13"/>
          <w:szCs w:val="13"/>
          <w:color w:val="auto"/>
        </w:rPr>
        <w:t>In addition, any disruption in the functioning of U.S. government agencies, including as a result of U.S. government closures and shutdowns, terrorism, war, international conflicts, natural disasters, public health crises (such as COVID-19),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39" w:lineRule="exact"/>
        <w:rPr>
          <w:sz w:val="20"/>
          <w:szCs w:val="20"/>
          <w:color w:val="auto"/>
        </w:rPr>
      </w:pPr>
    </w:p>
    <w:p>
      <w:pPr>
        <w:ind w:right="80" w:firstLine="350"/>
        <w:spacing w:after="0" w:line="288" w:lineRule="auto"/>
        <w:rPr>
          <w:sz w:val="20"/>
          <w:szCs w:val="20"/>
          <w:color w:val="auto"/>
        </w:rPr>
      </w:pPr>
      <w:r>
        <w:rPr>
          <w:rFonts w:ascii="Arial" w:cs="Arial" w:eastAsia="Arial" w:hAnsi="Arial"/>
          <w:sz w:val="13"/>
          <w:szCs w:val="13"/>
          <w:color w:val="auto"/>
        </w:rPr>
        <w:t>The U.S. government budget deficits, the national debt, and prevailing economic conditions, and actions taken to address them, could negatively affect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A reduction in the amount of, or delays or cancellations of funding for, services that we are contracted to provide as a result of any of these related initiatives, legislation, or otherwise could have a material adverse effect on our business and results of</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19" w:name="page20"/>
    <w:bookmarkEnd w:id="19"/>
    <w:p>
      <w:pPr>
        <w:ind w:right="40"/>
        <w:spacing w:after="0" w:line="281" w:lineRule="auto"/>
        <w:rPr>
          <w:sz w:val="20"/>
          <w:szCs w:val="20"/>
          <w:color w:val="auto"/>
        </w:rPr>
      </w:pPr>
      <w:r>
        <w:rPr>
          <w:rFonts w:ascii="Arial" w:cs="Arial" w:eastAsia="Arial" w:hAnsi="Arial"/>
          <w:sz w:val="14"/>
          <w:szCs w:val="14"/>
          <w:color w:val="auto"/>
        </w:rPr>
        <w:t>operations. In addition, government agencies have reduced management support services spending in recent years. If federal awards for management support services continue to decline, our revenue and operating profits may materially decline and could have a material and adverse effect on our business and results of operations.</w:t>
      </w:r>
    </w:p>
    <w:p>
      <w:pPr>
        <w:spacing w:after="0" w:line="47" w:lineRule="exact"/>
        <w:rPr>
          <w:sz w:val="20"/>
          <w:szCs w:val="20"/>
          <w:color w:val="auto"/>
        </w:rPr>
      </w:pPr>
    </w:p>
    <w:p>
      <w:pPr>
        <w:jc w:val="both"/>
        <w:ind w:right="120" w:firstLine="350"/>
        <w:spacing w:after="0" w:line="331" w:lineRule="auto"/>
        <w:rPr>
          <w:sz w:val="20"/>
          <w:szCs w:val="20"/>
          <w:color w:val="auto"/>
        </w:rPr>
      </w:pPr>
      <w:r>
        <w:rPr>
          <w:rFonts w:ascii="Arial" w:cs="Arial" w:eastAsia="Arial" w:hAnsi="Arial"/>
          <w:sz w:val="12"/>
          <w:szCs w:val="12"/>
          <w:color w:val="auto"/>
        </w:rPr>
        <w:t>If government funding relating to our contracts with the U.S. government or Department of Defense becomes unavailable, or is reduced or delayed, or planned orders are reduced, our contract or subcontract under such programs may be terminated or adjusted by the U.S. government or the prime contractor, if applicable. Our operating results could also be adversely affected by spending caps or changes in the budgetary priorities of the U.S. government or Department of Defense, as well as delays in program starts or the award of contracts or task orders under contracts.</w:t>
      </w:r>
    </w:p>
    <w:p>
      <w:pPr>
        <w:spacing w:after="0" w:line="23" w:lineRule="exact"/>
        <w:rPr>
          <w:sz w:val="20"/>
          <w:szCs w:val="20"/>
          <w:color w:val="auto"/>
        </w:rPr>
      </w:pPr>
    </w:p>
    <w:p>
      <w:pPr>
        <w:ind w:firstLine="350"/>
        <w:spacing w:after="0" w:line="321" w:lineRule="auto"/>
        <w:rPr>
          <w:sz w:val="20"/>
          <w:szCs w:val="20"/>
          <w:color w:val="auto"/>
        </w:rPr>
      </w:pPr>
      <w:r>
        <w:rPr>
          <w:rFonts w:ascii="Arial" w:cs="Arial" w:eastAsia="Arial" w:hAnsi="Arial"/>
          <w:sz w:val="13"/>
          <w:szCs w:val="13"/>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effects of a pandemic or widespread health epidemic such as COVID-19 could have a material adverse effect on our business and results of operations.</w:t>
      </w:r>
    </w:p>
    <w:p>
      <w:pPr>
        <w:spacing w:after="0" w:line="94" w:lineRule="exact"/>
        <w:rPr>
          <w:sz w:val="20"/>
          <w:szCs w:val="20"/>
          <w:color w:val="auto"/>
        </w:rPr>
      </w:pPr>
    </w:p>
    <w:p>
      <w:pPr>
        <w:ind w:right="100" w:firstLine="350"/>
        <w:spacing w:after="0" w:line="284" w:lineRule="auto"/>
        <w:rPr>
          <w:sz w:val="20"/>
          <w:szCs w:val="20"/>
          <w:color w:val="auto"/>
        </w:rPr>
      </w:pPr>
      <w:r>
        <w:rPr>
          <w:rFonts w:ascii="Arial" w:cs="Arial" w:eastAsia="Arial" w:hAnsi="Arial"/>
          <w:sz w:val="13"/>
          <w:szCs w:val="13"/>
          <w:color w:val="auto"/>
        </w:rPr>
        <w:t>COVID-19, which in fiscal 2020 was recognized as a pandemic by the World Health Organization and declared a national emergency by the U.S. government, and ongoing attempts to contain and reduce its spread, such as mandatory closures, "shelter-in-place" orders and travel and quarantine restrictions, have caused significant volatility, uncertainty, disruption, and other adverse effects on the U.S. and global economies, including impacts to supply chains, customer demand, international trade, and capital markets. These effects have adversely affected certain of our business operations, may further adversely affect our business operations, and may materially and adversely affect our financial condition, results of operations, cash flows, and equity. COVID-19 has continued to spread across the globe and is continuing to impact worldwide economic activity and financial markets.</w:t>
      </w:r>
    </w:p>
    <w:p>
      <w:pPr>
        <w:spacing w:after="0" w:line="49" w:lineRule="exact"/>
        <w:rPr>
          <w:sz w:val="20"/>
          <w:szCs w:val="20"/>
          <w:color w:val="auto"/>
        </w:rPr>
      </w:pPr>
    </w:p>
    <w:p>
      <w:pPr>
        <w:ind w:right="40" w:firstLine="350"/>
        <w:spacing w:after="0" w:line="301" w:lineRule="auto"/>
        <w:rPr>
          <w:sz w:val="20"/>
          <w:szCs w:val="20"/>
          <w:color w:val="auto"/>
        </w:rPr>
      </w:pPr>
      <w:r>
        <w:rPr>
          <w:rFonts w:ascii="Arial" w:cs="Arial" w:eastAsia="Arial" w:hAnsi="Arial"/>
          <w:sz w:val="12"/>
          <w:szCs w:val="12"/>
          <w:color w:val="auto"/>
        </w:rPr>
        <w:t>In light of the uncertain and evolving situation relating to COVID-19, we have taken precautionary measures intended to minimize the risk of the virus to our employees, our clients and the communities in which we operate, which could negatively impact our business. We have implemented a mandatory telework policy for those employees whose assignments and clients permit working remotely and suspended non-essential travel worldwide for our employees. While we have a distributed workforce and our employees are accustomed to working remotely or working with other remote employees, our workforce is not fully remote and we may be unable to address technological or other challenges inherent in a remote working environment. Many of our employees are unable to work remotely because of unique client requirements, and many of those employees either have continued to work on site or have now returned to on site based upon client reconstitution plans. Our employees' ability to support on site work remains subject to ongoing uncertainty regarding agency reconstitution planning, and we have seen reversal of reconstitutions in the event of COVID-19 surges. In addition, some of our employees, clients, and subcontractors are located in foreign countries, which may be impacted differently from the United States, including through more severe or prolonged restrictions on working or traveling. Although we continue to monitor the situation in each of the jurisdictions in which we operate and may adjust our current policies as more information and public health guidance become available, temporarily suspending travel and doing business in person could challenge our ability to enter into or perform under contracts in a timely manner, slow down our recruiting efforts, or create operational or other challenges, any of which could harm our business and results of operations. Although the Company has business continuity plans and other safeguards in place, there is no assurance that such plans and safeguards will be effective or that such measures will not adversely affect our operations or long-term plans. In addition, as local conditions and regulations begin to permit the return of employees to business generally, our workforce may not be able to return to work in person immediately, if at all, or may instead choose to pursue competing employment opportunities, including as a result of transportation, childcare, and ongoing health issues, which could negatively affect our business.</w:t>
      </w:r>
    </w:p>
    <w:p>
      <w:pPr>
        <w:spacing w:after="0" w:line="215" w:lineRule="exact"/>
        <w:rPr>
          <w:sz w:val="20"/>
          <w:szCs w:val="20"/>
          <w:color w:val="auto"/>
        </w:rPr>
      </w:pPr>
    </w:p>
    <w:p>
      <w:pPr>
        <w:ind w:right="420" w:firstLine="350"/>
        <w:spacing w:after="0" w:line="331" w:lineRule="auto"/>
        <w:rPr>
          <w:sz w:val="20"/>
          <w:szCs w:val="20"/>
          <w:color w:val="auto"/>
        </w:rPr>
      </w:pPr>
      <w:r>
        <w:rPr>
          <w:rFonts w:ascii="Arial" w:cs="Arial" w:eastAsia="Arial" w:hAnsi="Arial"/>
          <w:sz w:val="12"/>
          <w:szCs w:val="12"/>
          <w:color w:val="auto"/>
        </w:rPr>
        <w:t>More generally, COVID-19 could continue to adversely affect economies and financial markets globally, potentially leading to an economic downturn, which could decrease government spending and adversely affect demand for our solutions and harm our business and results of operations. While the U.S. and local government agencies have enacted several emergency relief programs designed to combat the economic impact of COVID-19, the long-term effect of such spending is inherently uncertain and could result in future budgetary restrictions.</w:t>
      </w:r>
    </w:p>
    <w:p>
      <w:pPr>
        <w:spacing w:after="0" w:line="23"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In addition, COVID-19 may disrupt the operations of our suppliers, vendors, service providers, and subcontractors for an indefinite period of time, including as a result of travel restrictions, business shutdowns or lack of access to financial markets, all of which could negatively impact our business and results of operations. Any inability to develop alternative sources of supply on a cost-effective and timely basis could materially impair our ability to manufacture and deliver products, systems, and services to our clients. We are also subject to federal and state laws and regulations enacted in response to the outbreak, such as the Coronavirus Aid, Relief and Economic Security Act (the "CARES Act"), which contains a provision that allows U.S. government contractors to seek specified reimbursement for certain employees who are unable to perform their contract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0" w:name="page21"/>
    <w:bookmarkEnd w:id="20"/>
    <w:p>
      <w:pPr>
        <w:ind w:right="20"/>
        <w:spacing w:after="0" w:line="258" w:lineRule="auto"/>
        <w:rPr>
          <w:sz w:val="20"/>
          <w:szCs w:val="20"/>
          <w:color w:val="auto"/>
        </w:rPr>
      </w:pPr>
      <w:r>
        <w:rPr>
          <w:rFonts w:ascii="Arial" w:cs="Arial" w:eastAsia="Arial" w:hAnsi="Arial"/>
          <w:sz w:val="14"/>
          <w:szCs w:val="14"/>
          <w:color w:val="auto"/>
        </w:rPr>
        <w:t>requirements at their designated work locations due to facility closures or restrictions as a result of COVID-19 and cannot perform such work remotely. The legislation enables but does not mandate reimbursement for such costs, and agency guidance has imposed certain restrictions. Further, the relief contemplated under the provision does not extend past September 30, 2021. Through March 31, 2021, we have withheld recognition of revenue associated with these amounts at risk of not being reimbursed. We do not expect non-reimbursed fees to have a material impact on earnings in future periods as the majority of our affected workforce has returned to on site offices or may do so prior to September 30, 2021. Although we cannot currently predict the overall impact of COVID-19 and vaccine rollout, the longer the duration of the event, the more likely it is that it could have an adverse effect on our business, financial position, results of operations, billable expenses, and/or cash flows.</w:t>
      </w:r>
    </w:p>
    <w:p>
      <w:pPr>
        <w:spacing w:after="0" w:line="65" w:lineRule="exact"/>
        <w:rPr>
          <w:sz w:val="20"/>
          <w:szCs w:val="20"/>
          <w:color w:val="auto"/>
        </w:rPr>
      </w:pPr>
    </w:p>
    <w:p>
      <w:pPr>
        <w:ind w:right="120" w:firstLine="350"/>
        <w:spacing w:after="0" w:line="267" w:lineRule="auto"/>
        <w:rPr>
          <w:sz w:val="20"/>
          <w:szCs w:val="20"/>
          <w:color w:val="auto"/>
        </w:rPr>
      </w:pPr>
      <w:r>
        <w:rPr>
          <w:rFonts w:ascii="Arial" w:cs="Arial" w:eastAsia="Arial" w:hAnsi="Arial"/>
          <w:sz w:val="14"/>
          <w:szCs w:val="14"/>
          <w:color w:val="auto"/>
        </w:rPr>
        <w:t>We expect COVID-19 to continue to negatively impact our business and results of operations and are unable to predict how long or with what degree of severity that impact will continue. The duration and extent of COVID-19 will depend on future developments outside of our control, including the availability of effective treatments, the effectiveness and adoption of available vaccines, and the evolutionary development of COVID-19 or related viruses, which are highly uncertain and cannot be predicted.</w:t>
      </w:r>
    </w:p>
    <w:p>
      <w:pPr>
        <w:spacing w:after="0" w:line="57"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47" w:lineRule="exact"/>
        <w:rPr>
          <w:sz w:val="20"/>
          <w:szCs w:val="20"/>
          <w:color w:val="auto"/>
        </w:rPr>
      </w:pPr>
    </w:p>
    <w:p>
      <w:pPr>
        <w:ind w:right="120" w:firstLine="350"/>
        <w:spacing w:after="0" w:line="281" w:lineRule="auto"/>
        <w:rPr>
          <w:sz w:val="20"/>
          <w:szCs w:val="20"/>
          <w:color w:val="auto"/>
        </w:rPr>
      </w:pPr>
      <w:r>
        <w:rPr>
          <w:rFonts w:ascii="Arial" w:cs="Arial" w:eastAsia="Arial" w:hAnsi="Arial"/>
          <w:sz w:val="14"/>
          <w:szCs w:val="14"/>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competitive bidding process involves risk and significant costs to businesses operating in this environment, including:</w:t>
      </w:r>
    </w:p>
    <w:p>
      <w:pPr>
        <w:spacing w:after="0" w:line="94" w:lineRule="exact"/>
        <w:rPr>
          <w:sz w:val="20"/>
          <w:szCs w:val="20"/>
          <w:color w:val="auto"/>
        </w:rPr>
      </w:pPr>
    </w:p>
    <w:p>
      <w:pPr>
        <w:ind w:left="520" w:right="10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substantial cost and managerial time and effort spent to prepare bids and proposals for contracts that may not be awarded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ability to accurately estimate the resources and costs that will be required to service any contract we are awarded;</w:t>
      </w:r>
    </w:p>
    <w:p>
      <w:pPr>
        <w:spacing w:after="0" w:line="93"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opportunity cost of not bidding and winning other contracts we might have otherwise pursued.</w:t>
      </w:r>
    </w:p>
    <w:p>
      <w:pPr>
        <w:spacing w:after="0" w:line="94" w:lineRule="exact"/>
        <w:rPr>
          <w:sz w:val="20"/>
          <w:szCs w:val="20"/>
          <w:color w:val="auto"/>
        </w:rPr>
      </w:pPr>
    </w:p>
    <w:p>
      <w:pPr>
        <w:ind w:right="360" w:firstLine="350"/>
        <w:spacing w:after="0" w:line="262" w:lineRule="auto"/>
        <w:rPr>
          <w:sz w:val="20"/>
          <w:szCs w:val="20"/>
          <w:color w:val="auto"/>
        </w:rPr>
      </w:pPr>
      <w:r>
        <w:rPr>
          <w:rFonts w:ascii="Arial" w:cs="Arial" w:eastAsia="Arial" w:hAnsi="Arial"/>
          <w:sz w:val="14"/>
          <w:szCs w:val="14"/>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61"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The current competitive environment has resulted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w:t>
      </w:r>
    </w:p>
    <w:p>
      <w:pPr>
        <w:spacing w:after="0" w:line="61" w:lineRule="exact"/>
        <w:rPr>
          <w:sz w:val="20"/>
          <w:szCs w:val="20"/>
          <w:color w:val="auto"/>
        </w:rPr>
      </w:pPr>
    </w:p>
    <w:p>
      <w:pPr>
        <w:ind w:right="780" w:firstLine="318"/>
        <w:spacing w:after="0" w:line="281" w:lineRule="auto"/>
        <w:rPr>
          <w:sz w:val="20"/>
          <w:szCs w:val="20"/>
          <w:color w:val="auto"/>
        </w:rPr>
      </w:pPr>
      <w:r>
        <w:rPr>
          <w:rFonts w:ascii="Arial" w:cs="Arial" w:eastAsia="Arial" w:hAnsi="Arial"/>
          <w:sz w:val="14"/>
          <w:szCs w:val="14"/>
          <w:b w:val="1"/>
          <w:bCs w:val="1"/>
          <w:i w:val="1"/>
          <w:iCs w:val="1"/>
          <w:color w:val="auto"/>
        </w:rPr>
        <w:t>A significant majority of our revenue is derived from task orders under indefinite delivery/indefinite quantity, or IDIQ, contract vehicles where we perform in either a prime or subcontractor position.</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believe that one of the key elements of our success is our position as the holder of 3,885 active task orders under IDIQ contract vehicles as of March 31, 2021.</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1" w:name="page22"/>
    <w:bookmarkEnd w:id="21"/>
    <w:p>
      <w:pPr>
        <w:ind w:right="60" w:firstLine="350"/>
        <w:spacing w:after="0" w:line="284" w:lineRule="auto"/>
        <w:rPr>
          <w:sz w:val="20"/>
          <w:szCs w:val="20"/>
          <w:color w:val="auto"/>
        </w:rPr>
      </w:pPr>
      <w:r>
        <w:rPr>
          <w:rFonts w:ascii="Arial" w:cs="Arial" w:eastAsia="Arial" w:hAnsi="Arial"/>
          <w:sz w:val="13"/>
          <w:szCs w:val="13"/>
          <w:color w:val="auto"/>
        </w:rPr>
        <w:t>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49" w:lineRule="exact"/>
        <w:rPr>
          <w:sz w:val="20"/>
          <w:szCs w:val="20"/>
          <w:color w:val="auto"/>
        </w:rPr>
      </w:pPr>
    </w:p>
    <w:p>
      <w:pPr>
        <w:ind w:right="240" w:firstLine="350"/>
        <w:spacing w:after="0" w:line="267" w:lineRule="auto"/>
        <w:rPr>
          <w:sz w:val="20"/>
          <w:szCs w:val="20"/>
          <w:color w:val="auto"/>
        </w:rPr>
      </w:pPr>
      <w:r>
        <w:rPr>
          <w:rFonts w:ascii="Arial" w:cs="Arial" w:eastAsia="Arial" w:hAnsi="Arial"/>
          <w:sz w:val="14"/>
          <w:szCs w:val="14"/>
          <w:color w:val="auto"/>
        </w:rPr>
        <w:t>In addition,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If the U.S. government elects to use a contract vehicle that we do not hold, we will not be able to compete for work under that contract vehicle as a prime contractor.</w:t>
      </w:r>
    </w:p>
    <w:p>
      <w:pPr>
        <w:spacing w:after="0" w:line="57" w:lineRule="exact"/>
        <w:rPr>
          <w:sz w:val="20"/>
          <w:szCs w:val="20"/>
          <w:color w:val="auto"/>
        </w:rPr>
      </w:pPr>
    </w:p>
    <w:p>
      <w:pPr>
        <w:ind w:right="140" w:firstLine="318"/>
        <w:spacing w:after="0" w:line="281" w:lineRule="auto"/>
        <w:rPr>
          <w:sz w:val="20"/>
          <w:szCs w:val="20"/>
          <w:color w:val="auto"/>
        </w:rPr>
      </w:pPr>
      <w:r>
        <w:rPr>
          <w:rFonts w:ascii="Arial" w:cs="Arial" w:eastAsia="Arial" w:hAnsi="Arial"/>
          <w:sz w:val="14"/>
          <w:szCs w:val="14"/>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47" w:lineRule="exact"/>
        <w:rPr>
          <w:sz w:val="20"/>
          <w:szCs w:val="20"/>
          <w:color w:val="auto"/>
        </w:rPr>
      </w:pPr>
    </w:p>
    <w:p>
      <w:pPr>
        <w:ind w:right="280" w:firstLine="350"/>
        <w:spacing w:after="0" w:line="267" w:lineRule="auto"/>
        <w:rPr>
          <w:sz w:val="20"/>
          <w:szCs w:val="20"/>
          <w:color w:val="auto"/>
        </w:rPr>
      </w:pPr>
      <w:r>
        <w:rPr>
          <w:rFonts w:ascii="Arial" w:cs="Arial" w:eastAsia="Arial" w:hAnsi="Arial"/>
          <w:sz w:val="14"/>
          <w:szCs w:val="14"/>
          <w:color w:val="auto"/>
        </w:rPr>
        <w:t>We enter into three general types of U.S. government contracts for our services: cost-reimbursable, time-and-materials, and fixed-price. 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57" w:lineRule="exact"/>
        <w:rPr>
          <w:sz w:val="20"/>
          <w:szCs w:val="20"/>
          <w:color w:val="auto"/>
        </w:rPr>
      </w:pPr>
    </w:p>
    <w:p>
      <w:pPr>
        <w:ind w:firstLine="350"/>
        <w:spacing w:after="0" w:line="313" w:lineRule="auto"/>
        <w:rPr>
          <w:sz w:val="20"/>
          <w:szCs w:val="20"/>
          <w:color w:val="auto"/>
        </w:rPr>
      </w:pPr>
      <w:r>
        <w:rPr>
          <w:rFonts w:ascii="Arial" w:cs="Arial" w:eastAsia="Arial" w:hAnsi="Arial"/>
          <w:sz w:val="12"/>
          <w:szCs w:val="12"/>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ongoing focus by the U.S. government on the extent to which government contractors, including us, are able to receive reimbursement for employee compensation, including the adoption of interim rules by federal agencies implementing a section of the Bipartisan Budget Act of 2013, as amended,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34"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47" w:lineRule="exact"/>
        <w:rPr>
          <w:sz w:val="20"/>
          <w:szCs w:val="20"/>
          <w:color w:val="auto"/>
        </w:rPr>
      </w:pPr>
    </w:p>
    <w:p>
      <w:pPr>
        <w:ind w:right="140" w:firstLine="350"/>
        <w:spacing w:after="0" w:line="262" w:lineRule="auto"/>
        <w:rPr>
          <w:sz w:val="20"/>
          <w:szCs w:val="20"/>
          <w:color w:val="auto"/>
        </w:rPr>
      </w:pPr>
      <w:r>
        <w:rPr>
          <w:rFonts w:ascii="Arial" w:cs="Arial" w:eastAsia="Arial" w:hAnsi="Arial"/>
          <w:sz w:val="14"/>
          <w:szCs w:val="14"/>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61"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Additionally, our profits could be adversely affected if our costs under any of these contracts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have recorded provisions in our consolidated financial statements for losses on our contracts, as required under accounting principles generally accepted in the United States, or GAAP, but our contract loss provisions may not be adequate to cover all actual losses that we may incur in the future.</w:t>
      </w:r>
    </w:p>
    <w:p>
      <w:pPr>
        <w:spacing w:after="0" w:line="62"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b w:val="1"/>
          <w:bCs w:val="1"/>
          <w:i w:val="1"/>
          <w:iCs w:val="1"/>
          <w:color w:val="auto"/>
        </w:rPr>
        <w:t>Our professional reputation and relationships with U.S. government agencies are critical to our business, and any harm to our reputation or relationships could decrease the amount of business the U.S. government does with us, which could have a material adverse effect on our future revenue and growth prospects.</w:t>
      </w:r>
    </w:p>
    <w:p>
      <w:pPr>
        <w:spacing w:after="0" w:line="47"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In addition, a significant portion of our business relates to designing, developing, and implementing advanced defense and technology systems and products, including cybersecurity products and services. Negative press reports regarding poor contract performance, employee misconduct, information security breaches, engagements in or perceived connections to politically or socially sensitive activities,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2" w:name="page23"/>
    <w:bookmarkEnd w:id="22"/>
    <w:p>
      <w:pPr>
        <w:ind w:right="80"/>
        <w:spacing w:after="0" w:line="262" w:lineRule="auto"/>
        <w:rPr>
          <w:sz w:val="20"/>
          <w:szCs w:val="20"/>
          <w:color w:val="auto"/>
        </w:rPr>
      </w:pPr>
      <w:r>
        <w:rPr>
          <w:rFonts w:ascii="Arial" w:cs="Arial" w:eastAsia="Arial" w:hAnsi="Arial"/>
          <w:sz w:val="14"/>
          <w:szCs w:val="14"/>
          <w:color w:val="auto"/>
        </w:rPr>
        <w:t>provide a negative assessment of our performance to government-maintained contractor past-performance data repositories, fail to award us additional business under existing contracts or otherwise, and direct future business to our competitors. If our reputation or relationships with these agencies are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use estimates in recognizing revenue and if we make changes to estimates used in recognizing revenue, our profitability may be adversely affected.</w:t>
      </w:r>
    </w:p>
    <w:p>
      <w:pPr>
        <w:spacing w:after="0" w:line="94" w:lineRule="exact"/>
        <w:rPr>
          <w:sz w:val="20"/>
          <w:szCs w:val="20"/>
          <w:color w:val="auto"/>
        </w:rPr>
      </w:pPr>
    </w:p>
    <w:p>
      <w:pPr>
        <w:ind w:right="160" w:firstLine="318"/>
        <w:spacing w:after="0" w:line="260" w:lineRule="auto"/>
        <w:rPr>
          <w:sz w:val="20"/>
          <w:szCs w:val="20"/>
          <w:color w:val="auto"/>
        </w:rPr>
      </w:pPr>
      <w:r>
        <w:rPr>
          <w:rFonts w:ascii="Arial" w:cs="Arial" w:eastAsia="Arial" w:hAnsi="Arial"/>
          <w:sz w:val="14"/>
          <w:szCs w:val="14"/>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62" w:lineRule="exact"/>
        <w:rPr>
          <w:sz w:val="20"/>
          <w:szCs w:val="20"/>
          <w:color w:val="auto"/>
        </w:rPr>
      </w:pPr>
    </w:p>
    <w:p>
      <w:pPr>
        <w:ind w:right="180" w:firstLine="350"/>
        <w:spacing w:after="0" w:line="267" w:lineRule="auto"/>
        <w:rPr>
          <w:sz w:val="20"/>
          <w:szCs w:val="20"/>
          <w:color w:val="auto"/>
        </w:rPr>
      </w:pPr>
      <w:r>
        <w:rPr>
          <w:rFonts w:ascii="Arial" w:cs="Arial" w:eastAsia="Arial" w:hAnsi="Arial"/>
          <w:sz w:val="14"/>
          <w:szCs w:val="14"/>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may not realize the full value of our backlog, which may result in lower than expected revenue.</w:t>
      </w:r>
    </w:p>
    <w:p>
      <w:pPr>
        <w:spacing w:after="0" w:line="94"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 For additional disclosure regarding our backlog, please see "Item 7. Management's Discussion and Analysis of Financial Condition and Results of Operations—Factors and Trends Affecting Our Results of Operations—Sources of Revenue—Contract Backlog."</w:t>
      </w:r>
    </w:p>
    <w:p>
      <w:pPr>
        <w:spacing w:after="0" w:line="57" w:lineRule="exact"/>
        <w:rPr>
          <w:sz w:val="20"/>
          <w:szCs w:val="20"/>
          <w:color w:val="auto"/>
        </w:rPr>
      </w:pPr>
    </w:p>
    <w:p>
      <w:pPr>
        <w:ind w:firstLine="350"/>
        <w:spacing w:after="0" w:line="301" w:lineRule="auto"/>
        <w:rPr>
          <w:sz w:val="20"/>
          <w:szCs w:val="20"/>
          <w:color w:val="auto"/>
        </w:rPr>
      </w:pPr>
      <w:r>
        <w:rPr>
          <w:rFonts w:ascii="Arial" w:cs="Arial" w:eastAsia="Arial" w:hAnsi="Arial"/>
          <w:sz w:val="12"/>
          <w:szCs w:val="12"/>
          <w:color w:val="auto"/>
        </w:rPr>
        <w:t>We historically have not realized all of the revenue included in our total backlog, and we may not realize all of the revenue included in our total backlog in the future. There is a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The actual receipt of revenue from contracts included in backlog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under, or cancellation of contracts, by the U.S. government at any time. Furthermore, even if our backlog results in revenue, the contracts may not be profitable.</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Systems that we develop, integrate, maintain, or otherwise support could experience security breaches which may damage our reputation with our clients and hinder future contract win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rates.</w:t>
      </w:r>
    </w:p>
    <w:p>
      <w:pPr>
        <w:spacing w:after="0" w:line="83" w:lineRule="exact"/>
        <w:rPr>
          <w:sz w:val="20"/>
          <w:szCs w:val="20"/>
          <w:color w:val="auto"/>
        </w:rPr>
      </w:pPr>
    </w:p>
    <w:p>
      <w:pPr>
        <w:ind w:firstLine="350"/>
        <w:spacing w:after="0" w:line="288" w:lineRule="auto"/>
        <w:rPr>
          <w:sz w:val="20"/>
          <w:szCs w:val="20"/>
          <w:color w:val="auto"/>
        </w:rPr>
      </w:pPr>
      <w:r>
        <w:rPr>
          <w:rFonts w:ascii="Arial" w:cs="Arial" w:eastAsia="Arial" w:hAnsi="Arial"/>
          <w:sz w:val="13"/>
          <w:szCs w:val="13"/>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including personally identifiable, health and financial information. The cyber and security threats that our clients face have grown more frequent and sophisticated. A security breach in one of these systems could cause serious harm to our business, damage our reputation, and prevent us from being eligible for further work on sensitive systems for U.S. government or commercial clients or hinder future contract win rates. Work for non-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3" w:name="page24"/>
    <w:bookmarkEnd w:id="23"/>
    <w:p>
      <w:pPr>
        <w:jc w:val="both"/>
        <w:ind w:right="220"/>
        <w:spacing w:after="0" w:line="267" w:lineRule="auto"/>
        <w:rPr>
          <w:sz w:val="20"/>
          <w:szCs w:val="20"/>
          <w:color w:val="auto"/>
        </w:rPr>
      </w:pPr>
      <w:r>
        <w:rPr>
          <w:rFonts w:ascii="Arial" w:cs="Arial" w:eastAsia="Arial" w:hAnsi="Arial"/>
          <w:sz w:val="14"/>
          <w:szCs w:val="14"/>
          <w:color w:val="auto"/>
        </w:rPr>
        <w:t>U.S. 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Certain services we provide and technologies we develop are designed to detect and monitor threats to our clients and may expose our staff to financial loss or physical or reputational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harm.</w:t>
      </w:r>
    </w:p>
    <w:p>
      <w:pPr>
        <w:spacing w:after="0" w:line="83" w:lineRule="exact"/>
        <w:rPr>
          <w:sz w:val="20"/>
          <w:szCs w:val="20"/>
          <w:color w:val="auto"/>
        </w:rPr>
      </w:pPr>
    </w:p>
    <w:p>
      <w:pPr>
        <w:ind w:right="60" w:firstLine="350"/>
        <w:spacing w:after="0" w:line="331" w:lineRule="auto"/>
        <w:rPr>
          <w:sz w:val="20"/>
          <w:szCs w:val="20"/>
          <w:color w:val="auto"/>
        </w:rPr>
      </w:pPr>
      <w:r>
        <w:rPr>
          <w:rFonts w:ascii="Arial" w:cs="Arial" w:eastAsia="Arial" w:hAnsi="Arial"/>
          <w:sz w:val="12"/>
          <w:szCs w:val="12"/>
          <w:color w:val="auto"/>
        </w:rPr>
        <w:t>We help our clients detect, monitor and mitigate threats to their people, information, and facilities. These threats may originate from nation states, terrorist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information, and facilities may be targeted by a similar group of threat actors and may be at risk for financial loss, or physical or reputational harm.</w:t>
      </w:r>
    </w:p>
    <w:p>
      <w:pPr>
        <w:spacing w:after="0" w:line="23" w:lineRule="exact"/>
        <w:rPr>
          <w:sz w:val="20"/>
          <w:szCs w:val="20"/>
          <w:color w:val="auto"/>
        </w:rPr>
      </w:pPr>
    </w:p>
    <w:p>
      <w:pPr>
        <w:ind w:right="200" w:firstLine="318"/>
        <w:spacing w:after="0" w:line="321" w:lineRule="auto"/>
        <w:rPr>
          <w:sz w:val="20"/>
          <w:szCs w:val="20"/>
          <w:color w:val="auto"/>
        </w:rPr>
      </w:pPr>
      <w:r>
        <w:rPr>
          <w:rFonts w:ascii="Arial" w:cs="Arial" w:eastAsia="Arial" w:hAnsi="Arial"/>
          <w:sz w:val="13"/>
          <w:szCs w:val="13"/>
          <w:b w:val="1"/>
          <w:bCs w:val="1"/>
          <w:i w:val="1"/>
          <w:iCs w:val="1"/>
          <w:color w:val="auto"/>
        </w:rPr>
        <w:t>Internal system or service failures, or those of our vendors,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24" w:lineRule="exact"/>
        <w:rPr>
          <w:sz w:val="20"/>
          <w:szCs w:val="20"/>
          <w:color w:val="auto"/>
        </w:rPr>
      </w:pPr>
    </w:p>
    <w:p>
      <w:pPr>
        <w:ind w:right="40" w:firstLine="350"/>
        <w:spacing w:after="0" w:line="301" w:lineRule="auto"/>
        <w:rPr>
          <w:sz w:val="20"/>
          <w:szCs w:val="20"/>
          <w:color w:val="auto"/>
        </w:rPr>
      </w:pPr>
      <w:r>
        <w:rPr>
          <w:rFonts w:ascii="Arial" w:cs="Arial" w:eastAsia="Arial" w:hAnsi="Arial"/>
          <w:sz w:val="12"/>
          <w:szCs w:val="12"/>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are subject to systems or service failures, not only resulting from our own failures or the failures of third-party service providers, natural disasters, power shortages, or terrorist attacks, but also from continuous exposure to constantly evolving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42"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47"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lose revenue due to adverse client reaction;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be required to provide additional services to a client at no charge;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incur additional costs related to remediation, monitoring, and increasing our cybersecurity;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lose revenue due to the deployment of internal staff for remediation efforts instead of client assignments;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receive negative publicity, which could damage our reputation and adversely affect our ability to attract or retain clients;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be unable to successfully market services that are reliant on the creation and maintaining of secure information technology systems to U.S. government, international, and commercial clients;</w:t>
      </w:r>
    </w:p>
    <w:p>
      <w:pPr>
        <w:spacing w:after="0" w:line="116" w:lineRule="exact"/>
        <w:rPr>
          <w:rFonts w:ascii="Arial" w:cs="Arial" w:eastAsia="Arial" w:hAnsi="Arial"/>
          <w:sz w:val="12"/>
          <w:szCs w:val="12"/>
          <w:color w:val="auto"/>
        </w:rPr>
      </w:pPr>
    </w:p>
    <w:p>
      <w:pPr>
        <w:ind w:left="520" w:right="360" w:hanging="260"/>
        <w:spacing w:after="0" w:line="28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suffer claims by clients or impacted third parties for substantial damages, particularly as a result of any successful network or systems breach and exfiltration of client and/or third party information; or</w:t>
      </w:r>
    </w:p>
    <w:p>
      <w:pPr>
        <w:spacing w:after="0" w:line="47" w:lineRule="exact"/>
        <w:rPr>
          <w:rFonts w:ascii="Arial" w:cs="Arial" w:eastAsia="Arial" w:hAnsi="Arial"/>
          <w:sz w:val="14"/>
          <w:szCs w:val="14"/>
          <w:color w:val="auto"/>
        </w:rPr>
      </w:pPr>
    </w:p>
    <w:p>
      <w:pPr>
        <w:ind w:left="520" w:right="440" w:hanging="260"/>
        <w:spacing w:after="0" w:line="28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incur significant costs, including fines from government regulators related to complying with applicable federal or state law, including laws pertaining to the security and protection of personal information.</w:t>
      </w:r>
    </w:p>
    <w:p>
      <w:pPr>
        <w:spacing w:after="0" w:line="47" w:lineRule="exact"/>
        <w:rPr>
          <w:sz w:val="20"/>
          <w:szCs w:val="20"/>
          <w:color w:val="auto"/>
        </w:rPr>
      </w:pPr>
    </w:p>
    <w:p>
      <w:pPr>
        <w:ind w:right="400" w:firstLine="350"/>
        <w:spacing w:after="0" w:line="281" w:lineRule="auto"/>
        <w:rPr>
          <w:sz w:val="20"/>
          <w:szCs w:val="20"/>
          <w:color w:val="auto"/>
        </w:rPr>
      </w:pPr>
      <w:r>
        <w:rPr>
          <w:rFonts w:ascii="Arial" w:cs="Arial" w:eastAsia="Arial" w:hAnsi="Arial"/>
          <w:sz w:val="14"/>
          <w:szCs w:val="14"/>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4" w:name="page25"/>
    <w:bookmarkEnd w:id="24"/>
    <w:p>
      <w:pPr>
        <w:ind w:right="40" w:firstLine="350"/>
        <w:spacing w:after="0" w:line="258" w:lineRule="auto"/>
        <w:rPr>
          <w:sz w:val="20"/>
          <w:szCs w:val="20"/>
          <w:color w:val="auto"/>
        </w:rPr>
      </w:pPr>
      <w:r>
        <w:rPr>
          <w:rFonts w:ascii="Arial" w:cs="Arial" w:eastAsia="Arial" w:hAnsi="Arial"/>
          <w:sz w:val="14"/>
          <w:szCs w:val="14"/>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65"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b w:val="1"/>
          <w:bCs w:val="1"/>
          <w:i w:val="1"/>
          <w:iCs w:val="1"/>
          <w:color w:val="auto"/>
        </w:rPr>
        <w:t>Implementation of various data privacy and cybersecurity laws, regulations and standards could require significant investment into ongoing compliance activities, trigger potential liability, and limit our ability to use personal data.</w:t>
      </w:r>
    </w:p>
    <w:p>
      <w:pPr>
        <w:spacing w:after="0" w:line="47" w:lineRule="exact"/>
        <w:rPr>
          <w:sz w:val="20"/>
          <w:szCs w:val="20"/>
          <w:color w:val="auto"/>
        </w:rPr>
      </w:pPr>
    </w:p>
    <w:p>
      <w:pPr>
        <w:ind w:right="20" w:firstLine="350"/>
        <w:spacing w:after="0" w:line="277" w:lineRule="auto"/>
        <w:rPr>
          <w:sz w:val="20"/>
          <w:szCs w:val="20"/>
          <w:color w:val="auto"/>
        </w:rPr>
      </w:pPr>
      <w:r>
        <w:rPr>
          <w:rFonts w:ascii="Arial" w:cs="Arial" w:eastAsia="Arial" w:hAnsi="Arial"/>
          <w:sz w:val="13"/>
          <w:szCs w:val="13"/>
          <w:color w:val="auto"/>
        </w:rPr>
        <w:t>Any failure by us, our vendors or other business partners to comply with international, federal, or state laws regarding data privacy or cybersecurity could result in regulatory actions or lawsuits against us, legal liability, fines, damages and other costs. We may also incur substantial expenses in implementing and maintaining compliance with such laws. For example, the General Data Protection Regulation, or GDPR, has created new compliance obligations for companies that process data in the European Union, which require investment into ongoing data protection activities and documentation requirements, and create the potential for significantly increased fines for noncompliance. In addition, Virginia and California have enacted comprehensive state privacy laws that provide rights to residents of those respective states. The California Consumer Privacy Act, or CCPA, the California Privacy Rights and Enforcement Act, or CPRA, and the Virginia Consumer Data Protection Act, or VCDPA, provide for consumer rights for residents of those respective states. The impact from these laws to Booz Allen is currently low because most of our personal information is client or employee related and therefore not defined as consumer. It is possible that other states will follow this trend, and laws of this nature will be deemed applicable to some aspects of our business, which would impose new compliance obligations and require additional investment into data protection activities. Any obligations that may be imposed on us under CCPA, CPRA, VCDPA, or similar laws may be different from or in addition to those required by GDPR, which may cause additional expense for compliance across various jurisdictions. GDPR and the laws of other U.S. states also impose obligations to maintain a cybersecurity program at a certain level of quality, as well as obligations to give notice to affected individuals and to certain regulators in the event of a data breach.</w:t>
      </w:r>
    </w:p>
    <w:p>
      <w:pPr>
        <w:spacing w:after="0" w:line="54" w:lineRule="exact"/>
        <w:rPr>
          <w:sz w:val="20"/>
          <w:szCs w:val="20"/>
          <w:color w:val="auto"/>
        </w:rPr>
      </w:pPr>
    </w:p>
    <w:p>
      <w:pPr>
        <w:ind w:firstLine="350"/>
        <w:spacing w:after="0" w:line="276" w:lineRule="auto"/>
        <w:rPr>
          <w:sz w:val="20"/>
          <w:szCs w:val="20"/>
          <w:color w:val="auto"/>
        </w:rPr>
      </w:pPr>
      <w:r>
        <w:rPr>
          <w:rFonts w:ascii="Arial" w:cs="Arial" w:eastAsia="Arial" w:hAnsi="Arial"/>
          <w:sz w:val="13"/>
          <w:szCs w:val="13"/>
          <w:color w:val="auto"/>
        </w:rPr>
        <w:t>In addition, as a contractor supporting defense and national security clients, we are also subject to certain additional regulatory compliance requirements relating to data privacy and cybersecurity. Under the Defense Federal Acquisition Regulation Supplement and other federal regulations, our networks and IT systems are required to comply with the security and privacy controls in National Institute of Standards and Technology Special Publications. To the extent that we do not comply with the applicable security and control requirements, unauthorized access or disclosure of sensitive information could potentially result in a contract termination, which could have a material adverse effect on our business and financial results and lead to reputational harm. We are also subject to the Department of Defense Cybersecurity Maturity Model Certification, or CMMC, requirements, which will require all contractors to receive specific third-party certifications relating to specified cybersecurity standards in order to be eligible for contract awards. The Department of Defense expects that all new contracts will be required to comply with the CMMC by 2026. The initial programs to include a CMMC requirement are expected to be awarded in 2021. We are in the process of preparing for certification against the CMMC program, but to the extent we are unable to achieve certification in advance of applicable contract awards that specify the requirement, we will be unable to bid on such contract awards or on follow-on awards for existing work with the Department of Defense, depending on the level of standard as required for each solicitation, which could adversely impact our revenue and profitability. In addition, our subcontractors, and in some cases our vendors, may also be required to adhere to the CMMC program requirements and potentially to achieve certification. Should our supply chain fail to meet compliance requirements or achieve certification, this may adversely affect our ability to receive award or execute on relevant government programs. In addition, any obligations that may be imposed on us under the CMMC may be different from or in addition to those otherwise required by applicable laws and regulations, which may cause additional expense for compliance.</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The implementation and operation of new financial management systems may have an adverse effect on our business and results of operations.</w:t>
      </w:r>
    </w:p>
    <w:p>
      <w:pPr>
        <w:spacing w:after="0" w:line="94" w:lineRule="exact"/>
        <w:rPr>
          <w:sz w:val="20"/>
          <w:szCs w:val="20"/>
          <w:color w:val="auto"/>
        </w:rPr>
      </w:pPr>
    </w:p>
    <w:p>
      <w:pPr>
        <w:ind w:right="120" w:firstLine="350"/>
        <w:spacing w:after="0" w:line="282" w:lineRule="auto"/>
        <w:rPr>
          <w:sz w:val="20"/>
          <w:szCs w:val="20"/>
          <w:color w:val="auto"/>
        </w:rPr>
      </w:pPr>
      <w:r>
        <w:rPr>
          <w:rFonts w:ascii="Arial" w:cs="Arial" w:eastAsia="Arial" w:hAnsi="Arial"/>
          <w:sz w:val="13"/>
          <w:szCs w:val="13"/>
          <w:color w:val="auto"/>
        </w:rPr>
        <w:t>We, from time to time, modernize and upgrade our management systems. In particular, we began implementation of new financial management systems in fiscal 2022 that are designed to modernize and enhance our financial systems infrastructure and cost accounting practices through minimizing manual processes, increasing automation, and providing enhanced business analytics. Implementation and operation of the new systems require significant investment of human and financial resources. With the implementation of these new systems, we expect to incur additional expenses and experience certain one-time impacts to profitability related to the roll-out and operation of the new financial systems, including costs related to training. In addition, any significant difficulties in the implementation or operation could have a material adverse effect on our ability to fulfill and invoice customer orders, apply cash receipts, place purchase orders with suppliers, and make cash disbursements, and could negatively impact data processing and electronic communications among business locations, which may have a material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5" w:name="page26"/>
    <w:bookmarkEnd w:id="25"/>
    <w:p>
      <w:pPr>
        <w:ind w:right="140"/>
        <w:spacing w:after="0" w:line="281" w:lineRule="auto"/>
        <w:rPr>
          <w:sz w:val="20"/>
          <w:szCs w:val="20"/>
          <w:color w:val="auto"/>
        </w:rPr>
      </w:pPr>
      <w:r>
        <w:rPr>
          <w:rFonts w:ascii="Arial" w:cs="Arial" w:eastAsia="Arial" w:hAnsi="Arial"/>
          <w:sz w:val="14"/>
          <w:szCs w:val="14"/>
          <w:color w:val="auto"/>
        </w:rPr>
        <w:t>adverse effect on our business, consolidated financial condition, or results of operations. We also face the challenge of supporting our legacy systems and implementing necessary upgrades to those systems to support routine government and financial audits while and after we implement our new systems.</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2"/>
          <w:szCs w:val="12"/>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117" w:lineRule="exact"/>
        <w:rPr>
          <w:sz w:val="20"/>
          <w:szCs w:val="20"/>
          <w:color w:val="auto"/>
        </w:rPr>
      </w:pPr>
    </w:p>
    <w:p>
      <w:pPr>
        <w:ind w:right="80" w:firstLine="350"/>
        <w:spacing w:after="0" w:line="260" w:lineRule="auto"/>
        <w:rPr>
          <w:sz w:val="20"/>
          <w:szCs w:val="20"/>
          <w:color w:val="auto"/>
        </w:rPr>
      </w:pPr>
      <w:r>
        <w:rPr>
          <w:rFonts w:ascii="Arial" w:cs="Arial" w:eastAsia="Arial" w:hAnsi="Arial"/>
          <w:sz w:val="14"/>
          <w:szCs w:val="14"/>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 U.S. government contractors, the U.S. government, and private industry, and such competition is intense. Personnel with the requisite skills, qualifications, or security clearance may be in short supply or generally unavailable. The government and industry have recognized that the current process for obtaining security clearances is time-consuming, sometimes taking years to complete, and can present a risk to customer mission. See "—We may fail to obtain and maintain necessary security clearances which may adversely affect our ability to perform on certain contracts."</w:t>
      </w:r>
    </w:p>
    <w:p>
      <w:pPr>
        <w:spacing w:after="0" w:line="62" w:lineRule="exact"/>
        <w:rPr>
          <w:sz w:val="20"/>
          <w:szCs w:val="20"/>
          <w:color w:val="auto"/>
        </w:rPr>
      </w:pPr>
    </w:p>
    <w:p>
      <w:pPr>
        <w:ind w:firstLine="350"/>
        <w:spacing w:after="0" w:line="284" w:lineRule="auto"/>
        <w:rPr>
          <w:sz w:val="20"/>
          <w:szCs w:val="20"/>
          <w:color w:val="auto"/>
        </w:rPr>
      </w:pPr>
      <w:r>
        <w:rPr>
          <w:rFonts w:ascii="Arial" w:cs="Arial" w:eastAsia="Arial" w:hAnsi="Arial"/>
          <w:sz w:val="13"/>
          <w:szCs w:val="13"/>
          <w:color w:val="auto"/>
        </w:rPr>
        <w:t>Our ability to attract and retain skilled and qualified employees may also be impacted by our engagements in, or perceived connections to, politically or socially sensitive activities.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Additionally, our ability to attract, hire, and retain skilled and qualified employees may be impacted by COVID-19, including whether an employment opportunity requires work in person and related considerations. See “—The effects of a pandemic or widespread health epidemic such as COVID-19 could have a material adverse effect on our business and results of operations.”</w:t>
      </w:r>
    </w:p>
    <w:p>
      <w:pPr>
        <w:spacing w:after="0" w:line="49"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If we are unable to recruit and retain a sufficient number of qualified employees, or cannot obtain their appropriate security clearances in a timely manner, or fail to deploy such employees, our ability to maintain and grow our business and to effectively serve our 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61"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may fail to obtain and maintain necessary security clearances which may adversely affect our ability to perform on certain contracts.</w:t>
      </w:r>
    </w:p>
    <w:p>
      <w:pPr>
        <w:spacing w:after="0" w:line="94" w:lineRule="exact"/>
        <w:rPr>
          <w:sz w:val="20"/>
          <w:szCs w:val="20"/>
          <w:color w:val="auto"/>
        </w:rPr>
      </w:pPr>
    </w:p>
    <w:p>
      <w:pPr>
        <w:ind w:right="120" w:firstLine="350"/>
        <w:spacing w:after="0" w:line="260" w:lineRule="auto"/>
        <w:rPr>
          <w:sz w:val="20"/>
          <w:szCs w:val="20"/>
          <w:color w:val="auto"/>
        </w:rPr>
      </w:pPr>
      <w:r>
        <w:rPr>
          <w:rFonts w:ascii="Arial" w:cs="Arial" w:eastAsia="Arial" w:hAnsi="Arial"/>
          <w:sz w:val="14"/>
          <w:szCs w:val="14"/>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in a timely manner,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Our profitability could suffer if we are not able to timely and effectively utilize our employees or manage our cost structure.</w:t>
      </w:r>
    </w:p>
    <w:p>
      <w:pPr>
        <w:spacing w:after="0" w:line="94" w:lineRule="exact"/>
        <w:rPr>
          <w:sz w:val="20"/>
          <w:szCs w:val="20"/>
          <w:color w:val="auto"/>
        </w:rPr>
      </w:pPr>
    </w:p>
    <w:p>
      <w:pPr>
        <w:ind w:right="360" w:firstLine="350"/>
        <w:spacing w:after="0" w:line="281" w:lineRule="auto"/>
        <w:rPr>
          <w:sz w:val="20"/>
          <w:szCs w:val="20"/>
          <w:color w:val="auto"/>
        </w:rPr>
      </w:pPr>
      <w:r>
        <w:rPr>
          <w:rFonts w:ascii="Arial" w:cs="Arial" w:eastAsia="Arial" w:hAnsi="Arial"/>
          <w:sz w:val="14"/>
          <w:szCs w:val="14"/>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47"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transition employees from completed projects to new assignments and to hire, assimilate, and deploy new employees;</w:t>
      </w:r>
    </w:p>
    <w:p>
      <w:pPr>
        <w:spacing w:after="0" w:line="93"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forecast demand for our services and to maintain and deploy headcount that is aligned with demand, including employees with the right mix of skills and experience to support our projects;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employees’ inability to obtain or retain necessary security clearances;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manage attrition;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need to devote time and resources to training, business development, and other non-chargeable activities.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26" w:name="page27"/>
    <w:bookmarkEnd w:id="26"/>
    <w:p>
      <w:pPr>
        <w:ind w:right="500" w:firstLine="350"/>
        <w:spacing w:after="0" w:line="281" w:lineRule="auto"/>
        <w:rPr>
          <w:sz w:val="20"/>
          <w:szCs w:val="20"/>
          <w:color w:val="auto"/>
        </w:rPr>
      </w:pPr>
      <w:r>
        <w:rPr>
          <w:rFonts w:ascii="Arial" w:cs="Arial" w:eastAsia="Arial" w:hAnsi="Arial"/>
          <w:sz w:val="14"/>
          <w:szCs w:val="14"/>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47" w:lineRule="exact"/>
        <w:rPr>
          <w:sz w:val="20"/>
          <w:szCs w:val="20"/>
          <w:color w:val="auto"/>
        </w:rPr>
      </w:pPr>
    </w:p>
    <w:p>
      <w:pPr>
        <w:ind w:right="20" w:firstLine="350"/>
        <w:spacing w:after="0" w:line="321" w:lineRule="auto"/>
        <w:rPr>
          <w:sz w:val="20"/>
          <w:szCs w:val="20"/>
          <w:color w:val="auto"/>
        </w:rPr>
      </w:pPr>
      <w:r>
        <w:rPr>
          <w:rFonts w:ascii="Arial" w:cs="Arial" w:eastAsia="Arial" w:hAnsi="Arial"/>
          <w:sz w:val="13"/>
          <w:szCs w:val="13"/>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 and achieve efficiencies, our competitiveness and profitability may be adversely affected.</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We may lose one or more members of our senior management team or fail to develop new leaders, which could cause the disruption of the management of our business.</w:t>
      </w:r>
    </w:p>
    <w:p>
      <w:pPr>
        <w:spacing w:after="0" w:line="105"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The loss of any member of our senior management or our failure to continue to develop new members could impair our ability to identify and secure new contracts, to maintain good client relations, and to otherwise manage our business.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Our employees or subcontractors may engage in misconduct or other improper activities, which could harm our ability to conduct business with the U.S. government.</w:t>
      </w:r>
    </w:p>
    <w:p>
      <w:pPr>
        <w:spacing w:after="0" w:line="105" w:lineRule="exact"/>
        <w:rPr>
          <w:sz w:val="20"/>
          <w:szCs w:val="20"/>
          <w:color w:val="auto"/>
        </w:rPr>
      </w:pPr>
    </w:p>
    <w:p>
      <w:pPr>
        <w:ind w:firstLine="350"/>
        <w:spacing w:after="0" w:line="280" w:lineRule="auto"/>
        <w:rPr>
          <w:sz w:val="20"/>
          <w:szCs w:val="20"/>
          <w:color w:val="auto"/>
        </w:rPr>
      </w:pPr>
      <w:r>
        <w:rPr>
          <w:rFonts w:ascii="Arial" w:cs="Arial" w:eastAsia="Arial" w:hAnsi="Arial"/>
          <w:sz w:val="13"/>
          <w:szCs w:val="13"/>
          <w:color w:val="auto"/>
        </w:rPr>
        <w:t>We are exposed to the risk that employee or subcontractor fraud or other misconduct could occur. Misconduct by employees or subcontractors could include intentional or unintentional failures to comply with U.S. government procurement regulations, engaging in other unauthorized activities, or falsifying time records. Employee or subcontractor misconduct could also involve the improper use of our clients’ sensitive or classified information, or the inadvertent or intentional disclosure of our or our clients' sensitive information in violation of our contractual, statutory, or regulatory obligations.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face intense competition from many competitors, which could cause us to lose business, lower prices and suffer employee departures.</w:t>
      </w:r>
    </w:p>
    <w:p>
      <w:pPr>
        <w:spacing w:after="0" w:line="94" w:lineRule="exact"/>
        <w:rPr>
          <w:sz w:val="20"/>
          <w:szCs w:val="20"/>
          <w:color w:val="auto"/>
        </w:rPr>
      </w:pPr>
    </w:p>
    <w:p>
      <w:pPr>
        <w:ind w:right="80" w:firstLine="350"/>
        <w:spacing w:after="0" w:line="288" w:lineRule="auto"/>
        <w:rPr>
          <w:sz w:val="20"/>
          <w:szCs w:val="20"/>
          <w:color w:val="auto"/>
        </w:rPr>
      </w:pPr>
      <w:r>
        <w:rPr>
          <w:rFonts w:ascii="Arial" w:cs="Arial" w:eastAsia="Arial" w:hAnsi="Arial"/>
          <w:sz w:val="13"/>
          <w:szCs w:val="13"/>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46"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make acquisitions of businesses, or establish teaming or other agreements among themselves or third parties, that allow them to offer more competitive and comprehensive solutions;</w:t>
      </w:r>
    </w:p>
    <w:p>
      <w:pPr>
        <w:spacing w:after="0" w:line="105" w:lineRule="exact"/>
        <w:rPr>
          <w:rFonts w:ascii="Arial" w:cs="Arial" w:eastAsia="Arial" w:hAnsi="Arial"/>
          <w:sz w:val="13"/>
          <w:szCs w:val="13"/>
          <w:color w:val="auto"/>
        </w:rPr>
      </w:pPr>
    </w:p>
    <w:p>
      <w:pPr>
        <w:ind w:left="520" w:right="560" w:hanging="260"/>
        <w:spacing w:after="0" w:line="281"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divert sales from us by winning very large-scale government contracts, a risk that is enhanced by the recent trend in government procurement practices to bundle services into larger contracts;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force us to charge lower prices in order to win or maintain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seek to hire our employees;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adversely affect our relationships with current clients, including our ability to continue to win competitively awarded engagements where we are the incumbent.</w:t>
      </w:r>
    </w:p>
    <w:p>
      <w:pPr>
        <w:spacing w:after="0" w:line="9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7" w:name="page28"/>
    <w:bookmarkEnd w:id="27"/>
    <w:p>
      <w:pPr>
        <w:ind w:right="380" w:firstLine="318"/>
        <w:spacing w:after="0" w:line="281" w:lineRule="auto"/>
        <w:rPr>
          <w:sz w:val="20"/>
          <w:szCs w:val="20"/>
          <w:color w:val="auto"/>
        </w:rPr>
      </w:pPr>
      <w:r>
        <w:rPr>
          <w:rFonts w:ascii="Arial" w:cs="Arial" w:eastAsia="Arial" w:hAnsi="Arial"/>
          <w:sz w:val="14"/>
          <w:szCs w:val="14"/>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spacing w:after="0" w:line="47" w:lineRule="exact"/>
        <w:rPr>
          <w:sz w:val="20"/>
          <w:szCs w:val="20"/>
          <w:color w:val="auto"/>
        </w:rPr>
      </w:pPr>
    </w:p>
    <w:p>
      <w:pPr>
        <w:ind w:right="20" w:firstLine="350"/>
        <w:spacing w:after="0" w:line="260" w:lineRule="auto"/>
        <w:rPr>
          <w:sz w:val="20"/>
          <w:szCs w:val="20"/>
          <w:color w:val="auto"/>
        </w:rPr>
      </w:pPr>
      <w:r>
        <w:rPr>
          <w:rFonts w:ascii="Arial" w:cs="Arial" w:eastAsia="Arial" w:hAnsi="Arial"/>
          <w:sz w:val="14"/>
          <w:szCs w:val="14"/>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62" w:lineRule="exact"/>
        <w:rPr>
          <w:sz w:val="20"/>
          <w:szCs w:val="20"/>
          <w:color w:val="auto"/>
        </w:rPr>
      </w:pPr>
    </w:p>
    <w:p>
      <w:pPr>
        <w:ind w:firstLine="350"/>
        <w:spacing w:after="0" w:line="257" w:lineRule="auto"/>
        <w:rPr>
          <w:sz w:val="20"/>
          <w:szCs w:val="20"/>
          <w:color w:val="auto"/>
        </w:rPr>
      </w:pPr>
      <w:r>
        <w:rPr>
          <w:rFonts w:ascii="Arial" w:cs="Arial" w:eastAsia="Arial" w:hAnsi="Arial"/>
          <w:sz w:val="14"/>
          <w:szCs w:val="14"/>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66"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117" w:lineRule="exact"/>
        <w:rPr>
          <w:sz w:val="20"/>
          <w:szCs w:val="20"/>
          <w:color w:val="auto"/>
        </w:rPr>
      </w:pPr>
    </w:p>
    <w:p>
      <w:pPr>
        <w:ind w:right="80" w:firstLine="350"/>
        <w:spacing w:after="0" w:line="309" w:lineRule="auto"/>
        <w:rPr>
          <w:sz w:val="20"/>
          <w:szCs w:val="20"/>
          <w:color w:val="auto"/>
        </w:rPr>
      </w:pPr>
      <w:r>
        <w:rPr>
          <w:rFonts w:ascii="Arial" w:cs="Arial" w:eastAsia="Arial" w:hAnsi="Arial"/>
          <w:sz w:val="12"/>
          <w:szCs w:val="12"/>
          <w:color w:val="auto"/>
        </w:rPr>
        <w:t>To the extent the U.S. Congress is unable to approve the annual federal budget on a timely basis, and enacts a continuing resolution, funding for new projects may not be available and funding on contracts we are already performing may be delayed. Any such delays would likely result in new business initiatives being delayed or canceled and a reduction in our backlog, and could have a material adverse effect on our revenue and operating results. In addition, a failure to complete the budget process and fund government operations pursuant to a continuing resolution may result in a U.S. government shutdown, which could result in us incurring substantial costs without reimbursement under our contracts and the delay or cancellation of key programs or the delay of contract payments and may have a material adverse effect on our revenue and operating results. In addition, when supplemental appropriations are required to operate the U.S. government or fund specific programs and the passage of legislation needed to approve any supplemental appropriation bill is delayed, the overall funding environment for our business could be adversely affected.</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face certain significant risk exposures and potential liabilities that may not be adequately covered by indemnity or insurance.</w:t>
      </w:r>
    </w:p>
    <w:p>
      <w:pPr>
        <w:spacing w:after="0" w:line="94" w:lineRule="exact"/>
        <w:rPr>
          <w:sz w:val="20"/>
          <w:szCs w:val="20"/>
          <w:color w:val="auto"/>
        </w:rPr>
      </w:pPr>
    </w:p>
    <w:p>
      <w:pPr>
        <w:ind w:right="60" w:firstLine="318"/>
        <w:spacing w:after="0" w:line="258" w:lineRule="auto"/>
        <w:rPr>
          <w:sz w:val="20"/>
          <w:szCs w:val="20"/>
          <w:color w:val="auto"/>
        </w:rPr>
      </w:pPr>
      <w:r>
        <w:rPr>
          <w:rFonts w:ascii="Arial" w:cs="Arial" w:eastAsia="Arial" w:hAnsi="Arial"/>
          <w:sz w:val="14"/>
          <w:szCs w:val="14"/>
          <w:color w:val="auto"/>
        </w:rPr>
        <w:t>A significant portion of our business relates to designing, developing, and implementing advanced defense and technology systems and products, including cybersecurity products and services. New technologies may be untested or unproven. We maintain insurance policies that mitigate against risk and potential liabilities related to our operations, including data breaches.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28" w:name="page29"/>
    <w:bookmarkEnd w:id="28"/>
    <w:p>
      <w:pPr>
        <w:ind w:left="320"/>
        <w:spacing w:after="0"/>
        <w:rPr>
          <w:sz w:val="20"/>
          <w:szCs w:val="20"/>
          <w:color w:val="auto"/>
        </w:rPr>
      </w:pPr>
      <w:r>
        <w:rPr>
          <w:rFonts w:ascii="Arial" w:cs="Arial" w:eastAsia="Arial" w:hAnsi="Arial"/>
          <w:sz w:val="14"/>
          <w:szCs w:val="14"/>
          <w:b w:val="1"/>
          <w:bCs w:val="1"/>
          <w:i w:val="1"/>
          <w:iCs w:val="1"/>
          <w:color w:val="auto"/>
        </w:rPr>
        <w:t>Failure to adequately protect, maintain, or enforce our rights in our intellectual property may adversely limit our competitive position.</w:t>
      </w:r>
    </w:p>
    <w:p>
      <w:pPr>
        <w:spacing w:after="0" w:line="94"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65" w:lineRule="exact"/>
        <w:rPr>
          <w:sz w:val="20"/>
          <w:szCs w:val="20"/>
          <w:color w:val="auto"/>
        </w:rPr>
      </w:pPr>
    </w:p>
    <w:p>
      <w:pPr>
        <w:ind w:right="460" w:firstLine="318"/>
        <w:spacing w:after="0" w:line="281" w:lineRule="auto"/>
        <w:rPr>
          <w:sz w:val="20"/>
          <w:szCs w:val="20"/>
          <w:color w:val="auto"/>
        </w:rPr>
      </w:pPr>
      <w:r>
        <w:rPr>
          <w:rFonts w:ascii="Arial" w:cs="Arial" w:eastAsia="Arial" w:hAnsi="Arial"/>
          <w:sz w:val="14"/>
          <w:szCs w:val="14"/>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47"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61"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4"/>
          <w:szCs w:val="14"/>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57" w:lineRule="exact"/>
        <w:rPr>
          <w:sz w:val="20"/>
          <w:szCs w:val="20"/>
          <w:color w:val="auto"/>
        </w:rPr>
      </w:pPr>
    </w:p>
    <w:p>
      <w:pPr>
        <w:ind w:right="200" w:firstLine="318"/>
        <w:spacing w:after="0" w:line="281" w:lineRule="auto"/>
        <w:rPr>
          <w:sz w:val="20"/>
          <w:szCs w:val="20"/>
          <w:color w:val="auto"/>
        </w:rPr>
      </w:pPr>
      <w:r>
        <w:rPr>
          <w:rFonts w:ascii="Arial" w:cs="Arial" w:eastAsia="Arial" w:hAnsi="Arial"/>
          <w:sz w:val="14"/>
          <w:szCs w:val="14"/>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47"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We are focused on growing our presence in our addressable markets by: expanding our relationships with existing clients, developing new clients by leveraging our core competencies, further developing our existing capabilities and service offerings,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including the GDPR. See "—Implementation of various data privacy and cybersecurity laws, regulations and standards could require significant investment into ongoing compliance activities, trigger potential liability, and limit our ability to use personal data."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w:t>
      </w:r>
    </w:p>
    <w:p>
      <w:pPr>
        <w:spacing w:after="0" w:line="54"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The needs of our customers change and evolve regularly and in particular due to complex and rapidly changing technologies. Our success depends upon our ability to identify emerging technological trends; develop technologically advanced, innovative, and cost-effective products and services; and market these products and services to our customers. Our success also depends on our continued access to suppliers of important technologies and components.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49" w:lineRule="exact"/>
        <w:rPr>
          <w:sz w:val="20"/>
          <w:szCs w:val="20"/>
          <w:color w:val="auto"/>
        </w:rPr>
      </w:pPr>
    </w:p>
    <w:p>
      <w:pPr>
        <w:ind w:right="40" w:firstLine="350"/>
        <w:spacing w:after="0" w:line="267" w:lineRule="auto"/>
        <w:rPr>
          <w:sz w:val="20"/>
          <w:szCs w:val="20"/>
          <w:color w:val="auto"/>
        </w:rPr>
      </w:pPr>
      <w:r>
        <w:rPr>
          <w:rFonts w:ascii="Arial" w:cs="Arial" w:eastAsia="Arial" w:hAnsi="Arial"/>
          <w:sz w:val="14"/>
          <w:szCs w:val="14"/>
          <w:color w:val="auto"/>
        </w:rPr>
        <w:t>Our ability to grow our business by leveraging our operating model to efficiently and effectively deploy our people across our client base is also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29" w:name="page30"/>
    <w:bookmarkEnd w:id="29"/>
    <w:p>
      <w:pPr>
        <w:ind w:right="40" w:firstLine="350"/>
        <w:spacing w:after="0" w:line="288" w:lineRule="auto"/>
        <w:rPr>
          <w:sz w:val="20"/>
          <w:szCs w:val="20"/>
          <w:color w:val="auto"/>
        </w:rPr>
      </w:pPr>
      <w:r>
        <w:rPr>
          <w:rFonts w:ascii="Arial" w:cs="Arial" w:eastAsia="Arial" w:hAnsi="Arial"/>
          <w:sz w:val="13"/>
          <w:szCs w:val="13"/>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2"/>
          <w:szCs w:val="12"/>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117" w:lineRule="exact"/>
        <w:rPr>
          <w:sz w:val="20"/>
          <w:szCs w:val="20"/>
          <w:color w:val="auto"/>
        </w:rPr>
      </w:pPr>
    </w:p>
    <w:p>
      <w:pPr>
        <w:ind w:right="180" w:firstLine="350"/>
        <w:spacing w:after="0" w:line="267" w:lineRule="auto"/>
        <w:rPr>
          <w:sz w:val="20"/>
          <w:szCs w:val="20"/>
          <w:color w:val="auto"/>
        </w:rPr>
      </w:pPr>
      <w:r>
        <w:rPr>
          <w:rFonts w:ascii="Arial" w:cs="Arial" w:eastAsia="Arial" w:hAnsi="Arial"/>
          <w:sz w:val="14"/>
          <w:szCs w:val="14"/>
          <w:color w:val="auto"/>
        </w:rPr>
        <w:t>We routinely review our operating structure, capabilities and strategy to determine whether we are effectively meeting the needs of existing clients, effectively responding to developments in our markets and successfully building platforms intended to provide the foundation for the future growth of our business. The outcome of any such review is difficult to predict and the extent of changes to our business following such a review, if any, are dependent in part upon the nature and extent of the review.</w:t>
      </w:r>
    </w:p>
    <w:p>
      <w:pPr>
        <w:spacing w:after="0" w:line="57" w:lineRule="exact"/>
        <w:rPr>
          <w:sz w:val="20"/>
          <w:szCs w:val="20"/>
          <w:color w:val="auto"/>
        </w:rPr>
      </w:pPr>
    </w:p>
    <w:p>
      <w:pPr>
        <w:ind w:right="100" w:firstLine="350"/>
        <w:spacing w:after="0" w:line="267" w:lineRule="auto"/>
        <w:rPr>
          <w:sz w:val="20"/>
          <w:szCs w:val="20"/>
          <w:color w:val="auto"/>
        </w:rPr>
      </w:pPr>
      <w:r>
        <w:rPr>
          <w:rFonts w:ascii="Arial" w:cs="Arial" w:eastAsia="Arial" w:hAnsi="Arial"/>
          <w:sz w:val="14"/>
          <w:szCs w:val="14"/>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Many of our contracts with the U.S. government are classified or subject to other security restrictions, which may limit investor insight into portions of our business.</w:t>
      </w:r>
    </w:p>
    <w:p>
      <w:pPr>
        <w:spacing w:after="0" w:line="105" w:lineRule="exact"/>
        <w:rPr>
          <w:sz w:val="20"/>
          <w:szCs w:val="20"/>
          <w:color w:val="auto"/>
        </w:rPr>
      </w:pPr>
    </w:p>
    <w:p>
      <w:pPr>
        <w:ind w:right="240" w:firstLine="350"/>
        <w:spacing w:after="0" w:line="284" w:lineRule="auto"/>
        <w:rPr>
          <w:sz w:val="20"/>
          <w:szCs w:val="20"/>
          <w:color w:val="auto"/>
        </w:rPr>
      </w:pPr>
      <w:r>
        <w:rPr>
          <w:rFonts w:ascii="Arial" w:cs="Arial" w:eastAsia="Arial" w:hAnsi="Arial"/>
          <w:sz w:val="13"/>
          <w:szCs w:val="13"/>
          <w:color w:val="auto"/>
        </w:rPr>
        <w:t>We derive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4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47" w:lineRule="exact"/>
        <w:rPr>
          <w:sz w:val="20"/>
          <w:szCs w:val="20"/>
          <w:color w:val="auto"/>
        </w:rPr>
      </w:pPr>
    </w:p>
    <w:p>
      <w:pPr>
        <w:ind w:right="140" w:firstLine="350"/>
        <w:spacing w:after="0" w:line="284" w:lineRule="auto"/>
        <w:rPr>
          <w:sz w:val="20"/>
          <w:szCs w:val="20"/>
          <w:color w:val="auto"/>
        </w:rPr>
      </w:pPr>
      <w:r>
        <w:rPr>
          <w:rFonts w:ascii="Arial" w:cs="Arial" w:eastAsia="Arial" w:hAnsi="Arial"/>
          <w:sz w:val="13"/>
          <w:szCs w:val="13"/>
          <w:color w:val="auto"/>
        </w:rPr>
        <w:t>We depend on the timely collection of our receivables to generate cash flow, provide working capital, and continue our business operations. If the U.S. or any other government or any prime contractor for whom we are a subcontractor fails to pay or delays the payment of invoices for any reason, our business and financial condition may be materially and adversely affected. The U.S. or any other government may delay or fail to pay invoices for a number of reasons, including lack of appropriated funds, lack of an approved budget, lack of revised or final settled billing rates as a result of open audit years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may consummate acquisitions, investments, joint ventures and divestitures, which involve numerous risks and uncertainties.</w:t>
      </w:r>
    </w:p>
    <w:p>
      <w:pPr>
        <w:spacing w:after="0" w:line="94" w:lineRule="exact"/>
        <w:rPr>
          <w:sz w:val="20"/>
          <w:szCs w:val="20"/>
          <w:color w:val="auto"/>
        </w:rPr>
      </w:pPr>
    </w:p>
    <w:p>
      <w:pPr>
        <w:ind w:right="380" w:firstLine="350"/>
        <w:spacing w:after="0" w:line="267" w:lineRule="auto"/>
        <w:rPr>
          <w:sz w:val="20"/>
          <w:szCs w:val="20"/>
          <w:color w:val="auto"/>
        </w:rPr>
      </w:pPr>
      <w:r>
        <w:rPr>
          <w:rFonts w:ascii="Arial" w:cs="Arial" w:eastAsia="Arial" w:hAnsi="Arial"/>
          <w:sz w:val="14"/>
          <w:szCs w:val="14"/>
          <w:color w:val="auto"/>
        </w:rPr>
        <w:t>As part of our operating strategy, we continually monitor U.S. government spending and budgetary priorities to align our investments in new capabilities to drive organic growth, and also selectively pursue acquisitions, investments, partnerships, and joint ventures that broaden our domain expertise and service offerings, and/or establish relationships with new customers. These transactions pose many risks, including:</w:t>
      </w:r>
    </w:p>
    <w:p>
      <w:pPr>
        <w:spacing w:after="0" w:line="57"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not be able to identify suitable acquisition and investment candidates at prices we consider attractive;</w:t>
      </w:r>
    </w:p>
    <w:p>
      <w:pPr>
        <w:spacing w:after="0" w:line="93" w:lineRule="exact"/>
        <w:rPr>
          <w:rFonts w:ascii="Arial" w:cs="Arial" w:eastAsia="Arial" w:hAnsi="Arial"/>
          <w:sz w:val="14"/>
          <w:szCs w:val="14"/>
          <w:color w:val="auto"/>
        </w:rPr>
      </w:pPr>
    </w:p>
    <w:p>
      <w:pPr>
        <w:ind w:left="520" w:right="52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not be able to compete successfully for identified acquisition and investment candidates, complete acquisitions and investments, or accurately estimate the financial effect of acquisitions and investments on our business;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future acquisitions and investments may require us to issue common stock or spend significant cash, resulting in dilution of ownership or additional debt leverage;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have difficulty retaining an acquired company’s key employees or clients;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have difficulty integrating personnel from the acquired company with our people and our core values;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0" w:name="page31"/>
    <w:bookmarkEnd w:id="30"/>
    <w:p>
      <w:pPr>
        <w:ind w:left="520" w:right="34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may have difficulty integrating acquired businesses and investments, resulting in unforeseen difficulties, such as incompatible accounting, information management, or other control systems, and greater expenses than expected;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acquisitions and investments may disrupt our business or distract our management from other responsibilities;</w:t>
      </w:r>
    </w:p>
    <w:p>
      <w:pPr>
        <w:spacing w:after="0" w:line="93"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a result of an acquisition or investment, we may incur additional debt and we may need to record write-downs from future impairments of intangible assets, each of which could reduce our future reported earnings; and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may not be able to effectively influence the operations of our joint ventures or partnerships, or we may be exposed to certain liabilities if our partners do not fulfill their obligations.</w:t>
      </w:r>
    </w:p>
    <w:p>
      <w:pPr>
        <w:spacing w:after="0" w:line="105"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color w:val="auto"/>
        </w:rPr>
        <w:t>In connection with any acquisition or investment that we make, there may be liabilities that we fail to discover or that we inadequately assess, and we may fail to discover any failure of a target company to have fulfilled its contractual obligations to the U.S. government or other clients. Acquired entities and investments may not operate profitably or result in improved operating performance. Additionally, we may not realize anticipated synergies, business growth opportunities, cost savings, and other benefits, which could have a material adverse effect on our business and results of operations.</w:t>
      </w:r>
    </w:p>
    <w:p>
      <w:pPr>
        <w:spacing w:after="0" w:line="61"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In addition, we may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guarantees or other financial arrangements, which could adversely affect our financial results. In addition, we may be unable to complete strategic divestitures on satisfactory terms and conditions, including non-competition arrangements, or within expected time frames.</w:t>
      </w:r>
    </w:p>
    <w:p>
      <w:pPr>
        <w:spacing w:after="0" w:line="61"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spacing w:after="0" w:line="47" w:lineRule="exact"/>
        <w:rPr>
          <w:sz w:val="20"/>
          <w:szCs w:val="20"/>
          <w:color w:val="auto"/>
        </w:rPr>
      </w:pPr>
    </w:p>
    <w:p>
      <w:pPr>
        <w:ind w:right="40" w:firstLine="350"/>
        <w:spacing w:after="0" w:line="258" w:lineRule="auto"/>
        <w:rPr>
          <w:sz w:val="20"/>
          <w:szCs w:val="20"/>
          <w:color w:val="auto"/>
        </w:rPr>
      </w:pPr>
      <w:r>
        <w:rPr>
          <w:rFonts w:ascii="Arial" w:cs="Arial" w:eastAsia="Arial" w:hAnsi="Arial"/>
          <w:sz w:val="14"/>
          <w:szCs w:val="14"/>
          <w:color w:val="auto"/>
        </w:rPr>
        <w:t>As of March 31, 2021, the value of our goodwill was $1.6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a charge against operating income. Such non-cash impairment charges could have a material adverse effect on our results of operations in the period in which they are recognized.</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Risks</w:t>
      </w:r>
    </w:p>
    <w:p>
      <w:pPr>
        <w:spacing w:after="0" w:line="98"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7"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As a U.S. government contractor, we must comply with laws and regulations relating to the formation, administration, and performance of 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39" w:lineRule="exact"/>
        <w:rPr>
          <w:sz w:val="20"/>
          <w:szCs w:val="20"/>
          <w:color w:val="auto"/>
        </w:rPr>
      </w:pPr>
    </w:p>
    <w:p>
      <w:pPr>
        <w:ind w:left="520" w:right="120" w:hanging="260"/>
        <w:spacing w:after="0" w:line="262"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60" w:lineRule="exact"/>
        <w:rPr>
          <w:rFonts w:ascii="Arial" w:cs="Arial" w:eastAsia="Arial" w:hAnsi="Arial"/>
          <w:sz w:val="14"/>
          <w:szCs w:val="14"/>
          <w:color w:val="auto"/>
        </w:rPr>
      </w:pPr>
    </w:p>
    <w:p>
      <w:pPr>
        <w:ind w:left="520" w:right="28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False Claims Act, which imposes civil and criminal liability for violations, including substantial monetary penalties, for, among other things, presenting false or fraudulent claims for payments or approval;</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False Statements Act, which imposes civil and criminal liability for making false statements to the U.S. government;</w:t>
      </w:r>
    </w:p>
    <w:p>
      <w:pPr>
        <w:spacing w:after="0" w:line="93" w:lineRule="exact"/>
        <w:rPr>
          <w:rFonts w:ascii="Arial" w:cs="Arial" w:eastAsia="Arial" w:hAnsi="Arial"/>
          <w:sz w:val="14"/>
          <w:szCs w:val="14"/>
          <w:color w:val="auto"/>
        </w:rPr>
      </w:pPr>
    </w:p>
    <w:p>
      <w:pPr>
        <w:ind w:left="520" w:right="44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1" w:name="page32"/>
    <w:bookmarkEnd w:id="31"/>
    <w:p>
      <w:pPr>
        <w:ind w:left="520" w:right="38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laws and regulations restricting the ability of a contractor to provide gifts or gratuities to employees of the U.S. government;</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post-government employment laws and regulations, which restrict the ability of a contractor to recruit and hire current employees of the U.S. government and deploy former employees of the U.S. government;</w:t>
      </w:r>
    </w:p>
    <w:p>
      <w:pPr>
        <w:spacing w:after="0" w:line="47" w:lineRule="exact"/>
        <w:rPr>
          <w:rFonts w:ascii="Arial" w:cs="Arial" w:eastAsia="Arial" w:hAnsi="Arial"/>
          <w:sz w:val="14"/>
          <w:szCs w:val="14"/>
          <w:color w:val="auto"/>
        </w:rPr>
      </w:pPr>
    </w:p>
    <w:p>
      <w:pPr>
        <w:ind w:left="520" w:hanging="260"/>
        <w:spacing w:after="0" w:line="267"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laws, regulations, and executive orders regulating the handling, use, and dissemination of personally identifiable information in the course of performing a U.S. government contract;</w:t>
      </w:r>
    </w:p>
    <w:p>
      <w:pPr>
        <w:spacing w:after="0" w:line="105" w:lineRule="exact"/>
        <w:rPr>
          <w:rFonts w:ascii="Arial" w:cs="Arial" w:eastAsia="Arial" w:hAnsi="Arial"/>
          <w:sz w:val="13"/>
          <w:szCs w:val="13"/>
          <w:color w:val="auto"/>
        </w:rPr>
      </w:pPr>
    </w:p>
    <w:p>
      <w:pPr>
        <w:ind w:left="520" w:right="4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spacing w:after="0" w:line="47" w:lineRule="exact"/>
        <w:rPr>
          <w:rFonts w:ascii="Arial" w:cs="Arial" w:eastAsia="Arial" w:hAnsi="Arial"/>
          <w:sz w:val="14"/>
          <w:szCs w:val="14"/>
          <w:color w:val="auto"/>
        </w:rPr>
      </w:pPr>
    </w:p>
    <w:p>
      <w:pPr>
        <w:ind w:left="520" w:right="180" w:hanging="260"/>
        <w:spacing w:after="0" w:line="267"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laws, regulations and executive orders that impose requirements on us to ensure compliance with requirements and protect the government from risks related to our supply chain;</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laws, regulations and mandatory contract provisions providing protections to employees or subcontractors seeking to report alleged fraud, waste, and abuse related to a government contract;</w:t>
      </w:r>
    </w:p>
    <w:p>
      <w:pPr>
        <w:spacing w:after="0" w:line="116" w:lineRule="exact"/>
        <w:rPr>
          <w:rFonts w:ascii="Arial" w:cs="Arial" w:eastAsia="Arial" w:hAnsi="Arial"/>
          <w:sz w:val="12"/>
          <w:szCs w:val="12"/>
          <w:color w:val="auto"/>
        </w:rPr>
      </w:pPr>
    </w:p>
    <w:p>
      <w:pPr>
        <w:ind w:left="520" w:right="20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47" w:lineRule="exact"/>
        <w:rPr>
          <w:rFonts w:ascii="Arial" w:cs="Arial" w:eastAsia="Arial" w:hAnsi="Arial"/>
          <w:sz w:val="14"/>
          <w:szCs w:val="14"/>
          <w:color w:val="auto"/>
        </w:rPr>
      </w:pPr>
    </w:p>
    <w:p>
      <w:pPr>
        <w:ind w:left="520" w:right="70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47" w:lineRule="exact"/>
        <w:rPr>
          <w:sz w:val="20"/>
          <w:szCs w:val="20"/>
          <w:color w:val="auto"/>
        </w:rPr>
      </w:pPr>
    </w:p>
    <w:p>
      <w:pPr>
        <w:ind w:right="120" w:firstLine="350"/>
        <w:spacing w:after="0" w:line="267" w:lineRule="auto"/>
        <w:rPr>
          <w:sz w:val="20"/>
          <w:szCs w:val="20"/>
          <w:color w:val="auto"/>
        </w:rPr>
      </w:pPr>
      <w:r>
        <w:rPr>
          <w:rFonts w:ascii="Arial" w:cs="Arial" w:eastAsia="Arial" w:hAnsi="Arial"/>
          <w:sz w:val="14"/>
          <w:szCs w:val="14"/>
          <w:color w:val="auto"/>
        </w:rPr>
        <w:t>In addition, the U.S. government adopts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 of limitations, could also result in materially adverse judgments, settlements, withheld payments, penalties, or other unfavorable outcomes.</w:t>
      </w:r>
    </w:p>
    <w:p>
      <w:pPr>
        <w:spacing w:after="0" w:line="57" w:lineRule="exact"/>
        <w:rPr>
          <w:sz w:val="20"/>
          <w:szCs w:val="20"/>
          <w:color w:val="auto"/>
        </w:rPr>
      </w:pPr>
    </w:p>
    <w:p>
      <w:pPr>
        <w:ind w:firstLine="350"/>
        <w:spacing w:after="0" w:line="279" w:lineRule="auto"/>
        <w:rPr>
          <w:sz w:val="20"/>
          <w:szCs w:val="20"/>
          <w:color w:val="auto"/>
        </w:rPr>
      </w:pPr>
      <w:r>
        <w:rPr>
          <w:rFonts w:ascii="Arial" w:cs="Arial" w:eastAsia="Arial" w:hAnsi="Arial"/>
          <w:sz w:val="13"/>
          <w:szCs w:val="13"/>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or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53"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2" w:name="page33"/>
    <w:bookmarkEnd w:id="32"/>
    <w:p>
      <w:pPr>
        <w:ind w:left="360"/>
        <w:spacing w:after="0"/>
        <w:rPr>
          <w:sz w:val="20"/>
          <w:szCs w:val="20"/>
          <w:color w:val="auto"/>
        </w:rPr>
      </w:pPr>
      <w:r>
        <w:rPr>
          <w:rFonts w:ascii="Arial" w:cs="Arial" w:eastAsia="Arial" w:hAnsi="Arial"/>
          <w:sz w:val="14"/>
          <w:szCs w:val="14"/>
          <w:b w:val="1"/>
          <w:bCs w:val="1"/>
          <w:i w:val="1"/>
          <w:iCs w:val="1"/>
          <w:color w:val="auto"/>
        </w:rPr>
        <w:t>Adverse judgments or settlements in legal disputes could result in materially adverse monetary damages or injunctive relief and damage our reputation.</w:t>
      </w:r>
    </w:p>
    <w:p>
      <w:pPr>
        <w:spacing w:after="0" w:line="94" w:lineRule="exact"/>
        <w:rPr>
          <w:sz w:val="20"/>
          <w:szCs w:val="20"/>
          <w:color w:val="auto"/>
        </w:rPr>
      </w:pPr>
    </w:p>
    <w:p>
      <w:pPr>
        <w:ind w:right="40" w:firstLine="350"/>
        <w:spacing w:after="0" w:line="277" w:lineRule="auto"/>
        <w:rPr>
          <w:sz w:val="20"/>
          <w:szCs w:val="20"/>
          <w:color w:val="auto"/>
        </w:rPr>
      </w:pPr>
      <w:r>
        <w:rPr>
          <w:rFonts w:ascii="Arial" w:cs="Arial" w:eastAsia="Arial" w:hAnsi="Arial"/>
          <w:sz w:val="13"/>
          <w:szCs w:val="13"/>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As more fully described under "Item 3. Legal Proceedings", the U.S. Department of Justice (the "DOJ") is conducting a civil investigation of the Company, and the Company has also been in contact with other regulatory agencies and bodies, including the Securities and Exchange Commission, which notified the Company that it is conducting an investigation that the Company believes relates to matters that are also the subject of the DOJ's investigation. The Company may receive additional regulatory or governmental inquiries related to the matters that are the subject of the DOJ's investigation. The total cost associated with these matters will depend on many factors, including the duration of these matters and any related finding.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In addition, from time to time, we are also involved in legal proceedings and investigations arising in the ordinary course of business, including those relating to employment matters, (such as matters involving alleged violations of civil rights, wage and hour, and worker’s compensation laws), relationships with clients and contractors, intellectual property disputes, and other business matters. Any such claims, proceedings or investigations may be time-consuming, costly, divert management resources, or otherwise have a material adverse effect on our result of operations.</w:t>
      </w:r>
    </w:p>
    <w:p>
      <w:pPr>
        <w:spacing w:after="0" w:line="54" w:lineRule="exact"/>
        <w:rPr>
          <w:sz w:val="20"/>
          <w:szCs w:val="20"/>
          <w:color w:val="auto"/>
        </w:rPr>
      </w:pPr>
    </w:p>
    <w:p>
      <w:pPr>
        <w:ind w:right="120" w:firstLine="350"/>
        <w:spacing w:after="0" w:line="262" w:lineRule="auto"/>
        <w:rPr>
          <w:sz w:val="20"/>
          <w:szCs w:val="20"/>
          <w:color w:val="auto"/>
        </w:rPr>
      </w:pPr>
      <w:r>
        <w:rPr>
          <w:rFonts w:ascii="Arial" w:cs="Arial" w:eastAsia="Arial" w:hAnsi="Arial"/>
          <w:sz w:val="14"/>
          <w:szCs w:val="14"/>
          <w:color w:val="auto"/>
        </w:rPr>
        <w:t>The results of litigation and other legal proceedings, including the other claims described under "Item 3.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legal proceedings described under “Item 3. Legal Proceedings” are subject to future developments and management’s view of these matters may change in the future.</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are subject to risks associated with operating internationally.</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business operations are subject to a variety of risks associated with conducting business internationally, including:</w:t>
      </w:r>
    </w:p>
    <w:p>
      <w:pPr>
        <w:spacing w:after="0" w:line="94" w:lineRule="exact"/>
        <w:rPr>
          <w:sz w:val="20"/>
          <w:szCs w:val="20"/>
          <w:color w:val="auto"/>
        </w:rPr>
      </w:pPr>
    </w:p>
    <w:p>
      <w:pPr>
        <w:ind w:left="1020" w:hanging="251"/>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or interpretations of laws or policies that may adversely affect the performance of our services;</w:t>
      </w:r>
    </w:p>
    <w:p>
      <w:pPr>
        <w:spacing w:after="0" w:line="93" w:lineRule="exact"/>
        <w:rPr>
          <w:rFonts w:ascii="Arial" w:cs="Arial" w:eastAsia="Arial" w:hAnsi="Arial"/>
          <w:sz w:val="14"/>
          <w:szCs w:val="14"/>
          <w:color w:val="auto"/>
        </w:rPr>
      </w:pPr>
    </w:p>
    <w:p>
      <w:pPr>
        <w:ind w:left="1020" w:hanging="251"/>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Political instability in foreign countries;</w:t>
      </w:r>
    </w:p>
    <w:p>
      <w:pPr>
        <w:spacing w:after="0" w:line="93" w:lineRule="exact"/>
        <w:rPr>
          <w:rFonts w:ascii="Arial" w:cs="Arial" w:eastAsia="Arial" w:hAnsi="Arial"/>
          <w:sz w:val="14"/>
          <w:szCs w:val="14"/>
          <w:color w:val="auto"/>
        </w:rPr>
      </w:pPr>
    </w:p>
    <w:p>
      <w:pPr>
        <w:ind w:left="1020" w:hanging="251"/>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Imposition of inconsistent or contradictory laws or regulations;</w:t>
      </w:r>
    </w:p>
    <w:p>
      <w:pPr>
        <w:spacing w:after="0" w:line="93" w:lineRule="exact"/>
        <w:rPr>
          <w:rFonts w:ascii="Arial" w:cs="Arial" w:eastAsia="Arial" w:hAnsi="Arial"/>
          <w:sz w:val="14"/>
          <w:szCs w:val="14"/>
          <w:color w:val="auto"/>
        </w:rPr>
      </w:pPr>
    </w:p>
    <w:p>
      <w:pPr>
        <w:ind w:left="1020" w:hanging="251"/>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Reliance on the U.S. or other governments to authorize us to export products, technology, and services to clients and other business partners;</w:t>
      </w:r>
    </w:p>
    <w:p>
      <w:pPr>
        <w:spacing w:after="0" w:line="93" w:lineRule="exact"/>
        <w:rPr>
          <w:rFonts w:ascii="Arial" w:cs="Arial" w:eastAsia="Arial" w:hAnsi="Arial"/>
          <w:sz w:val="14"/>
          <w:szCs w:val="14"/>
          <w:color w:val="auto"/>
        </w:rPr>
      </w:pPr>
    </w:p>
    <w:p>
      <w:pPr>
        <w:ind w:left="1020" w:hanging="251"/>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Conducting business in places where laws, business practices, and customs are unfamiliar or unknown;</w:t>
      </w:r>
    </w:p>
    <w:p>
      <w:pPr>
        <w:spacing w:after="0" w:line="93" w:lineRule="exact"/>
        <w:rPr>
          <w:rFonts w:ascii="Arial" w:cs="Arial" w:eastAsia="Arial" w:hAnsi="Arial"/>
          <w:sz w:val="14"/>
          <w:szCs w:val="14"/>
          <w:color w:val="auto"/>
        </w:rPr>
      </w:pPr>
    </w:p>
    <w:p>
      <w:pPr>
        <w:ind w:left="1020" w:right="200" w:hanging="251"/>
        <w:spacing w:after="0" w:line="267" w:lineRule="auto"/>
        <w:tabs>
          <w:tab w:leader="none" w:pos="10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Failure to comply with U.S. government and foreign laws and regulations applicable to international business, employment, privacy, data protection, information security, or data transfer could have an adverse impact on our business with the U.S. government and could expose us to risks and costs of non-compliance with such laws and regulations, in addition to administrative, civil, or criminal penalties;</w:t>
      </w:r>
    </w:p>
    <w:p>
      <w:pPr>
        <w:spacing w:after="0" w:line="56" w:lineRule="exact"/>
        <w:rPr>
          <w:rFonts w:ascii="Arial" w:cs="Arial" w:eastAsia="Arial" w:hAnsi="Arial"/>
          <w:sz w:val="14"/>
          <w:szCs w:val="14"/>
          <w:color w:val="auto"/>
        </w:rPr>
      </w:pPr>
    </w:p>
    <w:p>
      <w:pPr>
        <w:ind w:left="1020" w:hanging="251"/>
        <w:spacing w:after="0" w:line="267" w:lineRule="auto"/>
        <w:tabs>
          <w:tab w:leader="none" w:pos="10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U.S. and foreign government import and export control requirements and regulations, including International Traffic in Arms Regulations and the anti-boycott provisions of the U.S. Export Administration Act, technology transfer restrictions and other administrative, legislative, or regulatory actions that could materially interfere with our ability to offer our products or services in certain countries;</w:t>
      </w:r>
    </w:p>
    <w:p>
      <w:pPr>
        <w:spacing w:after="0" w:line="56" w:lineRule="exact"/>
        <w:rPr>
          <w:rFonts w:ascii="Arial" w:cs="Arial" w:eastAsia="Arial" w:hAnsi="Arial"/>
          <w:sz w:val="14"/>
          <w:szCs w:val="14"/>
          <w:color w:val="auto"/>
        </w:rPr>
      </w:pPr>
    </w:p>
    <w:p>
      <w:pPr>
        <w:ind w:left="1020" w:hanging="251"/>
        <w:spacing w:after="0"/>
        <w:tabs>
          <w:tab w:leader="none" w:pos="10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Imposition of limitations on or increase of withholding and other taxes on payments by foreign subsidiaries or joint ventures;</w:t>
      </w:r>
    </w:p>
    <w:p>
      <w:pPr>
        <w:spacing w:after="0" w:line="93" w:lineRule="exact"/>
        <w:rPr>
          <w:rFonts w:ascii="Arial" w:cs="Arial" w:eastAsia="Arial" w:hAnsi="Arial"/>
          <w:sz w:val="14"/>
          <w:szCs w:val="14"/>
          <w:color w:val="auto"/>
        </w:rPr>
      </w:pPr>
    </w:p>
    <w:p>
      <w:pPr>
        <w:ind w:left="1020" w:right="520" w:hanging="251"/>
        <w:spacing w:after="0" w:line="281" w:lineRule="auto"/>
        <w:tabs>
          <w:tab w:leader="none" w:pos="10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state and federal regulations in state money transmission regulations, anti-money laundering regulations, economic and trade sanctions administered by the U.S. Treasury Department's Office of Foreign Asset Control;</w:t>
      </w:r>
    </w:p>
    <w:p>
      <w:pPr>
        <w:spacing w:after="0" w:line="47" w:lineRule="exact"/>
        <w:rPr>
          <w:rFonts w:ascii="Arial" w:cs="Arial" w:eastAsia="Arial" w:hAnsi="Arial"/>
          <w:sz w:val="14"/>
          <w:szCs w:val="14"/>
          <w:color w:val="auto"/>
        </w:rPr>
      </w:pPr>
    </w:p>
    <w:p>
      <w:pPr>
        <w:ind w:left="1020" w:hanging="251"/>
        <w:spacing w:after="0"/>
        <w:tabs>
          <w:tab w:leader="none" w:pos="10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Volatility resulting from the United Kingdom's withdrawal from the European Union in January 2020, particularly in countries where the Company has substantial activities; and</w:t>
      </w:r>
    </w:p>
    <w:p>
      <w:pPr>
        <w:spacing w:after="0" w:line="105" w:lineRule="exact"/>
        <w:rPr>
          <w:rFonts w:ascii="Arial" w:cs="Arial" w:eastAsia="Arial" w:hAnsi="Arial"/>
          <w:sz w:val="13"/>
          <w:szCs w:val="13"/>
          <w:color w:val="auto"/>
        </w:rPr>
      </w:pPr>
    </w:p>
    <w:p>
      <w:pPr>
        <w:ind w:left="1020" w:right="120" w:hanging="251"/>
        <w:spacing w:after="0" w:line="281" w:lineRule="auto"/>
        <w:tabs>
          <w:tab w:leader="none" w:pos="10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Imposition of tariffs or embargoes, export controls and other trade restrictions, including the recent tariffs imposed by the U.S. and China and the possibility of additional tariffs or other trade restrictions relating to trade.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33" w:name="page34"/>
    <w:bookmarkEnd w:id="33"/>
    <w:p>
      <w:pPr>
        <w:ind w:firstLine="350"/>
        <w:spacing w:after="0" w:line="278" w:lineRule="auto"/>
        <w:rPr>
          <w:sz w:val="20"/>
          <w:szCs w:val="20"/>
          <w:color w:val="auto"/>
        </w:rPr>
      </w:pPr>
      <w:r>
        <w:rPr>
          <w:rFonts w:ascii="Arial" w:cs="Arial" w:eastAsia="Arial" w:hAnsi="Arial"/>
          <w:sz w:val="13"/>
          <w:szCs w:val="13"/>
          <w:color w:val="auto"/>
        </w:rPr>
        <w:t>In addition, we are subject to the U.S. Foreign Corrupt Practices Act, or the FCPA, and other laws that prohibit improper payments or offers of payments to foreign governments and their officials and political parties by business entities for the purpose of obtaining or retaining business. We have operations and deal with governmental clients in countries known to experience corruption, including certain emerging countries in the Middle East and Southeast Asia. Our activities in these countries create the risk of unauthorized payments or offers of payments by one of our employees, consultants or contractors that could be in violation of various laws including the FCPA and other anti-corruption laws, even though these parties are not always subject to our control. Our international operations also involve activities involving the transmittal of information, which may include personal data, that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54"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If we were to fail to comply with the FCPA, other anti-corruption laws, applicable import-export control regulations, data privacy laws, or other applicable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57" w:lineRule="exact"/>
        <w:rPr>
          <w:sz w:val="20"/>
          <w:szCs w:val="20"/>
          <w:color w:val="auto"/>
        </w:rPr>
      </w:pPr>
    </w:p>
    <w:p>
      <w:pPr>
        <w:ind w:right="320" w:firstLine="350"/>
        <w:spacing w:after="0" w:line="281" w:lineRule="auto"/>
        <w:rPr>
          <w:sz w:val="20"/>
          <w:szCs w:val="20"/>
          <w:color w:val="auto"/>
        </w:rPr>
      </w:pPr>
      <w:r>
        <w:rPr>
          <w:rFonts w:ascii="Arial" w:cs="Arial" w:eastAsia="Arial" w:hAnsi="Arial"/>
          <w:sz w:val="14"/>
          <w:szCs w:val="14"/>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47" w:lineRule="exact"/>
        <w:rPr>
          <w:sz w:val="20"/>
          <w:szCs w:val="20"/>
          <w:color w:val="auto"/>
        </w:rPr>
      </w:pPr>
    </w:p>
    <w:p>
      <w:pPr>
        <w:ind w:right="260" w:firstLine="350"/>
        <w:spacing w:after="0" w:line="267" w:lineRule="auto"/>
        <w:rPr>
          <w:sz w:val="20"/>
          <w:szCs w:val="20"/>
          <w:color w:val="auto"/>
        </w:rPr>
      </w:pPr>
      <w:r>
        <w:rPr>
          <w:rFonts w:ascii="Arial" w:cs="Arial" w:eastAsia="Arial" w:hAnsi="Arial"/>
          <w:sz w:val="14"/>
          <w:szCs w:val="14"/>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57"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impaired objectivity during performance;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unfair access to non-public information;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ability to set the “ground rules” for another procurement for which the contractor competes.</w:t>
      </w:r>
    </w:p>
    <w:p>
      <w:pPr>
        <w:spacing w:after="0" w:line="94" w:lineRule="exact"/>
        <w:rPr>
          <w:sz w:val="20"/>
          <w:szCs w:val="20"/>
          <w:color w:val="auto"/>
        </w:rPr>
      </w:pPr>
    </w:p>
    <w:p>
      <w:pPr>
        <w:ind w:firstLine="350"/>
        <w:spacing w:after="0" w:line="309" w:lineRule="auto"/>
        <w:rPr>
          <w:sz w:val="20"/>
          <w:szCs w:val="20"/>
          <w:color w:val="auto"/>
        </w:rPr>
      </w:pPr>
      <w:r>
        <w:rPr>
          <w:rFonts w:ascii="Arial" w:cs="Arial" w:eastAsia="Arial" w:hAnsi="Arial"/>
          <w:sz w:val="12"/>
          <w:szCs w:val="12"/>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the U.S. government is working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results of operations could be materially and adversely affected.</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Changes in tax law or judgments by management related to complex tax matters could adversely impact our results of operations.</w:t>
      </w:r>
    </w:p>
    <w:p>
      <w:pPr>
        <w:spacing w:after="0" w:line="94" w:lineRule="exact"/>
        <w:rPr>
          <w:sz w:val="20"/>
          <w:szCs w:val="20"/>
          <w:color w:val="auto"/>
        </w:rPr>
      </w:pPr>
    </w:p>
    <w:p>
      <w:pPr>
        <w:ind w:firstLine="350"/>
        <w:spacing w:after="0" w:line="284" w:lineRule="auto"/>
        <w:rPr>
          <w:sz w:val="20"/>
          <w:szCs w:val="20"/>
          <w:color w:val="auto"/>
        </w:rPr>
      </w:pPr>
      <w:r>
        <w:rPr>
          <w:rFonts w:ascii="Arial" w:cs="Arial" w:eastAsia="Arial" w:hAnsi="Arial"/>
          <w:sz w:val="13"/>
          <w:szCs w:val="13"/>
          <w:color w:val="auto"/>
        </w:rPr>
        <w:t>We are subject to taxation in the U.S. and certain other foreign jurisdictions. Any future changes in applicable federal, state and local, or foreign tax laws and regulations or their interpretation or application, including those that could have a retroactive effect, could result in the Company incurring additional tax liabilities in the future. In particular, we will continue to assess the effect of the Tax Cuts and Jobs Act (the "2017 Tax Act") on our business as it relates to the deduction for foreign derived intangible income and the capitalization of research and development expenditures, the latter of which is scheduled to begin in fiscal 2023. The Company also recognized a $273.4 million income tax receivable during fiscal 2021 as a result of a provision of the CARES Act that allows taxpayers to carry losses back for five years. For additional information, see "Item 7. Management's Discussion and Analysis of Financial Condition and Results of Operations".</w:t>
      </w:r>
    </w:p>
    <w:p>
      <w:pPr>
        <w:spacing w:after="0" w:line="49"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Additionally, we recognize liabilities for uncertainty in income taxes when it is more likely than not that a tax position will not be sustained on examination and settlement with various taxing authorities. We regularly assess the adequacy of our uncertain tax positions and other reserves, which requires a significant amount of judgment. Although we accrue for uncertain tax positions and other reserves, the results of regulatory audits and negotiations with taxing and customs authorities may be in excess of our accruals, resulting in the payment of additional taxes, duties, penalties and interest. As a result, any final determination of tax audits or related litigation may be materially different than our current provisional amounts, which could materially affect our tax obligations and effective tax rate. For example, during fiscal 2021, we recorded additional uncertain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34" w:name="page35"/>
    <w:bookmarkEnd w:id="34"/>
    <w:p>
      <w:pPr>
        <w:ind w:right="40"/>
        <w:spacing w:after="0" w:line="297" w:lineRule="auto"/>
        <w:rPr>
          <w:sz w:val="20"/>
          <w:szCs w:val="20"/>
          <w:color w:val="auto"/>
        </w:rPr>
      </w:pPr>
      <w:r>
        <w:rPr>
          <w:rFonts w:ascii="Arial" w:cs="Arial" w:eastAsia="Arial" w:hAnsi="Arial"/>
          <w:sz w:val="13"/>
          <w:szCs w:val="13"/>
          <w:color w:val="auto"/>
        </w:rPr>
        <w:t>tax positions of approximately $17.6 million related to research and development credits that we have claimed, or will soon claim. Any increase to the liability we established as of March 31, 2021 for these uncertain tax positions as a result of audits by taxing authorities, changes in tax laws and regulations or otherwise relating to this, or any other, tax matter could have a material effect on our results of operations. For a description of our related accounting policies, refer to Note 2 and Note 13 to our accompanying consolidated financial statements.</w:t>
      </w:r>
    </w:p>
    <w:p>
      <w:pPr>
        <w:spacing w:after="0" w:line="39"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3"/>
          <w:szCs w:val="13"/>
          <w:color w:val="auto"/>
        </w:rPr>
        <w:t>U.S. government contracts contain provisions and are subject to laws and regulations that provide government clients with rights and remedies not typically found in commercial contracts.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These rights and remedies allow government clients, among other things, to:</w:t>
      </w:r>
    </w:p>
    <w:p>
      <w:pPr>
        <w:spacing w:after="0" w:line="83"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terminate existing contracts, with short notice, for convenience as well as for default;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reduce orders under or otherwise modify contracts;</w:t>
      </w:r>
    </w:p>
    <w:p>
      <w:pPr>
        <w:spacing w:after="0" w:line="93" w:lineRule="exact"/>
        <w:rPr>
          <w:rFonts w:ascii="Arial" w:cs="Arial" w:eastAsia="Arial" w:hAnsi="Arial"/>
          <w:sz w:val="14"/>
          <w:szCs w:val="14"/>
          <w:color w:val="auto"/>
        </w:rPr>
      </w:pPr>
    </w:p>
    <w:p>
      <w:pPr>
        <w:ind w:left="520" w:right="6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contracts subject to the Truthful Cost or Pricing Data Statute, reduce the contract price or cost where it was increased because a contractor or subcontractor furnished cost or pricing data during negotiations that was not complete, accurate or current;</w:t>
      </w:r>
    </w:p>
    <w:p>
      <w:pPr>
        <w:spacing w:after="0" w:line="47" w:lineRule="exact"/>
        <w:rPr>
          <w:rFonts w:ascii="Arial" w:cs="Arial" w:eastAsia="Arial" w:hAnsi="Arial"/>
          <w:sz w:val="14"/>
          <w:szCs w:val="14"/>
          <w:color w:val="auto"/>
        </w:rPr>
      </w:pPr>
    </w:p>
    <w:p>
      <w:pPr>
        <w:ind w:left="520" w:right="340" w:hanging="260"/>
        <w:spacing w:after="0" w:line="267"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terminate our facility security clearances and thereby prevent us from receiving classified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cancel multi-year contracts and related orders if funds for contract performance for any subsequent year become unavailable;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decline to exercise an option to renew a multi-year contract or issue task orders in connection with IDIQ contracts;</w:t>
      </w:r>
    </w:p>
    <w:p>
      <w:pPr>
        <w:spacing w:after="0" w:line="93"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47" w:lineRule="exact"/>
        <w:rPr>
          <w:rFonts w:ascii="Arial" w:cs="Arial" w:eastAsia="Arial" w:hAnsi="Arial"/>
          <w:sz w:val="14"/>
          <w:szCs w:val="14"/>
          <w:color w:val="auto"/>
        </w:rPr>
      </w:pPr>
    </w:p>
    <w:p>
      <w:pPr>
        <w:ind w:left="520" w:right="6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47"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suspend or debar us from doing business with the U.S. government;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control or prohibit the export of our services.</w:t>
      </w:r>
    </w:p>
    <w:p>
      <w:pPr>
        <w:spacing w:after="0" w:line="94"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Recent and potential future budget cuts and recent efforts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39"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b w:val="1"/>
          <w:bCs w:val="1"/>
          <w:i w:val="1"/>
          <w:iCs w:val="1"/>
          <w:color w:val="auto"/>
        </w:rPr>
        <w:t>Our work with government clients exposes us to additional risks inherent in the government contracting environment, which could reduce our revenue, disrupt our business, or otherwise materially adversely affect our results of operations.</w:t>
      </w:r>
    </w:p>
    <w:p>
      <w:pPr>
        <w:spacing w:after="0" w:line="47" w:lineRule="exact"/>
        <w:rPr>
          <w:sz w:val="20"/>
          <w:szCs w:val="20"/>
          <w:color w:val="auto"/>
        </w:rPr>
      </w:pPr>
    </w:p>
    <w:p>
      <w:pPr>
        <w:ind w:right="140" w:firstLine="350"/>
        <w:spacing w:after="0" w:line="258" w:lineRule="auto"/>
        <w:rPr>
          <w:sz w:val="20"/>
          <w:szCs w:val="20"/>
          <w:color w:val="auto"/>
        </w:rPr>
      </w:pPr>
      <w:r>
        <w:rPr>
          <w:rFonts w:ascii="Arial" w:cs="Arial" w:eastAsia="Arial" w:hAnsi="Arial"/>
          <w:sz w:val="14"/>
          <w:szCs w:val="14"/>
          <w:color w:val="auto"/>
        </w:rPr>
        <w:t>U.S. government contractors (including their subcontractors and others with whom they do business) operate in a highly regulated environment and are routinely audited and reviewed by the U.S. government and its agencies, including the DCAA, DCMA, Department of Defense Inspector General, and others. These agencies review our performance on contracts, pricing practices, cost accounting practices, and compliance with applicable policies, laws, regulations and standards, including applicable government cost accounting standards, as well as our contract costs, including allocated indirect costs. The DCAA audits and the DCMA reviews, among other areas, the adequacy of our internal control systems and policies, including our Defense Federal Acquisition Regulation Supplement ("DFARS") required business systems, which are comprised of our purchasing, property, estimating, earned value, accounting and material management and accounting systems. These internal</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8" w:right="359" w:bottom="1440" w:gutter="0" w:footer="0" w:header="0"/>
        </w:sectPr>
      </w:pPr>
    </w:p>
    <w:bookmarkStart w:id="35" w:name="page36"/>
    <w:bookmarkEnd w:id="35"/>
    <w:p>
      <w:pPr>
        <w:spacing w:after="0" w:line="276" w:lineRule="auto"/>
        <w:rPr>
          <w:sz w:val="20"/>
          <w:szCs w:val="20"/>
          <w:color w:val="auto"/>
        </w:rPr>
      </w:pPr>
      <w:r>
        <w:rPr>
          <w:rFonts w:ascii="Arial" w:cs="Arial" w:eastAsia="Arial" w:hAnsi="Arial"/>
          <w:sz w:val="13"/>
          <w:szCs w:val="13"/>
          <w:color w:val="auto"/>
        </w:rPr>
        <w:t>control systems could focus on significant elements of costs, such as executive compensation. Determination of a significant internal control deficiency by a government agency could result in increased payment withholding that might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the provision of claimed indirect costs, which is based on management's estimates and assumptions that are inherently uncertain and may not cover actual losses. For example, DCAA audits may result in, and have historically resulted in, the Company's inability to retain certain claimed indirect costs, including executive and employee compensation, due to differing views of the allowability and reasonableness of such costs. As of March 31, 2021, years subsequent to the Company's fiscal year 2011 remained subject to audit and final resolution. The Company recognized a liability of $263.2 million for estimated adjustments to claimed indirect costs based on its historical DCAA audit results, including the final resolution of such audits with the DCMA. Determining the provision for claimed indirect costs is complex and subject to management's estimate of adjustments to claimed indirect costs based on the number of years that remain open to audit and expected final resolution by U.S. government agencies. As a result, significant changes in estimates could have a material effect on the Company's results of operations.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3"/>
          <w:szCs w:val="13"/>
          <w:color w:val="auto"/>
        </w:rPr>
        <w:t>Moreover, if any of the administrative processes and business systems, some of which are currently certified as effective, are found not to comply with government imposed requirements, we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may be subjected to increased government scrutiny and approval that could delay or otherwise adversely affect our ability to compete for or perform contracts or to be paid timely. Unfavorable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U.S. government audit, review, or investigation results could subject us to civil or criminal penalties or administrative sanctions, require us to retroactively and prospectively adjust previously agreed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to billing or pricing rates for our work, and could harm our reputation and relationships with our clients and impair our ability to be awarded new contracts, which could affect our future sales 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profitability by preventing us, by operation of law or in practice, from receiving new government contracts for some period of time. In addition, if our invoicing system were found to be inadequate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following an audit by the DCAA, our ability to directly invoice U.S. government payment offices could be eliminated. As a result, we would be required to submit each invoice to the DCAA for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approval prior to payment, which could materially increase our accounts receivable days sales outstanding and adversely affect our cash flow. In addition, proposed regulatory changes, if adopted,</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would require the Department of Defense’s contracting officers to impose contractual withholdings at no less than certain minimum levels based on assessments of a contractor’s business systems. If</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 government investigation uncovers improper or illegal activities, we may be subject to civil and criminal penalties and administrative sanctions, including termination of contracts, forfeitures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profits, withholding of payments, suspension of payments, fines, and suspension or debarment from doing business with the U.S. government. We could also suffer serious reputational harm if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allegations of impropriety were made against us.</w:t>
      </w:r>
    </w:p>
    <w:p>
      <w:pPr>
        <w:spacing w:after="0" w:line="83" w:lineRule="exact"/>
        <w:rPr>
          <w:sz w:val="20"/>
          <w:szCs w:val="20"/>
          <w:color w:val="auto"/>
        </w:rPr>
      </w:pPr>
    </w:p>
    <w:p>
      <w:pPr>
        <w:ind w:right="20" w:firstLine="350"/>
        <w:spacing w:after="0" w:line="288" w:lineRule="auto"/>
        <w:rPr>
          <w:sz w:val="20"/>
          <w:szCs w:val="20"/>
          <w:color w:val="auto"/>
        </w:rPr>
      </w:pPr>
      <w:r>
        <w:rPr>
          <w:rFonts w:ascii="Arial" w:cs="Arial" w:eastAsia="Arial" w:hAnsi="Arial"/>
          <w:sz w:val="13"/>
          <w:szCs w:val="13"/>
          <w:color w:val="auto"/>
        </w:rPr>
        <w:t>In addition, in fiscal 2022 we began implementing new financial management systems and have adopted certain changes to our cost accounting practices. This may negatively impact our profitability. In particular, the changes we adopted to our cost accounting practices required us to estimate changes in costs for certain contracts and make payments in connection with such estimates. The changes are subject to audit by the DCAA and negotiation with the DCMA, which could result in additional payments that may be material and not recoverable. To the extent we are unable to fully mitigate the costs associated with changes to our cost accounting practices as we implement the new systems, our business and financial results may be adversely affected.</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The U.S. government may revise its procurement, contract or other practices in a manner adverse to us.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U.S. government may:</w:t>
      </w:r>
    </w:p>
    <w:p>
      <w:pPr>
        <w:spacing w:after="0" w:line="94" w:lineRule="exact"/>
        <w:rPr>
          <w:sz w:val="20"/>
          <w:szCs w:val="20"/>
          <w:color w:val="auto"/>
        </w:rPr>
      </w:pPr>
    </w:p>
    <w:p>
      <w:pPr>
        <w:ind w:left="520" w:right="20" w:hanging="260"/>
        <w:spacing w:after="0" w:line="28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reduce, delay, or cancel procurement programs resulting from U.S. government efforts to improve procurement practices and efficiency;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limit the creation of new government-wide or agency-specific multiple award contracts;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6" w:name="page37"/>
    <w:bookmarkEnd w:id="36"/>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face restrictions or pressure from government employees and their unions regarding the amount of services the U.S. government may obtain from private contractors;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award contracts on a technically acceptable/lowest cost basis in order to reduce expenditures, and we may not be the lowest cost provider of services;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adopt new socio-economic requirements, including setting aside procurement opportunities to small, disadvantaged businesses;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 the basis upon which it reimburses our compensation and other expenses or otherwise limit such reimbursements;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at its option, terminate or decline to renew our contracts.</w:t>
      </w:r>
    </w:p>
    <w:p>
      <w:pPr>
        <w:spacing w:after="0" w:line="94" w:lineRule="exact"/>
        <w:rPr>
          <w:sz w:val="20"/>
          <w:szCs w:val="20"/>
          <w:color w:val="auto"/>
        </w:rPr>
      </w:pPr>
    </w:p>
    <w:p>
      <w:pPr>
        <w:ind w:right="20" w:firstLine="350"/>
        <w:spacing w:after="0" w:line="297" w:lineRule="auto"/>
        <w:rPr>
          <w:sz w:val="20"/>
          <w:szCs w:val="20"/>
          <w:color w:val="auto"/>
        </w:rPr>
      </w:pPr>
      <w:r>
        <w:rPr>
          <w:rFonts w:ascii="Arial" w:cs="Arial" w:eastAsia="Arial" w:hAnsi="Arial"/>
          <w:sz w:val="13"/>
          <w:szCs w:val="13"/>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The U.S. government may prefer minority-owned, small and small disadvantaged businesses; therefore, we may have fewer opportunities to bid for.</w:t>
      </w:r>
    </w:p>
    <w:p>
      <w:pPr>
        <w:spacing w:after="0" w:line="9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Indebtedness</w:t>
      </w:r>
    </w:p>
    <w:p>
      <w:pPr>
        <w:spacing w:after="0" w:line="98" w:lineRule="exact"/>
        <w:rPr>
          <w:sz w:val="20"/>
          <w:szCs w:val="20"/>
          <w:color w:val="auto"/>
        </w:rPr>
      </w:pPr>
    </w:p>
    <w:p>
      <w:pPr>
        <w:ind w:right="60" w:firstLine="139"/>
        <w:spacing w:after="0" w:line="281" w:lineRule="auto"/>
        <w:rPr>
          <w:sz w:val="20"/>
          <w:szCs w:val="20"/>
          <w:color w:val="auto"/>
        </w:rPr>
      </w:pPr>
      <w:r>
        <w:rPr>
          <w:rFonts w:ascii="Arial" w:cs="Arial" w:eastAsia="Arial" w:hAnsi="Arial"/>
          <w:sz w:val="14"/>
          <w:szCs w:val="14"/>
          <w:b w:val="1"/>
          <w:bCs w:val="1"/>
          <w:i w:val="1"/>
          <w:iCs w:val="1"/>
          <w:color w:val="auto"/>
        </w:rPr>
        <w:t>We have substantial indebtedness and may incur substantial additional indebtedness, which could adversely affect our financial health and our ability to obtain financing in the future as well as to react to changes in our business.</w:t>
      </w:r>
    </w:p>
    <w:p>
      <w:pPr>
        <w:spacing w:after="0" w:line="47" w:lineRule="exact"/>
        <w:rPr>
          <w:sz w:val="20"/>
          <w:szCs w:val="20"/>
          <w:color w:val="auto"/>
        </w:rPr>
      </w:pPr>
    </w:p>
    <w:p>
      <w:pPr>
        <w:ind w:right="140" w:firstLine="141"/>
        <w:spacing w:after="0" w:line="267" w:lineRule="auto"/>
        <w:rPr>
          <w:sz w:val="20"/>
          <w:szCs w:val="20"/>
          <w:color w:val="auto"/>
        </w:rPr>
      </w:pPr>
      <w:r>
        <w:rPr>
          <w:rFonts w:ascii="Arial" w:cs="Arial" w:eastAsia="Arial" w:hAnsi="Arial"/>
          <w:sz w:val="14"/>
          <w:szCs w:val="14"/>
          <w:color w:val="auto"/>
        </w:rPr>
        <w:t>As of March 31, 2021, we had total indebtedness of approximately $2.4 billion and $499.1 million of availability under our revolving credit facility (the “Revolving Credit Facility”). We are able to, and may, incur additional indebtedness in the future, subject to the limitations contained in the agreements governing our indebtedness. Our substantial indebtedness could have important consequences to holders of our common stock, including:</w:t>
      </w:r>
    </w:p>
    <w:p>
      <w:pPr>
        <w:spacing w:after="0" w:line="57" w:lineRule="exact"/>
        <w:rPr>
          <w:sz w:val="20"/>
          <w:szCs w:val="20"/>
          <w:color w:val="auto"/>
        </w:rPr>
      </w:pPr>
    </w:p>
    <w:p>
      <w:pPr>
        <w:ind w:left="520" w:right="220" w:hanging="260"/>
        <w:spacing w:after="0" w:line="267" w:lineRule="auto"/>
        <w:tabs>
          <w:tab w:leader="none" w:pos="517" w:val="left"/>
        </w:tabs>
        <w:numPr>
          <w:ilvl w:val="0"/>
          <w:numId w:val="36"/>
        </w:numPr>
        <w:rPr>
          <w:rFonts w:ascii="Arial" w:cs="Arial" w:eastAsia="Arial" w:hAnsi="Arial"/>
          <w:sz w:val="14"/>
          <w:szCs w:val="14"/>
          <w:color w:val="auto"/>
        </w:rPr>
      </w:pPr>
      <w:r>
        <w:rPr>
          <w:rFonts w:ascii="Arial" w:cs="Arial" w:eastAsia="Arial" w:hAnsi="Arial"/>
          <w:sz w:val="14"/>
          <w:szCs w:val="14"/>
          <w:color w:val="auto"/>
        </w:rPr>
        <w:t>making it more difficult for us to satisfy our obligations with respect to our Secured Credit Facility, consisting of a $1,290 million term loan facility (“Term Loan A”), a $384 million term loan facility (“Term Loan B” and, together with Term Loan A, the “Term Loans”), a $500 million Revolving Credit Facility, with a sublimit for letters of credit of $100 million, our $700 million in aggregate principal amount of 3.875% Senior Notes due 2025 (the “Senior Notes”) and our other debt;</w:t>
      </w:r>
    </w:p>
    <w:p>
      <w:pPr>
        <w:spacing w:after="0" w:line="56"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 to fund future working capital, capital expenditures, acquisitions or other general corporate requirements;</w:t>
      </w:r>
    </w:p>
    <w:p>
      <w:pPr>
        <w:spacing w:after="0" w:line="93" w:lineRule="exact"/>
        <w:rPr>
          <w:rFonts w:ascii="Arial" w:cs="Arial" w:eastAsia="Arial" w:hAnsi="Arial"/>
          <w:sz w:val="14"/>
          <w:szCs w:val="14"/>
          <w:color w:val="auto"/>
        </w:rPr>
      </w:pPr>
    </w:p>
    <w:p>
      <w:pPr>
        <w:ind w:left="520" w:right="100" w:hanging="260"/>
        <w:spacing w:after="0" w:line="281" w:lineRule="auto"/>
        <w:tabs>
          <w:tab w:leader="none" w:pos="517"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increasing our vulnerability to general adverse economic and industry conditions;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exposing us to the risk of increased interest rates as certain of our borrowings, including under the Secured Credit Facility, are at variable rates of interest;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limiting our flexibility in planning for and reacting to changes in the industry in which we compete;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placing us at a disadvantage compared to other, less leveraged competitors or competitors with comparable debt and more favorable terms and thereby affecting our ability to compete; and</w:t>
      </w:r>
    </w:p>
    <w:p>
      <w:pPr>
        <w:spacing w:after="0" w:line="116" w:lineRule="exact"/>
        <w:rPr>
          <w:rFonts w:ascii="Arial" w:cs="Arial" w:eastAsia="Arial" w:hAnsi="Arial"/>
          <w:sz w:val="12"/>
          <w:szCs w:val="12"/>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increasing our cost of borrowing.</w:t>
      </w:r>
    </w:p>
    <w:p>
      <w:pPr>
        <w:spacing w:after="0" w:line="94" w:lineRule="exact"/>
        <w:rPr>
          <w:sz w:val="20"/>
          <w:szCs w:val="20"/>
          <w:color w:val="auto"/>
        </w:rPr>
      </w:pPr>
    </w:p>
    <w:p>
      <w:pPr>
        <w:ind w:right="80" w:firstLine="318"/>
        <w:spacing w:after="0" w:line="321" w:lineRule="auto"/>
        <w:rPr>
          <w:sz w:val="20"/>
          <w:szCs w:val="20"/>
          <w:color w:val="auto"/>
        </w:rPr>
      </w:pPr>
      <w:r>
        <w:rPr>
          <w:rFonts w:ascii="Arial" w:cs="Arial" w:eastAsia="Arial" w:hAnsi="Arial"/>
          <w:sz w:val="13"/>
          <w:szCs w:val="13"/>
          <w:color w:val="auto"/>
        </w:rPr>
        <w:t>Although the Secured Credit Facility and the indenture governing the Senior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37" w:name="page38"/>
    <w:bookmarkEnd w:id="37"/>
    <w:p>
      <w:pPr>
        <w:spacing w:after="0" w:line="299" w:lineRule="auto"/>
        <w:rPr>
          <w:sz w:val="20"/>
          <w:szCs w:val="20"/>
          <w:color w:val="auto"/>
        </w:rPr>
      </w:pPr>
      <w:r>
        <w:rPr>
          <w:rFonts w:ascii="Arial" w:cs="Arial" w:eastAsia="Arial" w:hAnsi="Arial"/>
          <w:sz w:val="12"/>
          <w:szCs w:val="12"/>
          <w:color w:val="auto"/>
        </w:rPr>
        <w:t>incurring obligations that do not constitute indebtedness. In addition, the Revolving Credit Facility provides for commitments of $500 million, which as of March 31, 2021, had availability of $499.1 million. Additionally, the used portion as it pertains to open standby letters of credit and bank guarantees totaled $0.9 million. Furthermore, subject to specified conditions, without the consent of the then-existing lenders (but subject to the receipt of commitments), the indebtedness under the Secured Credit Facility may be increased by up to (i) the greater of (x) $627 million and (y) 100% of consolidated EBITDA of Booz Allen Hamilton, as of the end of the most recently ended four quarter period for which financial statements have been delivered pursuant to the Credit Agreement, plus</w:t>
      </w:r>
    </w:p>
    <w:p>
      <w:pPr>
        <w:spacing w:after="0" w:line="2" w:lineRule="exact"/>
        <w:rPr>
          <w:sz w:val="20"/>
          <w:szCs w:val="20"/>
          <w:color w:val="auto"/>
        </w:rPr>
      </w:pPr>
    </w:p>
    <w:p>
      <w:pPr>
        <w:ind w:right="20" w:firstLine="5"/>
        <w:spacing w:after="0" w:line="266" w:lineRule="auto"/>
        <w:tabs>
          <w:tab w:leader="none" w:pos="20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aggregate principal amount under which the pro forma consolidated net secured leverage ratio is equal to or less than 3.50:1.00. If new debt is added to our current debt levels, the related risks that we and the guarantors now face would increase and we may not be able to meet all our debt obligations, including the repayment of the Senior Notes.</w:t>
      </w:r>
    </w:p>
    <w:p>
      <w:pPr>
        <w:spacing w:after="0" w:line="57" w:lineRule="exact"/>
        <w:rPr>
          <w:sz w:val="20"/>
          <w:szCs w:val="20"/>
          <w:color w:val="auto"/>
        </w:rPr>
      </w:pPr>
    </w:p>
    <w:p>
      <w:pPr>
        <w:ind w:right="520" w:firstLine="139"/>
        <w:spacing w:after="0" w:line="281" w:lineRule="auto"/>
        <w:rPr>
          <w:sz w:val="20"/>
          <w:szCs w:val="20"/>
          <w:color w:val="auto"/>
        </w:rPr>
      </w:pPr>
      <w:r>
        <w:rPr>
          <w:rFonts w:ascii="Arial" w:cs="Arial" w:eastAsia="Arial" w:hAnsi="Arial"/>
          <w:sz w:val="14"/>
          <w:szCs w:val="14"/>
          <w:b w:val="1"/>
          <w:bCs w:val="1"/>
          <w:i w:val="1"/>
          <w:iCs w:val="1"/>
          <w:color w:val="auto"/>
        </w:rPr>
        <w:t>We may not be able to generate sufficient cash to service our indebtedness and may be forced to take other actions to satisfy our obligations under our indebtedness, which may not be successful.</w:t>
      </w:r>
    </w:p>
    <w:p>
      <w:pPr>
        <w:spacing w:after="0" w:line="47"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We might not be able to maintain a level of cash flows from operating activities sufficient to permit us to pay the principal, premium, if any, and interest on our indebtedness. For information regarding the risks to our business that could impair our ability to satisfy our obligations under our indebtedness, see “— Risks Related to Our Indebtedness.”</w:t>
      </w:r>
    </w:p>
    <w:p>
      <w:pPr>
        <w:spacing w:after="0" w:line="61" w:lineRule="exact"/>
        <w:rPr>
          <w:sz w:val="20"/>
          <w:szCs w:val="20"/>
          <w:color w:val="auto"/>
        </w:rPr>
      </w:pPr>
    </w:p>
    <w:p>
      <w:pPr>
        <w:jc w:val="both"/>
        <w:ind w:right="60" w:firstLine="350"/>
        <w:spacing w:after="0" w:line="297" w:lineRule="auto"/>
        <w:rPr>
          <w:sz w:val="20"/>
          <w:szCs w:val="20"/>
          <w:color w:val="auto"/>
        </w:rPr>
      </w:pPr>
      <w:r>
        <w:rPr>
          <w:rFonts w:ascii="Arial" w:cs="Arial" w:eastAsia="Arial" w:hAnsi="Arial"/>
          <w:sz w:val="13"/>
          <w:szCs w:val="13"/>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w:t>
      </w:r>
    </w:p>
    <w:p>
      <w:pPr>
        <w:spacing w:after="0" w:line="39"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color w:val="auto"/>
        </w:rPr>
        <w:t>The agreements governing our indebtedness restrict our ability to dispose of assets and use the proceeds from those dispositions and also restrict our ability to raise debt to be used to repay other indebtedness when it becomes due.</w:t>
      </w:r>
    </w:p>
    <w:p>
      <w:pPr>
        <w:spacing w:after="0" w:line="47" w:lineRule="exact"/>
        <w:rPr>
          <w:sz w:val="20"/>
          <w:szCs w:val="20"/>
          <w:color w:val="auto"/>
        </w:rPr>
      </w:pPr>
    </w:p>
    <w:p>
      <w:pPr>
        <w:jc w:val="both"/>
        <w:ind w:right="20" w:firstLine="350"/>
        <w:spacing w:after="0" w:line="297" w:lineRule="auto"/>
        <w:rPr>
          <w:sz w:val="20"/>
          <w:szCs w:val="20"/>
          <w:color w:val="auto"/>
        </w:rPr>
      </w:pPr>
      <w:r>
        <w:rPr>
          <w:rFonts w:ascii="Arial" w:cs="Arial" w:eastAsia="Arial" w:hAnsi="Arial"/>
          <w:sz w:val="13"/>
          <w:szCs w:val="13"/>
          <w:color w:val="auto"/>
        </w:rPr>
        <w:t>We may not be able to consummate those dispositions or to obtain proceeds in an amount sufficient to meet any debt service obligations then due. In addition, under the Secured Credit Facility, we are subject to mandatory prepayments of our Term Loans from a portion of our excess cash flows, which may be stepped down upon the achievement of specified first lien leverage ratios. To the extent that we are required to prepay any amounts under our Term Loans, we may have insufficient cash to make required principal and interest payments on other indebtedness.</w:t>
      </w:r>
    </w:p>
    <w:p>
      <w:pPr>
        <w:spacing w:after="0" w:line="39"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Our inability to generate sufficient cash flows to satisfy our debt obligations, or to refinance our indebtedness on commercially reasonable terms or at all, would materially and adversely affect our financial condition and results of operations and our ability to satisfy our obligations under our indebtedness.</w:t>
      </w:r>
    </w:p>
    <w:p>
      <w:pPr>
        <w:spacing w:after="0" w:line="47"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If we cannot make scheduled payments on our debt, we would be in default and the following events could occur: lenders under our Secured Credit Facility and holders of the Senior Notes could declare all outstanding principal and interest to be due and payable; lenders under the Revolving Credit Facility could terminate their commitments to provide loans; and lenders could foreclose against the assets securing their loans. All of these events could force us into bankruptcy or liquidation and result in investors' losing some or all of the value of their investment.</w:t>
      </w:r>
    </w:p>
    <w:p>
      <w:pPr>
        <w:spacing w:after="0" w:line="39" w:lineRule="exact"/>
        <w:rPr>
          <w:sz w:val="20"/>
          <w:szCs w:val="20"/>
          <w:color w:val="auto"/>
        </w:rPr>
      </w:pPr>
    </w:p>
    <w:p>
      <w:pPr>
        <w:ind w:right="60" w:firstLine="141"/>
        <w:spacing w:after="0" w:line="281" w:lineRule="auto"/>
        <w:rPr>
          <w:sz w:val="20"/>
          <w:szCs w:val="20"/>
          <w:color w:val="auto"/>
        </w:rPr>
      </w:pPr>
      <w:r>
        <w:rPr>
          <w:rFonts w:ascii="Arial" w:cs="Arial" w:eastAsia="Arial" w:hAnsi="Arial"/>
          <w:sz w:val="14"/>
          <w:szCs w:val="14"/>
          <w:b w:val="1"/>
          <w:bCs w:val="1"/>
          <w:i w:val="1"/>
          <w:iCs w:val="1"/>
          <w:color w:val="auto"/>
        </w:rPr>
        <w:t>The terms of the agreements governing our indebtedness restrict our current and future operations, particularly our ability to respond to changes or to take certain actions, which could harm our long-term interests.</w:t>
      </w:r>
    </w:p>
    <w:p>
      <w:pPr>
        <w:spacing w:after="0" w:line="47"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The Secured Credit Facility and the indenture governing the Senior Notes contain covenants that, among other things, impose significant operating and financial restrictions on us and limit our ability to engage in actions that may be in our long-term best interest, including restrictions on our ability to:</w:t>
      </w:r>
    </w:p>
    <w:p>
      <w:pPr>
        <w:spacing w:after="0" w:line="47" w:lineRule="exact"/>
        <w:rPr>
          <w:sz w:val="20"/>
          <w:szCs w:val="20"/>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incur additional indebtedness, guarantee indebtedness or issue disqualified stock or preferred stock;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pay dividends on or make other distributions in respect of, or repurchase or redeem, our capital stock;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prepay, redeem or repurchase subordinated indebtedness;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make loans and investments;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sell or otherwise dispose of assets;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incur liens securing indebtedness;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38" w:name="page39"/>
    <w:bookmarkEnd w:id="38"/>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enter into agreements restricting our subsidiaries’ ability to pay dividends to us or the guarantors or make other intercompany transfers;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consolidate, merge or sell all or substantially all of our or any guarantor’s assets;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designate our subsidiaries as unrestricted subsidiaries;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enter into certain lines of business.</w:t>
      </w:r>
    </w:p>
    <w:p>
      <w:pPr>
        <w:spacing w:after="0" w:line="62" w:lineRule="exact"/>
        <w:rPr>
          <w:sz w:val="20"/>
          <w:szCs w:val="20"/>
          <w:color w:val="auto"/>
        </w:rPr>
      </w:pPr>
    </w:p>
    <w:p>
      <w:pPr>
        <w:ind w:right="240" w:firstLine="139"/>
        <w:spacing w:after="0" w:line="267" w:lineRule="auto"/>
        <w:rPr>
          <w:sz w:val="20"/>
          <w:szCs w:val="20"/>
          <w:color w:val="auto"/>
        </w:rPr>
      </w:pPr>
      <w:r>
        <w:rPr>
          <w:rFonts w:ascii="Arial" w:cs="Arial" w:eastAsia="Arial" w:hAnsi="Arial"/>
          <w:sz w:val="14"/>
          <w:szCs w:val="14"/>
          <w:color w:val="auto"/>
        </w:rPr>
        <w:t>These covenants are subject to a number of important exceptions and qualifications. In addition, the restrictive covenants in the Secured Credit Facility require us to maintain a consolidated net total leverage ratio and a consolidated net interest coverage ratio that will each be tested at the end of each fiscal quarter. Our ability to satisfy such financial ratio tests may be affected by events beyond our control.</w:t>
      </w:r>
    </w:p>
    <w:p>
      <w:pPr>
        <w:spacing w:after="0" w:line="25" w:lineRule="exact"/>
        <w:rPr>
          <w:sz w:val="20"/>
          <w:szCs w:val="20"/>
          <w:color w:val="auto"/>
        </w:rPr>
      </w:pPr>
    </w:p>
    <w:p>
      <w:pPr>
        <w:ind w:right="300" w:firstLine="134"/>
        <w:spacing w:after="0" w:line="260" w:lineRule="auto"/>
        <w:rPr>
          <w:sz w:val="20"/>
          <w:szCs w:val="20"/>
          <w:color w:val="auto"/>
        </w:rPr>
      </w:pPr>
      <w:r>
        <w:rPr>
          <w:rFonts w:ascii="Arial" w:cs="Arial" w:eastAsia="Arial" w:hAnsi="Arial"/>
          <w:sz w:val="14"/>
          <w:szCs w:val="14"/>
          <w:color w:val="auto"/>
        </w:rPr>
        <w:t>A breach of the covenants under the agreements governing our indebtedness could result in an event of default under those agreements. Such a default may allow certain creditors to accelerate the related debt and may result in the acceleration of any other debt to which a cross-acceleration or cross-default provision applies. In addition, an event of default under the Secured Credit Facility would also permit the lenders under the Revolving Credit Facility to terminate all other commitments to extend further credit under that facility. Furthermore, if we were unable to repay the amounts due and payable under the Secured Credit Facility, those lenders could proceed against the collateral granted to them to secure that indebtedness. In the event the lenders accelerate the repayment of our borrowings, we may not have sufficient assets to repay that indebtedness.</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 a result of all of these restrictions, we may be:</w:t>
      </w:r>
    </w:p>
    <w:p>
      <w:pPr>
        <w:spacing w:after="0" w:line="94" w:lineRule="exact"/>
        <w:rPr>
          <w:sz w:val="20"/>
          <w:szCs w:val="20"/>
          <w:color w:val="auto"/>
        </w:rPr>
      </w:pPr>
    </w:p>
    <w:p>
      <w:pPr>
        <w:ind w:left="500" w:hanging="136"/>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limited in how we conduct our business;</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unable to raise additional debt or equity financing to operate during general economic or business downturns; or</w:t>
      </w:r>
    </w:p>
    <w:p>
      <w:pPr>
        <w:spacing w:after="0" w:line="93" w:lineRule="exact"/>
        <w:rPr>
          <w:rFonts w:ascii="Arial" w:cs="Arial" w:eastAsia="Arial" w:hAnsi="Arial"/>
          <w:sz w:val="14"/>
          <w:szCs w:val="14"/>
          <w:color w:val="auto"/>
        </w:rPr>
      </w:pPr>
    </w:p>
    <w:p>
      <w:pPr>
        <w:ind w:left="500" w:hanging="136"/>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unable to compete effectively or to take advantage of new business opportunities.</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These restrictions might hinder our ability to grow in accordance with our strategy.</w:t>
      </w:r>
    </w:p>
    <w:p>
      <w:pPr>
        <w:spacing w:after="0" w:line="94"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Our variable rate indebtedness subjects us to interest rate risk, which could cause our debt service obligations to increase significantly.</w:t>
      </w:r>
    </w:p>
    <w:p>
      <w:pPr>
        <w:spacing w:after="0" w:line="94" w:lineRule="exact"/>
        <w:rPr>
          <w:sz w:val="20"/>
          <w:szCs w:val="20"/>
          <w:color w:val="auto"/>
        </w:rPr>
      </w:pPr>
    </w:p>
    <w:p>
      <w:pPr>
        <w:ind w:right="160" w:firstLine="141"/>
        <w:spacing w:after="0" w:line="267" w:lineRule="auto"/>
        <w:rPr>
          <w:sz w:val="20"/>
          <w:szCs w:val="20"/>
          <w:color w:val="auto"/>
        </w:rPr>
      </w:pPr>
      <w:r>
        <w:rPr>
          <w:rFonts w:ascii="Arial" w:cs="Arial" w:eastAsia="Arial" w:hAnsi="Arial"/>
          <w:sz w:val="14"/>
          <w:szCs w:val="14"/>
          <w:color w:val="auto"/>
        </w:rPr>
        <w:t>Borrowings under the Secured Credit Facility are at variable rates of interest and expose us to interest rate risk. While interest rates are currently at historically low levels, if interest rates were to increase, our debt service obligations on the variable rate indebtedness would increase even though the amount borrowed remains the same, and our net income and cash flows, including cash available for servicing our indebtedness, would correspondingly decrease.</w:t>
      </w:r>
    </w:p>
    <w:p>
      <w:pPr>
        <w:spacing w:after="0" w:line="57" w:lineRule="exact"/>
        <w:rPr>
          <w:sz w:val="20"/>
          <w:szCs w:val="20"/>
          <w:color w:val="auto"/>
        </w:rPr>
      </w:pPr>
    </w:p>
    <w:p>
      <w:pPr>
        <w:ind w:right="120" w:firstLine="141"/>
        <w:spacing w:after="0" w:line="260" w:lineRule="auto"/>
        <w:rPr>
          <w:sz w:val="20"/>
          <w:szCs w:val="20"/>
          <w:color w:val="auto"/>
        </w:rPr>
      </w:pPr>
      <w:r>
        <w:rPr>
          <w:rFonts w:ascii="Arial" w:cs="Arial" w:eastAsia="Arial" w:hAnsi="Arial"/>
          <w:sz w:val="14"/>
          <w:szCs w:val="14"/>
          <w:color w:val="auto"/>
        </w:rPr>
        <w:t>Based on Term Loans outstanding as of March 31, 2021 and assuming all revolving loans are fully drawn, and after considering interest rate swaps that fixed the interest rate on $1 billion of principal of our variable rate debt each quarter point change in interest rates would result in a $2.9 million change in our projected annual interest expense on our indebtedness under the Secured Credit Facility. We have entered into interest rate swaps and may in the future enter into additional interest rate swaps that involve the exchange of floating for fixed rate interest payments in order to reduce future interest rate volatility of our variable rate indebtedness. However, due to risks for hedging gains and losses and cash settlement costs, we may not elect to maintain such interest rate swaps, and any swaps may not fully mitigate our interest rate risk.</w:t>
      </w:r>
    </w:p>
    <w:p>
      <w:pPr>
        <w:spacing w:after="0" w:line="62" w:lineRule="exact"/>
        <w:rPr>
          <w:sz w:val="20"/>
          <w:szCs w:val="20"/>
          <w:color w:val="auto"/>
        </w:rPr>
      </w:pPr>
    </w:p>
    <w:p>
      <w:pPr>
        <w:ind w:firstLine="141"/>
        <w:spacing w:after="0" w:line="274" w:lineRule="auto"/>
        <w:rPr>
          <w:sz w:val="20"/>
          <w:szCs w:val="20"/>
          <w:color w:val="auto"/>
        </w:rPr>
      </w:pPr>
      <w:r>
        <w:rPr>
          <w:rFonts w:ascii="Arial" w:cs="Arial" w:eastAsia="Arial" w:hAnsi="Arial"/>
          <w:sz w:val="13"/>
          <w:szCs w:val="13"/>
          <w:color w:val="auto"/>
        </w:rPr>
        <w:t>In addition, a transition away from the London Interbank Offering Rate (“LIBOR”) as a benchmark for establishing the applicable interest rate may affect the cost of servicing our debt under the Secured Credit Facility and the Revolving Credit Facility. As of March 31, 2021, we had $2.4 billion outstanding under the Secured Credit Facility and $499.1 million of availability under the Revolving Credit Facility, each of which incurs interest based on LIBOR. The potential consequences from discontinuation, modification, or reform of LIBOR, implementation of alternative reference rates, and any interest rate transition process cannot be fully predicted and may have an adverse impact on values of LIBOR-linked securities and other financial obligations or extensions of credit and may involve among other things, increased volatility or illiquidity in markets for instruments that rely on LIBOR, reductions in effectiveness of related transactions such as hedges, increased borrowing costs, uncertainty under applicable documentation, or difficult and costly consent processes. For example, if any alternative base rate or means of calculating interest with respect to our outstanding variable rate indebtedness leads to an increase in the interest rates charged, it could result in an increase in the cost of such indebtedness, impact our ability to refinance some or all of our existing indebtedness or otherwise have a material adverse impact on our business, financial condition and results of operations.</w:t>
      </w:r>
    </w:p>
    <w:p>
      <w:pPr>
        <w:spacing w:after="0" w:line="3" w:lineRule="exact"/>
        <w:rPr>
          <w:sz w:val="20"/>
          <w:szCs w:val="20"/>
          <w:color w:val="auto"/>
        </w:rPr>
      </w:pPr>
    </w:p>
    <w:p>
      <w:pPr>
        <w:ind w:right="240" w:firstLine="318"/>
        <w:spacing w:after="0" w:line="266" w:lineRule="auto"/>
        <w:rPr>
          <w:sz w:val="20"/>
          <w:szCs w:val="20"/>
          <w:color w:val="auto"/>
        </w:rPr>
      </w:pPr>
      <w:r>
        <w:rPr>
          <w:rFonts w:ascii="Arial" w:cs="Arial" w:eastAsia="Arial" w:hAnsi="Arial"/>
          <w:sz w:val="14"/>
          <w:szCs w:val="14"/>
          <w:b w:val="1"/>
          <w:bCs w:val="1"/>
          <w:i w:val="1"/>
          <w:iCs w:val="1"/>
          <w:color w:val="auto"/>
        </w:rPr>
        <w:t>A downgrade, suspension or withdrawal of the rating assigned by a rating agency to us or our indebtedness could make it more difficult for us to obtain additional debt financing in the future.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Our indebtedness has been rated by nationally recognized rating agencies and may in the future be rated by</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39" w:name="page40"/>
    <w:bookmarkEnd w:id="39"/>
    <w:p>
      <w:pPr>
        <w:ind w:right="140"/>
        <w:spacing w:after="0" w:line="262" w:lineRule="auto"/>
        <w:rPr>
          <w:sz w:val="20"/>
          <w:szCs w:val="20"/>
          <w:color w:val="auto"/>
        </w:rPr>
      </w:pPr>
      <w:r>
        <w:rPr>
          <w:rFonts w:ascii="Arial" w:cs="Arial" w:eastAsia="Arial" w:hAnsi="Arial"/>
          <w:sz w:val="14"/>
          <w:szCs w:val="14"/>
          <w:color w:val="auto"/>
        </w:rPr>
        <w:t>additional rating agencies. We cannot assure you that any rating assigned to us or our indebtedness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make it more difficult or more expensive for us to obtain additional debt financing in the future.</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98"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47" w:lineRule="exact"/>
        <w:rPr>
          <w:sz w:val="20"/>
          <w:szCs w:val="20"/>
          <w:color w:val="auto"/>
        </w:rPr>
      </w:pPr>
    </w:p>
    <w:p>
      <w:pPr>
        <w:ind w:right="300" w:firstLine="350"/>
        <w:spacing w:after="0" w:line="262" w:lineRule="auto"/>
        <w:rPr>
          <w:sz w:val="20"/>
          <w:szCs w:val="20"/>
          <w:color w:val="auto"/>
        </w:rPr>
      </w:pPr>
      <w:r>
        <w:rPr>
          <w:rFonts w:ascii="Arial" w:cs="Arial" w:eastAsia="Arial" w:hAnsi="Arial"/>
          <w:sz w:val="14"/>
          <w:szCs w:val="14"/>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the Secured Credit Facility and indenture governing the Senior Notes significantly restricts the ability of our subsidiaries to pay dividends or otherwise transfer assets to us. In addition, Delaware law may impose requirements that may restrict our ability to pay dividends to holders of our common stock.</w:t>
      </w:r>
    </w:p>
    <w:p>
      <w:pPr>
        <w:spacing w:after="0" w:line="61"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47" w:lineRule="exact"/>
        <w:rPr>
          <w:sz w:val="20"/>
          <w:szCs w:val="20"/>
          <w:color w:val="auto"/>
        </w:rPr>
      </w:pPr>
    </w:p>
    <w:p>
      <w:pPr>
        <w:ind w:right="240" w:firstLine="350"/>
        <w:spacing w:after="0" w:line="368" w:lineRule="auto"/>
        <w:rPr>
          <w:sz w:val="20"/>
          <w:szCs w:val="20"/>
          <w:color w:val="auto"/>
        </w:rPr>
      </w:pPr>
      <w:r>
        <w:rPr>
          <w:rFonts w:ascii="Arial" w:cs="Arial" w:eastAsia="Arial" w:hAnsi="Arial"/>
          <w:sz w:val="12"/>
          <w:szCs w:val="12"/>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1" w:lineRule="exact"/>
        <w:rPr>
          <w:sz w:val="20"/>
          <w:szCs w:val="20"/>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cause of reduction or delay in U.S. government funding;</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fluctuations in revenue earned on existing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commencement, completion, or termination of contracts during a particular period;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potential decline in our overall profit margins if our other direct costs and subcontract revenue grow at a faster rate than labor-related revenue;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strategic decisions by us or our competitors, such as changes to business strategy, strategic investments, acquisitions, divestitures, spin offs, and joint ventures;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change in our contract mix to less profitable contracts;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policy or budgetary measures that adversely affect U.S. government contracts in general;</w:t>
      </w:r>
    </w:p>
    <w:p>
      <w:pPr>
        <w:spacing w:after="0" w:line="93" w:lineRule="exact"/>
        <w:rPr>
          <w:rFonts w:ascii="Arial" w:cs="Arial" w:eastAsia="Arial" w:hAnsi="Arial"/>
          <w:sz w:val="14"/>
          <w:szCs w:val="14"/>
          <w:color w:val="auto"/>
        </w:rPr>
      </w:pPr>
    </w:p>
    <w:p>
      <w:pPr>
        <w:ind w:left="520" w:right="500" w:hanging="260"/>
        <w:spacing w:after="0" w:line="281" w:lineRule="auto"/>
        <w:tabs>
          <w:tab w:leader="none" w:pos="5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variable purchasing patterns under U.S. government GSA schedules, blanket purchase agreements, which are agreements that fulfill repetitive needs under GSA schedules, and IDIQ contracts;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demand for our services and solutions;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fluctuations in the degree to which we are able to utilize our professionals;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seasonality associated with the U.S. government’s fiscal year;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 inability to utilize existing or future tax benefits for any reason, including a change in law;</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alterations to contract requirements;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adverse judgments or settlements in legal disputes.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cannot assure you that we will pay special or regular dividends on our stock in the future.</w:t>
      </w:r>
    </w:p>
    <w:p>
      <w:pPr>
        <w:spacing w:after="0" w:line="94"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Our board of directors (the "Board") has authorized and declared a regular quarterly dividend for each quarter in the last several years. The Board has also authorized and declared special cash dividends from time to time. The declaration of any future dividends and the establishment of the per share amount, record dates and payment dates for any such future dividends are subject to the discretion of the Board taking into account future earnings, cash flows, financial requirements and other factors. There can be no assurance that the Board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7" w:right="319" w:bottom="1440" w:gutter="0" w:footer="0" w:header="0"/>
        </w:sectPr>
      </w:pPr>
    </w:p>
    <w:bookmarkStart w:id="40" w:name="page41"/>
    <w:bookmarkEnd w:id="40"/>
    <w:p>
      <w:pPr>
        <w:ind w:right="120" w:firstLine="318"/>
        <w:spacing w:after="0" w:line="368" w:lineRule="auto"/>
        <w:rPr>
          <w:sz w:val="20"/>
          <w:szCs w:val="20"/>
          <w:color w:val="auto"/>
        </w:rPr>
      </w:pPr>
      <w:r>
        <w:rPr>
          <w:rFonts w:ascii="Arial" w:cs="Arial" w:eastAsia="Arial" w:hAnsi="Arial"/>
          <w:sz w:val="12"/>
          <w:szCs w:val="12"/>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1" w:lineRule="exact"/>
        <w:rPr>
          <w:sz w:val="20"/>
          <w:szCs w:val="20"/>
          <w:color w:val="auto"/>
        </w:rPr>
      </w:pPr>
    </w:p>
    <w:p>
      <w:pPr>
        <w:ind w:right="100" w:firstLine="350"/>
        <w:spacing w:after="0" w:line="284" w:lineRule="auto"/>
        <w:rPr>
          <w:sz w:val="20"/>
          <w:szCs w:val="20"/>
          <w:color w:val="auto"/>
        </w:rPr>
      </w:pPr>
      <w:r>
        <w:rPr>
          <w:rFonts w:ascii="Arial" w:cs="Arial" w:eastAsia="Arial" w:hAnsi="Arial"/>
          <w:sz w:val="13"/>
          <w:szCs w:val="13"/>
          <w:color w:val="auto"/>
        </w:rPr>
        <w:t>As a public company, the Sarbanes-Oxley Act of 2002 and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including our financial, accounting, and information systems.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49" w:lineRule="exact"/>
        <w:rPr>
          <w:sz w:val="20"/>
          <w:szCs w:val="20"/>
          <w:color w:val="auto"/>
        </w:rPr>
      </w:pPr>
    </w:p>
    <w:p>
      <w:pPr>
        <w:ind w:firstLine="350"/>
        <w:spacing w:after="0" w:line="277" w:lineRule="auto"/>
        <w:rPr>
          <w:sz w:val="20"/>
          <w:szCs w:val="20"/>
          <w:color w:val="auto"/>
        </w:rPr>
      </w:pPr>
      <w:r>
        <w:rPr>
          <w:rFonts w:ascii="Arial" w:cs="Arial" w:eastAsia="Arial" w:hAnsi="Arial"/>
          <w:sz w:val="13"/>
          <w:szCs w:val="13"/>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Exchange Act to maintain disclosure controls and procedures and internal control over financial reporting. Because of inherent limitations in any internal control environment, there can be no assurance that all control issues and instances of fraud, errors or misstatements, if any, within our company have been or will be detected on a timely basis. Such deficiencies could result in the correction or restatement of financial statements of one or more periods. Any failure to maintain effective controls or implement new or improved controls, or difficulties encountered in their implementation, could harm our operating results or cause us to fail to meet our reporting obligations. We also rely on third parties for certain calculations and other information that support our accounting and financial reporting, which includes reports from such organizations on their controls and systems that are used to generate this information. Any failure by such third parties to provide us with accurate or timely information or implement and maintain effective controls may cause us to fail to meet our reporting obligations as a publicly traded company. In addition, as we implement new financial management systems, we could experience deficiencies in its operation that could have an adverse effect on the effectiveness of our internal control over financial reporting.</w:t>
      </w:r>
    </w:p>
    <w:p>
      <w:pPr>
        <w:spacing w:after="0" w:line="57" w:lineRule="exact"/>
        <w:rPr>
          <w:sz w:val="20"/>
          <w:szCs w:val="20"/>
          <w:color w:val="auto"/>
        </w:rPr>
      </w:pPr>
    </w:p>
    <w:p>
      <w:pPr>
        <w:ind w:right="120" w:firstLine="350"/>
        <w:spacing w:after="0" w:line="262" w:lineRule="auto"/>
        <w:rPr>
          <w:sz w:val="20"/>
          <w:szCs w:val="20"/>
          <w:color w:val="auto"/>
        </w:rPr>
      </w:pPr>
      <w:r>
        <w:rPr>
          <w:rFonts w:ascii="Arial" w:cs="Arial" w:eastAsia="Arial" w:hAnsi="Arial"/>
          <w:sz w:val="14"/>
          <w:szCs w:val="14"/>
          <w:color w:val="auto"/>
        </w:rPr>
        <w:t>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b w:val="1"/>
          <w:bCs w:val="1"/>
          <w:i w:val="1"/>
          <w:iCs w:val="1"/>
          <w:color w:val="auto"/>
        </w:rPr>
        <w:t>Provisions in our organizational documents and in the Delaware General Corporation Law may prevent takeover attempts that could be beneficial to our stockholders.</w:t>
      </w:r>
    </w:p>
    <w:p>
      <w:pPr>
        <w:spacing w:after="0" w:line="105"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47" w:lineRule="exact"/>
        <w:rPr>
          <w:sz w:val="20"/>
          <w:szCs w:val="20"/>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granting to the Board the sole power to set the number of directors and to fill any vacancy on the Board;</w:t>
      </w:r>
    </w:p>
    <w:p>
      <w:pPr>
        <w:spacing w:after="0" w:line="93"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granting to the Board the ability to designate and issue one or more series of preferred stock without stockholder approval, the terms of which may be determined at the sole discretion of the Board;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prohibition on stockholders from calling special meetings of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establishment of advance notice requirements for stockholder proposals and nominations for election to the Board at stockholder meetings;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prohibiting our stockholders from acting by written consent.</w:t>
      </w:r>
    </w:p>
    <w:p>
      <w:pPr>
        <w:spacing w:after="0" w:line="94" w:lineRule="exact"/>
        <w:rPr>
          <w:sz w:val="20"/>
          <w:szCs w:val="20"/>
          <w:color w:val="auto"/>
        </w:rPr>
      </w:pPr>
    </w:p>
    <w:p>
      <w:pPr>
        <w:ind w:right="420" w:firstLine="350"/>
        <w:spacing w:after="0" w:line="262" w:lineRule="auto"/>
        <w:rPr>
          <w:sz w:val="20"/>
          <w:szCs w:val="20"/>
          <w:color w:val="auto"/>
        </w:rPr>
      </w:pPr>
      <w:r>
        <w:rPr>
          <w:rFonts w:ascii="Arial" w:cs="Arial" w:eastAsia="Arial" w:hAnsi="Arial"/>
          <w:sz w:val="14"/>
          <w:szCs w:val="14"/>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61" w:lineRule="exact"/>
        <w:rPr>
          <w:sz w:val="20"/>
          <w:szCs w:val="20"/>
          <w:color w:val="auto"/>
        </w:rPr>
      </w:pPr>
    </w:p>
    <w:p>
      <w:pPr>
        <w:ind w:right="240" w:firstLine="350"/>
        <w:spacing w:after="0" w:line="321" w:lineRule="auto"/>
        <w:rPr>
          <w:sz w:val="20"/>
          <w:szCs w:val="20"/>
          <w:color w:val="auto"/>
        </w:rPr>
      </w:pPr>
      <w:r>
        <w:rPr>
          <w:rFonts w:ascii="Arial" w:cs="Arial" w:eastAsia="Arial" w:hAnsi="Arial"/>
          <w:sz w:val="13"/>
          <w:szCs w:val="13"/>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41" w:name="page42"/>
    <w:bookmarkEnd w:id="41"/>
    <w:p>
      <w:pPr>
        <w:ind w:left="320"/>
        <w:spacing w:after="0"/>
        <w:rPr>
          <w:sz w:val="20"/>
          <w:szCs w:val="20"/>
          <w:color w:val="auto"/>
        </w:rPr>
      </w:pPr>
      <w:r>
        <w:rPr>
          <w:rFonts w:ascii="Arial" w:cs="Arial" w:eastAsia="Arial" w:hAnsi="Arial"/>
          <w:sz w:val="14"/>
          <w:szCs w:val="14"/>
          <w:b w:val="1"/>
          <w:bCs w:val="1"/>
          <w:i w:val="1"/>
          <w:iCs w:val="1"/>
          <w:color w:val="auto"/>
        </w:rPr>
        <w:t>The market for our Class A Common Stock may be adversely affected by the performance of other companies in the government services market.</w:t>
      </w:r>
    </w:p>
    <w:p>
      <w:pPr>
        <w:spacing w:after="0" w:line="94" w:lineRule="exact"/>
        <w:rPr>
          <w:sz w:val="20"/>
          <w:szCs w:val="20"/>
          <w:color w:val="auto"/>
        </w:rPr>
      </w:pPr>
    </w:p>
    <w:p>
      <w:pPr>
        <w:ind w:right="20" w:firstLine="350"/>
        <w:spacing w:after="0" w:line="260" w:lineRule="auto"/>
        <w:rPr>
          <w:sz w:val="20"/>
          <w:szCs w:val="20"/>
          <w:color w:val="auto"/>
        </w:rPr>
      </w:pPr>
      <w:r>
        <w:rPr>
          <w:rFonts w:ascii="Arial" w:cs="Arial" w:eastAsia="Arial" w:hAnsi="Arial"/>
          <w:sz w:val="14"/>
          <w:szCs w:val="14"/>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be adversely affected as a result thereof.</w:t>
      </w:r>
    </w:p>
    <w:p>
      <w:pPr>
        <w:spacing w:after="0" w:line="62" w:lineRule="exact"/>
        <w:rPr>
          <w:sz w:val="20"/>
          <w:szCs w:val="20"/>
          <w:color w:val="auto"/>
        </w:rPr>
      </w:pPr>
    </w:p>
    <w:p>
      <w:pPr>
        <w:ind w:right="40" w:firstLine="350"/>
        <w:spacing w:after="0" w:line="368" w:lineRule="auto"/>
        <w:rPr>
          <w:sz w:val="20"/>
          <w:szCs w:val="20"/>
          <w:color w:val="auto"/>
        </w:rPr>
      </w:pPr>
      <w:r>
        <w:rPr>
          <w:rFonts w:ascii="Arial" w:cs="Arial" w:eastAsia="Arial" w:hAnsi="Arial"/>
          <w:sz w:val="12"/>
          <w:szCs w:val="12"/>
          <w:b w:val="1"/>
          <w:bCs w:val="1"/>
          <w:i w:val="1"/>
          <w:iCs w:val="1"/>
          <w:color w:val="auto"/>
        </w:rPr>
        <w:t>Our amended and restated certificate of incorporation designates the Court of Chancery of the State of Delaware as the sole and exclusive forum for certain litigation that may be initiated by our stockholders, which could limit our stockholders' ability to obtain a favorable judicial forum for disputes with us or our current or former directors, officers, or stockholders.</w:t>
      </w:r>
    </w:p>
    <w:p>
      <w:pPr>
        <w:spacing w:after="0" w:line="1" w:lineRule="exact"/>
        <w:rPr>
          <w:sz w:val="20"/>
          <w:szCs w:val="20"/>
          <w:color w:val="auto"/>
        </w:rPr>
      </w:pPr>
    </w:p>
    <w:p>
      <w:pPr>
        <w:ind w:firstLine="350"/>
        <w:spacing w:after="0" w:line="278" w:lineRule="auto"/>
        <w:rPr>
          <w:sz w:val="20"/>
          <w:szCs w:val="20"/>
          <w:color w:val="auto"/>
        </w:rPr>
      </w:pPr>
      <w:r>
        <w:rPr>
          <w:rFonts w:ascii="Arial" w:cs="Arial" w:eastAsia="Arial" w:hAnsi="Arial"/>
          <w:sz w:val="13"/>
          <w:szCs w:val="13"/>
          <w:color w:val="auto"/>
        </w:rPr>
        <w:t>Our fifth amended and restated certificate of incorporation requires that the Court of Chancery of the State of Delaware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Delaware General Corporation Law, the Company's fifth amended and restated certificate of incorporation or the Company's bylaws, or (iv) any action asserting a claim against the Company governed by the internal affairs doctrine. Because the applicability of the exclusive forum provision is limited to the extent permitted by applicable law, we do not intend that the exclusive forum provision would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We note that there is uncertainty as to whether a court would enforce the provision and that investors cannot waive compliance with federal securities laws and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41"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1B</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8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2</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1"/>
          <w:szCs w:val="11"/>
          <w:b w:val="1"/>
          <w:bCs w:val="1"/>
          <w:i w:val="1"/>
          <w:iCs w:val="1"/>
          <w:color w:val="auto"/>
        </w:rPr>
        <w:t>Properties</w:t>
      </w:r>
    </w:p>
    <w:p>
      <w:pPr>
        <w:spacing w:after="0" w:line="98" w:lineRule="exact"/>
        <w:rPr>
          <w:sz w:val="20"/>
          <w:szCs w:val="20"/>
          <w:color w:val="auto"/>
        </w:rPr>
      </w:pPr>
    </w:p>
    <w:p>
      <w:pPr>
        <w:ind w:right="80" w:firstLine="350"/>
        <w:spacing w:after="0" w:line="304" w:lineRule="auto"/>
        <w:rPr>
          <w:sz w:val="20"/>
          <w:szCs w:val="20"/>
          <w:color w:val="auto"/>
        </w:rPr>
      </w:pPr>
      <w:r>
        <w:rPr>
          <w:rFonts w:ascii="Arial" w:cs="Arial" w:eastAsia="Arial" w:hAnsi="Arial"/>
          <w:sz w:val="12"/>
          <w:szCs w:val="12"/>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Bethesda, Maryland; Laurel, Maryland;</w:t>
      </w:r>
    </w:p>
    <w:p>
      <w:pPr>
        <w:ind w:right="160"/>
        <w:spacing w:after="0" w:line="288" w:lineRule="auto"/>
        <w:rPr>
          <w:sz w:val="20"/>
          <w:szCs w:val="20"/>
          <w:color w:val="auto"/>
        </w:rPr>
      </w:pPr>
      <w:r>
        <w:rPr>
          <w:rFonts w:ascii="Arial" w:cs="Arial" w:eastAsia="Arial" w:hAnsi="Arial"/>
          <w:sz w:val="13"/>
          <w:szCs w:val="13"/>
          <w:color w:val="auto"/>
        </w:rPr>
        <w:t>San Diego, California; Herndon, Virginia; Charleston, South Carolina; Arlington, Virginia; Alexandria,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2.50 million square feet. We believe our facilities meet our current needs.</w:t>
      </w:r>
    </w:p>
    <w:p>
      <w:pPr>
        <w:spacing w:after="0" w:line="233"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3</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Legal Proceedings</w:t>
      </w:r>
    </w:p>
    <w:p>
      <w:pPr>
        <w:spacing w:after="0" w:line="98" w:lineRule="exact"/>
        <w:rPr>
          <w:sz w:val="20"/>
          <w:szCs w:val="20"/>
          <w:color w:val="auto"/>
        </w:rPr>
      </w:pPr>
    </w:p>
    <w:p>
      <w:pPr>
        <w:ind w:right="100" w:firstLine="350"/>
        <w:spacing w:after="0" w:line="260" w:lineRule="auto"/>
        <w:rPr>
          <w:sz w:val="20"/>
          <w:szCs w:val="20"/>
          <w:color w:val="auto"/>
        </w:rPr>
      </w:pPr>
      <w:r>
        <w:rPr>
          <w:rFonts w:ascii="Arial" w:cs="Arial" w:eastAsia="Arial" w:hAnsi="Arial"/>
          <w:sz w:val="14"/>
          <w:szCs w:val="14"/>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2021 and 2020, there were no material amounts accrued in the consolidated financial statements related to these proceedings.</w:t>
      </w:r>
    </w:p>
    <w:p>
      <w:pPr>
        <w:spacing w:after="0" w:line="62" w:lineRule="exact"/>
        <w:rPr>
          <w:sz w:val="20"/>
          <w:szCs w:val="20"/>
          <w:color w:val="auto"/>
        </w:rPr>
      </w:pPr>
    </w:p>
    <w:p>
      <w:pPr>
        <w:ind w:right="4060" w:firstLine="350"/>
        <w:spacing w:after="0" w:line="319" w:lineRule="auto"/>
        <w:rPr>
          <w:sz w:val="20"/>
          <w:szCs w:val="20"/>
          <w:color w:val="auto"/>
        </w:rPr>
      </w:pPr>
      <w:r>
        <w:rPr>
          <w:rFonts w:ascii="Arial" w:cs="Arial" w:eastAsia="Arial" w:hAnsi="Arial"/>
          <w:sz w:val="12"/>
          <w:szCs w:val="12"/>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42" w:name="page43"/>
    <w:bookmarkEnd w:id="42"/>
    <w:p>
      <w:pPr>
        <w:jc w:val="both"/>
        <w:ind w:right="4140"/>
        <w:spacing w:after="0" w:line="298" w:lineRule="auto"/>
        <w:rPr>
          <w:sz w:val="20"/>
          <w:szCs w:val="20"/>
          <w:color w:val="auto"/>
        </w:rPr>
      </w:pPr>
      <w:r>
        <w:rPr>
          <w:rFonts w:ascii="Arial" w:cs="Arial" w:eastAsia="Arial" w:hAnsi="Arial"/>
          <w:sz w:val="12"/>
          <w:szCs w:val="12"/>
          <w:color w:val="auto"/>
        </w:rPr>
        <w:t>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relevant government parties. On May 12, 2021, the Company was informed that the DOJ has closed its criminal investigation.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63" w:lineRule="exact"/>
        <w:rPr>
          <w:sz w:val="20"/>
          <w:szCs w:val="20"/>
          <w:color w:val="auto"/>
        </w:rPr>
      </w:pPr>
    </w:p>
    <w:p>
      <w:pPr>
        <w:ind w:right="4060" w:firstLine="350"/>
        <w:spacing w:after="0" w:line="276" w:lineRule="auto"/>
        <w:rPr>
          <w:sz w:val="20"/>
          <w:szCs w:val="20"/>
          <w:color w:val="auto"/>
        </w:rPr>
      </w:pPr>
      <w:r>
        <w:rPr>
          <w:rFonts w:ascii="Arial" w:cs="Arial" w:eastAsia="Arial" w:hAnsi="Arial"/>
          <w:sz w:val="13"/>
          <w:szCs w:val="13"/>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4040" w:firstLine="350"/>
        <w:spacing w:after="0" w:line="277" w:lineRule="auto"/>
        <w:rPr>
          <w:sz w:val="20"/>
          <w:szCs w:val="20"/>
          <w:color w:val="auto"/>
        </w:rPr>
      </w:pPr>
      <w:r>
        <w:rPr>
          <w:rFonts w:ascii="Arial" w:cs="Arial" w:eastAsia="Arial" w:hAnsi="Arial"/>
          <w:sz w:val="13"/>
          <w:szCs w:val="13"/>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and November 23, 2020,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4</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Mine Safety Disclosures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our Executive Officers</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sets forth information about our executive officers as of the date hereof:</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25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800" w:type="dxa"/>
            <w:vAlign w:val="bottom"/>
          </w:tcPr>
          <w:p>
            <w:pPr>
              <w:jc w:val="center"/>
              <w:ind w:left="591"/>
              <w:spacing w:after="0"/>
              <w:rPr>
                <w:sz w:val="20"/>
                <w:szCs w:val="20"/>
                <w:color w:val="auto"/>
              </w:rPr>
            </w:pPr>
            <w:r>
              <w:rPr>
                <w:rFonts w:ascii="Arial" w:cs="Arial" w:eastAsia="Arial" w:hAnsi="Arial"/>
                <w:sz w:val="11"/>
                <w:szCs w:val="11"/>
                <w:b w:val="1"/>
                <w:bCs w:val="1"/>
                <w:color w:val="auto"/>
                <w:w w:val="86"/>
              </w:rPr>
              <w:t>Age</w:t>
            </w:r>
          </w:p>
        </w:tc>
        <w:tc>
          <w:tcPr>
            <w:tcW w:w="4080" w:type="dxa"/>
            <w:vAlign w:val="bottom"/>
          </w:tcPr>
          <w:p>
            <w:pPr>
              <w:ind w:left="460"/>
              <w:spacing w:after="0"/>
              <w:rPr>
                <w:sz w:val="20"/>
                <w:szCs w:val="20"/>
                <w:color w:val="auto"/>
              </w:rPr>
            </w:pPr>
            <w:r>
              <w:rPr>
                <w:rFonts w:ascii="Arial" w:cs="Arial" w:eastAsia="Arial" w:hAnsi="Arial"/>
                <w:sz w:val="11"/>
                <w:szCs w:val="11"/>
                <w:b w:val="1"/>
                <w:bCs w:val="1"/>
                <w:color w:val="auto"/>
              </w:rPr>
              <w:t>Position</w:t>
            </w:r>
          </w:p>
        </w:tc>
      </w:tr>
      <w:tr>
        <w:trPr>
          <w:trHeight w:val="188"/>
        </w:trPr>
        <w:tc>
          <w:tcPr>
            <w:tcW w:w="2580" w:type="dxa"/>
            <w:vAlign w:val="bottom"/>
          </w:tcPr>
          <w:p>
            <w:pPr>
              <w:spacing w:after="0"/>
              <w:rPr>
                <w:sz w:val="20"/>
                <w:szCs w:val="20"/>
                <w:color w:val="auto"/>
              </w:rPr>
            </w:pPr>
            <w:r>
              <w:rPr>
                <w:rFonts w:ascii="Arial" w:cs="Arial" w:eastAsia="Arial" w:hAnsi="Arial"/>
                <w:sz w:val="14"/>
                <w:szCs w:val="14"/>
                <w:color w:val="auto"/>
              </w:rPr>
              <w:t>Horacio D. Rozanski</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53</w:t>
            </w:r>
          </w:p>
        </w:tc>
        <w:tc>
          <w:tcPr>
            <w:tcW w:w="4080" w:type="dxa"/>
            <w:vAlign w:val="bottom"/>
          </w:tcPr>
          <w:p>
            <w:pPr>
              <w:ind w:left="460"/>
              <w:spacing w:after="0"/>
              <w:rPr>
                <w:sz w:val="20"/>
                <w:szCs w:val="20"/>
                <w:color w:val="auto"/>
              </w:rPr>
            </w:pPr>
            <w:r>
              <w:rPr>
                <w:rFonts w:ascii="Arial" w:cs="Arial" w:eastAsia="Arial" w:hAnsi="Arial"/>
                <w:sz w:val="14"/>
                <w:szCs w:val="14"/>
                <w:color w:val="auto"/>
              </w:rPr>
              <w:t>President and Chief Executive Officer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Lloyd W. Howell, Jr.</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55</w:t>
            </w:r>
          </w:p>
        </w:tc>
        <w:tc>
          <w:tcPr>
            <w:tcW w:w="4080" w:type="dxa"/>
            <w:vAlign w:val="bottom"/>
          </w:tcPr>
          <w:p>
            <w:pPr>
              <w:ind w:left="460"/>
              <w:spacing w:after="0"/>
              <w:rPr>
                <w:sz w:val="20"/>
                <w:szCs w:val="20"/>
                <w:color w:val="auto"/>
              </w:rPr>
            </w:pPr>
            <w:r>
              <w:rPr>
                <w:rFonts w:ascii="Arial" w:cs="Arial" w:eastAsia="Arial" w:hAnsi="Arial"/>
                <w:sz w:val="14"/>
                <w:szCs w:val="14"/>
                <w:color w:val="auto"/>
                <w:w w:val="91"/>
              </w:rPr>
              <w:t>Executive Vice President, Chief Financial Officer and Treasurer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Kristine Martin Anderson</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52</w:t>
            </w:r>
          </w:p>
        </w:tc>
        <w:tc>
          <w:tcPr>
            <w:tcW w:w="4080" w:type="dxa"/>
            <w:vAlign w:val="bottom"/>
          </w:tcPr>
          <w:p>
            <w:pPr>
              <w:ind w:left="460"/>
              <w:spacing w:after="0"/>
              <w:rPr>
                <w:sz w:val="20"/>
                <w:szCs w:val="20"/>
                <w:color w:val="auto"/>
              </w:rPr>
            </w:pPr>
            <w:r>
              <w:rPr>
                <w:rFonts w:ascii="Arial" w:cs="Arial" w:eastAsia="Arial" w:hAnsi="Arial"/>
                <w:sz w:val="14"/>
                <w:szCs w:val="14"/>
                <w:color w:val="auto"/>
              </w:rPr>
              <w:t>Executive Vice President</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Karen M. Dahut</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57</w:t>
            </w:r>
          </w:p>
        </w:tc>
        <w:tc>
          <w:tcPr>
            <w:tcW w:w="4080" w:type="dxa"/>
            <w:vAlign w:val="bottom"/>
          </w:tcPr>
          <w:p>
            <w:pPr>
              <w:ind w:left="460"/>
              <w:spacing w:after="0"/>
              <w:rPr>
                <w:sz w:val="20"/>
                <w:szCs w:val="20"/>
                <w:color w:val="auto"/>
              </w:rPr>
            </w:pPr>
            <w:r>
              <w:rPr>
                <w:rFonts w:ascii="Arial" w:cs="Arial" w:eastAsia="Arial" w:hAnsi="Arial"/>
                <w:sz w:val="14"/>
                <w:szCs w:val="14"/>
                <w:color w:val="auto"/>
              </w:rPr>
              <w:t>Executive Vice President</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Judith Dotson</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57</w:t>
            </w:r>
          </w:p>
        </w:tc>
        <w:tc>
          <w:tcPr>
            <w:tcW w:w="4080" w:type="dxa"/>
            <w:vAlign w:val="bottom"/>
          </w:tcPr>
          <w:p>
            <w:pPr>
              <w:ind w:left="460"/>
              <w:spacing w:after="0"/>
              <w:rPr>
                <w:sz w:val="20"/>
                <w:szCs w:val="20"/>
                <w:color w:val="auto"/>
              </w:rPr>
            </w:pPr>
            <w:r>
              <w:rPr>
                <w:rFonts w:ascii="Arial" w:cs="Arial" w:eastAsia="Arial" w:hAnsi="Arial"/>
                <w:sz w:val="14"/>
                <w:szCs w:val="14"/>
                <w:color w:val="auto"/>
              </w:rPr>
              <w:t>Executive Vice President</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Nancy J. Laben</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59</w:t>
            </w:r>
          </w:p>
        </w:tc>
        <w:tc>
          <w:tcPr>
            <w:tcW w:w="4080" w:type="dxa"/>
            <w:vAlign w:val="bottom"/>
          </w:tcPr>
          <w:p>
            <w:pPr>
              <w:ind w:left="460"/>
              <w:spacing w:after="0"/>
              <w:rPr>
                <w:sz w:val="20"/>
                <w:szCs w:val="20"/>
                <w:color w:val="auto"/>
              </w:rPr>
            </w:pPr>
            <w:r>
              <w:rPr>
                <w:rFonts w:ascii="Arial" w:cs="Arial" w:eastAsia="Arial" w:hAnsi="Arial"/>
                <w:sz w:val="14"/>
                <w:szCs w:val="14"/>
                <w:color w:val="auto"/>
              </w:rPr>
              <w:t>Executive Vice President and Chief Legal Officer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Gary D. Labovich</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61</w:t>
            </w:r>
          </w:p>
        </w:tc>
        <w:tc>
          <w:tcPr>
            <w:tcW w:w="4080" w:type="dxa"/>
            <w:vAlign w:val="bottom"/>
          </w:tcPr>
          <w:p>
            <w:pPr>
              <w:ind w:left="460"/>
              <w:spacing w:after="0"/>
              <w:rPr>
                <w:sz w:val="20"/>
                <w:szCs w:val="20"/>
                <w:color w:val="auto"/>
              </w:rPr>
            </w:pPr>
            <w:r>
              <w:rPr>
                <w:rFonts w:ascii="Arial" w:cs="Arial" w:eastAsia="Arial" w:hAnsi="Arial"/>
                <w:sz w:val="14"/>
                <w:szCs w:val="14"/>
                <w:color w:val="auto"/>
              </w:rPr>
              <w:t>Executive Vice President</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Susan L. Penfield</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59</w:t>
            </w:r>
          </w:p>
        </w:tc>
        <w:tc>
          <w:tcPr>
            <w:tcW w:w="4080" w:type="dxa"/>
            <w:vAlign w:val="bottom"/>
          </w:tcPr>
          <w:p>
            <w:pPr>
              <w:ind w:left="460"/>
              <w:spacing w:after="0"/>
              <w:rPr>
                <w:sz w:val="20"/>
                <w:szCs w:val="20"/>
                <w:color w:val="auto"/>
              </w:rPr>
            </w:pPr>
            <w:r>
              <w:rPr>
                <w:rFonts w:ascii="Arial" w:cs="Arial" w:eastAsia="Arial" w:hAnsi="Arial"/>
                <w:sz w:val="14"/>
                <w:szCs w:val="14"/>
                <w:color w:val="auto"/>
              </w:rPr>
              <w:t>Executive Vice President and Chief Innovation Officer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Elizabeth M. Thompson</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66</w:t>
            </w:r>
          </w:p>
        </w:tc>
        <w:tc>
          <w:tcPr>
            <w:tcW w:w="4080" w:type="dxa"/>
            <w:vAlign w:val="bottom"/>
          </w:tcPr>
          <w:p>
            <w:pPr>
              <w:ind w:left="460"/>
              <w:spacing w:after="0"/>
              <w:rPr>
                <w:sz w:val="20"/>
                <w:szCs w:val="20"/>
                <w:color w:val="auto"/>
              </w:rPr>
            </w:pPr>
            <w:r>
              <w:rPr>
                <w:rFonts w:ascii="Arial" w:cs="Arial" w:eastAsia="Arial" w:hAnsi="Arial"/>
                <w:sz w:val="14"/>
                <w:szCs w:val="14"/>
                <w:color w:val="auto"/>
              </w:rPr>
              <w:t>Executive Vice President and Chief People Officer</w:t>
            </w:r>
          </w:p>
        </w:tc>
      </w:tr>
      <w:tr>
        <w:trPr>
          <w:trHeight w:val="180"/>
        </w:trPr>
        <w:tc>
          <w:tcPr>
            <w:tcW w:w="2580" w:type="dxa"/>
            <w:vAlign w:val="bottom"/>
          </w:tcPr>
          <w:p>
            <w:pPr>
              <w:spacing w:after="0"/>
              <w:rPr>
                <w:sz w:val="20"/>
                <w:szCs w:val="20"/>
                <w:color w:val="auto"/>
              </w:rPr>
            </w:pPr>
            <w:r>
              <w:rPr>
                <w:rFonts w:ascii="Arial" w:cs="Arial" w:eastAsia="Arial" w:hAnsi="Arial"/>
                <w:sz w:val="14"/>
                <w:szCs w:val="14"/>
                <w:color w:val="auto"/>
              </w:rPr>
              <w:t>Laura S. Adams</w:t>
            </w:r>
          </w:p>
        </w:tc>
        <w:tc>
          <w:tcPr>
            <w:tcW w:w="1800" w:type="dxa"/>
            <w:vAlign w:val="bottom"/>
          </w:tcPr>
          <w:p>
            <w:pPr>
              <w:jc w:val="center"/>
              <w:ind w:left="591"/>
              <w:spacing w:after="0"/>
              <w:rPr>
                <w:sz w:val="20"/>
                <w:szCs w:val="20"/>
                <w:color w:val="auto"/>
              </w:rPr>
            </w:pPr>
            <w:r>
              <w:rPr>
                <w:rFonts w:ascii="Arial" w:cs="Arial" w:eastAsia="Arial" w:hAnsi="Arial"/>
                <w:sz w:val="14"/>
                <w:szCs w:val="14"/>
                <w:color w:val="auto"/>
                <w:w w:val="89"/>
              </w:rPr>
              <w:t>48</w:t>
            </w:r>
          </w:p>
        </w:tc>
        <w:tc>
          <w:tcPr>
            <w:tcW w:w="4080" w:type="dxa"/>
            <w:vAlign w:val="bottom"/>
          </w:tcPr>
          <w:p>
            <w:pPr>
              <w:ind w:left="460"/>
              <w:spacing w:after="0"/>
              <w:rPr>
                <w:sz w:val="20"/>
                <w:szCs w:val="20"/>
                <w:color w:val="auto"/>
              </w:rPr>
            </w:pPr>
            <w:r>
              <w:rPr>
                <w:rFonts w:ascii="Arial" w:cs="Arial" w:eastAsia="Arial" w:hAnsi="Arial"/>
                <w:sz w:val="14"/>
                <w:szCs w:val="14"/>
                <w:color w:val="auto"/>
              </w:rPr>
              <w:t>Vice President and Chief Accounting Officer</w:t>
            </w:r>
          </w:p>
        </w:tc>
      </w:tr>
    </w:tbl>
    <w:p>
      <w:pPr>
        <w:spacing w:after="0" w:line="75"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i w:val="1"/>
          <w:iCs w:val="1"/>
          <w:color w:val="auto"/>
        </w:rPr>
        <w:t xml:space="preserve">Horacio D. Rozanski </w:t>
      </w:r>
      <w:r>
        <w:rPr>
          <w:rFonts w:ascii="Arial" w:cs="Arial" w:eastAsia="Arial" w:hAnsi="Arial"/>
          <w:sz w:val="14"/>
          <w:szCs w:val="14"/>
          <w:color w:val="auto"/>
        </w:rPr>
        <w:t>is our President and Chief Executive Officer. A respected authority and leader in the consulting industry, Mr. Rozanski has expertise in business strategy, technology and</w:t>
      </w:r>
      <w:r>
        <w:rPr>
          <w:rFonts w:ascii="Arial" w:cs="Arial" w:eastAsia="Arial" w:hAnsi="Arial"/>
          <w:sz w:val="14"/>
          <w:szCs w:val="14"/>
          <w:i w:val="1"/>
          <w:iCs w:val="1"/>
          <w:color w:val="auto"/>
        </w:rPr>
        <w:t xml:space="preserve"> </w:t>
      </w:r>
      <w:r>
        <w:rPr>
          <w:rFonts w:ascii="Arial" w:cs="Arial" w:eastAsia="Arial" w:hAnsi="Arial"/>
          <w:sz w:val="14"/>
          <w:szCs w:val="14"/>
          <w:color w:val="auto"/>
        </w:rPr>
        <w:t>operations, talent and diversity, and the future of consulting. He joined Booz Allen in 1992 as a consultant to commercial clients, was elected vice president in 1999, and served as our Chief Personnel Officer, Chief Strategy and Talent Officer, Chief Operating Officer, and President before becoming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3" w:name="page44"/>
    <w:bookmarkEnd w:id="43"/>
    <w:p>
      <w:pPr>
        <w:ind w:right="120"/>
        <w:spacing w:after="0" w:line="267" w:lineRule="auto"/>
        <w:rPr>
          <w:sz w:val="20"/>
          <w:szCs w:val="20"/>
          <w:color w:val="auto"/>
        </w:rPr>
      </w:pPr>
      <w:r>
        <w:rPr>
          <w:rFonts w:ascii="Arial" w:cs="Arial" w:eastAsia="Arial" w:hAnsi="Arial"/>
          <w:sz w:val="14"/>
          <w:szCs w:val="14"/>
          <w:color w:val="auto"/>
        </w:rPr>
        <w:t>Chief Executive Officer in 2015. He also is a member of our board of directors. Today, Mr. Rozanski is Chairman of the Board of Directors for Children’s National Medical Center and a member of the Board of Directors at Marriott International and CARE. He is also a member of the Business Roundtable, the United States Holocaust Memorial Museum’s Committee on Conscience, the Kennedy Center Corporate Fund Board, and the Aerospace Industries Association Finance Committee.</w:t>
      </w:r>
    </w:p>
    <w:p>
      <w:pPr>
        <w:spacing w:after="0" w:line="57"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i w:val="1"/>
          <w:iCs w:val="1"/>
          <w:color w:val="auto"/>
        </w:rPr>
        <w:t xml:space="preserve">Lloyd W. Howell, Jr. </w:t>
      </w:r>
      <w:r>
        <w:rPr>
          <w:rFonts w:ascii="Arial" w:cs="Arial" w:eastAsia="Arial" w:hAnsi="Arial"/>
          <w:sz w:val="14"/>
          <w:szCs w:val="14"/>
          <w:color w:val="auto"/>
        </w:rPr>
        <w:t>is an Executive Vice President of our Company and our Chief Financial Officer and Treasurer since July 1, 2016. Mr. Howell previously served as the group leader for our</w:t>
      </w:r>
      <w:r>
        <w:rPr>
          <w:rFonts w:ascii="Arial" w:cs="Arial" w:eastAsia="Arial" w:hAnsi="Arial"/>
          <w:sz w:val="14"/>
          <w:szCs w:val="14"/>
          <w:i w:val="1"/>
          <w:iCs w:val="1"/>
          <w:color w:val="auto"/>
        </w:rPr>
        <w:t xml:space="preserve"> </w:t>
      </w:r>
      <w:r>
        <w:rPr>
          <w:rFonts w:ascii="Arial" w:cs="Arial" w:eastAsia="Arial" w:hAnsi="Arial"/>
          <w:sz w:val="14"/>
          <w:szCs w:val="14"/>
          <w:color w:val="auto"/>
        </w:rPr>
        <w:t>Civil Commercial Group. Mr. Howell joined our Company in 1988, left in 1991, rejoined in 1995 and became an Executive Vice President in 2005. He served as chairman of our Ethics &amp; Compliance Committee for over seven years, until April 2014. Mr. Howell serves on the board of directors of Moody’s Corporation. Mr. Howell also serves on the board of overseers for the School of Engineering and Applied Science and as a Trustee at the University of Pennsylvania.</w:t>
      </w:r>
    </w:p>
    <w:p>
      <w:pPr>
        <w:spacing w:after="0" w:line="61"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i w:val="1"/>
          <w:iCs w:val="1"/>
          <w:color w:val="auto"/>
        </w:rPr>
        <w:t xml:space="preserve">Kristine Martin Anderson </w:t>
      </w:r>
      <w:r>
        <w:rPr>
          <w:rFonts w:ascii="Arial" w:cs="Arial" w:eastAsia="Arial" w:hAnsi="Arial"/>
          <w:sz w:val="14"/>
          <w:szCs w:val="14"/>
          <w:color w:val="auto"/>
        </w:rPr>
        <w:t>is an Executive Vice President and is the group leader for the Company's Civilian Services Group after leading the Company's civil health business since April 2015.</w:t>
      </w:r>
      <w:r>
        <w:rPr>
          <w:rFonts w:ascii="Arial" w:cs="Arial" w:eastAsia="Arial" w:hAnsi="Arial"/>
          <w:sz w:val="14"/>
          <w:szCs w:val="14"/>
          <w:i w:val="1"/>
          <w:iCs w:val="1"/>
          <w:color w:val="auto"/>
        </w:rPr>
        <w:t xml:space="preserve"> </w:t>
      </w:r>
      <w:r>
        <w:rPr>
          <w:rFonts w:ascii="Arial" w:cs="Arial" w:eastAsia="Arial" w:hAnsi="Arial"/>
          <w:sz w:val="14"/>
          <w:szCs w:val="14"/>
          <w:color w:val="auto"/>
        </w:rPr>
        <w:t>Prior to joining Booz Allen in 2006, she was Vice President for Operations and Strategy at CareScience, a software solutions company. Ms. Anderson currently serves on the eHealth Initiative's board of directors. In addition, she serves on the Cost and Resource Use Standing Committee of the National Quality Forum.</w:t>
      </w:r>
    </w:p>
    <w:p>
      <w:pPr>
        <w:spacing w:after="0" w:line="57" w:lineRule="exact"/>
        <w:rPr>
          <w:sz w:val="20"/>
          <w:szCs w:val="20"/>
          <w:color w:val="auto"/>
        </w:rPr>
      </w:pPr>
    </w:p>
    <w:p>
      <w:pPr>
        <w:ind w:right="80" w:firstLine="350"/>
        <w:spacing w:after="0" w:line="262" w:lineRule="auto"/>
        <w:rPr>
          <w:sz w:val="20"/>
          <w:szCs w:val="20"/>
          <w:color w:val="auto"/>
        </w:rPr>
      </w:pPr>
      <w:r>
        <w:rPr>
          <w:rFonts w:ascii="Arial" w:cs="Arial" w:eastAsia="Arial" w:hAnsi="Arial"/>
          <w:sz w:val="14"/>
          <w:szCs w:val="14"/>
          <w:i w:val="1"/>
          <w:iCs w:val="1"/>
          <w:color w:val="auto"/>
        </w:rPr>
        <w:t xml:space="preserve">Karen M. Dahut </w:t>
      </w:r>
      <w:r>
        <w:rPr>
          <w:rFonts w:ascii="Arial" w:cs="Arial" w:eastAsia="Arial" w:hAnsi="Arial"/>
          <w:sz w:val="14"/>
          <w:szCs w:val="14"/>
          <w:color w:val="auto"/>
        </w:rPr>
        <w:t>is an Executive Vice President and is the group leader for the Company's Global Defense Group. Ms. Dahut joined our Company in 2002 and became a Senior Vice President</w:t>
      </w:r>
      <w:r>
        <w:rPr>
          <w:rFonts w:ascii="Arial" w:cs="Arial" w:eastAsia="Arial" w:hAnsi="Arial"/>
          <w:sz w:val="14"/>
          <w:szCs w:val="14"/>
          <w:i w:val="1"/>
          <w:iCs w:val="1"/>
          <w:color w:val="auto"/>
        </w:rPr>
        <w:t xml:space="preserve"> </w:t>
      </w:r>
      <w:r>
        <w:rPr>
          <w:rFonts w:ascii="Arial" w:cs="Arial" w:eastAsia="Arial" w:hAnsi="Arial"/>
          <w:sz w:val="14"/>
          <w:szCs w:val="14"/>
          <w:color w:val="auto"/>
        </w:rPr>
        <w:t>in 2004. Ms. Dahut led the Company's Strategic Innovations Group from 2012 to April 2016 and the Civil Commercial Group from 2016 to March 2018. Previously, she also led the Company's Analytics business and its US Navy and Marine Corps business. Ms. Dahut is a board member of DexCom, Inc. She also serves on the board of the Northern Virginia Technology Council and the Smithsonian National Air and Space Museum.</w:t>
      </w:r>
    </w:p>
    <w:p>
      <w:pPr>
        <w:spacing w:after="0" w:line="61" w:lineRule="exact"/>
        <w:rPr>
          <w:sz w:val="20"/>
          <w:szCs w:val="20"/>
          <w:color w:val="auto"/>
        </w:rPr>
      </w:pPr>
    </w:p>
    <w:p>
      <w:pPr>
        <w:ind w:right="80" w:firstLine="350"/>
        <w:spacing w:after="0" w:line="288" w:lineRule="auto"/>
        <w:rPr>
          <w:sz w:val="20"/>
          <w:szCs w:val="20"/>
          <w:color w:val="auto"/>
        </w:rPr>
      </w:pPr>
      <w:r>
        <w:rPr>
          <w:rFonts w:ascii="Arial" w:cs="Arial" w:eastAsia="Arial" w:hAnsi="Arial"/>
          <w:sz w:val="13"/>
          <w:szCs w:val="13"/>
          <w:i w:val="1"/>
          <w:iCs w:val="1"/>
          <w:color w:val="auto"/>
        </w:rPr>
        <w:t xml:space="preserve">Judith Dotson </w:t>
      </w:r>
      <w:r>
        <w:rPr>
          <w:rFonts w:ascii="Arial" w:cs="Arial" w:eastAsia="Arial" w:hAnsi="Arial"/>
          <w:sz w:val="13"/>
          <w:szCs w:val="13"/>
          <w:color w:val="auto"/>
        </w:rPr>
        <w:t>is an Executive Vice President and is the group leader for the Company's National Security Group. Ms. Dotson joined our Company in 1989 and became a Senior Vice President</w:t>
      </w:r>
      <w:r>
        <w:rPr>
          <w:rFonts w:ascii="Arial" w:cs="Arial" w:eastAsia="Arial" w:hAnsi="Arial"/>
          <w:sz w:val="13"/>
          <w:szCs w:val="13"/>
          <w:i w:val="1"/>
          <w:iCs w:val="1"/>
          <w:color w:val="auto"/>
        </w:rPr>
        <w:t xml:space="preserve"> </w:t>
      </w:r>
      <w:r>
        <w:rPr>
          <w:rFonts w:ascii="Arial" w:cs="Arial" w:eastAsia="Arial" w:hAnsi="Arial"/>
          <w:sz w:val="13"/>
          <w:szCs w:val="13"/>
          <w:color w:val="auto"/>
        </w:rPr>
        <w:t>in 2004. Ms. Dotson led the Company's Finance, Economic Development, and Energy business from 2014 to March 2017 and the Joint Combatant Command business from 2017 to March 2020. Previously, she led the Company's Enterprise Integration Capability Development Team, the Defense System Development Capability Team, and the Environment &amp; Energy Technology Team. Ms. Dotson served on the board of directors for the Nature Generation, a not-for-profit that inspires and empowers environmental stewardship in youth.</w:t>
      </w:r>
    </w:p>
    <w:p>
      <w:pPr>
        <w:spacing w:after="0" w:line="46" w:lineRule="exact"/>
        <w:rPr>
          <w:sz w:val="20"/>
          <w:szCs w:val="20"/>
          <w:color w:val="auto"/>
        </w:rPr>
      </w:pPr>
    </w:p>
    <w:p>
      <w:pPr>
        <w:jc w:val="both"/>
        <w:ind w:right="100" w:firstLine="350"/>
        <w:spacing w:after="0" w:line="262" w:lineRule="auto"/>
        <w:rPr>
          <w:sz w:val="20"/>
          <w:szCs w:val="20"/>
          <w:color w:val="auto"/>
        </w:rPr>
      </w:pPr>
      <w:r>
        <w:rPr>
          <w:rFonts w:ascii="Arial" w:cs="Arial" w:eastAsia="Arial" w:hAnsi="Arial"/>
          <w:sz w:val="14"/>
          <w:szCs w:val="14"/>
          <w:i w:val="1"/>
          <w:iCs w:val="1"/>
          <w:color w:val="auto"/>
        </w:rPr>
        <w:t xml:space="preserve">Nancy J. Laben </w:t>
      </w:r>
      <w:r>
        <w:rPr>
          <w:rFonts w:ascii="Arial" w:cs="Arial" w:eastAsia="Arial" w:hAnsi="Arial"/>
          <w:sz w:val="14"/>
          <w:szCs w:val="14"/>
          <w:color w:val="auto"/>
        </w:rPr>
        <w:t>is an Executive Vice President of our Company and our Chief Legal Officer. She also served as the Secretary until August 2019. Ms. Laben joined our Company in September</w:t>
      </w:r>
      <w:r>
        <w:rPr>
          <w:rFonts w:ascii="Arial" w:cs="Arial" w:eastAsia="Arial" w:hAnsi="Arial"/>
          <w:sz w:val="14"/>
          <w:szCs w:val="14"/>
          <w:i w:val="1"/>
          <w:iCs w:val="1"/>
          <w:color w:val="auto"/>
        </w:rPr>
        <w:t xml:space="preserve"> </w:t>
      </w:r>
      <w:r>
        <w:rPr>
          <w:rFonts w:ascii="Arial" w:cs="Arial" w:eastAsia="Arial" w:hAnsi="Arial"/>
          <w:sz w:val="14"/>
          <w:szCs w:val="14"/>
          <w:color w:val="auto"/>
        </w:rPr>
        <w:t>2013. She oversees the Legal functions, Ethics &amp; Compliance, and Corporate Affairs. Before joining our Company, Ms. Laben served as General Counsel of AECOM Technology Corporation from June 2010 to August 2013, where she was responsible for all legal support. Prior to June 2010, Ms. Laben served as Deputy General Counsel at Accenture plc beginning in 1989. Prior to Accenture, Ms. Laben served in the law department at IBM Corporation.</w:t>
      </w:r>
    </w:p>
    <w:p>
      <w:pPr>
        <w:spacing w:after="0" w:line="61" w:lineRule="exact"/>
        <w:rPr>
          <w:sz w:val="20"/>
          <w:szCs w:val="20"/>
          <w:color w:val="auto"/>
        </w:rPr>
      </w:pPr>
    </w:p>
    <w:p>
      <w:pPr>
        <w:ind w:right="20" w:firstLine="350"/>
        <w:spacing w:after="0" w:line="260" w:lineRule="auto"/>
        <w:rPr>
          <w:sz w:val="20"/>
          <w:szCs w:val="20"/>
          <w:color w:val="auto"/>
        </w:rPr>
      </w:pPr>
      <w:r>
        <w:rPr>
          <w:rFonts w:ascii="Arial" w:cs="Arial" w:eastAsia="Arial" w:hAnsi="Arial"/>
          <w:sz w:val="14"/>
          <w:szCs w:val="14"/>
          <w:i w:val="1"/>
          <w:iCs w:val="1"/>
          <w:color w:val="auto"/>
        </w:rPr>
        <w:t xml:space="preserve">Gary Labovich </w:t>
      </w:r>
      <w:r>
        <w:rPr>
          <w:rFonts w:ascii="Arial" w:cs="Arial" w:eastAsia="Arial" w:hAnsi="Arial"/>
          <w:sz w:val="14"/>
          <w:szCs w:val="14"/>
          <w:color w:val="auto"/>
        </w:rPr>
        <w:t>is an Executive Vice President and leads the modernization of our management systems as the Next Generation Modernization Lead. He joined Booz Allen in July 2004. Mr.</w:t>
      </w:r>
      <w:r>
        <w:rPr>
          <w:rFonts w:ascii="Arial" w:cs="Arial" w:eastAsia="Arial" w:hAnsi="Arial"/>
          <w:sz w:val="14"/>
          <w:szCs w:val="14"/>
          <w:i w:val="1"/>
          <w:iCs w:val="1"/>
          <w:color w:val="auto"/>
        </w:rPr>
        <w:t xml:space="preserve"> </w:t>
      </w:r>
      <w:r>
        <w:rPr>
          <w:rFonts w:ascii="Arial" w:cs="Arial" w:eastAsia="Arial" w:hAnsi="Arial"/>
          <w:sz w:val="14"/>
          <w:szCs w:val="14"/>
          <w:color w:val="auto"/>
        </w:rPr>
        <w:t>Labovich has led the Company's systems delivery and digital businesses as well as the delivery of the Company's financial services capabilities and service offerings to both federal and private sector clients. Prior to joining the Company, Mr. Labovich spent 18 years at American Management Systems in key roles as both an entrepreneur and a senior executive specializing in systems development and strategic consulting for federal, state, local, and commercial organizations. Mr. Labovich is a former chair and a member of the board of trustees for the Greater DC Maryland Chapter of the National Multiple Sclerosis Society and serves on the board of trustees for Clark University.</w:t>
      </w:r>
    </w:p>
    <w:p>
      <w:pPr>
        <w:spacing w:after="0" w:line="62" w:lineRule="exact"/>
        <w:rPr>
          <w:sz w:val="20"/>
          <w:szCs w:val="20"/>
          <w:color w:val="auto"/>
        </w:rPr>
      </w:pPr>
    </w:p>
    <w:p>
      <w:pPr>
        <w:ind w:firstLine="350"/>
        <w:spacing w:after="0" w:line="319" w:lineRule="auto"/>
        <w:rPr>
          <w:sz w:val="20"/>
          <w:szCs w:val="20"/>
          <w:color w:val="auto"/>
        </w:rPr>
      </w:pPr>
      <w:r>
        <w:rPr>
          <w:rFonts w:ascii="Arial" w:cs="Arial" w:eastAsia="Arial" w:hAnsi="Arial"/>
          <w:sz w:val="12"/>
          <w:szCs w:val="12"/>
          <w:i w:val="1"/>
          <w:iCs w:val="1"/>
          <w:color w:val="auto"/>
        </w:rPr>
        <w:t xml:space="preserve">Susan L. Penfield </w:t>
      </w:r>
      <w:r>
        <w:rPr>
          <w:rFonts w:ascii="Arial" w:cs="Arial" w:eastAsia="Arial" w:hAnsi="Arial"/>
          <w:sz w:val="12"/>
          <w:szCs w:val="12"/>
          <w:color w:val="auto"/>
        </w:rPr>
        <w:t>is an Executive Vice President and our Chief Innovation Officer, and leads our Strategic Innovation Group. Ms. Penfield joined the Company in 1994. She has over 25 years</w:t>
      </w:r>
      <w:r>
        <w:rPr>
          <w:rFonts w:ascii="Arial" w:cs="Arial" w:eastAsia="Arial" w:hAnsi="Arial"/>
          <w:sz w:val="12"/>
          <w:szCs w:val="12"/>
          <w:i w:val="1"/>
          <w:iCs w:val="1"/>
          <w:color w:val="auto"/>
        </w:rPr>
        <w:t xml:space="preserve"> </w:t>
      </w:r>
      <w:r>
        <w:rPr>
          <w:rFonts w:ascii="Arial" w:cs="Arial" w:eastAsia="Arial" w:hAnsi="Arial"/>
          <w:sz w:val="12"/>
          <w:szCs w:val="12"/>
          <w:color w:val="auto"/>
        </w:rPr>
        <w:t>of strategy, technology, marketing, and solutions delivery experience. Prior to joining the Strategic Innovation Group, Ms. Penfield led the Company's Health business, where she drove technology and transformation initiatives across the federal, commercial, and non-profit health space. She serves as Chair of the board of directors of the Children's Inn at the National Institutes of Health, and also on the board of directors of Seed Spot Inc. Ms. Penfield is a member of the National Association for Female Executives (NAFE), and was recognized by the NAFE as its 2015 Digital Trailblazer.</w:t>
      </w:r>
    </w:p>
    <w:p>
      <w:pPr>
        <w:spacing w:after="0" w:line="30" w:lineRule="exact"/>
        <w:rPr>
          <w:sz w:val="20"/>
          <w:szCs w:val="20"/>
          <w:color w:val="auto"/>
        </w:rPr>
      </w:pPr>
    </w:p>
    <w:p>
      <w:pPr>
        <w:ind w:right="280" w:firstLine="350"/>
        <w:spacing w:after="0" w:line="281" w:lineRule="auto"/>
        <w:rPr>
          <w:sz w:val="20"/>
          <w:szCs w:val="20"/>
          <w:color w:val="auto"/>
        </w:rPr>
      </w:pPr>
      <w:r>
        <w:rPr>
          <w:rFonts w:ascii="Arial" w:cs="Arial" w:eastAsia="Arial" w:hAnsi="Arial"/>
          <w:sz w:val="14"/>
          <w:szCs w:val="14"/>
          <w:i w:val="1"/>
          <w:iCs w:val="1"/>
          <w:color w:val="auto"/>
        </w:rPr>
        <w:t xml:space="preserve">Elizabeth M. Thompson </w:t>
      </w:r>
      <w:r>
        <w:rPr>
          <w:rFonts w:ascii="Arial" w:cs="Arial" w:eastAsia="Arial" w:hAnsi="Arial"/>
          <w:sz w:val="14"/>
          <w:szCs w:val="14"/>
          <w:color w:val="auto"/>
        </w:rPr>
        <w:t>is an Executive Vice President of our Company and serves as our Chief People Officer. Ms. Thompson joined our Company in 2008. Ms. Thompson served as Vice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of Human Resources for Fannie Mae from 2000 to 2008. Ms. Thompson sits on the board of the Society for Human Resource Management.</w:t>
      </w:r>
    </w:p>
    <w:p>
      <w:pPr>
        <w:spacing w:after="0" w:line="47"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i w:val="1"/>
          <w:iCs w:val="1"/>
          <w:color w:val="auto"/>
        </w:rPr>
        <w:t xml:space="preserve">Laura S. Adams </w:t>
      </w:r>
      <w:r>
        <w:rPr>
          <w:rFonts w:ascii="Arial" w:cs="Arial" w:eastAsia="Arial" w:hAnsi="Arial"/>
          <w:sz w:val="14"/>
          <w:szCs w:val="14"/>
          <w:color w:val="auto"/>
        </w:rPr>
        <w:t>is a Vice President of our Company and our Chief Accounting Officer. Ms. Adams joined Booz Allen in January 2009 and has served as the Company’s Chief Accounting</w:t>
      </w:r>
      <w:r>
        <w:rPr>
          <w:rFonts w:ascii="Arial" w:cs="Arial" w:eastAsia="Arial" w:hAnsi="Arial"/>
          <w:sz w:val="14"/>
          <w:szCs w:val="14"/>
          <w:i w:val="1"/>
          <w:iCs w:val="1"/>
          <w:color w:val="auto"/>
        </w:rPr>
        <w:t xml:space="preserve"> </w:t>
      </w:r>
      <w:r>
        <w:rPr>
          <w:rFonts w:ascii="Arial" w:cs="Arial" w:eastAsia="Arial" w:hAnsi="Arial"/>
          <w:sz w:val="14"/>
          <w:szCs w:val="14"/>
          <w:color w:val="auto"/>
        </w:rPr>
        <w:t>Officer since 2016. Ms. Adams served as the Company’s Controller from July 2014 to May 2021. Ms. Adams brings more than 25 years of finance and accounting specialty and industry experience, primarily in aerospace and defense and government and commercial IT management consulting services. Before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44" w:name="page45"/>
    <w:bookmarkEnd w:id="44"/>
    <w:p>
      <w:pPr>
        <w:spacing w:after="0"/>
        <w:rPr>
          <w:sz w:val="20"/>
          <w:szCs w:val="20"/>
          <w:color w:val="auto"/>
        </w:rPr>
      </w:pPr>
      <w:r>
        <w:rPr>
          <w:rFonts w:ascii="Arial" w:cs="Arial" w:eastAsia="Arial" w:hAnsi="Arial"/>
          <w:sz w:val="12"/>
          <w:szCs w:val="12"/>
          <w:color w:val="auto"/>
        </w:rPr>
        <w:t>joining Booz Allen, Ms. Adams was a senior manager in the audit and assurance practice of Ernst &amp; Young from 1995 through 2008.</w:t>
      </w:r>
    </w:p>
    <w:p>
      <w:pPr>
        <w:sectPr>
          <w:pgSz w:w="11900" w:h="16838" w:orient="portrait"/>
          <w:cols w:equalWidth="0" w:num="1">
            <w:col w:w="10159"/>
          </w:cols>
          <w:pgMar w:left="300" w:top="818"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18" w:right="1440" w:bottom="144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5</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Our Class A Common Stock began trading on the New York Stock Exchange on November 17, 2010. On May 10, 2021, there were 217,583 beneficial holders of our Class A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listed on the New York Stock Exchange under the ticker symbol "BAH".</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98"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Company plans to continue paying recurring dividends in the future and assessing its excess cash resources to determine the best way to utilize its excess cash flow to meet its objectives. Any future dividends declared will be at the discretion of the Board and will depend, among other factors, upon our earnings, liquidity, financial condition, alternate capital allocation opportunities, or any other factors the Board deems relevant. On May 21, 2021, the Company announced that the Board had declared a quarterly cash dividend of $0.37 per share. Payment of the dividend will be made on June 30, 2021 to stockholders of record at the close of business on June 15, 2021.</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8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following table shows the share repurchase activity for each of the three months in the quarter ended March 31, 2021:</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Approximate Dollar Value of</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Total Number of Shares</w:t>
            </w: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3"/>
              <w:spacing w:after="0" w:line="128" w:lineRule="exact"/>
              <w:rPr>
                <w:sz w:val="20"/>
                <w:szCs w:val="20"/>
                <w:color w:val="auto"/>
              </w:rPr>
            </w:pPr>
            <w:r>
              <w:rPr>
                <w:rFonts w:ascii="Arial" w:cs="Arial" w:eastAsia="Arial" w:hAnsi="Arial"/>
                <w:sz w:val="13"/>
                <w:szCs w:val="13"/>
                <w:b w:val="1"/>
                <w:bCs w:val="1"/>
                <w:color w:val="auto"/>
                <w:w w:val="89"/>
              </w:rPr>
              <w:t>Shares that May Yet Be</w:t>
            </w: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1660"/>
              <w:spacing w:after="0"/>
              <w:rPr>
                <w:sz w:val="20"/>
                <w:szCs w:val="20"/>
                <w:color w:val="auto"/>
              </w:rPr>
            </w:pPr>
            <w:r>
              <w:rPr>
                <w:rFonts w:ascii="Arial" w:cs="Arial" w:eastAsia="Arial" w:hAnsi="Arial"/>
                <w:sz w:val="13"/>
                <w:szCs w:val="13"/>
                <w:b w:val="1"/>
                <w:bCs w:val="1"/>
                <w:color w:val="auto"/>
              </w:rPr>
              <w:t>Period</w:t>
            </w:r>
          </w:p>
        </w:tc>
        <w:tc>
          <w:tcPr>
            <w:tcW w:w="17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8"/>
              </w:rPr>
              <w:t>Average Price Paid per Share</w:t>
            </w:r>
          </w:p>
        </w:tc>
        <w:tc>
          <w:tcPr>
            <w:tcW w:w="18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7"/>
              </w:rPr>
              <w:t>Purchased 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3"/>
              <w:spacing w:after="0" w:line="128" w:lineRule="exact"/>
              <w:rPr>
                <w:sz w:val="20"/>
                <w:szCs w:val="20"/>
                <w:color w:val="auto"/>
              </w:rPr>
            </w:pPr>
            <w:r>
              <w:rPr>
                <w:rFonts w:ascii="Arial" w:cs="Arial" w:eastAsia="Arial" w:hAnsi="Arial"/>
                <w:sz w:val="13"/>
                <w:szCs w:val="13"/>
                <w:b w:val="1"/>
                <w:bCs w:val="1"/>
                <w:color w:val="auto"/>
                <w:w w:val="88"/>
              </w:rPr>
              <w:t>Purchased Under the Plans or</w:t>
            </w:r>
          </w:p>
        </w:tc>
        <w:tc>
          <w:tcPr>
            <w:tcW w:w="0" w:type="dxa"/>
            <w:vAlign w:val="bottom"/>
          </w:tcPr>
          <w:p>
            <w:pPr>
              <w:spacing w:after="0"/>
              <w:rPr>
                <w:sz w:val="1"/>
                <w:szCs w:val="1"/>
                <w:color w:val="auto"/>
              </w:rPr>
            </w:pPr>
          </w:p>
        </w:tc>
      </w:tr>
      <w:tr>
        <w:trPr>
          <w:trHeight w:val="168"/>
        </w:trPr>
        <w:tc>
          <w:tcPr>
            <w:tcW w:w="3760" w:type="dxa"/>
            <w:vAlign w:val="bottom"/>
            <w:gridSpan w:val="2"/>
            <w:vMerge w:val="continue"/>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3"/>
                <w:szCs w:val="13"/>
                <w:b w:val="1"/>
                <w:bCs w:val="1"/>
                <w:color w:val="auto"/>
                <w:w w:val="84"/>
              </w:rPr>
              <w:t>Purchased</w:t>
            </w:r>
          </w:p>
        </w:tc>
        <w:tc>
          <w:tcPr>
            <w:tcW w:w="8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87"/>
              </w:rPr>
              <w:t>Announced Plans or Programs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right="33"/>
              <w:spacing w:after="0"/>
              <w:rPr>
                <w:sz w:val="20"/>
                <w:szCs w:val="20"/>
                <w:color w:val="auto"/>
              </w:rPr>
            </w:pPr>
            <w:r>
              <w:rPr>
                <w:rFonts w:ascii="Arial" w:cs="Arial" w:eastAsia="Arial" w:hAnsi="Arial"/>
                <w:sz w:val="13"/>
                <w:szCs w:val="13"/>
                <w:b w:val="1"/>
                <w:bCs w:val="1"/>
                <w:color w:val="auto"/>
                <w:w w:val="89"/>
              </w:rPr>
              <w:t>Programs (1)</w:t>
            </w:r>
          </w:p>
        </w:tc>
        <w:tc>
          <w:tcPr>
            <w:tcW w:w="0" w:type="dxa"/>
            <w:vAlign w:val="bottom"/>
          </w:tcPr>
          <w:p>
            <w:pPr>
              <w:spacing w:after="0"/>
              <w:rPr>
                <w:sz w:val="1"/>
                <w:szCs w:val="1"/>
                <w:color w:val="auto"/>
              </w:rPr>
            </w:pPr>
          </w:p>
        </w:tc>
      </w:tr>
      <w:tr>
        <w:trPr>
          <w:trHeight w:val="173"/>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January 2021</w:t>
            </w:r>
          </w:p>
        </w:tc>
        <w:tc>
          <w:tcPr>
            <w:tcW w:w="10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174,150</w:t>
            </w:r>
          </w:p>
        </w:tc>
        <w:tc>
          <w:tcPr>
            <w:tcW w:w="8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$86.13</w:t>
            </w: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174,150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746,460,898</w:t>
            </w: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February 2021</w:t>
            </w:r>
          </w:p>
        </w:tc>
        <w:tc>
          <w:tcPr>
            <w:tcW w:w="1760" w:type="dxa"/>
            <w:vAlign w:val="bottom"/>
          </w:tcPr>
          <w:p>
            <w:pPr>
              <w:jc w:val="center"/>
              <w:spacing w:after="0"/>
              <w:rPr>
                <w:sz w:val="20"/>
                <w:szCs w:val="20"/>
                <w:color w:val="auto"/>
              </w:rPr>
            </w:pPr>
            <w:r>
              <w:rPr>
                <w:rFonts w:ascii="Arial" w:cs="Arial" w:eastAsia="Arial" w:hAnsi="Arial"/>
                <w:sz w:val="14"/>
                <w:szCs w:val="14"/>
                <w:color w:val="auto"/>
                <w:w w:val="90"/>
              </w:rPr>
              <w:t>367,649</w:t>
            </w:r>
          </w:p>
        </w:tc>
        <w:tc>
          <w:tcPr>
            <w:tcW w:w="1860" w:type="dxa"/>
            <w:vAlign w:val="bottom"/>
            <w:gridSpan w:val="2"/>
          </w:tcPr>
          <w:p>
            <w:pPr>
              <w:jc w:val="center"/>
              <w:ind w:left="9"/>
              <w:spacing w:after="0"/>
              <w:rPr>
                <w:sz w:val="20"/>
                <w:szCs w:val="20"/>
                <w:color w:val="auto"/>
              </w:rPr>
            </w:pPr>
            <w:r>
              <w:rPr>
                <w:rFonts w:ascii="Arial" w:cs="Arial" w:eastAsia="Arial" w:hAnsi="Arial"/>
                <w:sz w:val="14"/>
                <w:szCs w:val="14"/>
                <w:color w:val="auto"/>
                <w:w w:val="88"/>
              </w:rPr>
              <w:t>$81.60</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0"/>
              </w:rPr>
              <w:t>367,649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716,460,897</w:t>
            </w:r>
          </w:p>
        </w:tc>
        <w:tc>
          <w:tcPr>
            <w:tcW w:w="0" w:type="dxa"/>
            <w:vAlign w:val="bottom"/>
          </w:tcPr>
          <w:p>
            <w:pPr>
              <w:spacing w:after="0"/>
              <w:rPr>
                <w:sz w:val="1"/>
                <w:szCs w:val="1"/>
                <w:color w:val="auto"/>
              </w:rPr>
            </w:pPr>
          </w:p>
        </w:tc>
      </w:tr>
      <w:tr>
        <w:trPr>
          <w:trHeight w:val="180"/>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2021</w:t>
            </w: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1,593,590</w:t>
            </w:r>
          </w:p>
        </w:tc>
        <w:tc>
          <w:tcPr>
            <w:tcW w:w="1860" w:type="dxa"/>
            <w:vAlign w:val="bottom"/>
            <w:gridSpan w:val="2"/>
            <w:shd w:val="clear" w:color="auto" w:fill="CCEEFF"/>
          </w:tcPr>
          <w:p>
            <w:pPr>
              <w:jc w:val="center"/>
              <w:ind w:left="9"/>
              <w:spacing w:after="0"/>
              <w:rPr>
                <w:sz w:val="20"/>
                <w:szCs w:val="20"/>
                <w:color w:val="auto"/>
              </w:rPr>
            </w:pPr>
            <w:r>
              <w:rPr>
                <w:rFonts w:ascii="Arial" w:cs="Arial" w:eastAsia="Arial" w:hAnsi="Arial"/>
                <w:sz w:val="14"/>
                <w:szCs w:val="14"/>
                <w:color w:val="auto"/>
                <w:w w:val="88"/>
              </w:rPr>
              <w:t>$78.44</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1,593,590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591,460,956</w:t>
            </w:r>
          </w:p>
        </w:tc>
        <w:tc>
          <w:tcPr>
            <w:tcW w:w="0" w:type="dxa"/>
            <w:vAlign w:val="bottom"/>
          </w:tcPr>
          <w:p>
            <w:pPr>
              <w:spacing w:after="0"/>
              <w:rPr>
                <w:sz w:val="1"/>
                <w:szCs w:val="1"/>
                <w:color w:val="auto"/>
              </w:rPr>
            </w:pPr>
          </w:p>
        </w:tc>
      </w:tr>
      <w:tr>
        <w:trPr>
          <w:trHeight w:val="171"/>
        </w:trPr>
        <w:tc>
          <w:tcPr>
            <w:tcW w:w="3760" w:type="dxa"/>
            <w:vAlign w:val="bottom"/>
            <w:gridSpan w:val="2"/>
          </w:tcPr>
          <w:p>
            <w:pPr>
              <w:ind w:left="520"/>
              <w:spacing w:after="0"/>
              <w:rPr>
                <w:sz w:val="20"/>
                <w:szCs w:val="20"/>
                <w:color w:val="auto"/>
              </w:rPr>
            </w:pPr>
            <w:r>
              <w:rPr>
                <w:rFonts w:ascii="Arial" w:cs="Arial" w:eastAsia="Arial" w:hAnsi="Arial"/>
                <w:sz w:val="14"/>
                <w:szCs w:val="14"/>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9"/>
              </w:rPr>
              <w:t>2,135,389</w:t>
            </w:r>
          </w:p>
        </w:tc>
        <w:tc>
          <w:tcPr>
            <w:tcW w:w="80" w:type="dxa"/>
            <w:vAlign w:val="bottom"/>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2,135,389</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20" w:right="40" w:hanging="515"/>
        <w:spacing w:after="0" w:line="260" w:lineRule="auto"/>
        <w:tabs>
          <w:tab w:leader="none" w:pos="515"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December 12, 2011, the Board approved a $30.0 million share repurchase program, which was further increased by the Board on (i) January 27, 2015 to $180.0 million, (ii) January 25, 2017 to $410.0 million, (iii) November 2, 2017 to $610.0 million, (iv) May 24, 2018 to $910.0 million, (v) May 23, 2019 to $1,310.0 million and (vi) January 27, 2021 to $1,710.0 million. As of March 31, 2021, the Company had approximately $591.5 million remaining under the repurchase program. A special committee of the Board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 from Registered Securities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color w:val="auto"/>
        </w:rPr>
        <w:t>Performance</w:t>
      </w:r>
    </w:p>
    <w:p>
      <w:pPr>
        <w:spacing w:after="0" w:line="87" w:lineRule="exact"/>
        <w:rPr>
          <w:sz w:val="20"/>
          <w:szCs w:val="20"/>
          <w:color w:val="auto"/>
        </w:rPr>
      </w:pPr>
    </w:p>
    <w:p>
      <w:pPr>
        <w:ind w:right="80" w:firstLine="350"/>
        <w:spacing w:after="0" w:line="260" w:lineRule="auto"/>
        <w:rPr>
          <w:sz w:val="20"/>
          <w:szCs w:val="20"/>
          <w:color w:val="auto"/>
        </w:rPr>
      </w:pPr>
      <w:r>
        <w:rPr>
          <w:rFonts w:ascii="Arial" w:cs="Arial" w:eastAsia="Arial" w:hAnsi="Arial"/>
          <w:sz w:val="14"/>
          <w:szCs w:val="14"/>
          <w:color w:val="auto"/>
        </w:rPr>
        <w:t>The graph set forth below compares the cumulative shareholder return on our Class A Common Stock between March 31, 2016 and March 31, 2021, to the cumulative return of (i) the Russell 1000 Index and (ii) S&amp;P Software &amp; Services Select Industry Index over the same period. The Russell 1000 and S&amp;P Software &amp; Services Select Industry Indices represent comparator groups for relative cumulative return performance to Booz Allen Hamilton. This graph assumes an initial investment of $100 on March 31, 2016 in our Class A Common Stock, the Russell 1000 Index, and the S&amp;P Software &amp; Services Select Industry Index and assumes the reinvestment of dividends, if any.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32385</wp:posOffset>
            </wp:positionV>
            <wp:extent cx="4594860" cy="2870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94860"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ASSUMES $100 INVESTED ON MARCH 31, 2016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ASSUMES DIVIDEND REINVESTED</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Company/Market/Peer Group</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3/31/2016</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3/31/2017</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3/31/2018</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3/31/2019</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3/31/2020</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3/31/2021</w:t>
            </w:r>
          </w:p>
        </w:tc>
      </w:tr>
      <w:tr>
        <w:trPr>
          <w:trHeight w:val="175"/>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Booz Allen Hamilton Holding Corp.</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202.85</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242.99</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289.56</w:t>
            </w: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Russell 1000 Index</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117.43</w:t>
            </w:r>
          </w:p>
        </w:tc>
        <w:tc>
          <w:tcPr>
            <w:tcW w:w="14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133.84</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146.29</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3"/>
              <w:spacing w:after="0"/>
              <w:rPr>
                <w:sz w:val="20"/>
                <w:szCs w:val="20"/>
                <w:color w:val="auto"/>
              </w:rPr>
            </w:pPr>
            <w:r>
              <w:rPr>
                <w:rFonts w:ascii="Arial" w:cs="Arial" w:eastAsia="Arial" w:hAnsi="Arial"/>
                <w:sz w:val="14"/>
                <w:szCs w:val="14"/>
                <w:color w:val="auto"/>
              </w:rPr>
              <w:t>134.55</w:t>
            </w:r>
          </w:p>
        </w:tc>
        <w:tc>
          <w:tcPr>
            <w:tcW w:w="2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216.07</w:t>
            </w: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S&amp;P Software &amp; Services Select Industry Index</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202.00</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177.20</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340.99</w:t>
            </w:r>
          </w:p>
        </w:tc>
      </w:tr>
    </w:tbl>
    <w:p>
      <w:pPr>
        <w:spacing w:after="0" w:line="53"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This performance graph and other information furnished under this Part II Item 5 of this Annual Report shall not be deemed to be “soliciting material” or to be “filed” with the SEC or subject to Regulation 14A or 14C, or to the liabilities of Section 18 of the Exchange Act.</w:t>
      </w:r>
    </w:p>
    <w:p>
      <w:pPr>
        <w:spacing w:after="0" w:line="200" w:lineRule="exact"/>
        <w:rPr>
          <w:sz w:val="20"/>
          <w:szCs w:val="20"/>
          <w:color w:val="auto"/>
        </w:rPr>
      </w:pPr>
    </w:p>
    <w:p>
      <w:pPr>
        <w:spacing w:after="0" w:line="21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Item 6</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87" w:lineRule="exact"/>
        <w:rPr>
          <w:sz w:val="20"/>
          <w:szCs w:val="20"/>
          <w:color w:val="auto"/>
        </w:rPr>
      </w:pPr>
    </w:p>
    <w:p>
      <w:pPr>
        <w:ind w:right="140" w:firstLine="350"/>
        <w:spacing w:after="0" w:line="262" w:lineRule="auto"/>
        <w:rPr>
          <w:sz w:val="20"/>
          <w:szCs w:val="20"/>
          <w:color w:val="auto"/>
        </w:rPr>
      </w:pPr>
      <w:r>
        <w:rPr>
          <w:rFonts w:ascii="Arial" w:cs="Arial" w:eastAsia="Arial" w:hAnsi="Arial"/>
          <w:sz w:val="14"/>
          <w:szCs w:val="14"/>
          <w:color w:val="auto"/>
        </w:rPr>
        <w:t>The selected consolidated statements of operations data for fiscal 2021, fiscal 2020, and fiscal 2019 and the selected consolidated balance sheet data as of March 31, 2021 and 2020 have been derived from our audited consolidated financial statements included elsewhere in this Annual Report. The selected consolidated statement of operations data for fiscal 2018 and fiscal 2017 and the selected consolidated balance sheet data as of March 31, 2019, 2018 and 2017 have been derived from audited consolidated financial statements which are not included in this Annual Report. Our historical results are not necessarily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7" w:name="page48"/>
    <w:bookmarkEnd w:id="47"/>
    <w:p>
      <w:pPr>
        <w:ind w:right="380"/>
        <w:spacing w:after="0" w:line="281" w:lineRule="auto"/>
        <w:rPr>
          <w:sz w:val="20"/>
          <w:szCs w:val="20"/>
          <w:color w:val="auto"/>
        </w:rPr>
      </w:pPr>
      <w:r>
        <w:rPr>
          <w:rFonts w:ascii="Arial" w:cs="Arial" w:eastAsia="Arial" w:hAnsi="Arial"/>
          <w:sz w:val="14"/>
          <w:szCs w:val="14"/>
          <w:color w:val="auto"/>
        </w:rPr>
        <w:t>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1"/>
                <w:szCs w:val="11"/>
                <w:b w:val="1"/>
                <w:bCs w:val="1"/>
                <w:color w:val="auto"/>
                <w:w w:val="94"/>
              </w:rPr>
              <w:t>Fiscal Year Ended March 31,</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38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share and per share data)</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2017</w:t>
            </w:r>
          </w:p>
        </w:tc>
        <w:tc>
          <w:tcPr>
            <w:tcW w:w="0" w:type="dxa"/>
            <w:vAlign w:val="bottom"/>
          </w:tcPr>
          <w:p>
            <w:pPr>
              <w:spacing w:after="0"/>
              <w:rPr>
                <w:sz w:val="1"/>
                <w:szCs w:val="1"/>
                <w:color w:val="auto"/>
              </w:rPr>
            </w:pPr>
          </w:p>
        </w:tc>
      </w:tr>
      <w:tr>
        <w:trPr>
          <w:trHeight w:val="129"/>
        </w:trPr>
        <w:tc>
          <w:tcPr>
            <w:tcW w:w="5380" w:type="dxa"/>
            <w:vAlign w:val="bottom"/>
          </w:tcPr>
          <w:p>
            <w:pPr>
              <w:ind w:left="20"/>
              <w:spacing w:after="0"/>
              <w:rPr>
                <w:sz w:val="20"/>
                <w:szCs w:val="20"/>
                <w:color w:val="auto"/>
              </w:rPr>
            </w:pPr>
            <w:r>
              <w:rPr>
                <w:rFonts w:ascii="Arial" w:cs="Arial" w:eastAsia="Arial" w:hAnsi="Arial"/>
                <w:sz w:val="11"/>
                <w:szCs w:val="11"/>
                <w:b w:val="1"/>
                <w:bCs w:val="1"/>
                <w:color w:val="auto"/>
              </w:rPr>
              <w:t>Consolidated Statements of Operations:</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7,858,938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7,463,841</w:t>
            </w: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6,704,037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6,167,600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5,809,491</w:t>
            </w:r>
          </w:p>
        </w:tc>
        <w:tc>
          <w:tcPr>
            <w:tcW w:w="0" w:type="dxa"/>
            <w:vAlign w:val="bottom"/>
          </w:tcPr>
          <w:p>
            <w:pPr>
              <w:spacing w:after="0"/>
              <w:rPr>
                <w:sz w:val="1"/>
                <w:szCs w:val="1"/>
                <w:color w:val="auto"/>
              </w:rPr>
            </w:pPr>
          </w:p>
        </w:tc>
      </w:tr>
      <w:tr>
        <w:trPr>
          <w:trHeight w:val="147"/>
        </w:trPr>
        <w:tc>
          <w:tcPr>
            <w:tcW w:w="5380" w:type="dxa"/>
            <w:vAlign w:val="bottom"/>
          </w:tcPr>
          <w:p>
            <w:pPr>
              <w:ind w:left="20"/>
              <w:spacing w:after="0"/>
              <w:rPr>
                <w:sz w:val="20"/>
                <w:szCs w:val="20"/>
                <w:color w:val="auto"/>
              </w:rPr>
            </w:pPr>
            <w:r>
              <w:rPr>
                <w:rFonts w:ascii="Arial" w:cs="Arial" w:eastAsia="Arial" w:hAnsi="Arial"/>
                <w:sz w:val="11"/>
                <w:szCs w:val="11"/>
                <w:color w:val="auto"/>
              </w:rPr>
              <w:t>Operating costs and expenses: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3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Cost of revenue</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3,657,530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3,379,180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3,100,466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2,866,268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2,678,715</w:t>
            </w:r>
          </w:p>
        </w:tc>
        <w:tc>
          <w:tcPr>
            <w:tcW w:w="0" w:type="dxa"/>
            <w:vAlign w:val="bottom"/>
          </w:tcPr>
          <w:p>
            <w:pPr>
              <w:spacing w:after="0"/>
              <w:rPr>
                <w:sz w:val="1"/>
                <w:szCs w:val="1"/>
                <w:color w:val="auto"/>
              </w:rPr>
            </w:pPr>
          </w:p>
        </w:tc>
      </w:tr>
      <w:tr>
        <w:trPr>
          <w:trHeight w:val="147"/>
        </w:trPr>
        <w:tc>
          <w:tcPr>
            <w:tcW w:w="5380" w:type="dxa"/>
            <w:vAlign w:val="bottom"/>
          </w:tcPr>
          <w:p>
            <w:pPr>
              <w:ind w:left="120"/>
              <w:spacing w:after="0"/>
              <w:rPr>
                <w:sz w:val="20"/>
                <w:szCs w:val="20"/>
                <w:color w:val="auto"/>
              </w:rPr>
            </w:pPr>
            <w:r>
              <w:rPr>
                <w:rFonts w:ascii="Arial" w:cs="Arial" w:eastAsia="Arial" w:hAnsi="Arial"/>
                <w:sz w:val="11"/>
                <w:szCs w:val="11"/>
                <w:color w:val="auto"/>
              </w:rPr>
              <w:t>Billable expenses</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2,325,888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2,298,413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2,004,664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1,861,312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1,751,077</w:t>
            </w:r>
          </w:p>
        </w:tc>
        <w:tc>
          <w:tcPr>
            <w:tcW w:w="0" w:type="dxa"/>
            <w:vAlign w:val="bottom"/>
          </w:tcPr>
          <w:p>
            <w:pPr>
              <w:spacing w:after="0"/>
              <w:rPr>
                <w:sz w:val="1"/>
                <w:szCs w:val="1"/>
                <w:color w:val="auto"/>
              </w:rPr>
            </w:pPr>
          </w:p>
        </w:tc>
      </w:tr>
      <w:tr>
        <w:trPr>
          <w:trHeight w:val="150"/>
        </w:trPr>
        <w:tc>
          <w:tcPr>
            <w:tcW w:w="53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General and administrative expenses</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1,036,834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1,035,965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927,938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855,541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814,141</w:t>
            </w:r>
          </w:p>
        </w:tc>
        <w:tc>
          <w:tcPr>
            <w:tcW w:w="0" w:type="dxa"/>
            <w:vAlign w:val="bottom"/>
          </w:tcPr>
          <w:p>
            <w:pPr>
              <w:spacing w:after="0"/>
              <w:rPr>
                <w:sz w:val="1"/>
                <w:szCs w:val="1"/>
                <w:color w:val="auto"/>
              </w:rPr>
            </w:pPr>
          </w:p>
        </w:tc>
      </w:tr>
      <w:tr>
        <w:trPr>
          <w:trHeight w:val="147"/>
        </w:trPr>
        <w:tc>
          <w:tcPr>
            <w:tcW w:w="53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Depreciation and amortization</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84,315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81,081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68,575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64,756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59,544</w:t>
            </w:r>
          </w:p>
        </w:tc>
        <w:tc>
          <w:tcPr>
            <w:tcW w:w="0" w:type="dxa"/>
            <w:vAlign w:val="bottom"/>
          </w:tcPr>
          <w:p>
            <w:pPr>
              <w:spacing w:after="0"/>
              <w:rPr>
                <w:sz w:val="1"/>
                <w:szCs w:val="1"/>
                <w:color w:val="auto"/>
              </w:rPr>
            </w:pPr>
          </w:p>
        </w:tc>
      </w:tr>
      <w:tr>
        <w:trPr>
          <w:trHeight w:val="141"/>
        </w:trPr>
        <w:tc>
          <w:tcPr>
            <w:tcW w:w="5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operating costs and expenses</w:t>
            </w: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7,104,567</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6,794,639</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6,101,643</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5,647,877</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5,303,477</w:t>
            </w:r>
          </w:p>
        </w:tc>
        <w:tc>
          <w:tcPr>
            <w:tcW w:w="0" w:type="dxa"/>
            <w:vAlign w:val="bottom"/>
          </w:tcPr>
          <w:p>
            <w:pPr>
              <w:spacing w:after="0"/>
              <w:rPr>
                <w:sz w:val="1"/>
                <w:szCs w:val="1"/>
                <w:color w:val="auto"/>
              </w:rPr>
            </w:pPr>
          </w:p>
        </w:tc>
      </w:tr>
      <w:tr>
        <w:trPr>
          <w:trHeight w:val="137"/>
        </w:trPr>
        <w:tc>
          <w:tcPr>
            <w:tcW w:w="5380" w:type="dxa"/>
            <w:vAlign w:val="bottom"/>
          </w:tcPr>
          <w:p>
            <w:pPr>
              <w:ind w:left="20"/>
              <w:spacing w:after="0" w:line="125" w:lineRule="exact"/>
              <w:rPr>
                <w:sz w:val="20"/>
                <w:szCs w:val="20"/>
                <w:color w:val="auto"/>
              </w:rPr>
            </w:pPr>
            <w:r>
              <w:rPr>
                <w:rFonts w:ascii="Arial" w:cs="Arial" w:eastAsia="Arial" w:hAnsi="Arial"/>
                <w:sz w:val="11"/>
                <w:szCs w:val="11"/>
                <w:color w:val="auto"/>
              </w:rPr>
              <w:t>Operating income</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754,371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669,202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602,394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519,723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506,014</w:t>
            </w:r>
          </w:p>
        </w:tc>
        <w:tc>
          <w:tcPr>
            <w:tcW w:w="0" w:type="dxa"/>
            <w:vAlign w:val="bottom"/>
          </w:tcPr>
          <w:p>
            <w:pPr>
              <w:spacing w:after="0"/>
              <w:rPr>
                <w:sz w:val="1"/>
                <w:szCs w:val="1"/>
                <w:color w:val="auto"/>
              </w:rPr>
            </w:pPr>
          </w:p>
        </w:tc>
      </w:tr>
      <w:tr>
        <w:trPr>
          <w:trHeight w:val="150"/>
        </w:trPr>
        <w:tc>
          <w:tcPr>
            <w:tcW w:w="5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(81,270)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(96,960)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(89,517)</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(82,269)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(62,298)</w:t>
            </w:r>
          </w:p>
        </w:tc>
        <w:tc>
          <w:tcPr>
            <w:tcW w:w="0" w:type="dxa"/>
            <w:vAlign w:val="bottom"/>
          </w:tcPr>
          <w:p>
            <w:pPr>
              <w:spacing w:after="0"/>
              <w:rPr>
                <w:sz w:val="1"/>
                <w:szCs w:val="1"/>
                <w:color w:val="auto"/>
              </w:rPr>
            </w:pPr>
          </w:p>
        </w:tc>
      </w:tr>
      <w:tr>
        <w:trPr>
          <w:trHeight w:val="147"/>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income (expense), net</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(10,662)</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7,192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2,526</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(7,418)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(18,059)</w:t>
            </w:r>
          </w:p>
        </w:tc>
        <w:tc>
          <w:tcPr>
            <w:tcW w:w="0" w:type="dxa"/>
            <w:vAlign w:val="bottom"/>
          </w:tcPr>
          <w:p>
            <w:pPr>
              <w:spacing w:after="0"/>
              <w:rPr>
                <w:sz w:val="1"/>
                <w:szCs w:val="1"/>
                <w:color w:val="auto"/>
              </w:rPr>
            </w:pPr>
          </w:p>
        </w:tc>
      </w:tr>
      <w:tr>
        <w:trPr>
          <w:trHeight w:val="141"/>
        </w:trPr>
        <w:tc>
          <w:tcPr>
            <w:tcW w:w="5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before income taxes</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662,439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579,434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515,403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430,036</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425,657</w:t>
            </w:r>
          </w:p>
        </w:tc>
        <w:tc>
          <w:tcPr>
            <w:tcW w:w="0" w:type="dxa"/>
            <w:vAlign w:val="bottom"/>
          </w:tcPr>
          <w:p>
            <w:pPr>
              <w:spacing w:after="0"/>
              <w:rPr>
                <w:sz w:val="1"/>
                <w:szCs w:val="1"/>
                <w:color w:val="auto"/>
              </w:rPr>
            </w:pPr>
          </w:p>
        </w:tc>
      </w:tr>
      <w:tr>
        <w:trPr>
          <w:trHeight w:val="147"/>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Income tax expense</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53,481</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96,831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96,874</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128,344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164,832</w:t>
            </w:r>
          </w:p>
        </w:tc>
        <w:tc>
          <w:tcPr>
            <w:tcW w:w="0" w:type="dxa"/>
            <w:vAlign w:val="bottom"/>
          </w:tcPr>
          <w:p>
            <w:pPr>
              <w:spacing w:after="0"/>
              <w:rPr>
                <w:sz w:val="1"/>
                <w:szCs w:val="1"/>
                <w:color w:val="auto"/>
              </w:rPr>
            </w:pPr>
          </w:p>
        </w:tc>
      </w:tr>
      <w:tr>
        <w:trPr>
          <w:trHeight w:val="164"/>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608,958</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482,603</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418,529</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301,692</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260,825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Earnings per common share (1):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3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53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Basic</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2.94</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47"/>
        </w:trPr>
        <w:tc>
          <w:tcPr>
            <w:tcW w:w="5380" w:type="dxa"/>
            <w:vAlign w:val="bottom"/>
          </w:tcPr>
          <w:p>
            <w:pPr>
              <w:ind w:left="120"/>
              <w:spacing w:after="0"/>
              <w:rPr>
                <w:sz w:val="20"/>
                <w:szCs w:val="20"/>
                <w:color w:val="auto"/>
              </w:rPr>
            </w:pPr>
            <w:r>
              <w:rPr>
                <w:rFonts w:ascii="Arial" w:cs="Arial" w:eastAsia="Arial" w:hAnsi="Arial"/>
                <w:sz w:val="11"/>
                <w:szCs w:val="11"/>
                <w:color w:val="auto"/>
              </w:rPr>
              <w:t>Diluted</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4.37</w:t>
            </w:r>
          </w:p>
        </w:tc>
        <w:tc>
          <w:tcPr>
            <w:tcW w:w="10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3.41</w:t>
            </w:r>
          </w:p>
        </w:tc>
        <w:tc>
          <w:tcPr>
            <w:tcW w:w="36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2.91</w:t>
            </w:r>
          </w:p>
        </w:tc>
        <w:tc>
          <w:tcPr>
            <w:tcW w:w="10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1.72</w:t>
            </w:r>
          </w:p>
        </w:tc>
        <w:tc>
          <w:tcPr>
            <w:tcW w:w="0" w:type="dxa"/>
            <w:vAlign w:val="bottom"/>
          </w:tcPr>
          <w:p>
            <w:pPr>
              <w:spacing w:after="0"/>
              <w:rPr>
                <w:sz w:val="1"/>
                <w:szCs w:val="1"/>
                <w:color w:val="auto"/>
              </w:rPr>
            </w:pPr>
          </w:p>
        </w:tc>
      </w:tr>
      <w:tr>
        <w:trPr>
          <w:trHeight w:val="150"/>
        </w:trPr>
        <w:tc>
          <w:tcPr>
            <w:tcW w:w="5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common shares outstanding (1):</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380" w:type="dxa"/>
            <w:vAlign w:val="bottom"/>
          </w:tcPr>
          <w:p>
            <w:pPr>
              <w:ind w:left="120"/>
              <w:spacing w:after="0"/>
              <w:rPr>
                <w:sz w:val="20"/>
                <w:szCs w:val="20"/>
                <w:color w:val="auto"/>
              </w:rPr>
            </w:pPr>
            <w:r>
              <w:rPr>
                <w:rFonts w:ascii="Arial" w:cs="Arial" w:eastAsia="Arial" w:hAnsi="Arial"/>
                <w:sz w:val="11"/>
                <w:szCs w:val="11"/>
                <w:color w:val="auto"/>
              </w:rPr>
              <w:t>Basic</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137,722,589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140,059,494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141,910,799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145,964,574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148,218,968</w:t>
            </w:r>
          </w:p>
        </w:tc>
        <w:tc>
          <w:tcPr>
            <w:tcW w:w="0" w:type="dxa"/>
            <w:vAlign w:val="bottom"/>
          </w:tcPr>
          <w:p>
            <w:pPr>
              <w:spacing w:after="0"/>
              <w:rPr>
                <w:sz w:val="1"/>
                <w:szCs w:val="1"/>
                <w:color w:val="auto"/>
              </w:rPr>
            </w:pPr>
          </w:p>
        </w:tc>
      </w:tr>
      <w:tr>
        <w:trPr>
          <w:trHeight w:val="150"/>
        </w:trPr>
        <w:tc>
          <w:tcPr>
            <w:tcW w:w="53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Diluted</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138,703,220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141,238,135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143,156,176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147,750,022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150,274,640</w:t>
            </w:r>
          </w:p>
        </w:tc>
        <w:tc>
          <w:tcPr>
            <w:tcW w:w="0" w:type="dxa"/>
            <w:vAlign w:val="bottom"/>
          </w:tcPr>
          <w:p>
            <w:pPr>
              <w:spacing w:after="0"/>
              <w:rPr>
                <w:sz w:val="1"/>
                <w:szCs w:val="1"/>
                <w:color w:val="auto"/>
              </w:rPr>
            </w:pPr>
          </w:p>
        </w:tc>
      </w:tr>
      <w:tr>
        <w:trPr>
          <w:trHeight w:val="145"/>
        </w:trPr>
        <w:tc>
          <w:tcPr>
            <w:tcW w:w="5380" w:type="dxa"/>
            <w:vAlign w:val="bottom"/>
          </w:tcPr>
          <w:p>
            <w:pPr>
              <w:ind w:left="20"/>
              <w:spacing w:after="0"/>
              <w:rPr>
                <w:sz w:val="20"/>
                <w:szCs w:val="20"/>
                <w:color w:val="auto"/>
              </w:rPr>
            </w:pPr>
            <w:r>
              <w:rPr>
                <w:rFonts w:ascii="Arial" w:cs="Arial" w:eastAsia="Arial" w:hAnsi="Arial"/>
                <w:sz w:val="11"/>
                <w:szCs w:val="11"/>
                <w:color w:val="auto"/>
              </w:rPr>
              <w:t>Dividends declared per share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1.04</w:t>
            </w:r>
          </w:p>
        </w:tc>
        <w:tc>
          <w:tcPr>
            <w:tcW w:w="36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0.80</w:t>
            </w:r>
          </w:p>
        </w:tc>
        <w:tc>
          <w:tcPr>
            <w:tcW w:w="10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0.70</w:t>
            </w:r>
          </w:p>
        </w:tc>
        <w:tc>
          <w:tcPr>
            <w:tcW w:w="10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0.62</w:t>
            </w:r>
          </w:p>
        </w:tc>
        <w:tc>
          <w:tcPr>
            <w:tcW w:w="0" w:type="dxa"/>
            <w:vAlign w:val="bottom"/>
          </w:tcPr>
          <w:p>
            <w:pPr>
              <w:spacing w:after="0"/>
              <w:rPr>
                <w:sz w:val="1"/>
                <w:szCs w:val="1"/>
                <w:color w:val="auto"/>
              </w:rPr>
            </w:pPr>
          </w:p>
        </w:tc>
      </w:tr>
    </w:tbl>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As of March 31,</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47"/>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2017</w:t>
            </w:r>
          </w:p>
        </w:tc>
      </w:tr>
      <w:tr>
        <w:trPr>
          <w:trHeight w:val="129"/>
        </w:trPr>
        <w:tc>
          <w:tcPr>
            <w:tcW w:w="42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Consolidated Balance Sheets:</w:t>
            </w: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47"/>
        </w:trPr>
        <w:tc>
          <w:tcPr>
            <w:tcW w:w="428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990,955</w:t>
            </w:r>
          </w:p>
        </w:tc>
        <w:tc>
          <w:tcPr>
            <w:tcW w:w="10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741,901</w:t>
            </w:r>
          </w:p>
        </w:tc>
        <w:tc>
          <w:tcPr>
            <w:tcW w:w="1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283,990</w:t>
            </w:r>
          </w:p>
        </w:tc>
        <w:tc>
          <w:tcPr>
            <w:tcW w:w="100" w:type="dxa"/>
            <w:vAlign w:val="bottom"/>
          </w:tcPr>
          <w:p>
            <w:pPr>
              <w:spacing w:after="0"/>
              <w:rPr>
                <w:sz w:val="12"/>
                <w:szCs w:val="12"/>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286,958</w:t>
            </w:r>
          </w:p>
        </w:tc>
        <w:tc>
          <w:tcPr>
            <w:tcW w:w="100" w:type="dxa"/>
            <w:vAlign w:val="bottom"/>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217,417</w:t>
            </w:r>
          </w:p>
        </w:tc>
      </w:tr>
      <w:tr>
        <w:trPr>
          <w:trHeight w:val="150"/>
        </w:trPr>
        <w:tc>
          <w:tcPr>
            <w:tcW w:w="4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Working capital</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1,345,067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1,000,510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520,101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463,205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211,701</w:t>
            </w:r>
          </w:p>
        </w:tc>
      </w:tr>
      <w:tr>
        <w:trPr>
          <w:trHeight w:val="147"/>
        </w:trPr>
        <w:tc>
          <w:tcPr>
            <w:tcW w:w="4280" w:type="dxa"/>
            <w:vAlign w:val="bottom"/>
          </w:tcPr>
          <w:p>
            <w:pPr>
              <w:ind w:left="20"/>
              <w:spacing w:after="0"/>
              <w:rPr>
                <w:sz w:val="20"/>
                <w:szCs w:val="20"/>
                <w:color w:val="auto"/>
              </w:rPr>
            </w:pPr>
            <w:r>
              <w:rPr>
                <w:rFonts w:ascii="Arial" w:cs="Arial" w:eastAsia="Arial" w:hAnsi="Arial"/>
                <w:sz w:val="11"/>
                <w:szCs w:val="11"/>
                <w:color w:val="auto"/>
              </w:rPr>
              <w:t>Total assets</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5,499,601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4,793,966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3,831,841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3,606,619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3,378,693</w:t>
            </w:r>
          </w:p>
        </w:tc>
      </w:tr>
      <w:tr>
        <w:trPr>
          <w:trHeight w:val="150"/>
        </w:trPr>
        <w:tc>
          <w:tcPr>
            <w:tcW w:w="4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Long-term debt, net of current portion</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2,278,731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2,007,979</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1,701,837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1,755,479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1,470,174</w:t>
            </w:r>
          </w:p>
        </w:tc>
      </w:tr>
      <w:tr>
        <w:trPr>
          <w:trHeight w:val="145"/>
        </w:trPr>
        <w:tc>
          <w:tcPr>
            <w:tcW w:w="4280" w:type="dxa"/>
            <w:vAlign w:val="bottom"/>
          </w:tcPr>
          <w:p>
            <w:pPr>
              <w:ind w:left="20"/>
              <w:spacing w:after="0"/>
              <w:rPr>
                <w:sz w:val="20"/>
                <w:szCs w:val="20"/>
                <w:color w:val="auto"/>
              </w:rPr>
            </w:pPr>
            <w:r>
              <w:rPr>
                <w:rFonts w:ascii="Arial" w:cs="Arial" w:eastAsia="Arial" w:hAnsi="Arial"/>
                <w:sz w:val="11"/>
                <w:szCs w:val="11"/>
                <w:color w:val="auto"/>
              </w:rPr>
              <w:t>Stockholders’ equity</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1,071,176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856,356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675,366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562,491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584,873</w:t>
            </w:r>
          </w:p>
        </w:tc>
      </w:tr>
    </w:tbl>
    <w:p>
      <w:pPr>
        <w:spacing w:after="0" w:line="254" w:lineRule="exact"/>
        <w:rPr>
          <w:sz w:val="20"/>
          <w:szCs w:val="20"/>
          <w:color w:val="auto"/>
        </w:rPr>
      </w:pPr>
    </w:p>
    <w:p>
      <w:pPr>
        <w:jc w:val="both"/>
        <w:ind w:right="40"/>
        <w:spacing w:after="0" w:line="276" w:lineRule="auto"/>
        <w:rPr>
          <w:sz w:val="20"/>
          <w:szCs w:val="20"/>
          <w:color w:val="auto"/>
        </w:rPr>
      </w:pPr>
      <w:r>
        <w:rPr>
          <w:rFonts w:ascii="Arial" w:cs="Arial" w:eastAsia="Arial" w:hAnsi="Arial"/>
          <w:sz w:val="11"/>
          <w:szCs w:val="11"/>
          <w:color w:val="auto"/>
        </w:rPr>
        <w:t xml:space="preserve">On April 1, 2019 (fiscal 2020), we adopted Accounting Standard Codification (ASC) No. 842 </w:t>
      </w:r>
      <w:r>
        <w:rPr>
          <w:rFonts w:ascii="Arial" w:cs="Arial" w:eastAsia="Arial" w:hAnsi="Arial"/>
          <w:sz w:val="11"/>
          <w:szCs w:val="11"/>
          <w:i w:val="1"/>
          <w:iCs w:val="1"/>
          <w:color w:val="auto"/>
        </w:rPr>
        <w:t>Leases</w:t>
      </w:r>
      <w:r>
        <w:rPr>
          <w:rFonts w:ascii="Arial" w:cs="Arial" w:eastAsia="Arial" w:hAnsi="Arial"/>
          <w:sz w:val="11"/>
          <w:szCs w:val="11"/>
          <w:color w:val="auto"/>
        </w:rPr>
        <w:t xml:space="preserve"> (Topic 842), using the modified retrospective transition approach and, as a result, comparative information for the prior fiscal years have not been retrospectively adjusted.</w:t>
      </w:r>
    </w:p>
    <w:p>
      <w:pPr>
        <w:spacing w:after="0" w:line="155" w:lineRule="exact"/>
        <w:rPr>
          <w:sz w:val="20"/>
          <w:szCs w:val="20"/>
          <w:color w:val="auto"/>
        </w:rPr>
      </w:pPr>
    </w:p>
    <w:p>
      <w:pPr>
        <w:jc w:val="both"/>
        <w:ind w:right="20"/>
        <w:spacing w:after="0" w:line="276" w:lineRule="auto"/>
        <w:rPr>
          <w:sz w:val="20"/>
          <w:szCs w:val="20"/>
          <w:color w:val="auto"/>
        </w:rPr>
      </w:pPr>
      <w:r>
        <w:rPr>
          <w:rFonts w:ascii="Arial" w:cs="Arial" w:eastAsia="Arial" w:hAnsi="Arial"/>
          <w:sz w:val="11"/>
          <w:szCs w:val="11"/>
          <w:color w:val="auto"/>
        </w:rPr>
        <w:t xml:space="preserve">On April 1, 2018 (fiscal 2019), the Company adopted Topic 606, </w:t>
      </w:r>
      <w:r>
        <w:rPr>
          <w:rFonts w:ascii="Arial" w:cs="Arial" w:eastAsia="Arial" w:hAnsi="Arial"/>
          <w:sz w:val="11"/>
          <w:szCs w:val="11"/>
          <w:i w:val="1"/>
          <w:iCs w:val="1"/>
          <w:color w:val="auto"/>
        </w:rPr>
        <w:t>Revenue from Contracts with Customers</w:t>
      </w:r>
      <w:r>
        <w:rPr>
          <w:rFonts w:ascii="Arial" w:cs="Arial" w:eastAsia="Arial" w:hAnsi="Arial"/>
          <w:sz w:val="11"/>
          <w:szCs w:val="11"/>
          <w:color w:val="auto"/>
        </w:rPr>
        <w:t xml:space="preserve">, using the full retrospective transition method and adopted retrospectively ASU 2017-07, </w:t>
      </w:r>
      <w:r>
        <w:rPr>
          <w:rFonts w:ascii="Arial" w:cs="Arial" w:eastAsia="Arial" w:hAnsi="Arial"/>
          <w:sz w:val="11"/>
          <w:szCs w:val="11"/>
          <w:i w:val="1"/>
          <w:iCs w:val="1"/>
          <w:color w:val="auto"/>
        </w:rPr>
        <w:t>Improving the Presentation of Net Periodic Pension</w:t>
      </w:r>
      <w:r>
        <w:rPr>
          <w:rFonts w:ascii="Arial" w:cs="Arial" w:eastAsia="Arial" w:hAnsi="Arial"/>
          <w:sz w:val="11"/>
          <w:szCs w:val="11"/>
          <w:color w:val="auto"/>
        </w:rPr>
        <w:t xml:space="preserve"> </w:t>
      </w:r>
      <w:r>
        <w:rPr>
          <w:rFonts w:ascii="Arial" w:cs="Arial" w:eastAsia="Arial" w:hAnsi="Arial"/>
          <w:sz w:val="11"/>
          <w:szCs w:val="11"/>
          <w:i w:val="1"/>
          <w:iCs w:val="1"/>
          <w:color w:val="auto"/>
        </w:rPr>
        <w:t>Cost and Net Periodic Postretirement Benefit Cost</w:t>
      </w:r>
      <w:r>
        <w:rPr>
          <w:rFonts w:ascii="Arial" w:cs="Arial" w:eastAsia="Arial" w:hAnsi="Arial"/>
          <w:sz w:val="11"/>
          <w:szCs w:val="11"/>
          <w:color w:val="auto"/>
        </w:rPr>
        <w:t>. Fiscal 2019, fiscal 2018 and fiscal 2017 results reflect the impact of the adoption of the two standards.</w:t>
      </w:r>
    </w:p>
    <w:p>
      <w:pPr>
        <w:spacing w:after="0" w:line="155" w:lineRule="exact"/>
        <w:rPr>
          <w:sz w:val="20"/>
          <w:szCs w:val="20"/>
          <w:color w:val="auto"/>
        </w:rPr>
      </w:pPr>
    </w:p>
    <w:p>
      <w:pPr>
        <w:ind w:left="360" w:right="120" w:hanging="260"/>
        <w:spacing w:after="0" w:line="258" w:lineRule="auto"/>
        <w:tabs>
          <w:tab w:leader="none" w:pos="354" w:val="left"/>
        </w:tabs>
        <w:numPr>
          <w:ilvl w:val="0"/>
          <w:numId w:val="44"/>
        </w:numPr>
        <w:rPr>
          <w:rFonts w:ascii="Arial" w:cs="Arial" w:eastAsia="Arial" w:hAnsi="Arial"/>
          <w:sz w:val="11"/>
          <w:szCs w:val="11"/>
          <w:color w:val="auto"/>
        </w:rPr>
      </w:pPr>
      <w:r>
        <w:rPr>
          <w:rFonts w:ascii="Arial" w:cs="Arial" w:eastAsia="Arial" w:hAnsi="Arial"/>
          <w:sz w:val="11"/>
          <w:szCs w:val="11"/>
          <w:color w:val="auto"/>
        </w:rPr>
        <w:t>Basic earnings per share for the Company has been computed using the weighted average number of shares of Class A Common Stock outstanding during the period. The Company’s diluted earnings per share has been computed using the weighted average number of shares of Class A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8" w:right="359" w:bottom="1440" w:gutter="0" w:footer="0" w:header="0"/>
        </w:sectPr>
      </w:pPr>
    </w:p>
    <w:bookmarkStart w:id="48" w:name="page49"/>
    <w:bookmarkEnd w:id="48"/>
    <w:p>
      <w:pPr>
        <w:spacing w:after="0"/>
        <w:tabs>
          <w:tab w:leader="none" w:pos="5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87" w:lineRule="exact"/>
        <w:rPr>
          <w:sz w:val="20"/>
          <w:szCs w:val="20"/>
          <w:color w:val="auto"/>
        </w:rPr>
      </w:pPr>
    </w:p>
    <w:p>
      <w:pPr>
        <w:ind w:right="40" w:firstLine="350"/>
        <w:spacing w:after="0" w:line="321" w:lineRule="auto"/>
        <w:rPr>
          <w:sz w:val="20"/>
          <w:szCs w:val="20"/>
          <w:color w:val="auto"/>
        </w:rPr>
      </w:pPr>
      <w:r>
        <w:rPr>
          <w:rFonts w:ascii="Arial" w:cs="Arial" w:eastAsia="Arial" w:hAnsi="Arial"/>
          <w:sz w:val="13"/>
          <w:szCs w:val="13"/>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67" w:lineRule="exact"/>
        <w:rPr>
          <w:sz w:val="20"/>
          <w:szCs w:val="20"/>
          <w:color w:val="auto"/>
        </w:rPr>
      </w:pPr>
    </w:p>
    <w:p>
      <w:pPr>
        <w:jc w:val="both"/>
        <w:ind w:right="240" w:firstLine="350"/>
        <w:spacing w:after="0" w:line="262" w:lineRule="auto"/>
        <w:rPr>
          <w:sz w:val="20"/>
          <w:szCs w:val="20"/>
          <w:color w:val="auto"/>
        </w:rPr>
      </w:pPr>
      <w:r>
        <w:rPr>
          <w:rFonts w:ascii="Arial" w:cs="Arial" w:eastAsia="Arial" w:hAnsi="Arial"/>
          <w:sz w:val="14"/>
          <w:szCs w:val="14"/>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03" w:lineRule="exact"/>
        <w:rPr>
          <w:sz w:val="20"/>
          <w:szCs w:val="20"/>
          <w:color w:val="auto"/>
        </w:rPr>
      </w:pPr>
    </w:p>
    <w:p>
      <w:pPr>
        <w:ind w:right="2000" w:firstLine="350"/>
        <w:spacing w:after="0" w:line="379" w:lineRule="auto"/>
        <w:rPr>
          <w:sz w:val="20"/>
          <w:szCs w:val="20"/>
          <w:color w:val="auto"/>
        </w:rPr>
      </w:pPr>
      <w:r>
        <w:rPr>
          <w:rFonts w:ascii="Arial" w:cs="Arial" w:eastAsia="Arial" w:hAnsi="Arial"/>
          <w:sz w:val="14"/>
          <w:szCs w:val="14"/>
          <w:i w:val="1"/>
          <w:iCs w:val="1"/>
          <w:color w:val="auto"/>
        </w:rPr>
        <w:t xml:space="preserve">Our fiscal year ends March 31 and, unless otherwise noted, references to years or fiscal are for fiscal years ended March 31. See “— Results of Operations.” </w:t>
      </w:r>
      <w:r>
        <w:rPr>
          <w:rFonts w:ascii="Arial" w:cs="Arial" w:eastAsia="Arial" w:hAnsi="Arial"/>
          <w:sz w:val="14"/>
          <w:szCs w:val="14"/>
          <w:b w:val="1"/>
          <w:bCs w:val="1"/>
          <w:color w:val="auto"/>
        </w:rPr>
        <w:t>Overview</w:t>
      </w:r>
    </w:p>
    <w:p>
      <w:pPr>
        <w:spacing w:after="0" w:line="1" w:lineRule="exact"/>
        <w:rPr>
          <w:sz w:val="20"/>
          <w:szCs w:val="20"/>
          <w:color w:val="auto"/>
        </w:rPr>
      </w:pPr>
    </w:p>
    <w:p>
      <w:pPr>
        <w:ind w:right="300" w:firstLine="318"/>
        <w:spacing w:after="0" w:line="288" w:lineRule="auto"/>
        <w:rPr>
          <w:sz w:val="20"/>
          <w:szCs w:val="20"/>
          <w:color w:val="auto"/>
        </w:rPr>
      </w:pPr>
      <w:r>
        <w:rPr>
          <w:rFonts w:ascii="Arial" w:cs="Arial" w:eastAsia="Arial" w:hAnsi="Arial"/>
          <w:sz w:val="13"/>
          <w:szCs w:val="13"/>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27,700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46" w:lineRule="exact"/>
        <w:rPr>
          <w:sz w:val="20"/>
          <w:szCs w:val="20"/>
          <w:color w:val="auto"/>
        </w:rPr>
      </w:pPr>
    </w:p>
    <w:p>
      <w:pPr>
        <w:ind w:firstLine="318"/>
        <w:spacing w:after="0" w:line="258" w:lineRule="auto"/>
        <w:rPr>
          <w:sz w:val="20"/>
          <w:szCs w:val="20"/>
          <w:color w:val="auto"/>
        </w:rPr>
      </w:pPr>
      <w:r>
        <w:rPr>
          <w:rFonts w:ascii="Arial" w:cs="Arial" w:eastAsia="Arial" w:hAnsi="Arial"/>
          <w:sz w:val="14"/>
          <w:szCs w:val="14"/>
          <w:color w:val="auto"/>
        </w:rPr>
        <w:t>Through our dedication to our clients' missions, and a commitment to evolving our business to address their needs, we have longstanding relationships with our clients, some more than 80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technology. We have a presence in the Middle East and other international markets.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Financial and Other Highlights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During fiscal 2021, the Company generated strong revenue growth, substantial backlog growth, and increases in headcount for the year.</w:t>
      </w:r>
    </w:p>
    <w:p>
      <w:pPr>
        <w:spacing w:after="0" w:line="94" w:lineRule="exact"/>
        <w:rPr>
          <w:sz w:val="20"/>
          <w:szCs w:val="20"/>
          <w:color w:val="auto"/>
        </w:rPr>
      </w:pPr>
    </w:p>
    <w:p>
      <w:pPr>
        <w:jc w:val="both"/>
        <w:ind w:right="60" w:firstLine="318"/>
        <w:spacing w:after="0" w:line="267" w:lineRule="auto"/>
        <w:rPr>
          <w:sz w:val="20"/>
          <w:szCs w:val="20"/>
          <w:color w:val="auto"/>
        </w:rPr>
      </w:pPr>
      <w:r>
        <w:rPr>
          <w:rFonts w:ascii="Arial" w:cs="Arial" w:eastAsia="Arial" w:hAnsi="Arial"/>
          <w:sz w:val="14"/>
          <w:szCs w:val="14"/>
          <w:color w:val="auto"/>
        </w:rPr>
        <w:t>Revenue increased 5.3% from fiscal 2020 to fiscal 2021 primarily driven by strong execution on sustained client demand and headcount to meet that demand. The Company also benefited from higher staff utilization in the first half of the year as compared to the prior year driven by fewer paid time off ("PTO") days taken by our employees which resulted in increases in our direct labor and corresponding generation of revenue growth. Revenue growth also benefited from an overall increase in billable expenses.</w:t>
      </w:r>
    </w:p>
    <w:p>
      <w:pPr>
        <w:spacing w:after="0" w:line="99" w:lineRule="exact"/>
        <w:rPr>
          <w:sz w:val="20"/>
          <w:szCs w:val="20"/>
          <w:color w:val="auto"/>
        </w:rPr>
      </w:pPr>
    </w:p>
    <w:p>
      <w:pPr>
        <w:ind w:right="20" w:firstLine="318"/>
        <w:spacing w:after="0" w:line="282" w:lineRule="auto"/>
        <w:rPr>
          <w:sz w:val="20"/>
          <w:szCs w:val="20"/>
          <w:color w:val="auto"/>
        </w:rPr>
      </w:pPr>
      <w:r>
        <w:rPr>
          <w:rFonts w:ascii="Arial" w:cs="Arial" w:eastAsia="Arial" w:hAnsi="Arial"/>
          <w:sz w:val="13"/>
          <w:szCs w:val="13"/>
          <w:color w:val="auto"/>
        </w:rPr>
        <w:t>Operating income increased 12.7% to $754.4 million in fiscal 2021 from $669.2 million in fiscal 2020, which reflects an increase in operating margin to 9.6% from 9.0% in the comparable year. The increase in operating income was primarily driven by the same factors driving revenue growth, as well as strong cost management efforts, and reductions in certain types of expenses, like travel and meetings. These were partially offset by the inability to recognize revenue on, or bill for, fee on certain contracts involving a ready workforce of approximately $24.0 million for fiscal 2021. The Company also incurred incremental legal costs during fiscal 2021 and 2020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92" w:lineRule="exact"/>
        <w:rPr>
          <w:sz w:val="20"/>
          <w:szCs w:val="20"/>
          <w:color w:val="auto"/>
        </w:rPr>
      </w:pPr>
    </w:p>
    <w:p>
      <w:pPr>
        <w:ind w:firstLine="318"/>
        <w:spacing w:after="0" w:line="277" w:lineRule="auto"/>
        <w:rPr>
          <w:sz w:val="20"/>
          <w:szCs w:val="20"/>
          <w:color w:val="auto"/>
        </w:rPr>
      </w:pPr>
      <w:r>
        <w:rPr>
          <w:rFonts w:ascii="Arial" w:cs="Arial" w:eastAsia="Arial" w:hAnsi="Arial"/>
          <w:sz w:val="13"/>
          <w:szCs w:val="13"/>
          <w:color w:val="auto"/>
        </w:rPr>
        <w:t>We are monitoring the evolving situation related to COVID-19 and vaccine rollout, and we continue to work with our stakeholders to assess further possible implications to our business and to take actions in an effort to mitigate adverse consequences. To protect employee health and safety while COVID-19 remains a threat, we are currently delivering a majority of our services to clients via telework. In cases where telework options or effectiveness are limited, we are working closely with clients to achieve safe return plans guided by federal, state and local policies and advice from other experts. We are also working closely with our clients, where classified work is concentrated, to retain continuity of service and ensure a ready workforce. We expect to continue to be impacted by the inability of certain employees to perform their contract requirements at their designated work locations due to facility closures or restrictions as a result of COVID-19 and cannot perform such work remotely. While the CARES Act contains a provision that allows federal contractors to seek specified reimbursement for certain employees who are unable to perform their contract requirements due to government restrictions and we have been reimbursed for certain of these costs, such provision does not require the government to reimburse a contractor and reimbursements are also subject to limitations and currently do not extend past September 30, 2021. Through March 31, 2021, we have withheld recognition of revenue associated with these amounts at risk of not being reimbursed. We do not expect non-reimbursed fees to have a material impact on earnings in future periods as the majority of our affected workforce have returned to on site offices or may do so prior to September 30, 2021. Although we cannot currently predict the overall impact of COVID-19 and vaccine rollout, the longer the duration of the event, the more likely it is that it could have an adverse effect on our business, financial position, results of operations, billable expenses, and/or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Non-GAAP Measures</w:t>
      </w:r>
    </w:p>
    <w:p>
      <w:pPr>
        <w:spacing w:after="0" w:line="98" w:lineRule="exact"/>
        <w:rPr>
          <w:sz w:val="20"/>
          <w:szCs w:val="20"/>
          <w:color w:val="auto"/>
        </w:rPr>
      </w:pPr>
    </w:p>
    <w:p>
      <w:pPr>
        <w:ind w:firstLine="318"/>
        <w:spacing w:after="0" w:line="300" w:lineRule="auto"/>
        <w:rPr>
          <w:sz w:val="20"/>
          <w:szCs w:val="20"/>
          <w:color w:val="auto"/>
        </w:rPr>
      </w:pPr>
      <w:r>
        <w:rPr>
          <w:rFonts w:ascii="Arial" w:cs="Arial" w:eastAsia="Arial" w:hAnsi="Arial"/>
          <w:sz w:val="12"/>
          <w:szCs w:val="12"/>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Earnings Per Share, and net cash provided by operating activities to Free Cash Flow,</w:t>
      </w:r>
    </w:p>
    <w:p>
      <w:pPr>
        <w:spacing w:after="0" w:line="139" w:lineRule="exact"/>
        <w:rPr>
          <w:sz w:val="20"/>
          <w:szCs w:val="20"/>
          <w:color w:val="auto"/>
        </w:rPr>
      </w:pPr>
    </w:p>
    <w:p>
      <w:pPr>
        <w:ind w:right="20" w:firstLine="5"/>
        <w:spacing w:after="0" w:line="257" w:lineRule="auto"/>
        <w:tabs>
          <w:tab w:leader="none" w:pos="208" w:val="left"/>
        </w:tabs>
        <w:numPr>
          <w:ilvl w:val="0"/>
          <w:numId w:val="45"/>
        </w:numPr>
        <w:rPr>
          <w:rFonts w:ascii="Arial" w:cs="Arial" w:eastAsia="Arial" w:hAnsi="Arial"/>
          <w:sz w:val="14"/>
          <w:szCs w:val="14"/>
          <w:color w:val="auto"/>
        </w:rPr>
      </w:pPr>
      <w:r>
        <w:rPr>
          <w:rFonts w:ascii="Arial" w:cs="Arial" w:eastAsia="Arial" w:hAnsi="Arial"/>
          <w:sz w:val="14"/>
          <w:szCs w:val="14"/>
          <w:color w:val="auto"/>
        </w:rPr>
        <w:t>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64" w:lineRule="exact"/>
        <w:rPr>
          <w:rFonts w:ascii="Arial" w:cs="Arial" w:eastAsia="Arial" w:hAnsi="Arial"/>
          <w:sz w:val="14"/>
          <w:szCs w:val="14"/>
          <w:color w:val="auto"/>
        </w:rPr>
      </w:pPr>
    </w:p>
    <w:p>
      <w:pPr>
        <w:ind w:left="1020" w:right="220" w:hanging="506"/>
        <w:spacing w:after="0" w:line="267" w:lineRule="auto"/>
        <w:tabs>
          <w:tab w:leader="none" w:pos="1016" w:val="left"/>
        </w:tabs>
        <w:numPr>
          <w:ilvl w:val="1"/>
          <w:numId w:val="45"/>
        </w:numPr>
        <w:rPr>
          <w:rFonts w:ascii="Arial" w:cs="Arial" w:eastAsia="Arial" w:hAnsi="Arial"/>
          <w:sz w:val="14"/>
          <w:szCs w:val="14"/>
          <w:color w:val="auto"/>
        </w:rPr>
      </w:pPr>
      <w:r>
        <w:rPr>
          <w:rFonts w:ascii="Arial" w:cs="Arial" w:eastAsia="Arial" w:hAnsi="Arial"/>
          <w:sz w:val="14"/>
          <w:szCs w:val="14"/>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56" w:lineRule="exact"/>
        <w:rPr>
          <w:rFonts w:ascii="Arial" w:cs="Arial" w:eastAsia="Arial" w:hAnsi="Arial"/>
          <w:sz w:val="14"/>
          <w:szCs w:val="14"/>
          <w:color w:val="auto"/>
        </w:rPr>
      </w:pPr>
    </w:p>
    <w:p>
      <w:pPr>
        <w:ind w:left="1020" w:right="420" w:hanging="506"/>
        <w:spacing w:after="0" w:line="331" w:lineRule="auto"/>
        <w:tabs>
          <w:tab w:leader="none" w:pos="1016" w:val="left"/>
        </w:tabs>
        <w:numPr>
          <w:ilvl w:val="1"/>
          <w:numId w:val="45"/>
        </w:numPr>
        <w:rPr>
          <w:rFonts w:ascii="Arial" w:cs="Arial" w:eastAsia="Arial" w:hAnsi="Arial"/>
          <w:sz w:val="12"/>
          <w:szCs w:val="12"/>
          <w:color w:val="auto"/>
        </w:rPr>
      </w:pPr>
      <w:r>
        <w:rPr>
          <w:rFonts w:ascii="Arial" w:cs="Arial" w:eastAsia="Arial" w:hAnsi="Arial"/>
          <w:sz w:val="12"/>
          <w:szCs w:val="12"/>
          <w:color w:val="auto"/>
        </w:rPr>
        <w:t>"Adjusted Operating Income" represents operating income before transaction costs, fees, losses, and expenses, including fees associated with debt prepayments, supplemental employee benefits due to the COVID-19 outbreak and acquisition related costs.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3" w:lineRule="exact"/>
        <w:rPr>
          <w:rFonts w:ascii="Arial" w:cs="Arial" w:eastAsia="Arial" w:hAnsi="Arial"/>
          <w:sz w:val="12"/>
          <w:szCs w:val="12"/>
          <w:color w:val="auto"/>
        </w:rPr>
      </w:pPr>
    </w:p>
    <w:p>
      <w:pPr>
        <w:ind w:left="1020" w:right="400" w:hanging="506"/>
        <w:spacing w:after="0" w:line="282" w:lineRule="auto"/>
        <w:tabs>
          <w:tab w:leader="none" w:pos="1016" w:val="left"/>
        </w:tabs>
        <w:numPr>
          <w:ilvl w:val="1"/>
          <w:numId w:val="45"/>
        </w:numPr>
        <w:rPr>
          <w:rFonts w:ascii="Arial" w:cs="Arial" w:eastAsia="Arial" w:hAnsi="Arial"/>
          <w:sz w:val="13"/>
          <w:szCs w:val="13"/>
          <w:color w:val="auto"/>
        </w:rPr>
      </w:pPr>
      <w:r>
        <w:rPr>
          <w:rFonts w:ascii="Arial" w:cs="Arial" w:eastAsia="Arial" w:hAnsi="Arial"/>
          <w:sz w:val="13"/>
          <w:szCs w:val="13"/>
          <w:color w:val="auto"/>
        </w:rPr>
        <w:t>"Adjusted EBITDA" represents net income before income taxes, net interest and other expense and depreciation and amortization and before certain other items, including transaction costs, fees, losses, and expenses, including fees associated with debt prepayments, supplemental employee benefits due to the COVID-19 outbreak and acquisition related costs.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49" w:lineRule="exact"/>
        <w:rPr>
          <w:rFonts w:ascii="Arial" w:cs="Arial" w:eastAsia="Arial" w:hAnsi="Arial"/>
          <w:sz w:val="13"/>
          <w:szCs w:val="13"/>
          <w:color w:val="auto"/>
        </w:rPr>
      </w:pPr>
    </w:p>
    <w:p>
      <w:pPr>
        <w:ind w:left="1020" w:right="80" w:hanging="506"/>
        <w:spacing w:after="0" w:line="267" w:lineRule="auto"/>
        <w:tabs>
          <w:tab w:leader="none" w:pos="1016" w:val="left"/>
        </w:tabs>
        <w:numPr>
          <w:ilvl w:val="1"/>
          <w:numId w:val="45"/>
        </w:numPr>
        <w:rPr>
          <w:rFonts w:ascii="Arial" w:cs="Arial" w:eastAsia="Arial" w:hAnsi="Arial"/>
          <w:sz w:val="14"/>
          <w:szCs w:val="14"/>
          <w:color w:val="auto"/>
        </w:rPr>
      </w:pPr>
      <w:r>
        <w:rPr>
          <w:rFonts w:ascii="Arial" w:cs="Arial" w:eastAsia="Arial" w:hAnsi="Arial"/>
          <w:sz w:val="14"/>
          <w:szCs w:val="14"/>
          <w:color w:val="auto"/>
        </w:rPr>
        <w:t>"Adjusted Net Income" represents net income before: (i) transaction costs, fees, losses, and expenses, including fees associated with debt prepayments, (ii) supplemental employee benefits due to the COVID-19 outbreak, (iii) acquisition related costs, (iv) research and development tax credits, (v) release of income tax reserves, (vi) re-measurement of deferred tax assets/liabilities, (vii) loss on debt extinguishment,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51" w:name="page52"/>
    <w:bookmarkEnd w:id="51"/>
    <w:p>
      <w:pPr>
        <w:ind w:left="1020"/>
        <w:spacing w:after="0" w:line="260" w:lineRule="auto"/>
        <w:rPr>
          <w:sz w:val="20"/>
          <w:szCs w:val="20"/>
          <w:color w:val="auto"/>
        </w:rPr>
      </w:pPr>
      <w:r>
        <w:rPr>
          <w:rFonts w:ascii="Arial" w:cs="Arial" w:eastAsia="Arial" w:hAnsi="Arial"/>
          <w:sz w:val="14"/>
          <w:szCs w:val="14"/>
          <w:color w:val="auto"/>
        </w:rPr>
        <w:t>(viii) amortization or write-off of debt issuance costs and write-off of original issue discount,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an important indicator of performance consistent with the manner in which management measures and forecasts the Company's performance and the way in which management is incentivized to perform.</w:t>
      </w:r>
    </w:p>
    <w:p>
      <w:pPr>
        <w:spacing w:after="0" w:line="61" w:lineRule="exact"/>
        <w:rPr>
          <w:sz w:val="20"/>
          <w:szCs w:val="20"/>
          <w:color w:val="auto"/>
        </w:rPr>
      </w:pPr>
    </w:p>
    <w:p>
      <w:pPr>
        <w:ind w:left="1020" w:right="320" w:hanging="506"/>
        <w:spacing w:after="0" w:line="281" w:lineRule="auto"/>
        <w:tabs>
          <w:tab w:leader="none" w:pos="10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"Free Cash Flow" represents the net cash generated from operating activities less the impact of purchases of property, equipment, and software.</w:t>
      </w:r>
    </w:p>
    <w:p>
      <w:pPr>
        <w:spacing w:after="0" w:line="200"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Fiscal Year Ended March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2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(Unaudited)</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Revenue, Excluding Billable Expenses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Revenue</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7,858,938</w:t>
            </w:r>
          </w:p>
        </w:tc>
        <w:tc>
          <w:tcPr>
            <w:tcW w:w="3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7,463,841</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6,704,037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Billable expenses</w:t>
            </w: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2,325,888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2,298,413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2,004,664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860" w:type="dxa"/>
            <w:vAlign w:val="bottom"/>
          </w:tcPr>
          <w:p>
            <w:pPr>
              <w:ind w:left="360"/>
              <w:spacing w:after="0"/>
              <w:rPr>
                <w:sz w:val="20"/>
                <w:szCs w:val="20"/>
                <w:color w:val="auto"/>
              </w:rPr>
            </w:pPr>
            <w:r>
              <w:rPr>
                <w:rFonts w:ascii="Arial" w:cs="Arial" w:eastAsia="Arial" w:hAnsi="Arial"/>
                <w:sz w:val="14"/>
                <w:szCs w:val="14"/>
                <w:color w:val="auto"/>
              </w:rPr>
              <w:t>Revenue, Excluding Billable Expenses</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5,533,050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5,165,428</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4,699,373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i w:val="1"/>
                <w:iCs w:val="1"/>
                <w:color w:val="auto"/>
              </w:rPr>
              <w:t>Adjusted Operating Income</w:t>
            </w: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Operating Income</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754,371</w:t>
            </w:r>
          </w:p>
        </w:tc>
        <w:tc>
          <w:tcPr>
            <w:tcW w:w="3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669,202</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602,394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Transaction expenses (a)</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3,660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COVID-19 supplemental employee benefits (b)</w:t>
            </w:r>
          </w:p>
        </w:tc>
        <w:tc>
          <w:tcPr>
            <w:tcW w:w="40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2,722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costs (c)</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411</w:t>
            </w:r>
          </w:p>
        </w:tc>
        <w:tc>
          <w:tcPr>
            <w:tcW w:w="3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860" w:type="dxa"/>
            <w:vAlign w:val="bottom"/>
          </w:tcPr>
          <w:p>
            <w:pPr>
              <w:ind w:left="360"/>
              <w:spacing w:after="0"/>
              <w:rPr>
                <w:sz w:val="20"/>
                <w:szCs w:val="20"/>
                <w:color w:val="auto"/>
              </w:rPr>
            </w:pPr>
            <w:r>
              <w:rPr>
                <w:rFonts w:ascii="Arial" w:cs="Arial" w:eastAsia="Arial" w:hAnsi="Arial"/>
                <w:sz w:val="14"/>
                <w:szCs w:val="14"/>
                <w:color w:val="auto"/>
              </w:rPr>
              <w:t>Adjusted Operating Income</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755,359</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672,993</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606,054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5860" w:type="dxa"/>
            <w:vAlign w:val="bottom"/>
            <w:shd w:val="clear" w:color="auto" w:fill="CCEEFF"/>
          </w:tcPr>
          <w:p>
            <w:pPr>
              <w:ind w:left="20"/>
              <w:spacing w:after="0" w:line="100" w:lineRule="exact"/>
              <w:rPr>
                <w:sz w:val="20"/>
                <w:szCs w:val="20"/>
                <w:color w:val="auto"/>
              </w:rPr>
            </w:pPr>
            <w:r>
              <w:rPr>
                <w:rFonts w:ascii="Arial" w:cs="Arial" w:eastAsia="Arial" w:hAnsi="Arial"/>
                <w:sz w:val="11"/>
                <w:szCs w:val="11"/>
                <w:b w:val="1"/>
                <w:bCs w:val="1"/>
                <w:i w:val="1"/>
                <w:iCs w:val="1"/>
                <w:color w:val="auto"/>
              </w:rPr>
              <w:t>EBITDA, Adjusted EBITDA, Adjusted EBITDA Margin on Revenue &amp; Adjusted EBITDA Margin</w:t>
            </w:r>
          </w:p>
        </w:tc>
        <w:tc>
          <w:tcPr>
            <w:tcW w:w="4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on Revenue, Excluding Billable Expenses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608,958</w:t>
            </w:r>
          </w:p>
        </w:tc>
        <w:tc>
          <w:tcPr>
            <w:tcW w:w="3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482,603</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418,529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(benefit) expense</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53,481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96,831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96,874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Interest and other, net (d)</w:t>
            </w:r>
          </w:p>
        </w:tc>
        <w:tc>
          <w:tcPr>
            <w:tcW w:w="40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91,932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89,768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86,991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84,315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81,081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68,575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860" w:type="dxa"/>
            <w:vAlign w:val="bottom"/>
          </w:tcPr>
          <w:p>
            <w:pPr>
              <w:ind w:left="360"/>
              <w:spacing w:after="0"/>
              <w:rPr>
                <w:sz w:val="20"/>
                <w:szCs w:val="20"/>
                <w:color w:val="auto"/>
              </w:rPr>
            </w:pPr>
            <w:r>
              <w:rPr>
                <w:rFonts w:ascii="Arial" w:cs="Arial" w:eastAsia="Arial" w:hAnsi="Arial"/>
                <w:sz w:val="14"/>
                <w:szCs w:val="14"/>
                <w:color w:val="auto"/>
              </w:rPr>
              <w:t>EBITDA</w:t>
            </w:r>
          </w:p>
        </w:tc>
        <w:tc>
          <w:tcPr>
            <w:tcW w:w="400" w:type="dxa"/>
            <w:vAlign w:val="bottom"/>
          </w:tcPr>
          <w:p>
            <w:pPr>
              <w:spacing w:after="0"/>
              <w:rPr>
                <w:sz w:val="14"/>
                <w:szCs w:val="14"/>
                <w:color w:val="auto"/>
              </w:rPr>
            </w:pP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838,686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750,283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670,969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Transaction expenses (a)</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3,660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COVID-19 supplemental employee benefits (b)</w:t>
            </w:r>
          </w:p>
        </w:tc>
        <w:tc>
          <w:tcPr>
            <w:tcW w:w="40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2,722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Acquisition costs (c)</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411</w:t>
            </w:r>
          </w:p>
        </w:tc>
        <w:tc>
          <w:tcPr>
            <w:tcW w:w="3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860" w:type="dxa"/>
            <w:vAlign w:val="bottom"/>
          </w:tcPr>
          <w:p>
            <w:pPr>
              <w:ind w:left="360"/>
              <w:spacing w:after="0"/>
              <w:rPr>
                <w:sz w:val="20"/>
                <w:szCs w:val="20"/>
                <w:color w:val="auto"/>
              </w:rPr>
            </w:pPr>
            <w:r>
              <w:rPr>
                <w:rFonts w:ascii="Arial" w:cs="Arial" w:eastAsia="Arial" w:hAnsi="Arial"/>
                <w:sz w:val="14"/>
                <w:szCs w:val="14"/>
                <w:color w:val="auto"/>
              </w:rPr>
              <w:t>Adjusted EBITDA</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839,674</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754,074</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674,629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Adjusted EBITDA Margin on Revenue</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360"/>
              <w:spacing w:after="0"/>
              <w:rPr>
                <w:sz w:val="20"/>
                <w:szCs w:val="20"/>
                <w:color w:val="auto"/>
              </w:rPr>
            </w:pPr>
            <w:r>
              <w:rPr>
                <w:rFonts w:ascii="Arial" w:cs="Arial" w:eastAsia="Arial" w:hAnsi="Arial"/>
                <w:sz w:val="14"/>
                <w:szCs w:val="14"/>
                <w:color w:val="auto"/>
              </w:rPr>
              <w:t>Adjusted EBITDA Margin on Revenue, Excluding Billable Expenses</w:t>
            </w: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15.2 %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14.4 %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Net Income</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608,958</w:t>
            </w:r>
          </w:p>
        </w:tc>
        <w:tc>
          <w:tcPr>
            <w:tcW w:w="3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482,603</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418,529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Transaction expenses (a)</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3,660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COVID-19 supplemental employee benefits (b)</w:t>
            </w:r>
          </w:p>
        </w:tc>
        <w:tc>
          <w:tcPr>
            <w:tcW w:w="40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577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2,722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costs (c)</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411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Research and development tax credits (e)</w:t>
            </w:r>
          </w:p>
        </w:tc>
        <w:tc>
          <w:tcPr>
            <w:tcW w:w="400" w:type="dxa"/>
            <w:vAlign w:val="bottom"/>
          </w:tcPr>
          <w:p>
            <w:pPr>
              <w:spacing w:after="0"/>
              <w:rPr>
                <w:sz w:val="15"/>
                <w:szCs w:val="15"/>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color w:val="auto"/>
              </w:rPr>
              <w:t>(2,928)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ind w:right="69"/>
              <w:spacing w:after="0"/>
              <w:rPr>
                <w:sz w:val="20"/>
                <w:szCs w:val="20"/>
                <w:color w:val="auto"/>
              </w:rPr>
            </w:pPr>
            <w:r>
              <w:rPr>
                <w:rFonts w:ascii="Arial" w:cs="Arial" w:eastAsia="Arial" w:hAnsi="Arial"/>
                <w:sz w:val="14"/>
                <w:szCs w:val="14"/>
                <w:color w:val="auto"/>
              </w:rPr>
              <w:t>(38,395)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Release of income tax reserves (f)</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Re-measurement of deferred tax assets/liabilities (g)</w:t>
            </w:r>
          </w:p>
        </w:tc>
        <w:tc>
          <w:tcPr>
            <w:tcW w:w="400" w:type="dxa"/>
            <w:vAlign w:val="bottom"/>
          </w:tcPr>
          <w:p>
            <w:pPr>
              <w:spacing w:after="0"/>
              <w:rPr>
                <w:sz w:val="15"/>
                <w:szCs w:val="15"/>
                <w:color w:val="auto"/>
              </w:rPr>
            </w:pPr>
          </w:p>
        </w:tc>
        <w:tc>
          <w:tcPr>
            <w:tcW w:w="1340" w:type="dxa"/>
            <w:vAlign w:val="bottom"/>
          </w:tcPr>
          <w:p>
            <w:pPr>
              <w:jc w:val="right"/>
              <w:ind w:right="69"/>
              <w:spacing w:after="0"/>
              <w:rPr>
                <w:sz w:val="20"/>
                <w:szCs w:val="20"/>
                <w:color w:val="auto"/>
              </w:rPr>
            </w:pPr>
            <w:r>
              <w:rPr>
                <w:rFonts w:ascii="Arial" w:cs="Arial" w:eastAsia="Arial" w:hAnsi="Arial"/>
                <w:sz w:val="14"/>
                <w:szCs w:val="14"/>
                <w:color w:val="auto"/>
              </w:rPr>
              <w:t>(76,767)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320" w:type="dxa"/>
            <w:vAlign w:val="bottom"/>
          </w:tcPr>
          <w:p>
            <w:pPr>
              <w:jc w:val="right"/>
              <w:ind w:right="69"/>
              <w:spacing w:after="0"/>
              <w:rPr>
                <w:sz w:val="20"/>
                <w:szCs w:val="20"/>
                <w:color w:val="auto"/>
              </w:rPr>
            </w:pPr>
            <w:r>
              <w:rPr>
                <w:rFonts w:ascii="Arial" w:cs="Arial" w:eastAsia="Arial" w:hAnsi="Arial"/>
                <w:sz w:val="14"/>
                <w:szCs w:val="14"/>
                <w:color w:val="auto"/>
              </w:rPr>
              <w:t>(27,908)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debt extinguishment (h)</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13,239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180"/>
              <w:spacing w:after="0"/>
              <w:rPr>
                <w:sz w:val="20"/>
                <w:szCs w:val="20"/>
                <w:color w:val="auto"/>
              </w:rPr>
            </w:pPr>
            <w:r>
              <w:rPr>
                <w:rFonts w:ascii="Arial" w:cs="Arial" w:eastAsia="Arial" w:hAnsi="Arial"/>
                <w:sz w:val="14"/>
                <w:szCs w:val="14"/>
                <w:color w:val="auto"/>
              </w:rPr>
              <w:t>Amortization or write-off of debt issuance costs and write-off of original issue discount</w:t>
            </w:r>
          </w:p>
        </w:tc>
        <w:tc>
          <w:tcPr>
            <w:tcW w:w="400" w:type="dxa"/>
            <w:vAlign w:val="bottom"/>
          </w:tcPr>
          <w:p>
            <w:pPr>
              <w:spacing w:after="0"/>
              <w:rPr>
                <w:sz w:val="15"/>
                <w:szCs w:val="15"/>
                <w:color w:val="auto"/>
              </w:rPr>
            </w:pPr>
          </w:p>
        </w:tc>
        <w:tc>
          <w:tcPr>
            <w:tcW w:w="1340" w:type="dxa"/>
            <w:vAlign w:val="bottom"/>
          </w:tcPr>
          <w:p>
            <w:pPr>
              <w:jc w:val="right"/>
              <w:ind w:right="109"/>
              <w:spacing w:after="0"/>
              <w:rPr>
                <w:sz w:val="20"/>
                <w:szCs w:val="20"/>
                <w:color w:val="auto"/>
              </w:rPr>
            </w:pPr>
            <w:r>
              <w:rPr>
                <w:rFonts w:ascii="Arial" w:cs="Arial" w:eastAsia="Arial" w:hAnsi="Arial"/>
                <w:sz w:val="14"/>
                <w:szCs w:val="14"/>
                <w:color w:val="auto"/>
              </w:rPr>
              <w:t>2,402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Arial" w:cs="Arial" w:eastAsia="Arial" w:hAnsi="Arial"/>
                <w:sz w:val="14"/>
                <w:szCs w:val="14"/>
                <w:color w:val="auto"/>
              </w:rPr>
              <w:t>2,395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2,920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for tax effect (i)</w:t>
            </w: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(4,324)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(1,711)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860" w:type="dxa"/>
            <w:vAlign w:val="bottom"/>
          </w:tcPr>
          <w:p>
            <w:pPr>
              <w:ind w:left="360"/>
              <w:spacing w:after="0"/>
              <w:rPr>
                <w:sz w:val="20"/>
                <w:szCs w:val="20"/>
                <w:color w:val="auto"/>
              </w:rPr>
            </w:pPr>
            <w:r>
              <w:rPr>
                <w:rFonts w:ascii="Arial" w:cs="Arial" w:eastAsia="Arial" w:hAnsi="Arial"/>
                <w:sz w:val="14"/>
                <w:szCs w:val="14"/>
                <w:color w:val="auto"/>
              </w:rPr>
              <w:t>Adjusted Net Income</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541,539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448,718</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395,028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i w:val="1"/>
                <w:iCs w:val="1"/>
                <w:color w:val="auto"/>
              </w:rPr>
              <w:t>Adjusted Diluted Earnings Per Share</w:t>
            </w:r>
          </w:p>
        </w:tc>
        <w:tc>
          <w:tcPr>
            <w:tcW w:w="4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Weighted-average number of diluted shares outstanding</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138,703,220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141,238,135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143,156,176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Adjusted Net Income Per Diluted Share (j)</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3.90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Free Cash Flow</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8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718,684</w:t>
            </w:r>
          </w:p>
        </w:tc>
        <w:tc>
          <w:tcPr>
            <w:tcW w:w="3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551,428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499,610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Purchases of property and equipment</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(87,210)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(128,079)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(94,681)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Free Cash Flow</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631,474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423,349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404,929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4"/>
                <w:szCs w:val="14"/>
                <w:color w:val="auto"/>
              </w:rPr>
              <w:t>50</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58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53" w:name="page54"/>
    <w:bookmarkEnd w:id="53"/>
    <w:p>
      <w:pPr>
        <w:ind w:left="520" w:hanging="515"/>
        <w:spacing w:after="0"/>
        <w:tabs>
          <w:tab w:leader="none" w:pos="5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Fiscal 2020 and fiscal 2019 reflect debt refinancing costs incurred in connection with the refinancing transactions consummated on November 26, 2019 and July 23, 2018, respectively.</w:t>
      </w:r>
    </w:p>
    <w:p>
      <w:pPr>
        <w:spacing w:after="0" w:line="62" w:lineRule="exact"/>
        <w:rPr>
          <w:rFonts w:ascii="Arial" w:cs="Arial" w:eastAsia="Arial" w:hAnsi="Arial"/>
          <w:sz w:val="13"/>
          <w:szCs w:val="13"/>
          <w:color w:val="auto"/>
        </w:rPr>
      </w:pPr>
    </w:p>
    <w:p>
      <w:pPr>
        <w:ind w:left="500" w:hanging="495"/>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supplemental contribution to employees' dependent care FSA accounts in response to the COVID-19 outbreak.</w:t>
      </w:r>
    </w:p>
    <w:p>
      <w:pPr>
        <w:spacing w:after="0" w:line="51" w:lineRule="exact"/>
        <w:rPr>
          <w:rFonts w:ascii="Arial" w:cs="Arial" w:eastAsia="Arial" w:hAnsi="Arial"/>
          <w:sz w:val="14"/>
          <w:szCs w:val="14"/>
          <w:color w:val="auto"/>
        </w:rPr>
      </w:pPr>
    </w:p>
    <w:p>
      <w:pPr>
        <w:ind w:left="520" w:hanging="515"/>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certain costs incurred related to acquisition efforts of the Company, including legal and other professional fees.</w:t>
      </w:r>
    </w:p>
    <w:p>
      <w:pPr>
        <w:spacing w:after="0" w:line="51" w:lineRule="exact"/>
        <w:rPr>
          <w:rFonts w:ascii="Arial" w:cs="Arial" w:eastAsia="Arial" w:hAnsi="Arial"/>
          <w:sz w:val="14"/>
          <w:szCs w:val="14"/>
          <w:color w:val="auto"/>
        </w:rPr>
      </w:pPr>
    </w:p>
    <w:p>
      <w:pPr>
        <w:ind w:left="500" w:hanging="495"/>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the combination of Interest expense and Other income (expense), net from the consolidated statement of operations.</w:t>
      </w:r>
    </w:p>
    <w:p>
      <w:pPr>
        <w:spacing w:after="0" w:line="51" w:lineRule="exact"/>
        <w:rPr>
          <w:rFonts w:ascii="Arial" w:cs="Arial" w:eastAsia="Arial" w:hAnsi="Arial"/>
          <w:sz w:val="14"/>
          <w:szCs w:val="14"/>
          <w:color w:val="auto"/>
        </w:rPr>
      </w:pPr>
    </w:p>
    <w:p>
      <w:pPr>
        <w:ind w:left="520" w:right="20" w:hanging="515"/>
        <w:spacing w:after="0" w:line="281" w:lineRule="auto"/>
        <w:tabs>
          <w:tab w:leader="none" w:pos="518"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tax credits, net of reserves for uncertain tax positions, recognized in fiscal 2021 and 2020 related to an increase in research and development credits available for fiscal years 2016 to 2019 and fiscal years 2016 to 2020, respectively.</w:t>
      </w:r>
    </w:p>
    <w:p>
      <w:pPr>
        <w:spacing w:after="0" w:line="4" w:lineRule="exact"/>
        <w:rPr>
          <w:rFonts w:ascii="Arial" w:cs="Arial" w:eastAsia="Arial" w:hAnsi="Arial"/>
          <w:sz w:val="14"/>
          <w:szCs w:val="14"/>
          <w:color w:val="auto"/>
        </w:rPr>
      </w:pPr>
    </w:p>
    <w:p>
      <w:pPr>
        <w:ind w:left="500" w:hanging="495"/>
        <w:spacing w:after="0"/>
        <w:tabs>
          <w:tab w:leader="none" w:pos="5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Release of pre-acquisition income tax reserves assumed by the Company in connection with the Carlyle Acquisition.</w:t>
      </w:r>
    </w:p>
    <w:p>
      <w:pPr>
        <w:spacing w:after="0" w:line="51" w:lineRule="exact"/>
        <w:rPr>
          <w:rFonts w:ascii="Arial" w:cs="Arial" w:eastAsia="Arial" w:hAnsi="Arial"/>
          <w:sz w:val="14"/>
          <w:szCs w:val="14"/>
          <w:color w:val="auto"/>
        </w:rPr>
      </w:pPr>
    </w:p>
    <w:p>
      <w:pPr>
        <w:ind w:left="520" w:right="40" w:hanging="515"/>
        <w:spacing w:after="0" w:line="295" w:lineRule="auto"/>
        <w:tabs>
          <w:tab w:leader="none" w:pos="515" w:val="left"/>
        </w:tabs>
        <w:numPr>
          <w:ilvl w:val="0"/>
          <w:numId w:val="47"/>
        </w:numPr>
        <w:rPr>
          <w:rFonts w:ascii="Arial" w:cs="Arial" w:eastAsia="Arial" w:hAnsi="Arial"/>
          <w:sz w:val="13"/>
          <w:szCs w:val="13"/>
          <w:color w:val="auto"/>
        </w:rPr>
      </w:pPr>
      <w:r>
        <w:rPr>
          <w:rFonts w:ascii="Arial" w:cs="Arial" w:eastAsia="Arial" w:hAnsi="Arial"/>
          <w:sz w:val="13"/>
          <w:szCs w:val="13"/>
          <w:color w:val="auto"/>
        </w:rPr>
        <w:t>Fiscal 2021 reflects the income tax benefit associated with tax losses generated during fiscal 2021 as a result of a change in certain tax methods of accounting. The Company intends to carry these losses back to fiscal 2016 and subsequent periods under the CARES Act and has re-measured the fiscal 2021 loss accordingly. Fiscal 2019 reflects the adjustments made to the provisional income tax benefit associated with the re-measurement of the Company's existing deferred tax assets and liabilities as a result of the 2017 Tax Act.</w:t>
      </w:r>
    </w:p>
    <w:p>
      <w:pPr>
        <w:ind w:left="520" w:hanging="515"/>
        <w:spacing w:after="0" w:line="281" w:lineRule="auto"/>
        <w:tabs>
          <w:tab w:leader="none" w:pos="515"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the loss on debt extinguishment resulting from the redemption of Booz Allen Hamilton Inc.'s 5.125% Senior Notes due 2025 (the "2017 Senior Notes"), including $9.0 million of the premium paid at redemption, and write-off of the unamortized debt issuance cost. See Note 10 to our consolidated financial statements for more information.</w:t>
      </w:r>
    </w:p>
    <w:p>
      <w:pPr>
        <w:spacing w:after="0" w:line="4" w:lineRule="exact"/>
        <w:rPr>
          <w:rFonts w:ascii="Arial" w:cs="Arial" w:eastAsia="Arial" w:hAnsi="Arial"/>
          <w:sz w:val="14"/>
          <w:szCs w:val="14"/>
          <w:color w:val="auto"/>
        </w:rPr>
      </w:pPr>
    </w:p>
    <w:p>
      <w:pPr>
        <w:ind w:left="520" w:right="180" w:hanging="515"/>
        <w:spacing w:after="0" w:line="281" w:lineRule="auto"/>
        <w:tabs>
          <w:tab w:leader="none" w:pos="515"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4" w:lineRule="exact"/>
        <w:rPr>
          <w:rFonts w:ascii="Arial" w:cs="Arial" w:eastAsia="Arial" w:hAnsi="Arial"/>
          <w:sz w:val="14"/>
          <w:szCs w:val="14"/>
          <w:color w:val="auto"/>
        </w:rPr>
      </w:pPr>
    </w:p>
    <w:p>
      <w:pPr>
        <w:ind w:left="520" w:right="20" w:hanging="515"/>
        <w:spacing w:after="0" w:line="281" w:lineRule="auto"/>
        <w:tabs>
          <w:tab w:leader="none" w:pos="515" w:val="left"/>
        </w:tabs>
        <w:numPr>
          <w:ilvl w:val="0"/>
          <w:numId w:val="47"/>
        </w:numPr>
        <w:rPr>
          <w:rFonts w:ascii="Arial" w:cs="Arial" w:eastAsia="Arial" w:hAnsi="Arial"/>
          <w:sz w:val="14"/>
          <w:szCs w:val="14"/>
          <w:color w:val="auto"/>
        </w:rPr>
      </w:pPr>
      <w:r>
        <w:rPr>
          <w:rFonts w:ascii="Arial" w:cs="Arial" w:eastAsia="Arial" w:hAnsi="Arial"/>
          <w:sz w:val="14"/>
          <w:szCs w:val="14"/>
          <w:color w:val="auto"/>
        </w:rPr>
        <w:t>Excludes an adjustment of approximately $3.5 million, $1.6 million, and $1.8 million of net earnings for fiscal 2021, 2020, and 2019, respectively, associated with the application of the two-class method for computing diluted earnings per share.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Factors and Trends Affecting Our Results of Operations</w:t>
      </w:r>
    </w:p>
    <w:p>
      <w:pPr>
        <w:spacing w:after="0" w:line="98"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Our results of operations have been, and we expect them to continue to be, affected by the following factors, which may cause our future results of operations to differ from our historical results of operations discussed under “—Results of Operations.”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Business Environment and Key Trends in Our Markets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believe that the following trends and developments in the U.S. government services industry and our markets may influence our future results of operations:</w:t>
      </w:r>
    </w:p>
    <w:p>
      <w:pPr>
        <w:spacing w:after="0" w:line="94" w:lineRule="exact"/>
        <w:rPr>
          <w:sz w:val="20"/>
          <w:szCs w:val="20"/>
          <w:color w:val="auto"/>
        </w:rPr>
      </w:pPr>
    </w:p>
    <w:p>
      <w:pPr>
        <w:ind w:left="1020" w:right="20" w:hanging="506"/>
        <w:spacing w:after="0" w:line="260" w:lineRule="auto"/>
        <w:tabs>
          <w:tab w:leader="none" w:pos="1016" w:val="left"/>
        </w:tabs>
        <w:numPr>
          <w:ilvl w:val="0"/>
          <w:numId w:val="48"/>
        </w:numPr>
        <w:rPr>
          <w:rFonts w:ascii="Arial" w:cs="Arial" w:eastAsia="Arial" w:hAnsi="Arial"/>
          <w:sz w:val="14"/>
          <w:szCs w:val="14"/>
          <w:color w:val="auto"/>
        </w:rPr>
      </w:pPr>
      <w:r>
        <w:rPr>
          <w:rFonts w:ascii="Arial" w:cs="Arial" w:eastAsia="Arial" w:hAnsi="Arial"/>
          <w:sz w:val="14"/>
          <w:szCs w:val="14"/>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Taxpayer Relief Act of 2012, the Bipartisan Budget Act of 2013, the Bipartisan Budget Act of 2015, the Bipartisan Budget Act of 2018, and the Bipartisan Budget Act of 2019, and address the ability of Congress to determine how to allocate the available budget authority and pass appropriations bills to fund both U.S. government departments and agencies that are, and those that are not, subject to the caps;</w:t>
      </w:r>
    </w:p>
    <w:p>
      <w:pPr>
        <w:spacing w:after="0" w:line="61" w:lineRule="exact"/>
        <w:rPr>
          <w:rFonts w:ascii="Arial" w:cs="Arial" w:eastAsia="Arial" w:hAnsi="Arial"/>
          <w:sz w:val="14"/>
          <w:szCs w:val="14"/>
          <w:color w:val="auto"/>
        </w:rPr>
      </w:pPr>
    </w:p>
    <w:p>
      <w:pPr>
        <w:ind w:left="1020" w:right="440" w:hanging="506"/>
        <w:spacing w:after="0" w:line="281" w:lineRule="auto"/>
        <w:tabs>
          <w:tab w:leader="none" w:pos="1016" w:val="left"/>
        </w:tabs>
        <w:numPr>
          <w:ilvl w:val="0"/>
          <w:numId w:val="48"/>
        </w:numPr>
        <w:rPr>
          <w:rFonts w:ascii="Arial" w:cs="Arial" w:eastAsia="Arial" w:hAnsi="Arial"/>
          <w:sz w:val="14"/>
          <w:szCs w:val="14"/>
          <w:color w:val="auto"/>
        </w:rPr>
      </w:pPr>
      <w:r>
        <w:rPr>
          <w:rFonts w:ascii="Arial" w:cs="Arial" w:eastAsia="Arial" w:hAnsi="Arial"/>
          <w:sz w:val="14"/>
          <w:szCs w:val="14"/>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67" w:right="339" w:bottom="1440" w:gutter="0" w:footer="0" w:header="0"/>
        </w:sectPr>
      </w:pPr>
    </w:p>
    <w:bookmarkStart w:id="54" w:name="page55"/>
    <w:bookmarkEnd w:id="54"/>
    <w:p>
      <w:pPr>
        <w:ind w:left="506" w:hanging="506"/>
        <w:spacing w:after="0" w:line="280" w:lineRule="auto"/>
        <w:tabs>
          <w:tab w:leader="none" w:pos="502" w:val="left"/>
        </w:tabs>
        <w:numPr>
          <w:ilvl w:val="0"/>
          <w:numId w:val="49"/>
        </w:numPr>
        <w:rPr>
          <w:rFonts w:ascii="Arial" w:cs="Arial" w:eastAsia="Arial" w:hAnsi="Arial"/>
          <w:sz w:val="13"/>
          <w:szCs w:val="13"/>
          <w:color w:val="auto"/>
        </w:rPr>
      </w:pPr>
      <w:r>
        <w:rPr>
          <w:rFonts w:ascii="Arial" w:cs="Arial" w:eastAsia="Arial" w:hAnsi="Arial"/>
          <w:sz w:val="13"/>
          <w:szCs w:val="13"/>
          <w:color w:val="auto"/>
        </w:rPr>
        <w:t>cost-cutting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2" w:lineRule="exact"/>
        <w:rPr>
          <w:rFonts w:ascii="Arial" w:cs="Arial" w:eastAsia="Arial" w:hAnsi="Arial"/>
          <w:sz w:val="13"/>
          <w:szCs w:val="13"/>
          <w:color w:val="auto"/>
        </w:rPr>
      </w:pPr>
    </w:p>
    <w:p>
      <w:pPr>
        <w:ind w:left="506" w:right="60" w:hanging="506"/>
        <w:spacing w:after="0" w:line="281" w:lineRule="auto"/>
        <w:tabs>
          <w:tab w:leader="none" w:pos="502"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delays in the completion of future U.S. government’s budget processes, which have in the past and could in the future delay procurement of the products, services, and solutions we provide;</w:t>
      </w:r>
    </w:p>
    <w:p>
      <w:pPr>
        <w:spacing w:after="0" w:line="47" w:lineRule="exact"/>
        <w:rPr>
          <w:rFonts w:ascii="Arial" w:cs="Arial" w:eastAsia="Arial" w:hAnsi="Arial"/>
          <w:sz w:val="14"/>
          <w:szCs w:val="14"/>
          <w:color w:val="auto"/>
        </w:rPr>
      </w:pPr>
    </w:p>
    <w:p>
      <w:pPr>
        <w:ind w:left="506" w:right="40" w:hanging="506"/>
        <w:spacing w:after="0" w:line="297" w:lineRule="auto"/>
        <w:tabs>
          <w:tab w:leader="none" w:pos="502" w:val="left"/>
        </w:tabs>
        <w:numPr>
          <w:ilvl w:val="0"/>
          <w:numId w:val="49"/>
        </w:numPr>
        <w:rPr>
          <w:rFonts w:ascii="Arial" w:cs="Arial" w:eastAsia="Arial" w:hAnsi="Arial"/>
          <w:sz w:val="13"/>
          <w:szCs w:val="13"/>
          <w:color w:val="auto"/>
        </w:rPr>
      </w:pPr>
      <w:r>
        <w:rPr>
          <w:rFonts w:ascii="Arial" w:cs="Arial" w:eastAsia="Arial" w:hAnsi="Arial"/>
          <w:sz w:val="13"/>
          <w:szCs w:val="13"/>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presidential and administration transition;</w:t>
      </w:r>
    </w:p>
    <w:p>
      <w:pPr>
        <w:spacing w:after="0" w:line="39" w:lineRule="exact"/>
        <w:rPr>
          <w:rFonts w:ascii="Arial" w:cs="Arial" w:eastAsia="Arial" w:hAnsi="Arial"/>
          <w:sz w:val="13"/>
          <w:szCs w:val="13"/>
          <w:color w:val="auto"/>
        </w:rPr>
      </w:pPr>
    </w:p>
    <w:p>
      <w:pPr>
        <w:ind w:left="506" w:right="500" w:hanging="506"/>
        <w:spacing w:after="0" w:line="321" w:lineRule="auto"/>
        <w:tabs>
          <w:tab w:leader="none" w:pos="502"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extent, nature and effect of COVID-19, including the impact on federal budgets, current and pending procurements, supply chains, demand for services, deployment and productivity of our employees and the economic and societal impact of a pandemic, and the expected continued volatility in billable expenses;</w:t>
      </w:r>
    </w:p>
    <w:p>
      <w:pPr>
        <w:spacing w:after="0" w:line="24" w:lineRule="exact"/>
        <w:rPr>
          <w:rFonts w:ascii="Arial" w:cs="Arial" w:eastAsia="Arial" w:hAnsi="Arial"/>
          <w:sz w:val="13"/>
          <w:szCs w:val="13"/>
          <w:color w:val="auto"/>
        </w:rPr>
      </w:pPr>
    </w:p>
    <w:p>
      <w:pPr>
        <w:ind w:left="506" w:right="100" w:hanging="506"/>
        <w:spacing w:after="0" w:line="267" w:lineRule="auto"/>
        <w:tabs>
          <w:tab w:leader="none" w:pos="502" w:val="left"/>
        </w:tabs>
        <w:numPr>
          <w:ilvl w:val="0"/>
          <w:numId w:val="49"/>
        </w:numPr>
        <w:rPr>
          <w:rFonts w:ascii="Arial" w:cs="Arial" w:eastAsia="Arial" w:hAnsi="Arial"/>
          <w:sz w:val="14"/>
          <w:szCs w:val="14"/>
          <w:color w:val="auto"/>
        </w:rPr>
      </w:pPr>
      <w:r>
        <w:rPr>
          <w:rFonts w:ascii="Arial" w:cs="Arial" w:eastAsia="Arial" w:hAnsi="Arial"/>
          <w:sz w:val="14"/>
          <w:szCs w:val="14"/>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56" w:lineRule="exact"/>
        <w:rPr>
          <w:rFonts w:ascii="Arial" w:cs="Arial" w:eastAsia="Arial" w:hAnsi="Arial"/>
          <w:sz w:val="14"/>
          <w:szCs w:val="14"/>
          <w:color w:val="auto"/>
        </w:rPr>
      </w:pPr>
    </w:p>
    <w:p>
      <w:pPr>
        <w:ind w:left="506" w:hanging="506"/>
        <w:spacing w:after="0"/>
        <w:tabs>
          <w:tab w:leader="none" w:pos="506" w:val="left"/>
        </w:tabs>
        <w:numPr>
          <w:ilvl w:val="0"/>
          <w:numId w:val="49"/>
        </w:numPr>
        <w:rPr>
          <w:rFonts w:ascii="Arial" w:cs="Arial" w:eastAsia="Arial" w:hAnsi="Arial"/>
          <w:sz w:val="14"/>
          <w:szCs w:val="14"/>
          <w:color w:val="auto"/>
        </w:rPr>
      </w:pPr>
      <w:r>
        <w:rPr>
          <w:rFonts w:ascii="Arial" w:cs="Arial" w:eastAsia="Arial" w:hAnsi="Arial"/>
          <w:sz w:val="14"/>
          <w:szCs w:val="14"/>
          <w:color w:val="auto"/>
        </w:rPr>
        <w:t>efforts by the U.S. government to address organizational conflicts of interest and related issues and the impact of those efforts on us and our competitors;</w:t>
      </w:r>
    </w:p>
    <w:p>
      <w:pPr>
        <w:spacing w:after="0" w:line="93" w:lineRule="exact"/>
        <w:rPr>
          <w:rFonts w:ascii="Arial" w:cs="Arial" w:eastAsia="Arial" w:hAnsi="Arial"/>
          <w:sz w:val="14"/>
          <w:szCs w:val="14"/>
          <w:color w:val="auto"/>
        </w:rPr>
      </w:pPr>
    </w:p>
    <w:p>
      <w:pPr>
        <w:ind w:left="506" w:right="100" w:hanging="506"/>
        <w:spacing w:after="0" w:line="281" w:lineRule="auto"/>
        <w:tabs>
          <w:tab w:leader="none" w:pos="502"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47" w:lineRule="exact"/>
        <w:rPr>
          <w:rFonts w:ascii="Arial" w:cs="Arial" w:eastAsia="Arial" w:hAnsi="Arial"/>
          <w:sz w:val="14"/>
          <w:szCs w:val="14"/>
          <w:color w:val="auto"/>
        </w:rPr>
      </w:pPr>
    </w:p>
    <w:p>
      <w:pPr>
        <w:ind w:left="506" w:right="520" w:hanging="506"/>
        <w:spacing w:after="0" w:line="281" w:lineRule="auto"/>
        <w:tabs>
          <w:tab w:leader="none" w:pos="502"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47" w:lineRule="exact"/>
        <w:rPr>
          <w:rFonts w:ascii="Arial" w:cs="Arial" w:eastAsia="Arial" w:hAnsi="Arial"/>
          <w:sz w:val="14"/>
          <w:szCs w:val="14"/>
          <w:color w:val="auto"/>
        </w:rPr>
      </w:pPr>
    </w:p>
    <w:p>
      <w:pPr>
        <w:ind w:left="506" w:right="540" w:hanging="506"/>
        <w:spacing w:after="0" w:line="281" w:lineRule="auto"/>
        <w:tabs>
          <w:tab w:leader="none" w:pos="502" w:val="left"/>
        </w:tabs>
        <w:numPr>
          <w:ilvl w:val="0"/>
          <w:numId w:val="49"/>
        </w:numPr>
        <w:rPr>
          <w:rFonts w:ascii="Arial" w:cs="Arial" w:eastAsia="Arial" w:hAnsi="Arial"/>
          <w:sz w:val="14"/>
          <w:szCs w:val="14"/>
          <w:color w:val="auto"/>
        </w:rPr>
      </w:pPr>
      <w:r>
        <w:rPr>
          <w:rFonts w:ascii="Arial" w:cs="Arial" w:eastAsia="Arial" w:hAnsi="Arial"/>
          <w:sz w:val="14"/>
          <w:szCs w:val="14"/>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47" w:lineRule="exact"/>
        <w:rPr>
          <w:rFonts w:ascii="Arial" w:cs="Arial" w:eastAsia="Arial" w:hAnsi="Arial"/>
          <w:sz w:val="14"/>
          <w:szCs w:val="14"/>
          <w:color w:val="auto"/>
        </w:rPr>
      </w:pPr>
    </w:p>
    <w:p>
      <w:pPr>
        <w:ind w:left="506" w:hanging="506"/>
        <w:spacing w:after="0"/>
        <w:tabs>
          <w:tab w:leader="none" w:pos="506" w:val="left"/>
        </w:tabs>
        <w:numPr>
          <w:ilvl w:val="0"/>
          <w:numId w:val="49"/>
        </w:numPr>
        <w:rPr>
          <w:rFonts w:ascii="Arial" w:cs="Arial" w:eastAsia="Arial" w:hAnsi="Arial"/>
          <w:sz w:val="13"/>
          <w:szCs w:val="13"/>
          <w:color w:val="auto"/>
        </w:rPr>
      </w:pPr>
      <w:r>
        <w:rPr>
          <w:rFonts w:ascii="Arial" w:cs="Arial" w:eastAsia="Arial" w:hAnsi="Arial"/>
          <w:sz w:val="13"/>
          <w:szCs w:val="13"/>
          <w:color w:val="auto"/>
        </w:rPr>
        <w:t>U.S. government agencies awarding contracts on a technically acceptable/lowest cost basis, which could have a negative impact on our ability to win certain contracts;</w:t>
      </w:r>
    </w:p>
    <w:p>
      <w:pPr>
        <w:spacing w:after="0" w:line="105" w:lineRule="exact"/>
        <w:rPr>
          <w:rFonts w:ascii="Arial" w:cs="Arial" w:eastAsia="Arial" w:hAnsi="Arial"/>
          <w:sz w:val="13"/>
          <w:szCs w:val="13"/>
          <w:color w:val="auto"/>
        </w:rPr>
      </w:pPr>
    </w:p>
    <w:p>
      <w:pPr>
        <w:ind w:left="506" w:right="320" w:hanging="506"/>
        <w:spacing w:after="0" w:line="281" w:lineRule="auto"/>
        <w:tabs>
          <w:tab w:leader="none" w:pos="502"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47" w:lineRule="exact"/>
        <w:rPr>
          <w:rFonts w:ascii="Arial" w:cs="Arial" w:eastAsia="Arial" w:hAnsi="Arial"/>
          <w:sz w:val="14"/>
          <w:szCs w:val="14"/>
          <w:color w:val="auto"/>
        </w:rPr>
      </w:pPr>
    </w:p>
    <w:p>
      <w:pPr>
        <w:ind w:left="506" w:right="160" w:hanging="506"/>
        <w:spacing w:after="0" w:line="267" w:lineRule="auto"/>
        <w:tabs>
          <w:tab w:leader="none" w:pos="502"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56" w:lineRule="exact"/>
        <w:rPr>
          <w:rFonts w:ascii="Arial" w:cs="Arial" w:eastAsia="Arial" w:hAnsi="Arial"/>
          <w:sz w:val="14"/>
          <w:szCs w:val="14"/>
          <w:color w:val="auto"/>
        </w:rPr>
      </w:pPr>
    </w:p>
    <w:p>
      <w:pPr>
        <w:ind w:left="506" w:right="300" w:hanging="506"/>
        <w:spacing w:after="0" w:line="281" w:lineRule="auto"/>
        <w:tabs>
          <w:tab w:leader="none" w:pos="502"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398" w:lineRule="exact"/>
        <w:rPr>
          <w:sz w:val="20"/>
          <w:szCs w:val="20"/>
          <w:color w:val="auto"/>
        </w:rPr>
      </w:pPr>
    </w:p>
    <w:p>
      <w:pPr>
        <w:jc w:val="center"/>
        <w:ind w:right="474"/>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6"/>
          </w:cols>
          <w:pgMar w:left="814" w:top="818" w:right="339" w:bottom="1440" w:gutter="0" w:footer="0" w:header="0"/>
        </w:sectPr>
      </w:pPr>
    </w:p>
    <w:bookmarkStart w:id="55" w:name="page56"/>
    <w:bookmarkEnd w:id="55"/>
    <w:p>
      <w:pPr>
        <w:ind w:left="1020" w:right="20" w:hanging="506"/>
        <w:spacing w:after="0" w:line="281" w:lineRule="auto"/>
        <w:tabs>
          <w:tab w:leader="none" w:pos="10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47" w:lineRule="exact"/>
        <w:rPr>
          <w:rFonts w:ascii="Arial" w:cs="Arial" w:eastAsia="Arial" w:hAnsi="Arial"/>
          <w:sz w:val="14"/>
          <w:szCs w:val="14"/>
          <w:color w:val="auto"/>
        </w:rPr>
      </w:pPr>
    </w:p>
    <w:p>
      <w:pPr>
        <w:ind w:left="1020" w:right="180" w:hanging="506"/>
        <w:spacing w:after="0" w:line="368" w:lineRule="auto"/>
        <w:tabs>
          <w:tab w:leader="none" w:pos="1016"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Sources of Revenue</w:t>
      </w:r>
    </w:p>
    <w:p>
      <w:pPr>
        <w:spacing w:after="0" w:line="94" w:lineRule="exact"/>
        <w:rPr>
          <w:sz w:val="20"/>
          <w:szCs w:val="20"/>
          <w:color w:val="auto"/>
        </w:rPr>
      </w:pPr>
    </w:p>
    <w:p>
      <w:pPr>
        <w:ind w:right="20" w:firstLine="318"/>
        <w:spacing w:after="0" w:line="276" w:lineRule="auto"/>
        <w:rPr>
          <w:sz w:val="20"/>
          <w:szCs w:val="20"/>
          <w:color w:val="auto"/>
        </w:rPr>
      </w:pPr>
      <w:r>
        <w:rPr>
          <w:rFonts w:ascii="Arial" w:cs="Arial" w:eastAsia="Arial" w:hAnsi="Arial"/>
          <w:sz w:val="13"/>
          <w:szCs w:val="13"/>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(as amended by the American Taxpayer Relief Act of 2012, the Bipartisan Budget Act of 2013, the Bipartisan Budget Act of 2015, the Bipartisan Budget Act of 2018, and the Bipartisan Budget Act of 2019), provides for automatic spending cuts (referred to as sequestration) totaling approximately $1.2 trillion between 2013 and 2021, including an estimated $500 billion in federal defense spending cuts over this time period. The Bipartisan Budget Act of 2019 raised BCA spending caps on defense spending by $90 billion for government fiscal 2020, and $81 billion for fiscal 2021. For non-defense funding, the Bipartisan Budget Act of 2019 raised BCA spending caps by $78 billion for government fiscal 2020 and $72 billion for government fiscal 2021. While the American Taxpayer Relief Act of 2012, the Bipartisan Budget Act of 2013, the Bipartisan Budget Act of 2015, the Bipartisan Budget Act of 2018, and the Bipartisan Budget Act of 2019 all negated and raised budget limits put in place by the BCA for both defense and non-defense spending, there can be no assurance that any spending cuts implemented in the future would be similarly negated.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Contract Types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generate revenue under the following three basic types of contracts:</w:t>
      </w:r>
    </w:p>
    <w:p>
      <w:pPr>
        <w:spacing w:after="0" w:line="94" w:lineRule="exact"/>
        <w:rPr>
          <w:sz w:val="20"/>
          <w:szCs w:val="20"/>
          <w:color w:val="auto"/>
        </w:rPr>
      </w:pPr>
    </w:p>
    <w:p>
      <w:pPr>
        <w:ind w:left="1540" w:hanging="517"/>
        <w:spacing w:after="0" w:line="280" w:lineRule="auto"/>
        <w:tabs>
          <w:tab w:leader="none" w:pos="1536"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Cost-Reimbursable Contracts. </w:t>
      </w:r>
      <w:r>
        <w:rPr>
          <w:rFonts w:ascii="Arial" w:cs="Arial" w:eastAsia="Arial" w:hAnsi="Arial"/>
          <w:sz w:val="13"/>
          <w:szCs w:val="13"/>
          <w:color w:val="auto"/>
        </w:rPr>
        <w:t>Cost-reimbursable contracts provide for the payment of allowable costs incurred during performance of the contract, up to a ceiling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2" w:lineRule="exact"/>
        <w:rPr>
          <w:rFonts w:ascii="Arial" w:cs="Arial" w:eastAsia="Arial" w:hAnsi="Arial"/>
          <w:sz w:val="13"/>
          <w:szCs w:val="13"/>
          <w:i w:val="1"/>
          <w:iCs w:val="1"/>
          <w:color w:val="auto"/>
        </w:rPr>
      </w:pPr>
    </w:p>
    <w:p>
      <w:pPr>
        <w:ind w:left="1540" w:right="160" w:hanging="517"/>
        <w:spacing w:after="0" w:line="288" w:lineRule="auto"/>
        <w:tabs>
          <w:tab w:leader="none" w:pos="1536"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Time-and-Materials Contracts. </w:t>
      </w:r>
      <w:r>
        <w:rPr>
          <w:rFonts w:ascii="Arial" w:cs="Arial" w:eastAsia="Arial" w:hAnsi="Arial"/>
          <w:sz w:val="13"/>
          <w:szCs w:val="13"/>
          <w:color w:val="auto"/>
        </w:rPr>
        <w:t>Under contracts in this category, we are paid a fixed hourly rate for each direct labor hour expended, and we are reimbursed for billable</w:t>
      </w:r>
      <w:r>
        <w:rPr>
          <w:rFonts w:ascii="Arial" w:cs="Arial" w:eastAsia="Arial" w:hAnsi="Arial"/>
          <w:sz w:val="13"/>
          <w:szCs w:val="13"/>
          <w:i w:val="1"/>
          <w:iCs w:val="1"/>
          <w:color w:val="auto"/>
        </w:rPr>
        <w:t xml:space="preserve"> </w:t>
      </w:r>
      <w:r>
        <w:rPr>
          <w:rFonts w:ascii="Arial" w:cs="Arial" w:eastAsia="Arial" w:hAnsi="Arial"/>
          <w:sz w:val="13"/>
          <w:szCs w:val="13"/>
          <w:color w:val="auto"/>
        </w:rPr>
        <w:t>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46" w:lineRule="exact"/>
        <w:rPr>
          <w:rFonts w:ascii="Arial" w:cs="Arial" w:eastAsia="Arial" w:hAnsi="Arial"/>
          <w:sz w:val="13"/>
          <w:szCs w:val="13"/>
          <w:i w:val="1"/>
          <w:iCs w:val="1"/>
          <w:color w:val="auto"/>
        </w:rPr>
      </w:pPr>
    </w:p>
    <w:p>
      <w:pPr>
        <w:jc w:val="both"/>
        <w:ind w:left="1540" w:hanging="517"/>
        <w:spacing w:after="0" w:line="297" w:lineRule="auto"/>
        <w:tabs>
          <w:tab w:leader="none" w:pos="1536"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Fixed-Price Contracts. </w:t>
      </w:r>
      <w:r>
        <w:rPr>
          <w:rFonts w:ascii="Arial" w:cs="Arial" w:eastAsia="Arial" w:hAnsi="Arial"/>
          <w:sz w:val="13"/>
          <w:szCs w:val="13"/>
          <w:color w:val="auto"/>
        </w:rPr>
        <w:t>Under a fixed-price contract, we agree to perform the specified work for a predetermined price. To the extent our actual direct and allocated indirect</w:t>
      </w:r>
      <w:r>
        <w:rPr>
          <w:rFonts w:ascii="Arial" w:cs="Arial" w:eastAsia="Arial" w:hAnsi="Arial"/>
          <w:sz w:val="13"/>
          <w:szCs w:val="13"/>
          <w:i w:val="1"/>
          <w:iCs w:val="1"/>
          <w:color w:val="auto"/>
        </w:rPr>
        <w:t xml:space="preserve"> </w:t>
      </w:r>
      <w:r>
        <w:rPr>
          <w:rFonts w:ascii="Arial" w:cs="Arial" w:eastAsia="Arial" w:hAnsi="Arial"/>
          <w:sz w:val="13"/>
          <w:szCs w:val="13"/>
          <w:color w:val="auto"/>
        </w:rPr>
        <w:t>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56" w:name="page57"/>
    <w:bookmarkEnd w:id="56"/>
    <w:p>
      <w:pPr>
        <w:ind w:left="1540"/>
        <w:spacing w:after="0"/>
        <w:rPr>
          <w:sz w:val="20"/>
          <w:szCs w:val="20"/>
          <w:color w:val="auto"/>
        </w:rPr>
      </w:pPr>
      <w:r>
        <w:rPr>
          <w:rFonts w:ascii="Arial" w:cs="Arial" w:eastAsia="Arial" w:hAnsi="Arial"/>
          <w:sz w:val="13"/>
          <w:szCs w:val="13"/>
          <w:color w:val="auto"/>
        </w:rPr>
        <w:t>performance. Fixed-price level of effort contracts require us to provide a specified level of effort (i.e., labor hours), over a stated period of time, for a fixed price.</w:t>
      </w:r>
    </w:p>
    <w:p>
      <w:pPr>
        <w:spacing w:after="0" w:line="105"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 below presents the percentage of total revenue for each type of contract:</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51"/>
        </w:trPr>
        <w:tc>
          <w:tcPr>
            <w:tcW w:w="66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9"/>
              </w:rPr>
              <w:t>Fiscal Year Ended March 31,</w:t>
            </w:r>
          </w:p>
        </w:tc>
        <w:tc>
          <w:tcPr>
            <w:tcW w:w="1400" w:type="dxa"/>
            <w:vAlign w:val="bottom"/>
            <w:tcBorders>
              <w:bottom w:val="single" w:sz="8" w:color="auto"/>
            </w:tcBorders>
          </w:tcPr>
          <w:p>
            <w:pPr>
              <w:spacing w:after="0"/>
              <w:rPr>
                <w:sz w:val="13"/>
                <w:szCs w:val="13"/>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2019</w:t>
            </w:r>
          </w:p>
        </w:tc>
      </w:tr>
      <w:tr>
        <w:trPr>
          <w:trHeight w:val="17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Cost-reimbursable</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57%</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53%</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Time-and-materials</w:t>
            </w: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23%</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24%</w:t>
            </w:r>
          </w:p>
        </w:tc>
      </w:tr>
      <w:tr>
        <w:trPr>
          <w:trHeight w:val="18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Fixed-price</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23%</w:t>
            </w:r>
          </w:p>
        </w:tc>
      </w:tr>
    </w:tbl>
    <w:p>
      <w:pPr>
        <w:spacing w:after="0" w:line="35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Contract Diversity and Revenue Mix</w:t>
      </w:r>
    </w:p>
    <w:p>
      <w:pPr>
        <w:spacing w:after="0" w:line="94" w:lineRule="exact"/>
        <w:rPr>
          <w:sz w:val="20"/>
          <w:szCs w:val="20"/>
          <w:color w:val="auto"/>
        </w:rPr>
      </w:pPr>
    </w:p>
    <w:p>
      <w:pPr>
        <w:ind w:right="80" w:firstLine="318"/>
        <w:spacing w:after="0" w:line="258" w:lineRule="auto"/>
        <w:rPr>
          <w:sz w:val="20"/>
          <w:szCs w:val="20"/>
          <w:color w:val="auto"/>
        </w:rPr>
      </w:pPr>
      <w:r>
        <w:rPr>
          <w:rFonts w:ascii="Arial" w:cs="Arial" w:eastAsia="Arial" w:hAnsi="Arial"/>
          <w:sz w:val="14"/>
          <w:szCs w:val="14"/>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3.1% of our revenue in fiscal 2021. No single definite contract accounted for more than 3.0% of our revenue in fiscal 2021.</w:t>
      </w:r>
    </w:p>
    <w:p>
      <w:pPr>
        <w:spacing w:after="0" w:line="65" w:lineRule="exact"/>
        <w:rPr>
          <w:sz w:val="20"/>
          <w:szCs w:val="20"/>
          <w:color w:val="auto"/>
        </w:rPr>
      </w:pPr>
    </w:p>
    <w:p>
      <w:pPr>
        <w:ind w:right="40" w:firstLine="350"/>
        <w:spacing w:after="0" w:line="257" w:lineRule="auto"/>
        <w:rPr>
          <w:sz w:val="20"/>
          <w:szCs w:val="20"/>
          <w:color w:val="auto"/>
        </w:rPr>
      </w:pPr>
      <w:r>
        <w:rPr>
          <w:rFonts w:ascii="Arial" w:cs="Arial" w:eastAsia="Arial" w:hAnsi="Arial"/>
          <w:sz w:val="14"/>
          <w:szCs w:val="14"/>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2021, 2020, and 2019, 93%, 92%, and 92%, respectively, of our revenue was generated by contracts and task orders for which we served as a prime contractor; 7%, 8%, and 8%, respectively, of our revenue was generated by contracts and task orders for which we served as a subcontractor; and approximately 25%, 24%, and 24%, respectively, of our revenue was generated by services provided by our subcontractors.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Our People</w:t>
      </w:r>
    </w:p>
    <w:p>
      <w:pPr>
        <w:spacing w:after="0" w:line="94" w:lineRule="exact"/>
        <w:rPr>
          <w:sz w:val="20"/>
          <w:szCs w:val="20"/>
          <w:color w:val="auto"/>
        </w:rPr>
      </w:pPr>
    </w:p>
    <w:p>
      <w:pPr>
        <w:ind w:right="120" w:firstLine="318"/>
        <w:spacing w:after="0" w:line="260" w:lineRule="auto"/>
        <w:rPr>
          <w:sz w:val="20"/>
          <w:szCs w:val="20"/>
          <w:color w:val="auto"/>
        </w:rPr>
      </w:pPr>
      <w:r>
        <w:rPr>
          <w:rFonts w:ascii="Arial" w:cs="Arial" w:eastAsia="Arial" w:hAnsi="Arial"/>
          <w:sz w:val="14"/>
          <w:szCs w:val="14"/>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March 31, 2021, 2020, and 2019, we employed approximately 27,700, 27,200, and 26,100 people, respectively, of which approximately 24,800, 24,200, and 23,400, respectively, were consulting staff.</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Contract Backlog</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define backlog to include the following three components: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57" w:name="page58"/>
    <w:bookmarkEnd w:id="57"/>
    <w:p>
      <w:pPr>
        <w:ind w:left="1020" w:right="60" w:hanging="506"/>
        <w:spacing w:after="0" w:line="281" w:lineRule="auto"/>
        <w:tabs>
          <w:tab w:leader="none" w:pos="1016"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Funded Backlog. </w:t>
      </w:r>
      <w:r>
        <w:rPr>
          <w:rFonts w:ascii="Arial" w:cs="Arial" w:eastAsia="Arial" w:hAnsi="Arial"/>
          <w:sz w:val="14"/>
          <w:szCs w:val="14"/>
          <w:color w:val="auto"/>
        </w:rPr>
        <w:t>Funded backlog represents the revenue value of orders for services under existing contracts for which funding is appropriated or otherwise authorized less revenue</w:t>
      </w:r>
      <w:r>
        <w:rPr>
          <w:rFonts w:ascii="Arial" w:cs="Arial" w:eastAsia="Arial" w:hAnsi="Arial"/>
          <w:sz w:val="14"/>
          <w:szCs w:val="14"/>
          <w:i w:val="1"/>
          <w:iCs w:val="1"/>
          <w:color w:val="auto"/>
        </w:rPr>
        <w:t xml:space="preserve"> </w:t>
      </w:r>
      <w:r>
        <w:rPr>
          <w:rFonts w:ascii="Arial" w:cs="Arial" w:eastAsia="Arial" w:hAnsi="Arial"/>
          <w:sz w:val="14"/>
          <w:szCs w:val="14"/>
          <w:color w:val="auto"/>
        </w:rPr>
        <w:t>previously recognized on these contracts.</w:t>
      </w:r>
    </w:p>
    <w:p>
      <w:pPr>
        <w:spacing w:after="0" w:line="47" w:lineRule="exact"/>
        <w:rPr>
          <w:rFonts w:ascii="Arial" w:cs="Arial" w:eastAsia="Arial" w:hAnsi="Arial"/>
          <w:sz w:val="14"/>
          <w:szCs w:val="14"/>
          <w:color w:val="auto"/>
        </w:rPr>
      </w:pPr>
    </w:p>
    <w:p>
      <w:pPr>
        <w:ind w:left="1020" w:right="480" w:hanging="506"/>
        <w:spacing w:after="0" w:line="281" w:lineRule="auto"/>
        <w:tabs>
          <w:tab w:leader="none" w:pos="1016"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Unfunded Backlog. </w:t>
      </w:r>
      <w:r>
        <w:rPr>
          <w:rFonts w:ascii="Arial" w:cs="Arial" w:eastAsia="Arial" w:hAnsi="Arial"/>
          <w:sz w:val="14"/>
          <w:szCs w:val="14"/>
          <w:color w:val="auto"/>
        </w:rPr>
        <w:t>Unfunded backlog represents the revenue value of orders (including optional orders) for services under existing contracts for which funding has not been</w:t>
      </w:r>
      <w:r>
        <w:rPr>
          <w:rFonts w:ascii="Arial" w:cs="Arial" w:eastAsia="Arial" w:hAnsi="Arial"/>
          <w:sz w:val="14"/>
          <w:szCs w:val="14"/>
          <w:i w:val="1"/>
          <w:iCs w:val="1"/>
          <w:color w:val="auto"/>
        </w:rPr>
        <w:t xml:space="preserve"> </w:t>
      </w:r>
      <w:r>
        <w:rPr>
          <w:rFonts w:ascii="Arial" w:cs="Arial" w:eastAsia="Arial" w:hAnsi="Arial"/>
          <w:sz w:val="14"/>
          <w:szCs w:val="14"/>
          <w:color w:val="auto"/>
        </w:rPr>
        <w:t>appropriated or otherwise authorized.</w:t>
      </w:r>
    </w:p>
    <w:p>
      <w:pPr>
        <w:spacing w:after="0" w:line="47" w:lineRule="exact"/>
        <w:rPr>
          <w:rFonts w:ascii="Arial" w:cs="Arial" w:eastAsia="Arial" w:hAnsi="Arial"/>
          <w:sz w:val="14"/>
          <w:szCs w:val="14"/>
          <w:color w:val="auto"/>
        </w:rPr>
      </w:pPr>
    </w:p>
    <w:p>
      <w:pPr>
        <w:ind w:left="1020" w:right="20" w:hanging="506"/>
        <w:spacing w:after="0" w:line="281" w:lineRule="auto"/>
        <w:tabs>
          <w:tab w:leader="none" w:pos="1016"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Priced Options. </w:t>
      </w:r>
      <w:r>
        <w:rPr>
          <w:rFonts w:ascii="Arial" w:cs="Arial" w:eastAsia="Arial" w:hAnsi="Arial"/>
          <w:sz w:val="14"/>
          <w:szCs w:val="14"/>
          <w:color w:val="auto"/>
        </w:rPr>
        <w:t>Priced contract options represent 100% of the revenue value of all future contract option periods under existing contracts that may be exercised at our clients’ option</w:t>
      </w:r>
      <w:r>
        <w:rPr>
          <w:rFonts w:ascii="Arial" w:cs="Arial" w:eastAsia="Arial" w:hAnsi="Arial"/>
          <w:sz w:val="14"/>
          <w:szCs w:val="14"/>
          <w:i w:val="1"/>
          <w:iCs w:val="1"/>
          <w:color w:val="auto"/>
        </w:rPr>
        <w:t xml:space="preserve"> </w:t>
      </w:r>
      <w:r>
        <w:rPr>
          <w:rFonts w:ascii="Arial" w:cs="Arial" w:eastAsia="Arial" w:hAnsi="Arial"/>
          <w:sz w:val="14"/>
          <w:szCs w:val="14"/>
          <w:color w:val="auto"/>
        </w:rPr>
        <w:t>and for which funding has not been appropriated or otherwise authorized.</w:t>
      </w:r>
    </w:p>
    <w:p>
      <w:pPr>
        <w:spacing w:after="0" w:line="47"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value of our contract backlog at the respective dates presented:</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51"/>
        </w:trPr>
        <w:tc>
          <w:tcPr>
            <w:tcW w:w="60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4"/>
              </w:rPr>
              <w:t>Fiscal Year Ended March 31,</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2"/>
        </w:trPr>
        <w:tc>
          <w:tcPr>
            <w:tcW w:w="6080" w:type="dxa"/>
            <w:vAlign w:val="bottom"/>
          </w:tcPr>
          <w:p>
            <w:pPr>
              <w:spacing w:after="0"/>
              <w:rPr>
                <w:sz w:val="12"/>
                <w:szCs w:val="12"/>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194"/>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rPr>
              <w:t>2019</w:t>
            </w:r>
          </w:p>
        </w:tc>
      </w:tr>
      <w:tr>
        <w:trPr>
          <w:trHeight w:val="138"/>
        </w:trPr>
        <w:tc>
          <w:tcPr>
            <w:tcW w:w="6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(In millions)</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2"/>
        </w:trPr>
        <w:tc>
          <w:tcPr>
            <w:tcW w:w="6080" w:type="dxa"/>
            <w:vAlign w:val="bottom"/>
          </w:tcPr>
          <w:p>
            <w:pPr>
              <w:spacing w:after="0"/>
              <w:rPr>
                <w:sz w:val="20"/>
                <w:szCs w:val="20"/>
                <w:color w:val="auto"/>
              </w:rPr>
            </w:pPr>
            <w:r>
              <w:rPr>
                <w:rFonts w:ascii="Arial" w:cs="Arial" w:eastAsia="Arial" w:hAnsi="Arial"/>
                <w:sz w:val="14"/>
                <w:szCs w:val="14"/>
                <w:color w:val="auto"/>
              </w:rPr>
              <w:t>Backlog:</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1"/>
        </w:trPr>
        <w:tc>
          <w:tcPr>
            <w:tcW w:w="6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Funded</w:t>
            </w: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3,436</w:t>
            </w:r>
          </w:p>
        </w:tc>
      </w:tr>
      <w:tr>
        <w:trPr>
          <w:trHeight w:val="180"/>
        </w:trPr>
        <w:tc>
          <w:tcPr>
            <w:tcW w:w="6080" w:type="dxa"/>
            <w:vAlign w:val="bottom"/>
          </w:tcPr>
          <w:p>
            <w:pPr>
              <w:ind w:left="260"/>
              <w:spacing w:after="0"/>
              <w:rPr>
                <w:sz w:val="20"/>
                <w:szCs w:val="20"/>
                <w:color w:val="auto"/>
              </w:rPr>
            </w:pPr>
            <w:r>
              <w:rPr>
                <w:rFonts w:ascii="Arial" w:cs="Arial" w:eastAsia="Arial" w:hAnsi="Arial"/>
                <w:sz w:val="14"/>
                <w:szCs w:val="14"/>
                <w:color w:val="auto"/>
              </w:rPr>
              <w:t>Unfunded</w:t>
            </w:r>
          </w:p>
        </w:tc>
        <w:tc>
          <w:tcPr>
            <w:tcW w:w="9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4,518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3,687</w:t>
            </w:r>
          </w:p>
        </w:tc>
      </w:tr>
      <w:tr>
        <w:trPr>
          <w:trHeight w:val="181"/>
        </w:trPr>
        <w:tc>
          <w:tcPr>
            <w:tcW w:w="60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Priced options</w:t>
            </w:r>
          </w:p>
        </w:tc>
        <w:tc>
          <w:tcPr>
            <w:tcW w:w="9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14,436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12,198</w:t>
            </w:r>
          </w:p>
        </w:tc>
      </w:tr>
      <w:tr>
        <w:trPr>
          <w:trHeight w:val="171"/>
        </w:trPr>
        <w:tc>
          <w:tcPr>
            <w:tcW w:w="6080" w:type="dxa"/>
            <w:vAlign w:val="bottom"/>
          </w:tcPr>
          <w:p>
            <w:pPr>
              <w:ind w:left="520"/>
              <w:spacing w:after="0"/>
              <w:rPr>
                <w:sz w:val="20"/>
                <w:szCs w:val="20"/>
                <w:color w:val="auto"/>
              </w:rPr>
            </w:pPr>
            <w:r>
              <w:rPr>
                <w:rFonts w:ascii="Arial" w:cs="Arial" w:eastAsia="Arial" w:hAnsi="Arial"/>
                <w:sz w:val="14"/>
                <w:szCs w:val="14"/>
                <w:color w:val="auto"/>
              </w:rPr>
              <w:t>Total backlog</w:t>
            </w: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24,032</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20,729</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19,321</w:t>
            </w:r>
          </w:p>
        </w:tc>
      </w:tr>
      <w:tr>
        <w:trPr>
          <w:trHeight w:val="20"/>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Our total backlog consists of remaining performance obligations, certain orders under contracts for which the period of performance has expired, and unexercised option period and other unexercised optional orders. As of March 31, 2021 and March 31, 2020, the Company had $6.7 billion and $6.3 billion of remaining performance obligations, respectively, and we expect to recognize approximately 70% of the remaining performance obligations as of March 31, 2021 as revenue over the next 12 months, and approximately 85% over the next 24 months. The remainder is expected to be recognized thereafter. However, given the uncertainties discussed below, as well as the risks described in "Item 1A. Risk Factors",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4" w:lineRule="exact"/>
        <w:rPr>
          <w:sz w:val="20"/>
          <w:szCs w:val="20"/>
          <w:color w:val="auto"/>
        </w:rPr>
      </w:pPr>
    </w:p>
    <w:p>
      <w:pPr>
        <w:ind w:right="120" w:firstLine="318"/>
        <w:spacing w:after="0" w:line="260" w:lineRule="auto"/>
        <w:rPr>
          <w:sz w:val="20"/>
          <w:szCs w:val="20"/>
          <w:color w:val="auto"/>
        </w:rPr>
      </w:pPr>
      <w:r>
        <w:rPr>
          <w:rFonts w:ascii="Arial" w:cs="Arial" w:eastAsia="Arial" w:hAnsi="Arial"/>
          <w:sz w:val="14"/>
          <w:szCs w:val="14"/>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15.9% from March 31, 2020 to March 31, 2021 and increased by 7.3% from March 31, 2019 to March 31, 2020. Additions to funded backlog during fiscal 2021 and 2020 totaled $8.0 billion and $7.4 billion respectively. We report internally on our backlog on a monthly basis and review backlog upon occurrence of certain events to determine if any adjustments are necessary.</w:t>
      </w:r>
    </w:p>
    <w:p>
      <w:pPr>
        <w:spacing w:after="0" w:line="62"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potential that funding will not be made available; and, in the case of priced options, the risk that our clients will not exercise their options.</w:t>
      </w:r>
    </w:p>
    <w:p>
      <w:pPr>
        <w:spacing w:after="0" w:line="9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5.3% of total backlog as of March 31, 2021 and any of the four preceding fiscal quarters.</w:t>
      </w:r>
    </w:p>
    <w:p>
      <w:pPr>
        <w:spacing w:after="0" w:line="61"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We expect to recognize revenue from a substantial portion of funded backlog as of March 31, 2021 within the next twelve months. However, given the uncertainties discussed above, as well as the risks described in "Item 1A. Risk Factors", we can give no assurance that we will be able to convert our backlog into revenue in any particular period, if at all.</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Operating Costs and Expenses</w:t>
      </w:r>
    </w:p>
    <w:p>
      <w:pPr>
        <w:spacing w:after="0" w:line="94" w:lineRule="exact"/>
        <w:rPr>
          <w:sz w:val="20"/>
          <w:szCs w:val="20"/>
          <w:color w:val="auto"/>
        </w:rPr>
      </w:pPr>
    </w:p>
    <w:p>
      <w:pPr>
        <w:jc w:val="both"/>
        <w:ind w:right="140" w:firstLine="318"/>
        <w:spacing w:after="0" w:line="267" w:lineRule="auto"/>
        <w:rPr>
          <w:sz w:val="20"/>
          <w:szCs w:val="20"/>
          <w:color w:val="auto"/>
        </w:rPr>
      </w:pPr>
      <w:r>
        <w:rPr>
          <w:rFonts w:ascii="Arial" w:cs="Arial" w:eastAsia="Arial" w:hAnsi="Arial"/>
          <w:sz w:val="14"/>
          <w:szCs w:val="14"/>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most significant operating costs and expenses are described below.</w:t>
      </w:r>
    </w:p>
    <w:p>
      <w:pPr>
        <w:spacing w:after="0" w:line="94" w:lineRule="exact"/>
        <w:rPr>
          <w:sz w:val="20"/>
          <w:szCs w:val="20"/>
          <w:color w:val="auto"/>
        </w:rPr>
      </w:pPr>
    </w:p>
    <w:p>
      <w:pPr>
        <w:ind w:left="1020" w:right="760" w:hanging="506"/>
        <w:spacing w:after="0" w:line="281" w:lineRule="auto"/>
        <w:tabs>
          <w:tab w:leader="none" w:pos="1016"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Cost of Revenue</w:t>
      </w:r>
      <w:r>
        <w:rPr>
          <w:rFonts w:ascii="Arial" w:cs="Arial" w:eastAsia="Arial" w:hAnsi="Arial"/>
          <w:sz w:val="14"/>
          <w:szCs w:val="14"/>
          <w:color w:val="auto"/>
        </w:rPr>
        <w:t>. Cost of revenue includes direct labor, related employee benefits, and overhead. Overhead consists of indirect costs, including indirect labor relating to</w:t>
      </w:r>
      <w:r>
        <w:rPr>
          <w:rFonts w:ascii="Arial" w:cs="Arial" w:eastAsia="Arial" w:hAnsi="Arial"/>
          <w:sz w:val="14"/>
          <w:szCs w:val="14"/>
          <w:i w:val="1"/>
          <w:iCs w:val="1"/>
          <w:color w:val="auto"/>
        </w:rPr>
        <w:t xml:space="preserve"> </w:t>
      </w:r>
      <w:r>
        <w:rPr>
          <w:rFonts w:ascii="Arial" w:cs="Arial" w:eastAsia="Arial" w:hAnsi="Arial"/>
          <w:sz w:val="14"/>
          <w:szCs w:val="14"/>
          <w:color w:val="auto"/>
        </w:rPr>
        <w:t>infrastructure, management and administration, and other expenses.</w:t>
      </w:r>
    </w:p>
    <w:p>
      <w:pPr>
        <w:spacing w:after="0" w:line="47" w:lineRule="exact"/>
        <w:rPr>
          <w:rFonts w:ascii="Arial" w:cs="Arial" w:eastAsia="Arial" w:hAnsi="Arial"/>
          <w:sz w:val="14"/>
          <w:szCs w:val="14"/>
          <w:color w:val="auto"/>
        </w:rPr>
      </w:pPr>
    </w:p>
    <w:p>
      <w:pPr>
        <w:ind w:left="1020" w:hanging="506"/>
        <w:spacing w:after="0"/>
        <w:tabs>
          <w:tab w:leader="none" w:pos="1020"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 xml:space="preserve">Billable Expenses. </w:t>
      </w:r>
      <w:r>
        <w:rPr>
          <w:rFonts w:ascii="Arial" w:cs="Arial" w:eastAsia="Arial" w:hAnsi="Arial"/>
          <w:sz w:val="14"/>
          <w:szCs w:val="14"/>
          <w:color w:val="auto"/>
        </w:rPr>
        <w:t>Billable expenses include direct subcontractor expenses, travel expenses, and other expenses incurred to perform on contracts.</w:t>
      </w:r>
    </w:p>
    <w:p>
      <w:pPr>
        <w:spacing w:after="0" w:line="93" w:lineRule="exact"/>
        <w:rPr>
          <w:rFonts w:ascii="Arial" w:cs="Arial" w:eastAsia="Arial" w:hAnsi="Arial"/>
          <w:sz w:val="14"/>
          <w:szCs w:val="14"/>
          <w:color w:val="auto"/>
        </w:rPr>
      </w:pPr>
    </w:p>
    <w:p>
      <w:pPr>
        <w:ind w:left="1020" w:right="120" w:hanging="506"/>
        <w:spacing w:after="0" w:line="281" w:lineRule="auto"/>
        <w:tabs>
          <w:tab w:leader="none" w:pos="1016"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 xml:space="preserve">General and Administrative Expenses. </w:t>
      </w:r>
      <w:r>
        <w:rPr>
          <w:rFonts w:ascii="Arial" w:cs="Arial" w:eastAsia="Arial" w:hAnsi="Arial"/>
          <w:sz w:val="14"/>
          <w:szCs w:val="14"/>
          <w:color w:val="auto"/>
        </w:rPr>
        <w:t>General and administrative expenses include indirect labor of executive management and corporate administrative functions, marketing and</w:t>
      </w:r>
      <w:r>
        <w:rPr>
          <w:rFonts w:ascii="Arial" w:cs="Arial" w:eastAsia="Arial" w:hAnsi="Arial"/>
          <w:sz w:val="14"/>
          <w:szCs w:val="14"/>
          <w:i w:val="1"/>
          <w:iCs w:val="1"/>
          <w:color w:val="auto"/>
        </w:rPr>
        <w:t xml:space="preserve"> </w:t>
      </w:r>
      <w:r>
        <w:rPr>
          <w:rFonts w:ascii="Arial" w:cs="Arial" w:eastAsia="Arial" w:hAnsi="Arial"/>
          <w:sz w:val="14"/>
          <w:szCs w:val="14"/>
          <w:color w:val="auto"/>
        </w:rPr>
        <w:t>bid and proposal costs, and other discretionary spending.</w:t>
      </w:r>
    </w:p>
    <w:p>
      <w:pPr>
        <w:spacing w:after="0" w:line="47" w:lineRule="exact"/>
        <w:rPr>
          <w:rFonts w:ascii="Arial" w:cs="Arial" w:eastAsia="Arial" w:hAnsi="Arial"/>
          <w:sz w:val="14"/>
          <w:szCs w:val="14"/>
          <w:color w:val="auto"/>
        </w:rPr>
      </w:pPr>
    </w:p>
    <w:p>
      <w:pPr>
        <w:ind w:left="1020" w:right="20" w:hanging="506"/>
        <w:spacing w:after="0" w:line="321" w:lineRule="auto"/>
        <w:tabs>
          <w:tab w:leader="none" w:pos="1016"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includes the depreciation of computers, leasehold improvements, furniture and other equipment, and the amortization</w:t>
      </w:r>
      <w:r>
        <w:rPr>
          <w:rFonts w:ascii="Arial" w:cs="Arial" w:eastAsia="Arial" w:hAnsi="Arial"/>
          <w:sz w:val="13"/>
          <w:szCs w:val="13"/>
          <w:i w:val="1"/>
          <w:iCs w:val="1"/>
          <w:color w:val="auto"/>
        </w:rPr>
        <w:t xml:space="preserve"> </w:t>
      </w:r>
      <w:r>
        <w:rPr>
          <w:rFonts w:ascii="Arial" w:cs="Arial" w:eastAsia="Arial" w:hAnsi="Arial"/>
          <w:sz w:val="13"/>
          <w:szCs w:val="13"/>
          <w:color w:val="auto"/>
        </w:rPr>
        <w:t>of internally developed software, as well as third-party software that we use internally, and of identifiable long-lived intangible assets over their estimated useful lives.</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Seasonality</w:t>
      </w:r>
    </w:p>
    <w:p>
      <w:pPr>
        <w:spacing w:after="0" w:line="94" w:lineRule="exact"/>
        <w:rPr>
          <w:sz w:val="20"/>
          <w:szCs w:val="20"/>
          <w:color w:val="auto"/>
        </w:rPr>
      </w:pPr>
    </w:p>
    <w:p>
      <w:pPr>
        <w:ind w:firstLine="318"/>
        <w:spacing w:after="0" w:line="313" w:lineRule="auto"/>
        <w:rPr>
          <w:sz w:val="20"/>
          <w:szCs w:val="20"/>
          <w:color w:val="auto"/>
        </w:rPr>
      </w:pPr>
      <w:r>
        <w:rPr>
          <w:rFonts w:ascii="Arial" w:cs="Arial" w:eastAsia="Arial" w:hAnsi="Arial"/>
          <w:sz w:val="12"/>
          <w:szCs w:val="12"/>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34" w:lineRule="exact"/>
        <w:rPr>
          <w:sz w:val="20"/>
          <w:szCs w:val="20"/>
          <w:color w:val="auto"/>
        </w:rPr>
      </w:pPr>
    </w:p>
    <w:p>
      <w:pPr>
        <w:ind w:right="1840" w:firstLine="318"/>
        <w:spacing w:after="0" w:line="379" w:lineRule="auto"/>
        <w:rPr>
          <w:sz w:val="20"/>
          <w:szCs w:val="20"/>
          <w:color w:val="auto"/>
        </w:rPr>
      </w:pPr>
      <w:r>
        <w:rPr>
          <w:rFonts w:ascii="Arial" w:cs="Arial" w:eastAsia="Arial" w:hAnsi="Arial"/>
          <w:sz w:val="14"/>
          <w:szCs w:val="14"/>
          <w:color w:val="auto"/>
        </w:rPr>
        <w:t xml:space="preserve">Seasonality is just one of a number of factors, many of which are outside of our control, which may affect our results in any period. See "Item 1A. Risk Factors." </w:t>
      </w:r>
      <w:r>
        <w:rPr>
          <w:rFonts w:ascii="Arial" w:cs="Arial" w:eastAsia="Arial" w:hAnsi="Arial"/>
          <w:sz w:val="14"/>
          <w:szCs w:val="14"/>
          <w:b w:val="1"/>
          <w:bCs w:val="1"/>
          <w:color w:val="auto"/>
        </w:rPr>
        <w:t>Critical Accounting Estimates and Policies</w:t>
      </w:r>
    </w:p>
    <w:p>
      <w:pPr>
        <w:spacing w:after="0" w:line="1"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Our discussion and analysis of our financial condition and results of operations are based on our consolidated financial statements, which have been prepared in accordance with GAAP. The preparation of these consolidated financial statements in accordance with GAAP requires management to make estimates and assumptions that affect the reported amounts of assets and liabilities and the disclosure of contingencies at the date of the consolidated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62" w:lineRule="exact"/>
        <w:rPr>
          <w:sz w:val="20"/>
          <w:szCs w:val="20"/>
          <w:color w:val="auto"/>
        </w:rPr>
      </w:pPr>
    </w:p>
    <w:p>
      <w:pPr>
        <w:ind w:right="240" w:firstLine="350"/>
        <w:spacing w:after="0" w:line="321" w:lineRule="auto"/>
        <w:rPr>
          <w:sz w:val="20"/>
          <w:szCs w:val="20"/>
          <w:color w:val="auto"/>
        </w:rPr>
      </w:pPr>
      <w:r>
        <w:rPr>
          <w:rFonts w:ascii="Arial" w:cs="Arial" w:eastAsia="Arial" w:hAnsi="Arial"/>
          <w:sz w:val="13"/>
          <w:szCs w:val="13"/>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complex judgments on the part of our management in their application, often as a result of the need to make estimates about the effect of matters that are inherently uncertain.</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Revenue Recognition and Cost Estimation</w:t>
      </w:r>
    </w:p>
    <w:p>
      <w:pPr>
        <w:spacing w:after="0" w:line="94" w:lineRule="exact"/>
        <w:rPr>
          <w:sz w:val="20"/>
          <w:szCs w:val="20"/>
          <w:color w:val="auto"/>
        </w:rPr>
      </w:pPr>
    </w:p>
    <w:p>
      <w:pPr>
        <w:jc w:val="both"/>
        <w:ind w:right="120" w:firstLine="318"/>
        <w:spacing w:after="0" w:line="267" w:lineRule="auto"/>
        <w:rPr>
          <w:sz w:val="20"/>
          <w:szCs w:val="20"/>
          <w:color w:val="auto"/>
        </w:rPr>
      </w:pPr>
      <w:r>
        <w:rPr>
          <w:rFonts w:ascii="Arial" w:cs="Arial" w:eastAsia="Arial" w:hAnsi="Arial"/>
          <w:sz w:val="14"/>
          <w:szCs w:val="14"/>
          <w:color w:val="auto"/>
        </w:rPr>
        <w:t>Our revenues from contracts with customers (clients) are derived from offerings that include consulting, analytics, digital solutions, engineering, and cyber services, substantially with the U.S. government and its agencies, and to a lesser extent, subcontractors. We also serve foreign governments, as well as domestic and international commercial clients. We perform under various types of contracts, which include cost-reimbursable-plus-fee contracts, time-and-material contracts, and fixed-price contracts.</w:t>
      </w:r>
    </w:p>
    <w:p>
      <w:pPr>
        <w:spacing w:after="0" w:line="57" w:lineRule="exact"/>
        <w:rPr>
          <w:sz w:val="20"/>
          <w:szCs w:val="20"/>
          <w:color w:val="auto"/>
        </w:rPr>
      </w:pPr>
    </w:p>
    <w:p>
      <w:pPr>
        <w:ind w:right="80" w:firstLine="139"/>
        <w:spacing w:after="0" w:line="260" w:lineRule="auto"/>
        <w:rPr>
          <w:sz w:val="20"/>
          <w:szCs w:val="20"/>
          <w:color w:val="auto"/>
        </w:rPr>
      </w:pPr>
      <w:r>
        <w:rPr>
          <w:rFonts w:ascii="Arial" w:cs="Arial" w:eastAsia="Arial" w:hAnsi="Arial"/>
          <w:sz w:val="14"/>
          <w:szCs w:val="14"/>
          <w:color w:val="auto"/>
        </w:rPr>
        <w:t>We consider a contract with a customer to exist under Topic 606 when there is approval and commitment from us and the customer, the rights of the parties and payment terms are identified, the contract has commercial substance, and collectability of consideration is probable. We will also consider whether two or more contracts entered into with the same customer should be combined and accounted for as a single contract. Furthermore, in certain transactions with commercial clients and with the U.S. government, we may commence providing services prior to receiving a formal approval from the customer. In these situations, we will consider the factors noted above, the risks associated with commencing the work, and legal enforceability in determining whether a contract with the customer exists under Topic 606.</w:t>
      </w:r>
    </w:p>
    <w:p>
      <w:pPr>
        <w:spacing w:after="0" w:line="62"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our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62" w:lineRule="exact"/>
        <w:rPr>
          <w:sz w:val="20"/>
          <w:szCs w:val="20"/>
          <w:color w:val="auto"/>
        </w:rPr>
      </w:pPr>
    </w:p>
    <w:p>
      <w:pPr>
        <w:ind w:right="160" w:firstLine="318"/>
        <w:spacing w:after="0" w:line="260" w:lineRule="auto"/>
        <w:rPr>
          <w:sz w:val="20"/>
          <w:szCs w:val="20"/>
          <w:color w:val="auto"/>
        </w:rPr>
      </w:pPr>
      <w:r>
        <w:rPr>
          <w:rFonts w:ascii="Arial" w:cs="Arial" w:eastAsia="Arial" w:hAnsi="Arial"/>
          <w:sz w:val="14"/>
          <w:szCs w:val="14"/>
          <w:color w:val="auto"/>
        </w:rPr>
        <w:t>We evaluate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Our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62" w:lineRule="exact"/>
        <w:rPr>
          <w:sz w:val="20"/>
          <w:szCs w:val="20"/>
          <w:color w:val="auto"/>
        </w:rPr>
      </w:pPr>
    </w:p>
    <w:p>
      <w:pPr>
        <w:ind w:right="80" w:firstLine="318"/>
        <w:spacing w:after="0" w:line="277" w:lineRule="auto"/>
        <w:rPr>
          <w:sz w:val="20"/>
          <w:szCs w:val="20"/>
          <w:color w:val="auto"/>
        </w:rPr>
      </w:pPr>
      <w:r>
        <w:rPr>
          <w:rFonts w:ascii="Arial" w:cs="Arial" w:eastAsia="Arial" w:hAnsi="Arial"/>
          <w:sz w:val="13"/>
          <w:szCs w:val="13"/>
          <w:color w:val="auto"/>
        </w:rPr>
        <w:t>Contracts with the U.S. government are generally subject to the FAR and are priced based on estimated or actual costs of providing the goods or services. We derive a majority of our revenue from contracts awarded through a competitive bidding process. Pricing for non-U.S. government agencies and commercial customers is based on discrete negotiations with each customer. Certain of our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We may perform work under a contract that has not been fully funded if the work has been authorized by the management and the customer to proceed. We evaluate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we allocate the transaction price of a contract between the performance obligations in the proportion to their respective stand-alone selling prices. We generally estimate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54"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We recognize revenue for each performance obligation identified within our customer contracts when, or as, the performance obligation is satisfied by transferring the promised goods or services. Revenue may either be recognized over time or at a point in time. We generally recognize revenue over time as our contracts typically involve a continuous transfer of control to the customer. A continuous transfer of control under contracts with the U.S. government and its agencies is evidenced by clauses which require us to be paid for costs incurred plus a reasonable margin in the event that the customer unilaterally terminates the contract for convenience. For contracts where we recognize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We do not incur material incremental costs to acquire or fulfill contracts. Under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60" w:name="page61"/>
    <w:bookmarkEnd w:id="60"/>
    <w:p>
      <w:pPr>
        <w:ind w:right="240"/>
        <w:spacing w:after="0" w:line="281" w:lineRule="auto"/>
        <w:rPr>
          <w:sz w:val="20"/>
          <w:szCs w:val="20"/>
          <w:color w:val="auto"/>
        </w:rPr>
      </w:pPr>
      <w:r>
        <w:rPr>
          <w:rFonts w:ascii="Arial" w:cs="Arial" w:eastAsia="Arial" w:hAnsi="Arial"/>
          <w:sz w:val="14"/>
          <w:szCs w:val="14"/>
          <w:color w:val="auto"/>
        </w:rPr>
        <w:t>a contract cost-based input method, revenue is recognized based on the proportion of contract costs incurred to the total estimated costs expected to be incurred upon completion of the underlying performance obligation. We generally include both funded and unfunded portions of customer contracts in this estimation process.</w:t>
      </w:r>
    </w:p>
    <w:p>
      <w:pPr>
        <w:spacing w:after="0" w:line="47"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us and the U.S. government and represent indirect contract costs required to execute and administer contract obligations. The impact of any agreed-upon changes, or changes in the estimated annual forward-pricing rates, are recorded in the interim financial reporting period when such changes are identified. These changes relate to the interim financial reporting period differences between the actual indirect costs incurred and allocated to customer contracts compared to the estimated amounts allocated to contracts using the estimated annual forward-pricing rates established with the U.S. government.</w:t>
      </w:r>
    </w:p>
    <w:p>
      <w:pPr>
        <w:spacing w:after="0" w:line="49" w:lineRule="exact"/>
        <w:rPr>
          <w:sz w:val="20"/>
          <w:szCs w:val="20"/>
          <w:color w:val="auto"/>
        </w:rPr>
      </w:pPr>
    </w:p>
    <w:p>
      <w:pPr>
        <w:ind w:right="20" w:firstLine="318"/>
        <w:spacing w:after="0" w:line="282" w:lineRule="auto"/>
        <w:rPr>
          <w:sz w:val="20"/>
          <w:szCs w:val="20"/>
          <w:color w:val="auto"/>
        </w:rPr>
      </w:pPr>
      <w:r>
        <w:rPr>
          <w:rFonts w:ascii="Arial" w:cs="Arial" w:eastAsia="Arial" w:hAnsi="Arial"/>
          <w:sz w:val="13"/>
          <w:szCs w:val="13"/>
          <w:color w:val="auto"/>
        </w:rPr>
        <w:t>On certain contracts, principally time-and-materials and cost-reimbursable-plus-fee contracts, revenue is recognized using the right-to-invoice practical expedient as we are contractually able to invoice the customer based on the control transferred. However, we did not elect to use the practical expedient which would allow us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49" w:lineRule="exact"/>
        <w:rPr>
          <w:sz w:val="20"/>
          <w:szCs w:val="20"/>
          <w:color w:val="auto"/>
        </w:rPr>
      </w:pPr>
    </w:p>
    <w:p>
      <w:pPr>
        <w:ind w:right="20" w:firstLine="318"/>
        <w:spacing w:after="0" w:line="257" w:lineRule="auto"/>
        <w:rPr>
          <w:sz w:val="20"/>
          <w:szCs w:val="20"/>
          <w:color w:val="auto"/>
        </w:rPr>
      </w:pPr>
      <w:r>
        <w:rPr>
          <w:rFonts w:ascii="Arial" w:cs="Arial" w:eastAsia="Arial" w:hAnsi="Arial"/>
          <w:sz w:val="14"/>
          <w:szCs w:val="14"/>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our contracts. Changes in estimates related to contracts accounted for under the EAC process are recognized in the period when such changes are made on a cumulative catch-up basis. If the estimate of contract profitability indicates an anticipated loss on a contract, we recognize the total loss at the time it is identified. For fiscal 2021, 2020, and 2019, the aggregate impact of adjustments in contract estimates was not material.</w:t>
      </w:r>
    </w:p>
    <w:p>
      <w:pPr>
        <w:spacing w:after="0" w:line="66" w:lineRule="exact"/>
        <w:rPr>
          <w:sz w:val="20"/>
          <w:szCs w:val="20"/>
          <w:color w:val="auto"/>
        </w:rPr>
      </w:pPr>
    </w:p>
    <w:p>
      <w:pPr>
        <w:ind w:right="440" w:firstLine="318"/>
        <w:spacing w:after="0" w:line="368" w:lineRule="auto"/>
        <w:rPr>
          <w:sz w:val="20"/>
          <w:szCs w:val="20"/>
          <w:color w:val="auto"/>
        </w:rPr>
      </w:pPr>
      <w:r>
        <w:rPr>
          <w:rFonts w:ascii="Arial" w:cs="Arial" w:eastAsia="Arial" w:hAnsi="Arial"/>
          <w:sz w:val="12"/>
          <w:szCs w:val="12"/>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4" w:lineRule="exact"/>
        <w:rPr>
          <w:sz w:val="20"/>
          <w:szCs w:val="20"/>
          <w:color w:val="auto"/>
        </w:rPr>
      </w:pPr>
    </w:p>
    <w:p>
      <w:pPr>
        <w:ind w:right="120" w:firstLine="350"/>
        <w:spacing w:after="0" w:line="288" w:lineRule="auto"/>
        <w:rPr>
          <w:sz w:val="20"/>
          <w:szCs w:val="20"/>
          <w:color w:val="auto"/>
        </w:rPr>
      </w:pPr>
      <w:r>
        <w:rPr>
          <w:rFonts w:ascii="Arial" w:cs="Arial" w:eastAsia="Arial" w:hAnsi="Arial"/>
          <w:sz w:val="13"/>
          <w:szCs w:val="13"/>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that may cause final amounts to differ materially from original estimates. We have up to one year from the acquisition date to use additional information obtained to adjust the fair value of the acquired assets and liabilities which may result in changes to the recorded values with an offsetting adjustment to goodwill.</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Goodwill and Intangible Assets Impairment</w:t>
      </w:r>
    </w:p>
    <w:p>
      <w:pPr>
        <w:spacing w:after="0" w:line="94"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We test goodwill and trade name for impairment at least annually as of January 1 of each year and more frequently if interim indicators of impairment exist. We perform our impairment testing of goodwill at the reporting level. As our business is highly integrated and all of our components have similar economic characteristics, we conclude that we have one reporting unit at the consolidated entity level, which is the same as our single operating segment. We test goodwill for impairment using the quantitative method (primarily based on market capitalization). We test the trade name for impairment using the relief from royalty method that requires management to make significant amount of judgments and estimates in the valuation. We do not consider goodwill, trade name, or any other amortizable intangible assets at risk of impairment.</w:t>
      </w:r>
    </w:p>
    <w:p>
      <w:pPr>
        <w:spacing w:after="0" w:line="62" w:lineRule="exact"/>
        <w:rPr>
          <w:sz w:val="20"/>
          <w:szCs w:val="20"/>
          <w:color w:val="auto"/>
        </w:rPr>
      </w:pPr>
    </w:p>
    <w:p>
      <w:pPr>
        <w:ind w:right="240" w:firstLine="350"/>
        <w:spacing w:after="0" w:line="267" w:lineRule="auto"/>
        <w:rPr>
          <w:sz w:val="20"/>
          <w:szCs w:val="20"/>
          <w:color w:val="auto"/>
        </w:rPr>
      </w:pPr>
      <w:r>
        <w:rPr>
          <w:rFonts w:ascii="Arial" w:cs="Arial" w:eastAsia="Arial" w:hAnsi="Arial"/>
          <w:sz w:val="14"/>
          <w:szCs w:val="14"/>
          <w:color w:val="auto"/>
        </w:rPr>
        <w:t>Amortizable intangible assets are tested for impairment when an event occurs or circumstances change indicating that the carrying amount of the asset may not be recoverable. A significant amount of management judgment is required to determine if an event representing an impairment indicator has occurred during the year, including but not limited to: a decline in forecasted cash flows; a sustained, material decline in the stock price and market capitalization; a significant adverse change in the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auto"/>
        </w:rPr>
        <w:t>business climate or economy; or unanticipated competition. An adverse change in any of these factors could have a significant impact on the recoverability of other intangible assets.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During the fiscal years ended March 31, 2021, March 31, 2020, and March 31, 2019, the Company did not record any impairment of goodwill and intangible assets.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Accounting for Income Taxes</w:t>
      </w:r>
    </w:p>
    <w:p>
      <w:pPr>
        <w:spacing w:after="0" w:line="94" w:lineRule="exact"/>
        <w:rPr>
          <w:sz w:val="20"/>
          <w:szCs w:val="20"/>
          <w:color w:val="auto"/>
        </w:rPr>
      </w:pPr>
    </w:p>
    <w:p>
      <w:pPr>
        <w:jc w:val="both"/>
        <w:ind w:firstLine="350"/>
        <w:spacing w:after="0" w:line="297" w:lineRule="auto"/>
        <w:rPr>
          <w:sz w:val="20"/>
          <w:szCs w:val="20"/>
          <w:color w:val="auto"/>
        </w:rPr>
      </w:pPr>
      <w:r>
        <w:rPr>
          <w:rFonts w:ascii="Arial" w:cs="Arial" w:eastAsia="Arial" w:hAnsi="Arial"/>
          <w:sz w:val="13"/>
          <w:szCs w:val="13"/>
          <w:color w:val="auto"/>
        </w:rPr>
        <w:t>Provisions for federal, state, and foreign income taxes are calculated from the income reported on our consolidated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consolidated financial statements than for income tax purposes.</w:t>
      </w:r>
    </w:p>
    <w:p>
      <w:pPr>
        <w:spacing w:after="0" w:line="39" w:lineRule="exact"/>
        <w:rPr>
          <w:sz w:val="20"/>
          <w:szCs w:val="20"/>
          <w:color w:val="auto"/>
        </w:rPr>
      </w:pPr>
    </w:p>
    <w:p>
      <w:pPr>
        <w:ind w:right="80" w:firstLine="350"/>
        <w:spacing w:after="0" w:line="260" w:lineRule="auto"/>
        <w:rPr>
          <w:sz w:val="20"/>
          <w:szCs w:val="20"/>
          <w:color w:val="auto"/>
        </w:rPr>
      </w:pPr>
      <w:r>
        <w:rPr>
          <w:rFonts w:ascii="Arial" w:cs="Arial" w:eastAsia="Arial" w:hAnsi="Arial"/>
          <w:sz w:val="14"/>
          <w:szCs w:val="14"/>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consolidated financial statement period may be materially impacted.</w:t>
      </w:r>
    </w:p>
    <w:p>
      <w:pPr>
        <w:spacing w:after="0" w:line="62" w:lineRule="exact"/>
        <w:rPr>
          <w:sz w:val="20"/>
          <w:szCs w:val="20"/>
          <w:color w:val="auto"/>
        </w:rPr>
      </w:pPr>
    </w:p>
    <w:p>
      <w:pPr>
        <w:ind w:firstLine="350"/>
        <w:spacing w:after="0" w:line="368" w:lineRule="auto"/>
        <w:rPr>
          <w:sz w:val="20"/>
          <w:szCs w:val="20"/>
          <w:color w:val="auto"/>
        </w:rPr>
      </w:pPr>
      <w:r>
        <w:rPr>
          <w:rFonts w:ascii="Arial" w:cs="Arial" w:eastAsia="Arial" w:hAnsi="Arial"/>
          <w:sz w:val="12"/>
          <w:szCs w:val="12"/>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94"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See Note 2 to our accompanying audited consolidated financial statements for information related to our adoption of new accounting standards and for information on our anticipated adoption of recently issued accounting standards.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Reporting</w:t>
      </w:r>
    </w:p>
    <w:p>
      <w:pPr>
        <w:spacing w:after="0" w:line="140" w:lineRule="exact"/>
        <w:rPr>
          <w:sz w:val="20"/>
          <w:szCs w:val="20"/>
          <w:color w:val="auto"/>
        </w:rPr>
      </w:pPr>
    </w:p>
    <w:p>
      <w:pPr>
        <w:ind w:right="400" w:firstLine="350"/>
        <w:spacing w:after="0" w:line="262" w:lineRule="auto"/>
        <w:rPr>
          <w:sz w:val="20"/>
          <w:szCs w:val="20"/>
          <w:color w:val="auto"/>
        </w:rPr>
      </w:pPr>
      <w:r>
        <w:rPr>
          <w:rFonts w:ascii="Arial" w:cs="Arial" w:eastAsia="Arial" w:hAnsi="Arial"/>
          <w:sz w:val="14"/>
          <w:szCs w:val="14"/>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40" w:lineRule="exact"/>
        <w:rPr>
          <w:sz w:val="20"/>
          <w:szCs w:val="20"/>
          <w:color w:val="auto"/>
        </w:rPr>
      </w:pPr>
    </w:p>
    <w:p>
      <w:pPr>
        <w:ind w:right="100" w:firstLine="350"/>
        <w:spacing w:after="0" w:line="281" w:lineRule="auto"/>
        <w:rPr>
          <w:sz w:val="20"/>
          <w:szCs w:val="20"/>
          <w:color w:val="auto"/>
        </w:rPr>
      </w:pPr>
      <w:r>
        <w:rPr>
          <w:rFonts w:ascii="Arial" w:cs="Arial" w:eastAsia="Arial" w:hAnsi="Arial"/>
          <w:sz w:val="14"/>
          <w:szCs w:val="14"/>
          <w:color w:val="auto"/>
        </w:rPr>
        <w:t>The accompanying consolidated financial statements include the accounts of the Company and its wholly-owned subsidiaries, and have been prepared in accordance with GAAP, and the rules and regulations of the U.S. Securities and Exchange Commission, or SEC. All intercompany balances and transactions have been eliminated in consolidation.</w:t>
      </w:r>
    </w:p>
    <w:p>
      <w:pPr>
        <w:spacing w:after="0" w:line="47"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accompanying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57" w:lineRule="exact"/>
        <w:rPr>
          <w:sz w:val="20"/>
          <w:szCs w:val="20"/>
          <w:color w:val="auto"/>
        </w:rPr>
      </w:pPr>
    </w:p>
    <w:p>
      <w:pPr>
        <w:ind w:right="420" w:firstLine="318"/>
        <w:spacing w:after="0" w:line="321" w:lineRule="auto"/>
        <w:rPr>
          <w:sz w:val="20"/>
          <w:szCs w:val="20"/>
          <w:color w:val="auto"/>
        </w:rPr>
      </w:pPr>
      <w:r>
        <w:rPr>
          <w:rFonts w:ascii="Arial" w:cs="Arial" w:eastAsia="Arial" w:hAnsi="Arial"/>
          <w:sz w:val="13"/>
          <w:szCs w:val="13"/>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2021 and 2020 and the Company’s results of operations for fiscal 2021, fiscal 2020, and fiscal 2019.</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Certain amounts reported in the Company's prior year consolidated financial statements have been reclassified to conform to the current year presentation.</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items from our consolidated statements of operations for the periods indicated:</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4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94"/>
              </w:rPr>
              <w:t>Fiscal Year Ended March 31,</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Fiscal 2021</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1"/>
              </w:rPr>
              <w:t>Fiscal 2020</w:t>
            </w:r>
          </w:p>
        </w:tc>
        <w:tc>
          <w:tcPr>
            <w:tcW w:w="0" w:type="dxa"/>
            <w:vAlign w:val="bottom"/>
          </w:tcPr>
          <w:p>
            <w:pPr>
              <w:spacing w:after="0"/>
              <w:rPr>
                <w:sz w:val="1"/>
                <w:szCs w:val="1"/>
                <w:color w:val="auto"/>
              </w:rPr>
            </w:pPr>
          </w:p>
        </w:tc>
      </w:tr>
      <w:tr>
        <w:trPr>
          <w:trHeight w:val="42"/>
        </w:trPr>
        <w:tc>
          <w:tcPr>
            <w:tcW w:w="41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2"/>
            <w:vMerge w:val="restart"/>
          </w:tcPr>
          <w:p>
            <w:pPr>
              <w:jc w:val="center"/>
              <w:ind w:right="100"/>
              <w:spacing w:after="0" w:line="106" w:lineRule="exact"/>
              <w:rPr>
                <w:sz w:val="20"/>
                <w:szCs w:val="20"/>
                <w:color w:val="auto"/>
              </w:rPr>
            </w:pPr>
            <w:r>
              <w:rPr>
                <w:rFonts w:ascii="Arial" w:cs="Arial" w:eastAsia="Arial" w:hAnsi="Arial"/>
                <w:sz w:val="11"/>
                <w:szCs w:val="11"/>
                <w:b w:val="1"/>
                <w:bCs w:val="1"/>
                <w:color w:val="auto"/>
                <w:w w:val="87"/>
              </w:rPr>
              <w:t>Versus</w:t>
            </w:r>
          </w:p>
        </w:tc>
        <w:tc>
          <w:tcPr>
            <w:tcW w:w="1380" w:type="dxa"/>
            <w:vAlign w:val="bottom"/>
            <w:vMerge w:val="restart"/>
          </w:tcPr>
          <w:p>
            <w:pPr>
              <w:jc w:val="center"/>
              <w:spacing w:after="0" w:line="106" w:lineRule="exact"/>
              <w:rPr>
                <w:sz w:val="20"/>
                <w:szCs w:val="20"/>
                <w:color w:val="auto"/>
              </w:rPr>
            </w:pPr>
            <w:r>
              <w:rPr>
                <w:rFonts w:ascii="Arial" w:cs="Arial" w:eastAsia="Arial" w:hAnsi="Arial"/>
                <w:sz w:val="11"/>
                <w:szCs w:val="11"/>
                <w:b w:val="1"/>
                <w:bCs w:val="1"/>
                <w:color w:val="auto"/>
                <w:w w:val="87"/>
              </w:rPr>
              <w:t>Versus</w:t>
            </w:r>
          </w:p>
        </w:tc>
        <w:tc>
          <w:tcPr>
            <w:tcW w:w="0" w:type="dxa"/>
            <w:vAlign w:val="bottom"/>
          </w:tcPr>
          <w:p>
            <w:pPr>
              <w:spacing w:after="0"/>
              <w:rPr>
                <w:sz w:val="1"/>
                <w:szCs w:val="1"/>
                <w:color w:val="auto"/>
              </w:rPr>
            </w:pPr>
          </w:p>
        </w:tc>
      </w:tr>
      <w:tr>
        <w:trPr>
          <w:trHeight w:val="44"/>
        </w:trPr>
        <w:tc>
          <w:tcPr>
            <w:tcW w:w="4180" w:type="dxa"/>
            <w:vAlign w:val="bottom"/>
          </w:tcPr>
          <w:p>
            <w:pPr>
              <w:spacing w:after="0"/>
              <w:rPr>
                <w:sz w:val="3"/>
                <w:szCs w:val="3"/>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vMerge w:val="restart"/>
          </w:tcPr>
          <w:p>
            <w:pPr>
              <w:jc w:val="center"/>
              <w:ind w:right="123"/>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vMerge w:val="restart"/>
          </w:tcPr>
          <w:p>
            <w:pPr>
              <w:jc w:val="right"/>
              <w:ind w:right="483"/>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Fiscal 2020</w:t>
            </w: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1"/>
              </w:rPr>
              <w:t>Fiscal 2019</w:t>
            </w:r>
          </w:p>
        </w:tc>
        <w:tc>
          <w:tcPr>
            <w:tcW w:w="0" w:type="dxa"/>
            <w:vAlign w:val="bottom"/>
          </w:tcPr>
          <w:p>
            <w:pPr>
              <w:spacing w:after="0"/>
              <w:rPr>
                <w:sz w:val="1"/>
                <w:szCs w:val="1"/>
                <w:color w:val="auto"/>
              </w:rPr>
            </w:pPr>
          </w:p>
        </w:tc>
      </w:tr>
      <w:tr>
        <w:trPr>
          <w:trHeight w:val="139"/>
        </w:trPr>
        <w:tc>
          <w:tcPr>
            <w:tcW w:w="4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(In thousands)</w:t>
            </w: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Revenue</w:t>
            </w:r>
          </w:p>
        </w:tc>
        <w:tc>
          <w:tcPr>
            <w:tcW w:w="760" w:type="dxa"/>
            <w:vAlign w:val="bottom"/>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3"/>
              </w:rPr>
              <w:t>7,858,938</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7,463,841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6,704,037</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5.3 %</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11.3 %</w:t>
            </w:r>
          </w:p>
        </w:tc>
        <w:tc>
          <w:tcPr>
            <w:tcW w:w="0" w:type="dxa"/>
            <w:vAlign w:val="bottom"/>
          </w:tcPr>
          <w:p>
            <w:pPr>
              <w:spacing w:after="0"/>
              <w:rPr>
                <w:sz w:val="1"/>
                <w:szCs w:val="1"/>
                <w:color w:val="auto"/>
              </w:rPr>
            </w:pPr>
          </w:p>
        </w:tc>
      </w:tr>
      <w:tr>
        <w:trPr>
          <w:trHeight w:val="147"/>
        </w:trPr>
        <w:tc>
          <w:tcPr>
            <w:tcW w:w="4180" w:type="dxa"/>
            <w:vAlign w:val="bottom"/>
          </w:tcPr>
          <w:p>
            <w:pPr>
              <w:spacing w:after="0"/>
              <w:rPr>
                <w:sz w:val="20"/>
                <w:szCs w:val="20"/>
                <w:color w:val="auto"/>
              </w:rPr>
            </w:pPr>
            <w:r>
              <w:rPr>
                <w:rFonts w:ascii="Arial" w:cs="Arial" w:eastAsia="Arial" w:hAnsi="Arial"/>
                <w:sz w:val="11"/>
                <w:szCs w:val="11"/>
                <w:color w:val="auto"/>
              </w:rPr>
              <w:t>Operating costs and expenses:</w:t>
            </w: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1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Cost of revenue</w:t>
            </w: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3"/>
              </w:rPr>
              <w:t>3,657,530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3,379,180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3,100,466</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8.2 %</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9.0 %</w:t>
            </w:r>
          </w:p>
        </w:tc>
        <w:tc>
          <w:tcPr>
            <w:tcW w:w="0" w:type="dxa"/>
            <w:vAlign w:val="bottom"/>
          </w:tcPr>
          <w:p>
            <w:pPr>
              <w:spacing w:after="0"/>
              <w:rPr>
                <w:sz w:val="1"/>
                <w:szCs w:val="1"/>
                <w:color w:val="auto"/>
              </w:rPr>
            </w:pPr>
          </w:p>
        </w:tc>
      </w:tr>
      <w:tr>
        <w:trPr>
          <w:trHeight w:val="147"/>
        </w:trPr>
        <w:tc>
          <w:tcPr>
            <w:tcW w:w="4180" w:type="dxa"/>
            <w:vAlign w:val="bottom"/>
          </w:tcPr>
          <w:p>
            <w:pPr>
              <w:ind w:left="260"/>
              <w:spacing w:after="0"/>
              <w:rPr>
                <w:sz w:val="20"/>
                <w:szCs w:val="20"/>
                <w:color w:val="auto"/>
              </w:rPr>
            </w:pPr>
            <w:r>
              <w:rPr>
                <w:rFonts w:ascii="Arial" w:cs="Arial" w:eastAsia="Arial" w:hAnsi="Arial"/>
                <w:sz w:val="11"/>
                <w:szCs w:val="11"/>
                <w:color w:val="auto"/>
              </w:rPr>
              <w:t>Billable expenses</w:t>
            </w:r>
          </w:p>
        </w:tc>
        <w:tc>
          <w:tcPr>
            <w:tcW w:w="76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w w:val="93"/>
              </w:rPr>
              <w:t>2,325,888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2,298,413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2,004,664</w:t>
            </w:r>
          </w:p>
        </w:tc>
        <w:tc>
          <w:tcPr>
            <w:tcW w:w="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1.2 %</w:t>
            </w: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14.7 %</w:t>
            </w:r>
          </w:p>
        </w:tc>
        <w:tc>
          <w:tcPr>
            <w:tcW w:w="0" w:type="dxa"/>
            <w:vAlign w:val="bottom"/>
          </w:tcPr>
          <w:p>
            <w:pPr>
              <w:spacing w:after="0"/>
              <w:rPr>
                <w:sz w:val="1"/>
                <w:szCs w:val="1"/>
                <w:color w:val="auto"/>
              </w:rPr>
            </w:pPr>
          </w:p>
        </w:tc>
      </w:tr>
      <w:tr>
        <w:trPr>
          <w:trHeight w:val="150"/>
        </w:trPr>
        <w:tc>
          <w:tcPr>
            <w:tcW w:w="4180" w:type="dxa"/>
            <w:vAlign w:val="bottom"/>
            <w:shd w:val="clear" w:color="auto" w:fill="CCEEFF"/>
          </w:tcPr>
          <w:p>
            <w:pPr>
              <w:ind w:left="260"/>
              <w:spacing w:after="0"/>
              <w:rPr>
                <w:sz w:val="20"/>
                <w:szCs w:val="20"/>
                <w:color w:val="auto"/>
              </w:rPr>
            </w:pPr>
            <w:r>
              <w:rPr>
                <w:rFonts w:ascii="Arial" w:cs="Arial" w:eastAsia="Arial" w:hAnsi="Arial"/>
                <w:sz w:val="11"/>
                <w:szCs w:val="11"/>
                <w:color w:val="auto"/>
              </w:rPr>
              <w:t>General and administrative expenses</w:t>
            </w: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3"/>
              </w:rPr>
              <w:t>1,036,834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1,035,965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927,938</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0.1 %</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11.6 %</w:t>
            </w:r>
          </w:p>
        </w:tc>
        <w:tc>
          <w:tcPr>
            <w:tcW w:w="0" w:type="dxa"/>
            <w:vAlign w:val="bottom"/>
          </w:tcPr>
          <w:p>
            <w:pPr>
              <w:spacing w:after="0"/>
              <w:rPr>
                <w:sz w:val="1"/>
                <w:szCs w:val="1"/>
                <w:color w:val="auto"/>
              </w:rPr>
            </w:pPr>
          </w:p>
        </w:tc>
      </w:tr>
      <w:tr>
        <w:trPr>
          <w:trHeight w:val="147"/>
        </w:trPr>
        <w:tc>
          <w:tcPr>
            <w:tcW w:w="418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Depreciation and amortization</w:t>
            </w: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84,315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81,081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68,575</w:t>
            </w:r>
          </w:p>
        </w:tc>
        <w:tc>
          <w:tcPr>
            <w:tcW w:w="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4.0 %</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18.2 %</w:t>
            </w:r>
          </w:p>
        </w:tc>
        <w:tc>
          <w:tcPr>
            <w:tcW w:w="0" w:type="dxa"/>
            <w:vAlign w:val="bottom"/>
          </w:tcPr>
          <w:p>
            <w:pPr>
              <w:spacing w:after="0"/>
              <w:rPr>
                <w:sz w:val="1"/>
                <w:szCs w:val="1"/>
                <w:color w:val="auto"/>
              </w:rPr>
            </w:pPr>
          </w:p>
        </w:tc>
      </w:tr>
      <w:tr>
        <w:trPr>
          <w:trHeight w:val="141"/>
        </w:trPr>
        <w:tc>
          <w:tcPr>
            <w:tcW w:w="41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operating costs and expenses</w:t>
            </w:r>
          </w:p>
        </w:tc>
        <w:tc>
          <w:tcPr>
            <w:tcW w:w="7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3"/>
              </w:rPr>
              <w:t>7,104,567</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6,794,639</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6,101,643</w:t>
            </w:r>
          </w:p>
        </w:tc>
        <w:tc>
          <w:tcPr>
            <w:tcW w:w="8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4.6 %</w:t>
            </w:r>
          </w:p>
        </w:tc>
        <w:tc>
          <w:tcPr>
            <w:tcW w:w="100" w:type="dxa"/>
            <w:vAlign w:val="bottom"/>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11.4 %</w:t>
            </w:r>
          </w:p>
        </w:tc>
        <w:tc>
          <w:tcPr>
            <w:tcW w:w="0" w:type="dxa"/>
            <w:vAlign w:val="bottom"/>
          </w:tcPr>
          <w:p>
            <w:pPr>
              <w:spacing w:after="0"/>
              <w:rPr>
                <w:sz w:val="1"/>
                <w:szCs w:val="1"/>
                <w:color w:val="auto"/>
              </w:rPr>
            </w:pPr>
          </w:p>
        </w:tc>
      </w:tr>
      <w:tr>
        <w:trPr>
          <w:trHeight w:val="137"/>
        </w:trPr>
        <w:tc>
          <w:tcPr>
            <w:tcW w:w="4180" w:type="dxa"/>
            <w:vAlign w:val="bottom"/>
          </w:tcPr>
          <w:p>
            <w:pPr>
              <w:spacing w:after="0" w:line="125" w:lineRule="exact"/>
              <w:rPr>
                <w:sz w:val="20"/>
                <w:szCs w:val="20"/>
                <w:color w:val="auto"/>
              </w:rPr>
            </w:pPr>
            <w:r>
              <w:rPr>
                <w:rFonts w:ascii="Arial" w:cs="Arial" w:eastAsia="Arial" w:hAnsi="Arial"/>
                <w:sz w:val="11"/>
                <w:szCs w:val="11"/>
                <w:color w:val="auto"/>
              </w:rPr>
              <w:t>Operating income</w:t>
            </w:r>
          </w:p>
        </w:tc>
        <w:tc>
          <w:tcPr>
            <w:tcW w:w="760" w:type="dxa"/>
            <w:vAlign w:val="bottom"/>
          </w:tcPr>
          <w:p>
            <w:pPr>
              <w:spacing w:after="0"/>
              <w:rPr>
                <w:sz w:val="11"/>
                <w:szCs w:val="11"/>
                <w:color w:val="auto"/>
              </w:rPr>
            </w:pPr>
          </w:p>
        </w:tc>
        <w:tc>
          <w:tcPr>
            <w:tcW w:w="540" w:type="dxa"/>
            <w:vAlign w:val="bottom"/>
          </w:tcPr>
          <w:p>
            <w:pPr>
              <w:jc w:val="right"/>
              <w:ind w:right="3"/>
              <w:spacing w:after="0"/>
              <w:rPr>
                <w:sz w:val="20"/>
                <w:szCs w:val="20"/>
                <w:color w:val="auto"/>
              </w:rPr>
            </w:pPr>
            <w:r>
              <w:rPr>
                <w:rFonts w:ascii="Arial" w:cs="Arial" w:eastAsia="Arial" w:hAnsi="Arial"/>
                <w:sz w:val="11"/>
                <w:szCs w:val="11"/>
                <w:color w:val="auto"/>
              </w:rPr>
              <w:t>754,371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669,202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602,394</w:t>
            </w:r>
          </w:p>
        </w:tc>
        <w:tc>
          <w:tcPr>
            <w:tcW w:w="80" w:type="dxa"/>
            <w:vAlign w:val="bottom"/>
          </w:tcPr>
          <w:p>
            <w:pPr>
              <w:spacing w:after="0"/>
              <w:rPr>
                <w:sz w:val="11"/>
                <w:szCs w:val="11"/>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12.7 %</w:t>
            </w:r>
          </w:p>
        </w:tc>
        <w:tc>
          <w:tcPr>
            <w:tcW w:w="100" w:type="dxa"/>
            <w:vAlign w:val="bottom"/>
          </w:tcPr>
          <w:p>
            <w:pPr>
              <w:spacing w:after="0"/>
              <w:rPr>
                <w:sz w:val="11"/>
                <w:szCs w:val="11"/>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11.1 %</w:t>
            </w:r>
          </w:p>
        </w:tc>
        <w:tc>
          <w:tcPr>
            <w:tcW w:w="0" w:type="dxa"/>
            <w:vAlign w:val="bottom"/>
          </w:tcPr>
          <w:p>
            <w:pPr>
              <w:spacing w:after="0"/>
              <w:rPr>
                <w:sz w:val="1"/>
                <w:szCs w:val="1"/>
                <w:color w:val="auto"/>
              </w:rPr>
            </w:pPr>
          </w:p>
        </w:tc>
      </w:tr>
      <w:tr>
        <w:trPr>
          <w:trHeight w:val="150"/>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7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(81,270)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(96,960)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(89,517)</w:t>
            </w: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8.3 %</w:t>
            </w:r>
          </w:p>
        </w:tc>
        <w:tc>
          <w:tcPr>
            <w:tcW w:w="0" w:type="dxa"/>
            <w:vAlign w:val="bottom"/>
          </w:tcPr>
          <w:p>
            <w:pPr>
              <w:spacing w:after="0"/>
              <w:rPr>
                <w:sz w:val="1"/>
                <w:szCs w:val="1"/>
                <w:color w:val="auto"/>
              </w:rPr>
            </w:pPr>
          </w:p>
        </w:tc>
      </w:tr>
      <w:tr>
        <w:trPr>
          <w:trHeight w:val="147"/>
        </w:trPr>
        <w:tc>
          <w:tcPr>
            <w:tcW w:w="4180" w:type="dxa"/>
            <w:vAlign w:val="bottom"/>
          </w:tcPr>
          <w:p>
            <w:pPr>
              <w:spacing w:after="0"/>
              <w:rPr>
                <w:sz w:val="20"/>
                <w:szCs w:val="20"/>
                <w:color w:val="auto"/>
              </w:rPr>
            </w:pPr>
            <w:r>
              <w:rPr>
                <w:rFonts w:ascii="Arial" w:cs="Arial" w:eastAsia="Arial" w:hAnsi="Arial"/>
                <w:sz w:val="11"/>
                <w:szCs w:val="11"/>
                <w:color w:val="auto"/>
              </w:rPr>
              <w:t>Other income (expense), net</w:t>
            </w:r>
          </w:p>
        </w:tc>
        <w:tc>
          <w:tcPr>
            <w:tcW w:w="7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(10,662)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7,192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Arial" w:cs="Arial" w:eastAsia="Arial" w:hAnsi="Arial"/>
                <w:sz w:val="11"/>
                <w:szCs w:val="11"/>
                <w:color w:val="auto"/>
              </w:rPr>
              <w:t>2,526</w:t>
            </w:r>
          </w:p>
        </w:tc>
        <w:tc>
          <w:tcPr>
            <w:tcW w:w="80" w:type="dxa"/>
            <w:vAlign w:val="bottom"/>
          </w:tcPr>
          <w:p>
            <w:pPr>
              <w:spacing w:after="0"/>
              <w:rPr>
                <w:sz w:val="12"/>
                <w:szCs w:val="12"/>
                <w:color w:val="auto"/>
              </w:rPr>
            </w:pPr>
          </w:p>
        </w:tc>
        <w:tc>
          <w:tcPr>
            <w:tcW w:w="1500" w:type="dxa"/>
            <w:vAlign w:val="bottom"/>
            <w:gridSpan w:val="2"/>
          </w:tcPr>
          <w:p>
            <w:pPr>
              <w:ind w:left="1200"/>
              <w:spacing w:after="0"/>
              <w:rPr>
                <w:sz w:val="20"/>
                <w:szCs w:val="20"/>
                <w:color w:val="auto"/>
              </w:rPr>
            </w:pPr>
            <w:r>
              <w:rPr>
                <w:rFonts w:ascii="Arial" w:cs="Arial" w:eastAsia="Arial" w:hAnsi="Arial"/>
                <w:sz w:val="11"/>
                <w:szCs w:val="11"/>
                <w:color w:val="auto"/>
              </w:rPr>
              <w:t>NM</w:t>
            </w:r>
          </w:p>
        </w:tc>
        <w:tc>
          <w:tcPr>
            <w:tcW w:w="138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1"/>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before income taxes</w:t>
            </w:r>
          </w:p>
        </w:tc>
        <w:tc>
          <w:tcPr>
            <w:tcW w:w="7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662,439</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579,434</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515,403</w:t>
            </w:r>
          </w:p>
        </w:tc>
        <w:tc>
          <w:tcPr>
            <w:tcW w:w="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14.3 %</w:t>
            </w: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12.4 %</w:t>
            </w:r>
          </w:p>
        </w:tc>
        <w:tc>
          <w:tcPr>
            <w:tcW w:w="0" w:type="dxa"/>
            <w:vAlign w:val="bottom"/>
          </w:tcPr>
          <w:p>
            <w:pPr>
              <w:spacing w:after="0"/>
              <w:rPr>
                <w:sz w:val="1"/>
                <w:szCs w:val="1"/>
                <w:color w:val="auto"/>
              </w:rPr>
            </w:pPr>
          </w:p>
        </w:tc>
      </w:tr>
      <w:tr>
        <w:trPr>
          <w:trHeight w:val="147"/>
        </w:trPr>
        <w:tc>
          <w:tcPr>
            <w:tcW w:w="41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Income tax expense</w:t>
            </w: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53,481</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96,831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96,874</w:t>
            </w:r>
          </w:p>
        </w:tc>
        <w:tc>
          <w:tcPr>
            <w:tcW w:w="8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w:t>
            </w: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64"/>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w:t>
            </w:r>
          </w:p>
        </w:tc>
        <w:tc>
          <w:tcPr>
            <w:tcW w:w="760" w:type="dxa"/>
            <w:vAlign w:val="bottom"/>
            <w:tcBorders>
              <w:bottom w:val="single" w:sz="8" w:color="auto"/>
            </w:tcBorders>
            <w:shd w:val="clear" w:color="auto" w:fill="CCEEFF"/>
          </w:tcPr>
          <w:p>
            <w:pPr>
              <w:jc w:val="right"/>
              <w:ind w:right="64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608,958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482,603</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418,529</w:t>
            </w: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26.2 %</w:t>
            </w:r>
          </w:p>
        </w:tc>
        <w:tc>
          <w:tcPr>
            <w:tcW w:w="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Fiscal 2021 Compared to Fiscal 2020</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Revenue</w:t>
      </w:r>
    </w:p>
    <w:p>
      <w:pPr>
        <w:spacing w:after="0" w:line="51" w:lineRule="exact"/>
        <w:rPr>
          <w:sz w:val="20"/>
          <w:szCs w:val="20"/>
          <w:color w:val="auto"/>
        </w:rPr>
      </w:pPr>
    </w:p>
    <w:p>
      <w:pPr>
        <w:jc w:val="both"/>
        <w:ind w:right="240" w:firstLine="350"/>
        <w:spacing w:after="0" w:line="267" w:lineRule="auto"/>
        <w:rPr>
          <w:sz w:val="20"/>
          <w:szCs w:val="20"/>
          <w:color w:val="auto"/>
        </w:rPr>
      </w:pPr>
      <w:r>
        <w:rPr>
          <w:rFonts w:ascii="Arial" w:cs="Arial" w:eastAsia="Arial" w:hAnsi="Arial"/>
          <w:sz w:val="14"/>
          <w:szCs w:val="14"/>
          <w:color w:val="auto"/>
        </w:rPr>
        <w:t>Revenue increased to $7,858.9 million from $7,463.8 million, or a 5.3% increase, primarily driven by strong execution on sustained client demand and headcount to meet that demand. The Company also benefited from higher staff utilization in the first half of the year as compared to the prior year driven by fewer PTO days taken by our employees which resulted in increases in our direct labor and corresponding generation of revenue growth. Revenue growth also benefited from an overall increase in billable expenses.</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Cost of Revenue</w:t>
      </w:r>
    </w:p>
    <w:p>
      <w:pPr>
        <w:spacing w:after="0" w:line="51"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Cost of revenue increased to $3,657.5 million from $3,379.2 million, or an 8.2% increase. This increase was primarily due to an increase in salaries and salary-related benefits of $258.9 million, and $64.9 million increase in incentive compensation, employer retirement plan contributions, and stock compensation, partially offset by decreases in other business expenses. The increase in salaries and salary-related benefits was driven by an increase in headcount growth and annual base salary increases. Cost of revenue as a percentage of revenue was 46.5% and 45.3% in fiscal 2021 and fiscal 2020, respectively.</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Billable Expenses</w:t>
      </w:r>
    </w:p>
    <w:p>
      <w:pPr>
        <w:spacing w:after="0" w:line="51"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Billable expenses increased to $2,325.9 million from $2,298.4 million, or a 1.2% increase. The overall increase was primarily attributable to an increase in use of subcontractors in fiscal 2021 driven by client demand. The increase was partially offset by decreases in expenses from contracts which require the Company to incur direct and travel expenses on behalf of clients compared to the prior year. The impact of COVID-19 drove volatility in the timing and magnitude of billable expenses. Billable expenses as a percentage of revenue were 29.6% and 30.8% for fiscal 2021 and fiscal 2020, respectively.</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General and Administrative Expenses</w:t>
      </w:r>
    </w:p>
    <w:p>
      <w:pPr>
        <w:spacing w:after="0" w:line="51" w:lineRule="exact"/>
        <w:rPr>
          <w:sz w:val="20"/>
          <w:szCs w:val="20"/>
          <w:color w:val="auto"/>
        </w:rPr>
      </w:pPr>
    </w:p>
    <w:p>
      <w:pPr>
        <w:ind w:right="80" w:firstLine="350"/>
        <w:spacing w:after="0" w:line="262" w:lineRule="auto"/>
        <w:rPr>
          <w:sz w:val="20"/>
          <w:szCs w:val="20"/>
          <w:color w:val="auto"/>
        </w:rPr>
      </w:pPr>
      <w:r>
        <w:rPr>
          <w:rFonts w:ascii="Arial" w:cs="Arial" w:eastAsia="Arial" w:hAnsi="Arial"/>
          <w:sz w:val="14"/>
          <w:szCs w:val="14"/>
          <w:color w:val="auto"/>
        </w:rPr>
        <w:t>General and administrative expenses increased to $1,036.8 million from $1,036.0 million, or a 0.1% increase. The increase was primarily due to a $23.6 million increase of salaries and salary-related benefits, driven by headcount growth, and a $16.8 million increase in incentive and stock compensation, and employer retirement plan contributions. The increase was partially offset by a decrease of $39.5 million in other business related expenses and professional fees. General and administrative expenses as a percentage of revenue were 13.2% and 13.9% for fiscal 2021 and fiscal 2020, respectively.</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Depreciation and Amortization</w:t>
      </w:r>
    </w:p>
    <w:p>
      <w:pPr>
        <w:spacing w:after="0" w:line="51"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color w:val="auto"/>
        </w:rPr>
        <w:t>Depreciation and amortization expense increased to $84.3 million from $81.1 million, or a 4.0% increase, primarily due to increases in depreciation expense resulting from the effects of higher capital expenditures in fiscal 2020.</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63" w:name="page64"/>
    <w:bookmarkEnd w:id="63"/>
    <w:p>
      <w:pPr>
        <w:ind w:left="160"/>
        <w:spacing w:after="0"/>
        <w:rPr>
          <w:sz w:val="20"/>
          <w:szCs w:val="20"/>
          <w:color w:val="auto"/>
        </w:rPr>
      </w:pPr>
      <w:r>
        <w:rPr>
          <w:rFonts w:ascii="Arial" w:cs="Arial" w:eastAsia="Arial" w:hAnsi="Arial"/>
          <w:sz w:val="14"/>
          <w:szCs w:val="14"/>
          <w:i w:val="1"/>
          <w:iCs w:val="1"/>
          <w:color w:val="auto"/>
        </w:rPr>
        <w:t>Interest Expense</w:t>
      </w:r>
    </w:p>
    <w:p>
      <w:pPr>
        <w:spacing w:after="0" w:line="51" w:lineRule="exact"/>
        <w:rPr>
          <w:sz w:val="20"/>
          <w:szCs w:val="20"/>
          <w:color w:val="auto"/>
        </w:rPr>
      </w:pPr>
    </w:p>
    <w:p>
      <w:pPr>
        <w:ind w:right="340" w:firstLine="350"/>
        <w:spacing w:after="0" w:line="281" w:lineRule="auto"/>
        <w:rPr>
          <w:sz w:val="20"/>
          <w:szCs w:val="20"/>
          <w:color w:val="auto"/>
        </w:rPr>
      </w:pPr>
      <w:r>
        <w:rPr>
          <w:rFonts w:ascii="Arial" w:cs="Arial" w:eastAsia="Arial" w:hAnsi="Arial"/>
          <w:sz w:val="14"/>
          <w:szCs w:val="14"/>
          <w:color w:val="auto"/>
        </w:rPr>
        <w:t>Interest expense decreased to $81.3 million from $97.0 million, or a 16.2% decrease, primarily due to a decrease in 1 Month LIBOR, the benchmark interest rate under our Secured Credit Facility, and a reduction in expense as a result of the repayment of the remaining Deferred Payment Obligation balance in December 2019.</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Other Expense (Income), net</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Other expense (Income), net decreased to a $10.7 million net other expense from $7.2 million of net other income primarily due to the loss on debt extinguishment resulting from the redemption of the 2017 Senior Notes, including $9.0 million of the premium paid at redemption, and write-off of the unamortized debt issuance cost. This was partially offset by net gains of $5.1 million recognized from the Company's sale of certain customer contracts and other assets.</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Income Tax Expense</w:t>
      </w:r>
    </w:p>
    <w:p>
      <w:pPr>
        <w:spacing w:after="0" w:line="51" w:lineRule="exact"/>
        <w:rPr>
          <w:sz w:val="20"/>
          <w:szCs w:val="20"/>
          <w:color w:val="auto"/>
        </w:rPr>
      </w:pPr>
    </w:p>
    <w:p>
      <w:pPr>
        <w:ind w:right="20" w:firstLine="350"/>
        <w:spacing w:after="0" w:line="260" w:lineRule="auto"/>
        <w:rPr>
          <w:sz w:val="20"/>
          <w:szCs w:val="20"/>
          <w:color w:val="auto"/>
        </w:rPr>
      </w:pPr>
      <w:r>
        <w:rPr>
          <w:rFonts w:ascii="Arial" w:cs="Arial" w:eastAsia="Arial" w:hAnsi="Arial"/>
          <w:sz w:val="14"/>
          <w:szCs w:val="14"/>
          <w:color w:val="auto"/>
        </w:rPr>
        <w:t>Income tax expense decreased to $53.5 million from $96.8 million. The effective tax rate decreased to 8.1% in fiscal 2021 from 16.7% in fiscal 2020. The decrease was primarily due to a $76.8 million income tax benefit recognized in the fourth quarter of fiscal 2021 related to the re-measurement of net operating losses that we intend to carry back to fiscal 2016 and subsequent years, partially offset by $38.4 million of available research and development credits, net of reserves for uncertain tax positions, recognized in fiscal 2020. We expect our effective tax rate to increase in relation to fiscal 2021 due to re-measurement of losses being limited to a single tax year. For additional information concerning the loss re-measurement, see Note 13 to our consolidated financial statements.</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Fiscal 2020 Compared to Fiscal 2019</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Revenue</w:t>
      </w:r>
    </w:p>
    <w:p>
      <w:pPr>
        <w:spacing w:after="0" w:line="51"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Revenue increased to $7,463.8 million from $6,704.0 million, or an 11.3% increase, primarily due to sustained client demand and increased client staff headcount to meet that demand. Revenue growth was also driven by an increase in billable expenses, including subcontractors and direct expenses on behalf of our clients.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Cost of Revenue</w:t>
      </w:r>
    </w:p>
    <w:p>
      <w:pPr>
        <w:spacing w:after="0" w:line="51" w:lineRule="exact"/>
        <w:rPr>
          <w:sz w:val="20"/>
          <w:szCs w:val="20"/>
          <w:color w:val="auto"/>
        </w:rPr>
      </w:pPr>
    </w:p>
    <w:p>
      <w:pPr>
        <w:ind w:right="40" w:firstLine="350"/>
        <w:spacing w:after="0" w:line="267" w:lineRule="auto"/>
        <w:rPr>
          <w:sz w:val="20"/>
          <w:szCs w:val="20"/>
          <w:color w:val="auto"/>
        </w:rPr>
      </w:pPr>
      <w:r>
        <w:rPr>
          <w:rFonts w:ascii="Arial" w:cs="Arial" w:eastAsia="Arial" w:hAnsi="Arial"/>
          <w:sz w:val="14"/>
          <w:szCs w:val="14"/>
          <w:color w:val="auto"/>
        </w:rPr>
        <w:t>Cost of revenue increased to $3,379.2 million from $3,100.5 million, or a 9.0% increase. This increase was primarily due to an increase in salaries and salary-related benefits of $250.4 million, and an increase in employer retirement plan contributions of $12.7 million. The increase in salaries and salary-related benefits was driven by an increase in headcount growth and annual base salary increases. Cost of revenue as a percentage of revenue was 45.3% and 46.2% in fiscal 2020 and fiscal 2019, respectively.</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Billable Expenses</w:t>
      </w:r>
    </w:p>
    <w:p>
      <w:pPr>
        <w:spacing w:after="0" w:line="51" w:lineRule="exact"/>
        <w:rPr>
          <w:sz w:val="20"/>
          <w:szCs w:val="20"/>
          <w:color w:val="auto"/>
        </w:rPr>
      </w:pPr>
    </w:p>
    <w:p>
      <w:pPr>
        <w:jc w:val="both"/>
        <w:ind w:right="40" w:firstLine="350"/>
        <w:spacing w:after="0" w:line="267" w:lineRule="auto"/>
        <w:rPr>
          <w:sz w:val="20"/>
          <w:szCs w:val="20"/>
          <w:color w:val="auto"/>
        </w:rPr>
      </w:pPr>
      <w:r>
        <w:rPr>
          <w:rFonts w:ascii="Arial" w:cs="Arial" w:eastAsia="Arial" w:hAnsi="Arial"/>
          <w:sz w:val="14"/>
          <w:szCs w:val="14"/>
          <w:color w:val="auto"/>
        </w:rPr>
        <w:t>Billable expenses increased to $2,298.4 million from $2,004.7 million, or a 14.7% increase. The overall increase was primarily attributable to an increase in use of subcontractors in fiscal 2020 driven by client demand. In addition, contracts which require the Company to incur direct and travel expenses on behalf of our clients increased over the prior year. Billable expenses as a percentage of revenue were 30.8% and 29.9% in fiscal 2020 and fiscal 2019, respectively.</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General and Administrative Expenses</w:t>
      </w:r>
    </w:p>
    <w:p>
      <w:pPr>
        <w:spacing w:after="0" w:line="51" w:lineRule="exact"/>
        <w:rPr>
          <w:sz w:val="20"/>
          <w:szCs w:val="20"/>
          <w:color w:val="auto"/>
        </w:rPr>
      </w:pPr>
    </w:p>
    <w:p>
      <w:pPr>
        <w:jc w:val="both"/>
        <w:ind w:right="220" w:firstLine="350"/>
        <w:spacing w:after="0" w:line="267" w:lineRule="auto"/>
        <w:rPr>
          <w:sz w:val="20"/>
          <w:szCs w:val="20"/>
          <w:color w:val="auto"/>
        </w:rPr>
      </w:pPr>
      <w:r>
        <w:rPr>
          <w:rFonts w:ascii="Arial" w:cs="Arial" w:eastAsia="Arial" w:hAnsi="Arial"/>
          <w:sz w:val="14"/>
          <w:szCs w:val="14"/>
          <w:color w:val="auto"/>
        </w:rPr>
        <w:t>General and administrative expenses increased to $1,036.0 million from $927.9 million, or an 11.6% increase. The increase was primarily due to salaries and salary-related benefits of $52.0 million, driven by headcount growth as well as annual base salary increases. In addition, other business related expenses and professional fees increased $53.0 million. General and administrative expenses as a percentage of revenue were 13.9% and 13.8% for fiscal 2020 and fiscal 2019, respectively.</w:t>
      </w:r>
    </w:p>
    <w:p>
      <w:pPr>
        <w:spacing w:after="0" w:line="99"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Depreciation and Amortization</w:t>
      </w:r>
    </w:p>
    <w:p>
      <w:pPr>
        <w:spacing w:after="0" w:line="51"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color w:val="auto"/>
        </w:rPr>
        <w:t>Depreciation and amortization expense increased to $81.1 million from $68.6 million, or an 18.2% increase, primarily due to increases in depreciation expense resulting from the effects of higher capital expenditures in fiscal 2019.</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Interest Expense</w:t>
      </w:r>
    </w:p>
    <w:p>
      <w:pPr>
        <w:spacing w:after="0" w:line="51"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Interest expense increased to $97.0 million from $89.5 million, or an 8.3% increase, primarily as a result of the incremental $400 million in debt the Company incurred in April 2019 under the delayed draw facility (the "Delayed Draw Facility"). This was partially offset by a reduction in expense as a result of the repayment of the remaining Deferred Payment Obligation balance in December 2019.</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61" w:right="339" w:bottom="1440" w:gutter="0" w:footer="0" w:header="0"/>
        </w:sectPr>
      </w:pPr>
    </w:p>
    <w:bookmarkStart w:id="64" w:name="page65"/>
    <w:bookmarkEnd w:id="64"/>
    <w:p>
      <w:pPr>
        <w:ind w:left="160"/>
        <w:spacing w:after="0"/>
        <w:rPr>
          <w:sz w:val="20"/>
          <w:szCs w:val="20"/>
          <w:color w:val="auto"/>
        </w:rPr>
      </w:pPr>
      <w:r>
        <w:rPr>
          <w:rFonts w:ascii="Arial" w:cs="Arial" w:eastAsia="Arial" w:hAnsi="Arial"/>
          <w:sz w:val="14"/>
          <w:szCs w:val="14"/>
          <w:i w:val="1"/>
          <w:iCs w:val="1"/>
          <w:color w:val="auto"/>
        </w:rPr>
        <w:t>Income Tax Expense</w:t>
      </w:r>
    </w:p>
    <w:p>
      <w:pPr>
        <w:spacing w:after="0" w:line="51"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Income tax expense decreased to $96.8 million from $96.9 million. The effective tax rate decreased to 16.7% in fiscal 2020 from 18.8% in fiscal 2019. The decrease was primarily due to an increase of $38.4 million in available research and development credits, net of reserves for uncertain tax positions, recognized in fiscal 2020, partially offset by the re-measurement of deferred income taxes of $27.9 million in fiscal 2019.</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ind w:right="120" w:firstLine="318"/>
        <w:spacing w:after="0" w:line="260" w:lineRule="auto"/>
        <w:rPr>
          <w:sz w:val="20"/>
          <w:szCs w:val="20"/>
          <w:color w:val="auto"/>
        </w:rPr>
      </w:pPr>
      <w:r>
        <w:rPr>
          <w:rFonts w:ascii="Arial" w:cs="Arial" w:eastAsia="Arial" w:hAnsi="Arial"/>
          <w:sz w:val="14"/>
          <w:szCs w:val="14"/>
          <w:color w:val="auto"/>
        </w:rPr>
        <w:t>As of March 31, 2021, our total liquidity was $1.5 billion, consisting of $991.0 million of cash and cash equivalents and $499.1 million available under the Revolving Credit Facility. To date, COVID-19 has not had a significant impact on our liquidity, cash flows or capital resources. However,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selected financial information for the periods presented:</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51"/>
        </w:trPr>
        <w:tc>
          <w:tcPr>
            <w:tcW w:w="61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94"/>
              </w:rPr>
              <w:t>Fiscal Year Ended March 31,</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2"/>
        </w:trPr>
        <w:tc>
          <w:tcPr>
            <w:tcW w:w="6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2019</w:t>
            </w:r>
          </w:p>
        </w:tc>
      </w:tr>
      <w:tr>
        <w:trPr>
          <w:trHeight w:val="139"/>
        </w:trPr>
        <w:tc>
          <w:tcPr>
            <w:tcW w:w="6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 thousands)</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81"/>
        </w:trPr>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990,955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741,901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283,990</w:t>
            </w:r>
          </w:p>
        </w:tc>
      </w:tr>
      <w:tr>
        <w:trPr>
          <w:trHeight w:val="180"/>
        </w:trPr>
        <w:tc>
          <w:tcPr>
            <w:tcW w:w="6160" w:type="dxa"/>
            <w:vAlign w:val="bottom"/>
          </w:tcPr>
          <w:p>
            <w:pPr>
              <w:spacing w:after="0"/>
              <w:rPr>
                <w:sz w:val="20"/>
                <w:szCs w:val="20"/>
                <w:color w:val="auto"/>
              </w:rPr>
            </w:pPr>
            <w:r>
              <w:rPr>
                <w:rFonts w:ascii="Arial" w:cs="Arial" w:eastAsia="Arial" w:hAnsi="Arial"/>
                <w:sz w:val="14"/>
                <w:szCs w:val="14"/>
                <w:color w:val="auto"/>
              </w:rPr>
              <w:t>Total debt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2,356,596</w:t>
            </w:r>
          </w:p>
        </w:tc>
        <w:tc>
          <w:tcPr>
            <w:tcW w:w="10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2,185,844</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1,759,761</w:t>
            </w:r>
          </w:p>
        </w:tc>
      </w:tr>
      <w:tr>
        <w:trPr>
          <w:trHeight w:val="202"/>
        </w:trPr>
        <w:tc>
          <w:tcPr>
            <w:tcW w:w="6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0"/>
        </w:trPr>
        <w:tc>
          <w:tcPr>
            <w:tcW w:w="616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718,684</w:t>
            </w:r>
          </w:p>
        </w:tc>
        <w:tc>
          <w:tcPr>
            <w:tcW w:w="100" w:type="dxa"/>
            <w:vAlign w:val="bottom"/>
          </w:tcPr>
          <w:p>
            <w:pPr>
              <w:spacing w:after="0"/>
              <w:rPr>
                <w:sz w:val="15"/>
                <w:szCs w:val="15"/>
                <w:color w:val="auto"/>
              </w:rPr>
            </w:pPr>
          </w:p>
        </w:tc>
        <w:tc>
          <w:tcPr>
            <w:tcW w:w="240" w:type="dxa"/>
            <w:vAlign w:val="bottom"/>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551,428</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499,610</w:t>
            </w:r>
          </w:p>
        </w:tc>
      </w:tr>
      <w:tr>
        <w:trPr>
          <w:trHeight w:val="181"/>
        </w:trPr>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(89,212)</w:t>
            </w:r>
          </w:p>
        </w:tc>
      </w:tr>
      <w:tr>
        <w:trPr>
          <w:trHeight w:val="180"/>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(311,346)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34,562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(413,366)</w:t>
            </w:r>
          </w:p>
        </w:tc>
      </w:tr>
      <w:tr>
        <w:trPr>
          <w:trHeight w:val="196"/>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increase (decrease) in cash and cash equivalents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249,054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457,911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260" w:firstLine="318"/>
        <w:spacing w:after="0" w:line="262" w:lineRule="auto"/>
        <w:rPr>
          <w:sz w:val="20"/>
          <w:szCs w:val="20"/>
          <w:color w:val="auto"/>
        </w:rPr>
      </w:pPr>
      <w:r>
        <w:rPr>
          <w:rFonts w:ascii="Arial" w:cs="Arial" w:eastAsia="Arial" w:hAnsi="Arial"/>
          <w:sz w:val="14"/>
          <w:szCs w:val="14"/>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61" w:lineRule="exact"/>
        <w:rPr>
          <w:sz w:val="20"/>
          <w:szCs w:val="20"/>
          <w:color w:val="auto"/>
        </w:rPr>
      </w:pPr>
    </w:p>
    <w:p>
      <w:pPr>
        <w:ind w:right="80" w:firstLine="318"/>
        <w:spacing w:after="0" w:line="280" w:lineRule="auto"/>
        <w:rPr>
          <w:sz w:val="20"/>
          <w:szCs w:val="20"/>
          <w:color w:val="auto"/>
        </w:rPr>
      </w:pPr>
      <w:r>
        <w:rPr>
          <w:rFonts w:ascii="Arial" w:cs="Arial" w:eastAsia="Arial" w:hAnsi="Arial"/>
          <w:sz w:val="13"/>
          <w:szCs w:val="13"/>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52" w:lineRule="exact"/>
        <w:rPr>
          <w:sz w:val="20"/>
          <w:szCs w:val="20"/>
          <w:color w:val="auto"/>
        </w:rPr>
      </w:pPr>
    </w:p>
    <w:p>
      <w:pPr>
        <w:ind w:left="1020" w:hanging="506"/>
        <w:spacing w:after="0"/>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operating expenses, including salaries;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working capital requirements to fund the growth of our business;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capital expenditures which primarily relate to the purchase of computers, business systems, furniture and leasehold improvements to support our operations;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design, build-out, testing, and implementation and operation of new financial management systems;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commitments and other discretionary investments;</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debt service requirements for borrowings under our Secured Credit Facility and interest payments for the Senior Notes; and</w:t>
      </w:r>
    </w:p>
    <w:p>
      <w:pPr>
        <w:spacing w:after="0" w:line="93" w:lineRule="exact"/>
        <w:rPr>
          <w:rFonts w:ascii="Arial" w:cs="Arial" w:eastAsia="Arial" w:hAnsi="Arial"/>
          <w:sz w:val="14"/>
          <w:szCs w:val="14"/>
          <w:color w:val="auto"/>
        </w:rPr>
      </w:pPr>
    </w:p>
    <w:p>
      <w:pPr>
        <w:ind w:left="1020" w:hanging="506"/>
        <w:spacing w:after="0"/>
        <w:tabs>
          <w:tab w:leader="none" w:pos="10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cash taxes to be paid.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65" w:name="page66"/>
    <w:bookmarkEnd w:id="65"/>
    <w:p>
      <w:pPr>
        <w:ind w:right="120" w:firstLine="318"/>
        <w:spacing w:after="0" w:line="321" w:lineRule="auto"/>
        <w:rPr>
          <w:sz w:val="20"/>
          <w:szCs w:val="20"/>
          <w:color w:val="auto"/>
        </w:rPr>
      </w:pPr>
      <w:r>
        <w:rPr>
          <w:rFonts w:ascii="Arial" w:cs="Arial" w:eastAsia="Arial" w:hAnsi="Arial"/>
          <w:sz w:val="13"/>
          <w:szCs w:val="13"/>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Cash Flows</w:t>
      </w:r>
    </w:p>
    <w:p>
      <w:pPr>
        <w:spacing w:after="0" w:line="94" w:lineRule="exact"/>
        <w:rPr>
          <w:sz w:val="20"/>
          <w:szCs w:val="20"/>
          <w:color w:val="auto"/>
        </w:rPr>
      </w:pPr>
    </w:p>
    <w:p>
      <w:pPr>
        <w:ind w:right="60" w:firstLine="318"/>
        <w:spacing w:after="0" w:line="284" w:lineRule="auto"/>
        <w:rPr>
          <w:sz w:val="20"/>
          <w:szCs w:val="20"/>
          <w:color w:val="auto"/>
        </w:rPr>
      </w:pPr>
      <w:r>
        <w:rPr>
          <w:rFonts w:ascii="Arial" w:cs="Arial" w:eastAsia="Arial" w:hAnsi="Arial"/>
          <w:sz w:val="13"/>
          <w:szCs w:val="13"/>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49"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Operating Cash Flow</w:t>
      </w:r>
    </w:p>
    <w:p>
      <w:pPr>
        <w:spacing w:after="0" w:line="94"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$718.7 million in fiscal 2021 compared to $551.4 million in fiscal 2020, or a 30.3% increase. The improvement in operating cash flow over the prior year was primarily driven by collections growth in excess of revenue growth. Higher income taxes paid in fiscal 2021 were offset by lower disbursements primarily attributable to strong cost management and lower expenses primarily attributable to COVID-19.</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Investing Cash Flow</w:t>
      </w:r>
    </w:p>
    <w:p>
      <w:pPr>
        <w:spacing w:after="0" w:line="94" w:lineRule="exact"/>
        <w:rPr>
          <w:sz w:val="20"/>
          <w:szCs w:val="20"/>
          <w:color w:val="auto"/>
        </w:rPr>
      </w:pPr>
    </w:p>
    <w:p>
      <w:pPr>
        <w:ind w:right="20" w:firstLine="318"/>
        <w:spacing w:after="0" w:line="319" w:lineRule="auto"/>
        <w:rPr>
          <w:sz w:val="20"/>
          <w:szCs w:val="20"/>
          <w:color w:val="auto"/>
        </w:rPr>
      </w:pPr>
      <w:r>
        <w:rPr>
          <w:rFonts w:ascii="Arial" w:cs="Arial" w:eastAsia="Arial" w:hAnsi="Arial"/>
          <w:sz w:val="12"/>
          <w:szCs w:val="12"/>
          <w:color w:val="auto"/>
        </w:rPr>
        <w:t>Net cash used in investing activities was $158.3 million in fiscal 2021 compared to $128.1 million in the prior year, or a 23.6% increase. The increase in net cash used in investing activities was primarily due to a $74.2 million strategic minority investment made by the Company during fiscal 2021. This was partially offset by a decrease in capital expenditures over the prior year as well as proceeds from the sale of certain Company assets. The decrease in capital expenditures reflects a shift away from facilities investment towards technology and tools needed to support the virtual work environment. Additionally, we continue to modernize our corporate information technology infrastructure, including the implementation of a new financial management system on April 1, 2021.</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Financing Cash Flow</w:t>
      </w:r>
    </w:p>
    <w:p>
      <w:pPr>
        <w:spacing w:after="0" w:line="94"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Net cash used in financing activities was $311.3 million in fiscal 2021 compared to $34.6 million of net cash provided by financing activities in the prior year. The increase in net cash used in financing activities was primarily due to the following:</w:t>
      </w:r>
    </w:p>
    <w:p>
      <w:pPr>
        <w:spacing w:after="0" w:line="47" w:lineRule="exact"/>
        <w:rPr>
          <w:sz w:val="20"/>
          <w:szCs w:val="20"/>
          <w:color w:val="auto"/>
        </w:rPr>
      </w:pPr>
    </w:p>
    <w:p>
      <w:pPr>
        <w:ind w:left="580" w:hanging="257"/>
        <w:spacing w:after="0"/>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Increase in share repurchases of $131.2 million as compared to the prior year</w:t>
      </w:r>
    </w:p>
    <w:p>
      <w:pPr>
        <w:spacing w:after="0" w:line="93" w:lineRule="exact"/>
        <w:rPr>
          <w:rFonts w:ascii="Arial" w:cs="Arial" w:eastAsia="Arial" w:hAnsi="Arial"/>
          <w:sz w:val="14"/>
          <w:szCs w:val="14"/>
          <w:color w:val="auto"/>
        </w:rPr>
      </w:pPr>
    </w:p>
    <w:p>
      <w:pPr>
        <w:ind w:left="580" w:hanging="257"/>
        <w:spacing w:after="0"/>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Increase in dividends paid of $34.5 million as compared to the prior year</w:t>
      </w:r>
    </w:p>
    <w:p>
      <w:pPr>
        <w:spacing w:after="0" w:line="93" w:lineRule="exact"/>
        <w:rPr>
          <w:rFonts w:ascii="Arial" w:cs="Arial" w:eastAsia="Arial" w:hAnsi="Arial"/>
          <w:sz w:val="14"/>
          <w:szCs w:val="14"/>
          <w:color w:val="auto"/>
        </w:rPr>
      </w:pPr>
    </w:p>
    <w:p>
      <w:pPr>
        <w:ind w:left="580" w:right="40" w:hanging="257"/>
        <w:spacing w:after="0" w:line="281" w:lineRule="auto"/>
        <w:tabs>
          <w:tab w:leader="none" w:pos="576" w:val="left"/>
        </w:tabs>
        <w:numPr>
          <w:ilvl w:val="0"/>
          <w:numId w:val="55"/>
        </w:numPr>
        <w:rPr>
          <w:rFonts w:ascii="Arial" w:cs="Arial" w:eastAsia="Arial" w:hAnsi="Arial"/>
          <w:sz w:val="14"/>
          <w:szCs w:val="14"/>
          <w:color w:val="auto"/>
        </w:rPr>
      </w:pPr>
      <w:r>
        <w:rPr>
          <w:rFonts w:ascii="Arial" w:cs="Arial" w:eastAsia="Arial" w:hAnsi="Arial"/>
          <w:sz w:val="14"/>
          <w:szCs w:val="14"/>
          <w:color w:val="auto"/>
        </w:rPr>
        <w:t>Total proceeds in fiscal 2020 of $500.0 million from the $400.0 million draw on our Delayed Draw Facility and a $100.0 million draw on our Revolving Credit Facility, not present in fiscal 2021</w:t>
      </w:r>
    </w:p>
    <w:p>
      <w:pPr>
        <w:spacing w:after="0" w:line="47"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The above were partially offset by net proceeds of $341.5 million received from the issuance of the 3.875% Senior Notes due 2028 (the “Senior Notes”) and the repayment of the 2017 Senior Notes during the second quarter of fiscal 2021 as well as the repayment of the remaining Deferred Payment Obligation balance of $80.0 million in the prior year.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66" w:name="page67"/>
    <w:bookmarkEnd w:id="66"/>
    <w:p>
      <w:pPr>
        <w:ind w:left="200"/>
        <w:spacing w:after="0"/>
        <w:rPr>
          <w:sz w:val="20"/>
          <w:szCs w:val="20"/>
          <w:color w:val="auto"/>
        </w:rPr>
      </w:pPr>
      <w:r>
        <w:rPr>
          <w:rFonts w:ascii="Arial" w:cs="Arial" w:eastAsia="Arial" w:hAnsi="Arial"/>
          <w:sz w:val="14"/>
          <w:szCs w:val="14"/>
          <w:b w:val="1"/>
          <w:bCs w:val="1"/>
          <w:i w:val="1"/>
          <w:iCs w:val="1"/>
          <w:color w:val="auto"/>
        </w:rPr>
        <w:t>Dividends and Share Repurchases</w:t>
      </w:r>
    </w:p>
    <w:p>
      <w:pPr>
        <w:spacing w:after="0" w:line="9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Company paid $1.30 in dividends per share to shareholders of record in fiscal 2021. On May 21, 2021, the Company announced a regular quarterly cash dividend in the amount of $0.37 per share. The quarterly dividend is payable on June 30, 2021 to stockholders of record on June 15, 2021.</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cash distributions recognized in the consolidated statement of cash flows:</w:t>
      </w:r>
    </w:p>
    <w:p>
      <w:pPr>
        <w:spacing w:after="0" w:line="193" w:lineRule="exact"/>
        <w:rPr>
          <w:sz w:val="20"/>
          <w:szCs w:val="20"/>
          <w:color w:val="auto"/>
        </w:rPr>
      </w:pPr>
    </w:p>
    <w:tbl>
      <w:tblPr>
        <w:tblLayout w:type="fixed"/>
        <w:tblInd w:w="360"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w w:val="94"/>
              </w:rPr>
              <w:t>Fiscal Year Ended March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42"/>
        </w:trPr>
        <w:tc>
          <w:tcPr>
            <w:tcW w:w="7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2021</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115"/>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2019</w:t>
            </w:r>
          </w:p>
        </w:tc>
      </w:tr>
      <w:tr>
        <w:trPr>
          <w:trHeight w:val="139"/>
        </w:trPr>
        <w:tc>
          <w:tcPr>
            <w:tcW w:w="700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260"/>
              <w:spacing w:after="0"/>
              <w:rPr>
                <w:sz w:val="20"/>
                <w:szCs w:val="20"/>
                <w:color w:val="auto"/>
              </w:rPr>
            </w:pPr>
            <w:r>
              <w:rPr>
                <w:rFonts w:ascii="Arial" w:cs="Arial" w:eastAsia="Arial" w:hAnsi="Arial"/>
                <w:sz w:val="11"/>
                <w:szCs w:val="11"/>
                <w:b w:val="1"/>
                <w:bCs w:val="1"/>
                <w:color w:val="auto"/>
                <w:w w:val="92"/>
              </w:rPr>
              <w:t>(In thousands)</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1"/>
        </w:trPr>
        <w:tc>
          <w:tcPr>
            <w:tcW w:w="7000" w:type="dxa"/>
            <w:vAlign w:val="bottom"/>
            <w:shd w:val="clear" w:color="auto" w:fill="BFE4FF"/>
          </w:tcPr>
          <w:p>
            <w:pPr>
              <w:ind w:left="20"/>
              <w:spacing w:after="0"/>
              <w:rPr>
                <w:sz w:val="20"/>
                <w:szCs w:val="20"/>
                <w:color w:val="auto"/>
              </w:rPr>
            </w:pPr>
            <w:r>
              <w:rPr>
                <w:rFonts w:ascii="Arial" w:cs="Arial" w:eastAsia="Arial" w:hAnsi="Arial"/>
                <w:sz w:val="14"/>
                <w:szCs w:val="14"/>
                <w:color w:val="auto"/>
              </w:rPr>
              <w:t>Recurring dividends (1)</w:t>
            </w:r>
          </w:p>
        </w:tc>
        <w:tc>
          <w:tcPr>
            <w:tcW w:w="280" w:type="dxa"/>
            <w:vAlign w:val="bottom"/>
            <w:shd w:val="clear" w:color="auto" w:fill="BFE4FF"/>
          </w:tcPr>
          <w:p>
            <w:pPr>
              <w:jc w:val="right"/>
              <w:ind w:right="12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181,066</w:t>
            </w:r>
          </w:p>
        </w:tc>
        <w:tc>
          <w:tcPr>
            <w:tcW w:w="300" w:type="dxa"/>
            <w:vAlign w:val="bottom"/>
            <w:gridSpan w:val="3"/>
            <w:shd w:val="clear" w:color="auto" w:fill="BFE4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146,602</w:t>
            </w:r>
          </w:p>
        </w:tc>
        <w:tc>
          <w:tcPr>
            <w:tcW w:w="100" w:type="dxa"/>
            <w:vAlign w:val="bottom"/>
            <w:shd w:val="clear" w:color="auto" w:fill="BFE4FF"/>
          </w:tcPr>
          <w:p>
            <w:pPr>
              <w:spacing w:after="0"/>
              <w:rPr>
                <w:sz w:val="15"/>
                <w:szCs w:val="15"/>
                <w:color w:val="auto"/>
              </w:rPr>
            </w:pPr>
          </w:p>
        </w:tc>
        <w:tc>
          <w:tcPr>
            <w:tcW w:w="280" w:type="dxa"/>
            <w:vAlign w:val="bottom"/>
            <w:shd w:val="clear" w:color="auto" w:fill="BFE4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114,234</w:t>
            </w:r>
          </w:p>
        </w:tc>
      </w:tr>
      <w:tr>
        <w:trPr>
          <w:trHeight w:val="180"/>
        </w:trPr>
        <w:tc>
          <w:tcPr>
            <w:tcW w:w="7000" w:type="dxa"/>
            <w:vAlign w:val="bottom"/>
          </w:tcPr>
          <w:p>
            <w:pPr>
              <w:ind w:left="20"/>
              <w:spacing w:after="0"/>
              <w:rPr>
                <w:sz w:val="20"/>
                <w:szCs w:val="20"/>
                <w:color w:val="auto"/>
              </w:rPr>
            </w:pPr>
            <w:r>
              <w:rPr>
                <w:rFonts w:ascii="Arial" w:cs="Arial" w:eastAsia="Arial" w:hAnsi="Arial"/>
                <w:sz w:val="14"/>
                <w:szCs w:val="14"/>
                <w:color w:val="auto"/>
              </w:rPr>
              <w:t>Dividend equivalents (2)</w:t>
            </w: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196"/>
        </w:trPr>
        <w:tc>
          <w:tcPr>
            <w:tcW w:w="7000" w:type="dxa"/>
            <w:vAlign w:val="bottom"/>
            <w:tcBorders>
              <w:top w:val="single" w:sz="8" w:color="BFE4FF"/>
              <w:bottom w:val="single" w:sz="8" w:color="BFE4FF"/>
            </w:tcBorders>
            <w:shd w:val="clear" w:color="auto" w:fill="BFE4FF"/>
          </w:tcPr>
          <w:p>
            <w:pPr>
              <w:ind w:left="100"/>
              <w:spacing w:after="0"/>
              <w:rPr>
                <w:sz w:val="20"/>
                <w:szCs w:val="20"/>
                <w:color w:val="auto"/>
              </w:rPr>
            </w:pPr>
            <w:r>
              <w:rPr>
                <w:rFonts w:ascii="Arial" w:cs="Arial" w:eastAsia="Arial" w:hAnsi="Arial"/>
                <w:sz w:val="14"/>
                <w:szCs w:val="14"/>
                <w:color w:val="auto"/>
              </w:rPr>
              <w:t>Total distributions</w:t>
            </w:r>
          </w:p>
        </w:tc>
        <w:tc>
          <w:tcPr>
            <w:tcW w:w="280" w:type="dxa"/>
            <w:vAlign w:val="bottom"/>
            <w:tcBorders>
              <w:top w:val="single" w:sz="8" w:color="auto"/>
              <w:bottom w:val="single" w:sz="8" w:color="auto"/>
            </w:tcBorders>
            <w:shd w:val="clear" w:color="auto" w:fill="BFE4FF"/>
          </w:tcPr>
          <w:p>
            <w:pPr>
              <w:jc w:val="right"/>
              <w:ind w:right="12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181,066</w:t>
            </w:r>
          </w:p>
        </w:tc>
        <w:tc>
          <w:tcPr>
            <w:tcW w:w="40" w:type="dxa"/>
            <w:vAlign w:val="bottom"/>
            <w:tcBorders>
              <w:top w:val="single" w:sz="8" w:color="auto"/>
              <w:bottom w:val="single" w:sz="8" w:color="auto"/>
            </w:tcBorders>
            <w:shd w:val="clear" w:color="auto" w:fill="BFE4FF"/>
          </w:tcPr>
          <w:p>
            <w:pPr>
              <w:spacing w:after="0"/>
              <w:rPr>
                <w:sz w:val="16"/>
                <w:szCs w:val="16"/>
                <w:color w:val="auto"/>
              </w:rPr>
            </w:pP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160" w:type="dxa"/>
            <w:vAlign w:val="bottom"/>
            <w:tcBorders>
              <w:top w:val="single" w:sz="8" w:color="auto"/>
              <w:bottom w:val="single" w:sz="8" w:color="auto"/>
            </w:tcBorders>
            <w:shd w:val="clear" w:color="auto" w:fill="BFE4FF"/>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146,602</w:t>
            </w:r>
          </w:p>
        </w:tc>
        <w:tc>
          <w:tcPr>
            <w:tcW w:w="100" w:type="dxa"/>
            <w:vAlign w:val="bottom"/>
            <w:tcBorders>
              <w:top w:val="single" w:sz="8" w:color="BFE4FF"/>
              <w:bottom w:val="single" w:sz="8" w:color="BFE4FF"/>
            </w:tcBorders>
            <w:shd w:val="clear" w:color="auto" w:fill="BFE4FF"/>
          </w:tcPr>
          <w:p>
            <w:pPr>
              <w:spacing w:after="0"/>
              <w:rPr>
                <w:sz w:val="16"/>
                <w:szCs w:val="16"/>
                <w:color w:val="auto"/>
              </w:rPr>
            </w:pPr>
          </w:p>
        </w:tc>
        <w:tc>
          <w:tcPr>
            <w:tcW w:w="280" w:type="dxa"/>
            <w:vAlign w:val="bottom"/>
            <w:tcBorders>
              <w:top w:val="single" w:sz="8" w:color="auto"/>
              <w:bottom w:val="single" w:sz="8" w:color="auto"/>
            </w:tcBorders>
            <w:shd w:val="clear" w:color="auto" w:fill="BFE4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114,514</w:t>
            </w:r>
          </w:p>
        </w:tc>
      </w:tr>
      <w:tr>
        <w:trPr>
          <w:trHeight w:val="20"/>
        </w:trPr>
        <w:tc>
          <w:tcPr>
            <w:tcW w:w="70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880" w:type="dxa"/>
            <w:vAlign w:val="bottom"/>
            <w:tcBorders>
              <w:top w:val="single" w:sz="8" w:color="BFE4FF"/>
              <w:bottom w:val="single" w:sz="8" w:color="auto"/>
            </w:tcBorders>
          </w:tcPr>
          <w:p>
            <w:pPr>
              <w:spacing w:after="0" w:line="20" w:lineRule="exact"/>
              <w:rPr>
                <w:sz w:val="1"/>
                <w:szCs w:val="1"/>
                <w:color w:val="auto"/>
              </w:rPr>
            </w:pPr>
          </w:p>
        </w:tc>
        <w:tc>
          <w:tcPr>
            <w:tcW w:w="4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BFE4FF"/>
              <w:bottom w:val="single" w:sz="8" w:color="auto"/>
            </w:tcBorders>
          </w:tcPr>
          <w:p>
            <w:pPr>
              <w:spacing w:after="0" w:line="20" w:lineRule="exact"/>
              <w:rPr>
                <w:sz w:val="1"/>
                <w:szCs w:val="1"/>
                <w:color w:val="auto"/>
              </w:rPr>
            </w:pPr>
          </w:p>
        </w:tc>
        <w:tc>
          <w:tcPr>
            <w:tcW w:w="102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BFE4FF"/>
              <w:bottom w:val="single" w:sz="8" w:color="auto"/>
            </w:tcBorders>
          </w:tcPr>
          <w:p>
            <w:pPr>
              <w:spacing w:after="0" w:line="20" w:lineRule="exact"/>
              <w:rPr>
                <w:sz w:val="1"/>
                <w:szCs w:val="1"/>
                <w:color w:val="auto"/>
              </w:rPr>
            </w:pPr>
          </w:p>
        </w:tc>
        <w:tc>
          <w:tcPr>
            <w:tcW w:w="900" w:type="dxa"/>
            <w:vAlign w:val="bottom"/>
            <w:tcBorders>
              <w:top w:val="single" w:sz="8" w:color="BFE4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200" w:hanging="195"/>
        <w:spacing w:after="0"/>
        <w:tabs>
          <w:tab w:leader="none" w:pos="2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represent recurring dividends that were declared and paid for during each quarter of fiscal 2021, 2020, and 2019, respectively.</w:t>
      </w:r>
    </w:p>
    <w:p>
      <w:pPr>
        <w:spacing w:after="0" w:line="93" w:lineRule="exact"/>
        <w:rPr>
          <w:rFonts w:ascii="Arial" w:cs="Arial" w:eastAsia="Arial" w:hAnsi="Arial"/>
          <w:sz w:val="14"/>
          <w:szCs w:val="14"/>
          <w:color w:val="auto"/>
        </w:rPr>
      </w:pPr>
    </w:p>
    <w:p>
      <w:pPr>
        <w:ind w:left="200" w:hanging="195"/>
        <w:spacing w:after="0"/>
        <w:tabs>
          <w:tab w:leader="none" w:pos="2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Dividend equivalents are distributions made to option holders equal to the previously declared special dividends.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On December 12, 2011, the Board of Directors approved a $30.0 million share repurchase program, which was further increased by the Board of Directors on (i) January 27, 2015 to $180.0</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million, (ii) January 25, 2017 to $410.0 million, (iii) November 2, 2017 to $610.0 million, (iv) May 24, 2018 to $910.0 million, (v) May 23, 2019 to $1,310.0 million, and (vi) January 27, 2021 to</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$1,710.0 million. The Company may repurchase shares pursuant to the program by means of open market repurchases, directly negotiated repurchases or through agents acting pursuant to negotiated</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repurchase agreements. During fiscal 2021 and 2020, the Company purchased 3.8 million and 2.5 million shares of the Company’s Class A Common Stock, respectively, for an aggregate of $293.4</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million and $173.4 million, respectively. As of March 31, 2021, the Company had approximately $591.5 million remaining under the repurchase program.</w:t>
      </w:r>
    </w:p>
    <w:p>
      <w:pPr>
        <w:spacing w:after="0" w:line="83" w:lineRule="exact"/>
        <w:rPr>
          <w:sz w:val="20"/>
          <w:szCs w:val="20"/>
          <w:color w:val="auto"/>
        </w:rPr>
      </w:pPr>
    </w:p>
    <w:p>
      <w:pPr>
        <w:jc w:val="both"/>
        <w:ind w:right="80" w:firstLine="318"/>
        <w:spacing w:after="0" w:line="267" w:lineRule="auto"/>
        <w:rPr>
          <w:sz w:val="20"/>
          <w:szCs w:val="20"/>
          <w:color w:val="auto"/>
        </w:rPr>
      </w:pPr>
      <w:r>
        <w:rPr>
          <w:rFonts w:ascii="Arial" w:cs="Arial" w:eastAsia="Arial" w:hAnsi="Arial"/>
          <w:sz w:val="14"/>
          <w:szCs w:val="14"/>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Indebtedness</w:t>
      </w:r>
    </w:p>
    <w:p>
      <w:pPr>
        <w:spacing w:after="0" w:line="94" w:lineRule="exact"/>
        <w:rPr>
          <w:sz w:val="20"/>
          <w:szCs w:val="20"/>
          <w:color w:val="auto"/>
        </w:rPr>
      </w:pPr>
    </w:p>
    <w:p>
      <w:pPr>
        <w:ind w:right="540" w:firstLine="318"/>
        <w:spacing w:after="0" w:line="281" w:lineRule="auto"/>
        <w:rPr>
          <w:sz w:val="20"/>
          <w:szCs w:val="20"/>
          <w:color w:val="auto"/>
        </w:rPr>
      </w:pPr>
      <w:r>
        <w:rPr>
          <w:rFonts w:ascii="Arial" w:cs="Arial" w:eastAsia="Arial" w:hAnsi="Arial"/>
          <w:sz w:val="14"/>
          <w:szCs w:val="14"/>
          <w:color w:val="auto"/>
        </w:rPr>
        <w:t>Our debt totaled $2,356.6 million and $2,185.8 million as of March 31, 2021 and 2020, respectively. Our debt bears interest at specified rates (see Note 10 to our consolidated financial statements).</w:t>
      </w:r>
    </w:p>
    <w:p>
      <w:pPr>
        <w:spacing w:after="0" w:line="47"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On November 26, 2019 (the "Amendment Effective Date"), Booz Allen Hamilton Inc. ("Booz Allen Hamilton"), Booz Allen Hamilton Investor Corporation ("Investor"), and certain wholly-owned subsidiaries of Booz Allen Hamilton, entered into the Seventh Amendment (the “Seventh Amendment”) to the Credit Agreement, dated as of July 31, 2012, as amended (the “Credit Agreement”) with certain institutional lenders, and Bank of America, N.A., as Administrative and Collateral Agents. The Seventh Amendment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(the "Term Loan A") remained unchanged.</w:t>
      </w:r>
    </w:p>
    <w:p>
      <w:pPr>
        <w:spacing w:after="0" w:line="49"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The other terms of the New Refinancing Tranche B Term Loans are generally the same as the existing Term Loan B prior to the Seventh Amendment.</w:t>
      </w:r>
    </w:p>
    <w:p>
      <w:pPr>
        <w:spacing w:after="0" w:line="62" w:lineRule="exact"/>
        <w:rPr>
          <w:sz w:val="20"/>
          <w:szCs w:val="20"/>
          <w:color w:val="auto"/>
        </w:rPr>
      </w:pPr>
    </w:p>
    <w:p>
      <w:pPr>
        <w:ind w:right="180" w:firstLine="318"/>
        <w:spacing w:after="0" w:line="262" w:lineRule="auto"/>
        <w:rPr>
          <w:sz w:val="20"/>
          <w:szCs w:val="20"/>
          <w:color w:val="auto"/>
        </w:rPr>
      </w:pPr>
      <w:r>
        <w:rPr>
          <w:rFonts w:ascii="Arial" w:cs="Arial" w:eastAsia="Arial" w:hAnsi="Arial"/>
          <w:sz w:val="14"/>
          <w:szCs w:val="14"/>
          <w:color w:val="auto"/>
        </w:rPr>
        <w:t>As of March 31, 2021, the Credit Agreement provided Booz Allen Hamilton with a $1,289.8 million Term Loan A, a $384.2 million Term Loan B, and a $500.0 million Revolving Credit Facility with a sub-limit for letters of credit of $100.0 million (collectively, the "Secured Credit Facility"). As of March 31, 2021, the maturity date of Term Loan A and the termination date for the Revolving Credit Facility was June 23, 2023 and the maturity date of Term Loan B was November 26, 2026. Booz Allen Hamilton’s obligations and the guarantors’ guarantees under the Credit Agreement are secured by a first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8" w:right="339" w:bottom="1440" w:gutter="0" w:footer="0" w:header="0"/>
        </w:sectPr>
      </w:pPr>
    </w:p>
    <w:bookmarkStart w:id="67" w:name="page68"/>
    <w:bookmarkEnd w:id="67"/>
    <w:p>
      <w:pPr>
        <w:ind w:right="60"/>
        <w:spacing w:after="0" w:line="284" w:lineRule="auto"/>
        <w:rPr>
          <w:sz w:val="20"/>
          <w:szCs w:val="20"/>
          <w:color w:val="auto"/>
        </w:rPr>
      </w:pPr>
      <w:r>
        <w:rPr>
          <w:rFonts w:ascii="Arial" w:cs="Arial" w:eastAsia="Arial" w:hAnsi="Arial"/>
          <w:sz w:val="13"/>
          <w:szCs w:val="13"/>
          <w:color w:val="auto"/>
        </w:rPr>
        <w:t>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49" w:lineRule="exact"/>
        <w:rPr>
          <w:sz w:val="20"/>
          <w:szCs w:val="20"/>
          <w:color w:val="auto"/>
        </w:rPr>
      </w:pPr>
    </w:p>
    <w:p>
      <w:pPr>
        <w:ind w:right="80" w:firstLine="318"/>
        <w:spacing w:after="0" w:line="282" w:lineRule="auto"/>
        <w:rPr>
          <w:sz w:val="20"/>
          <w:szCs w:val="20"/>
          <w:color w:val="auto"/>
        </w:rPr>
      </w:pPr>
      <w:r>
        <w:rPr>
          <w:rFonts w:ascii="Arial" w:cs="Arial" w:eastAsia="Arial" w:hAnsi="Arial"/>
          <w:sz w:val="13"/>
          <w:szCs w:val="13"/>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49" w:lineRule="exact"/>
        <w:rPr>
          <w:sz w:val="20"/>
          <w:szCs w:val="20"/>
          <w:color w:val="auto"/>
        </w:rPr>
      </w:pPr>
    </w:p>
    <w:p>
      <w:pPr>
        <w:jc w:val="both"/>
        <w:ind w:right="240" w:firstLine="318"/>
        <w:spacing w:after="0" w:line="297" w:lineRule="auto"/>
        <w:rPr>
          <w:sz w:val="20"/>
          <w:szCs w:val="20"/>
          <w:color w:val="auto"/>
        </w:rPr>
      </w:pPr>
      <w:r>
        <w:rPr>
          <w:rFonts w:ascii="Arial" w:cs="Arial" w:eastAsia="Arial" w:hAnsi="Arial"/>
          <w:sz w:val="13"/>
          <w:szCs w:val="13"/>
          <w:color w:val="auto"/>
        </w:rPr>
        <w:t>Booz Allen Hamilton occasionally borrows under the Revolving Credit Facility in anticipation of cash demands. During fiscal 2021, Booz Allen Hamilton accessed no amounts of its $500.0 million Revolving Credit Facility. During fiscal 2020, Booz Allen Hamilton accessed a total of $100.0 million of its $500.0 million Revolving Credit Facility. As of March 31, 2021, there was no outstanding balance on the Revolving Credit Facility. As of March 31, 2020,$100 million was outstanding on the Revolving Credit Facility, which was repaid in June 2020.</w:t>
      </w:r>
    </w:p>
    <w:p>
      <w:pPr>
        <w:spacing w:after="0" w:line="39"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47"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Booz Allen Hamilton also has agreed to pay customary letter of credit and agency fees. As of March 31, 2021 and 2020, Booz Allen Hamilton was contingently liable under open standby letters of credit and bank guarantees issued by its banks in favor of third parties that totaled $9.8 million and $9.7 million, respectively. These letters of credit and bank guarantees primarily support insurance and bid and performance obligations. For both March 31, 2021 and 2020, approximately $0.9 million, of these instruments reduced our available borrowings under the Revolving Credit Facility. The remainder is guaranteed under a separate $20.0 million facility, of which $11.1 million and $6.2 million, respectively, was available to Booz Allen Hamilton at March 31, 2021 and 2020. As of March 31, 2021, we had $499.1 million of capacity available for additional borrowings under the Revolving Credit Facility.</w:t>
      </w:r>
    </w:p>
    <w:p>
      <w:pPr>
        <w:spacing w:after="0" w:line="49" w:lineRule="exact"/>
        <w:rPr>
          <w:sz w:val="20"/>
          <w:szCs w:val="20"/>
          <w:color w:val="auto"/>
        </w:rPr>
      </w:pPr>
    </w:p>
    <w:p>
      <w:pPr>
        <w:ind w:right="40" w:firstLine="318"/>
        <w:spacing w:after="0" w:line="256" w:lineRule="auto"/>
        <w:rPr>
          <w:sz w:val="20"/>
          <w:szCs w:val="20"/>
          <w:color w:val="auto"/>
        </w:rPr>
      </w:pPr>
      <w:r>
        <w:rPr>
          <w:rFonts w:ascii="Arial" w:cs="Arial" w:eastAsia="Arial" w:hAnsi="Arial"/>
          <w:sz w:val="14"/>
          <w:szCs w:val="14"/>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March 31, 2021, we were compliant with these covenants.</w:t>
      </w:r>
    </w:p>
    <w:p>
      <w:pPr>
        <w:spacing w:after="0" w:line="67"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During fiscal 2021, interest payments of $23.6 million and $7.8 million were made for the Term Loan A and Term Loan B facilities, respectively. During fiscal 2020, interest payments of $50.3 million and $15.9 million were made for the Term Loan A and Term Loan B facilities, respectively.</w:t>
      </w:r>
    </w:p>
    <w:p>
      <w:pPr>
        <w:spacing w:after="0" w:line="47"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The total outstanding debt balance is recorded in the accompanying consolidated balance sheets net of unamortized discount and debt issuance costs of $17.4 million and $16.0 million as of March 31, 2021 and 2020, respectively.</w:t>
      </w:r>
    </w:p>
    <w:p>
      <w:pPr>
        <w:spacing w:after="0" w:line="47" w:lineRule="exact"/>
        <w:rPr>
          <w:sz w:val="20"/>
          <w:szCs w:val="20"/>
          <w:color w:val="auto"/>
        </w:rPr>
      </w:pPr>
    </w:p>
    <w:p>
      <w:pPr>
        <w:ind w:firstLine="509"/>
        <w:spacing w:after="0" w:line="267" w:lineRule="auto"/>
        <w:rPr>
          <w:sz w:val="20"/>
          <w:szCs w:val="20"/>
          <w:color w:val="auto"/>
        </w:rPr>
      </w:pPr>
      <w:r>
        <w:rPr>
          <w:rFonts w:ascii="Arial" w:cs="Arial" w:eastAsia="Arial" w:hAnsi="Arial"/>
          <w:sz w:val="14"/>
          <w:szCs w:val="14"/>
          <w:color w:val="auto"/>
        </w:rPr>
        <w:t>On August 24, 2020, Booz Allen Hamilton issued $700 million aggregate principal amount of its Senior Notes under an Indenture, dated as of August 24, 2020, among Booz Allen Hamilton, certain subsidiaries of Booz Allen Hamilton, as guarantors (the “Subsidiary Guarantors”), and Wilmington Trust, National Association as trustee (the “Trustee”), as supplemented by the First Supplemental Indenture, dated as of August 24, 2020, among Booz Allen Hamilton, the Subsidiary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8" w:right="319" w:bottom="1440" w:gutter="0" w:footer="0" w:header="0"/>
        </w:sectPr>
      </w:pPr>
    </w:p>
    <w:bookmarkStart w:id="68" w:name="page69"/>
    <w:bookmarkEnd w:id="68"/>
    <w:p>
      <w:pPr>
        <w:ind w:right="40"/>
        <w:spacing w:after="0" w:line="288" w:lineRule="auto"/>
        <w:rPr>
          <w:sz w:val="20"/>
          <w:szCs w:val="20"/>
          <w:color w:val="auto"/>
        </w:rPr>
      </w:pPr>
      <w:r>
        <w:rPr>
          <w:rFonts w:ascii="Arial" w:cs="Arial" w:eastAsia="Arial" w:hAnsi="Arial"/>
          <w:sz w:val="13"/>
          <w:szCs w:val="13"/>
          <w:color w:val="auto"/>
        </w:rPr>
        <w:t>Guarantors and the Trustee. A portion of the net proceeds from the sale of the Senior Notes was used to redeem in full $350 million aggregate principal amount of the outstanding 2017 Senior Notes at a redemption price of 102.56% of the principal amount thereof, plus accrued and unpaid interest thereon to (but excluding) the redemption date, and to pay all fees and expenses related to the foregoing. Booz Allen Hamilton intends to use the remaining net proceeds from the sale of the Senior Notes for working capital and other general corporate purposes (see Note 10 in our consolidated financial statements). For fiscal 2021 and 2020, total interest payments of $28.7 million and $17.9 million were made for the Senior Notes and the 2017 Senior Notes, respectively.</w:t>
      </w:r>
    </w:p>
    <w:p>
      <w:pPr>
        <w:spacing w:after="0" w:line="4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Borrowings under the Term Loans and, if used, the Revolving Credit Facility, incur interest at a variable rate. In accordance with our risk management strategy between April 6, 2017 and April 4, 2019, Booz Allen Hamilton executed a series of interest rate swaps. As of March 31, 2021, we had interest rate swaps with an aggregate notional amount of $1 billion. These instruments hedge the variability of cash outflows for interest payments on the floating portion of our debt. The Company's objectives in using cash flow hedges are to reduce volatility due to interest rate movements and to add stability to interest expense (see Note 11 in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Structure and Resources</w:t>
      </w:r>
    </w:p>
    <w:p>
      <w:pPr>
        <w:spacing w:after="0" w:line="140" w:lineRule="exact"/>
        <w:rPr>
          <w:sz w:val="20"/>
          <w:szCs w:val="20"/>
          <w:color w:val="auto"/>
        </w:rPr>
      </w:pPr>
    </w:p>
    <w:p>
      <w:pPr>
        <w:ind w:right="160" w:firstLine="318"/>
        <w:spacing w:after="0" w:line="267" w:lineRule="auto"/>
        <w:rPr>
          <w:sz w:val="20"/>
          <w:szCs w:val="20"/>
          <w:color w:val="auto"/>
        </w:rPr>
      </w:pPr>
      <w:r>
        <w:rPr>
          <w:rFonts w:ascii="Arial" w:cs="Arial" w:eastAsia="Arial" w:hAnsi="Arial"/>
          <w:sz w:val="14"/>
          <w:szCs w:val="14"/>
          <w:color w:val="auto"/>
        </w:rPr>
        <w:t>Our stockholders’ equity amounted to $1,071.2 million as of March 31, 2021, an increase of $214.8 million compared to stockholders’ equity of $856.4 million as of March 31, 2020. The increase was primarily due to net income of $609.0 million in fiscal 2021 and stock-based compensation expense of $59.8 million, partially offset by $318.1 million in treasury stock resulting from the repurchase of shares of our Class A Common Stock and $181.1 million in aggregate quarterly dividend payments in fiscal 2021.</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March 31, 2021, we did not have any material off-balance sheet arrangements.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76"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The following table summarizes our contractual obligations that require us to make future cash payments as of March 31, 2021. For contractual obligations, we included payments that we have an unconditional obligation to make.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1"/>
                <w:szCs w:val="11"/>
                <w:b w:val="1"/>
                <w:bCs w:val="1"/>
                <w:color w:val="auto"/>
                <w:w w:val="90"/>
              </w:rPr>
              <w:t>Payments Due by Fiscal Periods</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8"/>
                <w:szCs w:val="8"/>
                <w:color w:val="auto"/>
              </w:rPr>
            </w:pPr>
          </w:p>
        </w:tc>
        <w:tc>
          <w:tcPr>
            <w:tcW w:w="1080" w:type="dxa"/>
            <w:vAlign w:val="bottom"/>
            <w:gridSpan w:val="2"/>
          </w:tcPr>
          <w:p>
            <w:pPr>
              <w:jc w:val="center"/>
              <w:ind w:right="340"/>
              <w:spacing w:after="0" w:line="101" w:lineRule="exact"/>
              <w:rPr>
                <w:sz w:val="20"/>
                <w:szCs w:val="20"/>
                <w:color w:val="auto"/>
              </w:rPr>
            </w:pPr>
            <w:r>
              <w:rPr>
                <w:rFonts w:ascii="Arial" w:cs="Arial" w:eastAsia="Arial" w:hAnsi="Arial"/>
                <w:sz w:val="11"/>
                <w:szCs w:val="11"/>
                <w:b w:val="1"/>
                <w:bCs w:val="1"/>
                <w:color w:val="auto"/>
                <w:w w:val="91"/>
              </w:rPr>
              <w:t>Less Than</w:t>
            </w:r>
          </w:p>
        </w:tc>
        <w:tc>
          <w:tcPr>
            <w:tcW w:w="160" w:type="dxa"/>
            <w:vAlign w:val="bottom"/>
          </w:tcPr>
          <w:p>
            <w:pPr>
              <w:spacing w:after="0"/>
              <w:rPr>
                <w:sz w:val="8"/>
                <w:szCs w:val="8"/>
                <w:color w:val="auto"/>
              </w:rPr>
            </w:pPr>
          </w:p>
        </w:tc>
        <w:tc>
          <w:tcPr>
            <w:tcW w:w="1120" w:type="dxa"/>
            <w:vAlign w:val="bottom"/>
            <w:gridSpan w:val="2"/>
          </w:tcPr>
          <w:p>
            <w:pPr>
              <w:jc w:val="center"/>
              <w:ind w:right="260"/>
              <w:spacing w:after="0" w:line="101" w:lineRule="exact"/>
              <w:rPr>
                <w:sz w:val="20"/>
                <w:szCs w:val="20"/>
                <w:color w:val="auto"/>
              </w:rPr>
            </w:pPr>
            <w:r>
              <w:rPr>
                <w:rFonts w:ascii="Arial" w:cs="Arial" w:eastAsia="Arial" w:hAnsi="Arial"/>
                <w:sz w:val="11"/>
                <w:szCs w:val="11"/>
                <w:b w:val="1"/>
                <w:bCs w:val="1"/>
                <w:color w:val="auto"/>
                <w:w w:val="90"/>
              </w:rPr>
              <w:t>1 to 3</w:t>
            </w:r>
          </w:p>
        </w:tc>
        <w:tc>
          <w:tcPr>
            <w:tcW w:w="280" w:type="dxa"/>
            <w:vAlign w:val="bottom"/>
          </w:tcPr>
          <w:p>
            <w:pPr>
              <w:spacing w:after="0"/>
              <w:rPr>
                <w:sz w:val="8"/>
                <w:szCs w:val="8"/>
                <w:color w:val="auto"/>
              </w:rPr>
            </w:pPr>
          </w:p>
        </w:tc>
        <w:tc>
          <w:tcPr>
            <w:tcW w:w="1020" w:type="dxa"/>
            <w:vAlign w:val="bottom"/>
            <w:gridSpan w:val="2"/>
          </w:tcPr>
          <w:p>
            <w:pPr>
              <w:ind w:left="200"/>
              <w:spacing w:after="0" w:line="101" w:lineRule="exact"/>
              <w:rPr>
                <w:sz w:val="20"/>
                <w:szCs w:val="20"/>
                <w:color w:val="auto"/>
              </w:rPr>
            </w:pPr>
            <w:r>
              <w:rPr>
                <w:rFonts w:ascii="Arial" w:cs="Arial" w:eastAsia="Arial" w:hAnsi="Arial"/>
                <w:sz w:val="11"/>
                <w:szCs w:val="11"/>
                <w:b w:val="1"/>
                <w:bCs w:val="1"/>
                <w:color w:val="auto"/>
              </w:rPr>
              <w:t>3 to 5</w:t>
            </w:r>
          </w:p>
        </w:tc>
        <w:tc>
          <w:tcPr>
            <w:tcW w:w="200" w:type="dxa"/>
            <w:vAlign w:val="bottom"/>
          </w:tcPr>
          <w:p>
            <w:pPr>
              <w:spacing w:after="0"/>
              <w:rPr>
                <w:sz w:val="8"/>
                <w:szCs w:val="8"/>
                <w:color w:val="auto"/>
              </w:rPr>
            </w:pPr>
          </w:p>
        </w:tc>
        <w:tc>
          <w:tcPr>
            <w:tcW w:w="1000" w:type="dxa"/>
            <w:vAlign w:val="bottom"/>
          </w:tcPr>
          <w:p>
            <w:pPr>
              <w:jc w:val="right"/>
              <w:ind w:right="254"/>
              <w:spacing w:after="0" w:line="101" w:lineRule="exact"/>
              <w:rPr>
                <w:sz w:val="20"/>
                <w:szCs w:val="20"/>
                <w:color w:val="auto"/>
              </w:rPr>
            </w:pPr>
            <w:r>
              <w:rPr>
                <w:rFonts w:ascii="Arial" w:cs="Arial" w:eastAsia="Arial" w:hAnsi="Arial"/>
                <w:sz w:val="11"/>
                <w:szCs w:val="11"/>
                <w:b w:val="1"/>
                <w:bCs w:val="1"/>
                <w:color w:val="auto"/>
              </w:rPr>
              <w:t>More Than</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6"/>
              </w:rPr>
              <w:t>1 Year</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86"/>
              </w:rPr>
              <w:t>Years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Years</w:t>
            </w: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1"/>
                <w:szCs w:val="11"/>
                <w:b w:val="1"/>
                <w:bCs w:val="1"/>
                <w:color w:val="auto"/>
              </w:rPr>
              <w:t>5 years</w:t>
            </w: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 thousands)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(a)</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2,373,976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77,865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1,223,572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1,064,757</w:t>
            </w: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rPr>
                <w:sz w:val="20"/>
                <w:szCs w:val="20"/>
                <w:color w:val="auto"/>
              </w:rPr>
            </w:pPr>
            <w:r>
              <w:rPr>
                <w:rFonts w:ascii="Arial" w:cs="Arial" w:eastAsia="Arial" w:hAnsi="Arial"/>
                <w:sz w:val="14"/>
                <w:szCs w:val="14"/>
                <w:color w:val="auto"/>
              </w:rPr>
              <w:t>Operating lease obligations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364,080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68,498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133,788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103,155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58,639</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on indebtedness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289,050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68,161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72,322</w:t>
            </w: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rPr>
                <w:sz w:val="20"/>
                <w:szCs w:val="20"/>
                <w:color w:val="auto"/>
              </w:rPr>
            </w:pPr>
            <w:r>
              <w:rPr>
                <w:rFonts w:ascii="Arial" w:cs="Arial" w:eastAsia="Arial" w:hAnsi="Arial"/>
                <w:sz w:val="14"/>
                <w:szCs w:val="14"/>
                <w:color w:val="auto"/>
              </w:rPr>
              <w:t>Total contractual obligations</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3,027,106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201,283</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1,451,007</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179,098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1,195,718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  See Note 10 to our consolidated financial statements for additional information regarding debt and related matters.</w:t>
      </w:r>
    </w:p>
    <w:p>
      <w:pPr>
        <w:spacing w:after="0" w:line="136" w:lineRule="exact"/>
        <w:rPr>
          <w:sz w:val="20"/>
          <w:szCs w:val="20"/>
          <w:color w:val="auto"/>
        </w:rPr>
      </w:pPr>
    </w:p>
    <w:p>
      <w:pPr>
        <w:ind w:right="380" w:firstLine="318"/>
        <w:spacing w:after="0" w:line="368" w:lineRule="auto"/>
        <w:rPr>
          <w:sz w:val="20"/>
          <w:szCs w:val="20"/>
          <w:color w:val="auto"/>
        </w:rPr>
      </w:pPr>
      <w:r>
        <w:rPr>
          <w:rFonts w:ascii="Arial" w:cs="Arial" w:eastAsia="Arial" w:hAnsi="Arial"/>
          <w:sz w:val="12"/>
          <w:szCs w:val="12"/>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Expenditures</w:t>
      </w:r>
    </w:p>
    <w:p>
      <w:pPr>
        <w:spacing w:after="0" w:line="140"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fiscal 2021 and 2020 were $87.2 million and $128.1 million, respectively. The decrease in capital expenditures reflects a shift away from facilities investment towards technology and tools needed to support the virtual work environment. Additionally, we continue to modernize our corporate information technology infrastructure, including the implementation of a new financial management system on April 1, 2021. Given the uncertainty surrounding COVID-19, we may adjust our capital expenditures in fiscal 2022 to support our business operations as we further develop our long term strategy on a safe return to work.</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140"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We are subject to a number of reviews, investigations, claims, lawsuits, and other uncertainties related to our business. For a discussion of these items, refer to Note 21 to our consolidated financial statements.</w:t>
      </w:r>
    </w:p>
    <w:p>
      <w:pPr>
        <w:spacing w:after="0" w:line="398"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300" w:top="857" w:right="719" w:bottom="1440" w:gutter="0" w:footer="0" w:header="0"/>
        </w:sectPr>
      </w:pPr>
    </w:p>
    <w:bookmarkStart w:id="70" w:name="page71"/>
    <w:bookmarkEnd w:id="70"/>
    <w:p>
      <w:pPr>
        <w:spacing w:after="0"/>
        <w:tabs>
          <w:tab w:leader="none" w:pos="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87" w:lineRule="exact"/>
        <w:rPr>
          <w:sz w:val="20"/>
          <w:szCs w:val="20"/>
          <w:color w:val="auto"/>
        </w:rPr>
      </w:pPr>
    </w:p>
    <w:p>
      <w:pPr>
        <w:ind w:right="160" w:firstLine="350"/>
        <w:spacing w:after="0" w:line="267" w:lineRule="auto"/>
        <w:rPr>
          <w:sz w:val="20"/>
          <w:szCs w:val="20"/>
          <w:color w:val="auto"/>
        </w:rPr>
      </w:pPr>
      <w:r>
        <w:rPr>
          <w:rFonts w:ascii="Arial" w:cs="Arial" w:eastAsia="Arial" w:hAnsi="Arial"/>
          <w:sz w:val="14"/>
          <w:szCs w:val="14"/>
          <w:color w:val="auto"/>
        </w:rPr>
        <w:t>Market risk is the potential loss arising from adverse changes in market rates and market prices such as those related to interest rates. Due to the wide-ranging adverse impacts on global financial markets and the current economic crisis caused by COVID-19, we may be exposed to greater interest rate volatility and market risk in the near future. We actively monitor these exposures and manage such risks through our regular financing activities and through the use of derivative financial instruments.</w:t>
      </w:r>
    </w:p>
    <w:p>
      <w:pPr>
        <w:spacing w:after="0" w:line="36" w:lineRule="exact"/>
        <w:rPr>
          <w:sz w:val="20"/>
          <w:szCs w:val="20"/>
          <w:color w:val="auto"/>
        </w:rPr>
      </w:pPr>
    </w:p>
    <w:p>
      <w:pPr>
        <w:ind w:right="20" w:firstLine="350"/>
        <w:spacing w:after="0" w:line="281" w:lineRule="auto"/>
        <w:rPr>
          <w:sz w:val="20"/>
          <w:szCs w:val="20"/>
          <w:color w:val="auto"/>
        </w:rPr>
      </w:pPr>
      <w:r>
        <w:rPr>
          <w:rFonts w:ascii="Arial" w:cs="Arial" w:eastAsia="Arial" w:hAnsi="Arial"/>
          <w:sz w:val="14"/>
          <w:szCs w:val="14"/>
          <w:color w:val="auto"/>
        </w:rPr>
        <w:t>Our exposure to market risk for changes in interest rates relates primarily to our outstanding debt, cash equivalents, which consist primarily of funds invested in U.S. government money-market funds, our cash flow hedges and our Rabbi trust.</w:t>
      </w:r>
    </w:p>
    <w:p>
      <w:pPr>
        <w:spacing w:after="0" w:line="90" w:lineRule="exact"/>
        <w:rPr>
          <w:sz w:val="20"/>
          <w:szCs w:val="20"/>
          <w:color w:val="auto"/>
        </w:rPr>
      </w:pPr>
    </w:p>
    <w:p>
      <w:pPr>
        <w:ind w:right="80" w:firstLine="350"/>
        <w:spacing w:after="0" w:line="282" w:lineRule="auto"/>
        <w:rPr>
          <w:sz w:val="20"/>
          <w:szCs w:val="20"/>
          <w:color w:val="auto"/>
        </w:rPr>
      </w:pPr>
      <w:r>
        <w:rPr>
          <w:rFonts w:ascii="Arial" w:cs="Arial" w:eastAsia="Arial" w:hAnsi="Arial"/>
          <w:sz w:val="13"/>
          <w:szCs w:val="13"/>
          <w:color w:val="auto"/>
        </w:rPr>
        <w:t>Our exposure to market risk for changes in interest rates related to our outstanding debt will impact our Secured Credit Facility. The interest expense associated with our term loans and any loans under our Revolving Credit Facility will vary with market rates. A hypothetical interest rate increase of 25 basis points would have increased interest expense related to the term facilities under our Secured Credit Facility by approximately $2.9 million in fiscal 2021 and $3.1 million in fiscal 2020, and likewise decreased our income and cash flows. The year over year decrease in interest expense was due to a 90 basis point reduction in the 1 month LIBOR yield curve, the benchmark interest rate used in conjunction with our floating rate debt, and a reduction in interest expense as a result of repayment of the remaining Deferred Payment Obligation balance in fiscal 2020. Additionally, as part of the Seventh Amendment consummated on November 26, 2019, the Company reduced its credit spread by 25 basis points on the Term Loan B debt tranche, further contributing to offsetting interest expense year over year.</w:t>
      </w:r>
    </w:p>
    <w:p>
      <w:pPr>
        <w:spacing w:after="0" w:line="92" w:lineRule="exact"/>
        <w:rPr>
          <w:sz w:val="20"/>
          <w:szCs w:val="20"/>
          <w:color w:val="auto"/>
        </w:rPr>
      </w:pPr>
    </w:p>
    <w:p>
      <w:pPr>
        <w:jc w:val="both"/>
        <w:ind w:right="100" w:firstLine="350"/>
        <w:spacing w:after="0" w:line="267" w:lineRule="auto"/>
        <w:rPr>
          <w:sz w:val="20"/>
          <w:szCs w:val="20"/>
          <w:color w:val="auto"/>
        </w:rPr>
      </w:pPr>
      <w:r>
        <w:rPr>
          <w:rFonts w:ascii="Arial" w:cs="Arial" w:eastAsia="Arial" w:hAnsi="Arial"/>
          <w:sz w:val="14"/>
          <w:szCs w:val="14"/>
          <w:color w:val="auto"/>
        </w:rPr>
        <w:t>As of March 31, 2021 and 2020, we had $991.0 million and $741.9 million, respectively, in cash and cash equivalents. Due to a near zero interest rate environment over the last 12 months, the interest income returns on our cash and cash equivalents balances were nominal on a comparative basis. As of March 31, 2021 and 2020 the interest income on balance sheet cash was less than 3%. Therefore, the corresponding impact to our interest income, and likewise to our income and cash flow, was not material.</w:t>
      </w:r>
    </w:p>
    <w:p>
      <w:pPr>
        <w:spacing w:after="0" w:line="99" w:lineRule="exact"/>
        <w:rPr>
          <w:sz w:val="20"/>
          <w:szCs w:val="20"/>
          <w:color w:val="auto"/>
        </w:rPr>
      </w:pPr>
    </w:p>
    <w:p>
      <w:pPr>
        <w:ind w:right="60" w:firstLine="350"/>
        <w:spacing w:after="0" w:line="260" w:lineRule="auto"/>
        <w:rPr>
          <w:sz w:val="20"/>
          <w:szCs w:val="20"/>
          <w:color w:val="auto"/>
        </w:rPr>
      </w:pPr>
      <w:r>
        <w:rPr>
          <w:rFonts w:ascii="Arial" w:cs="Arial" w:eastAsia="Arial" w:hAnsi="Arial"/>
          <w:sz w:val="14"/>
          <w:szCs w:val="14"/>
          <w:color w:val="auto"/>
        </w:rPr>
        <w:t>Pursuant to our interest rate risk management strategies, we use interest rate cash flow hedges to add stability to our incurrence of interest rate expense and to manage our exposure to related interest rate movement. See Note 11 to our consolidated financial statements for further discussion. As of March 31, 2021, we had interest rate swaps with an aggregate notional amount of $1 billion. These derivative instruments hedge the variability of cash outflows for interest payments on our variable rate debt and are recorded at fair value on our consolidated balance sheet. As of March 31, 2021, a 25 basis point increase in interest rates would increase the fair value of our interest rate swaps by approximately $4.8 million and a 25 basis point decrease in interest rates would decrease the fair value of our interest rate swaps by approximately $3.8 million.</w:t>
      </w:r>
    </w:p>
    <w:p>
      <w:pPr>
        <w:spacing w:after="0" w:line="62"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During fiscal 2019, we established a Rabbi trust to provide for the payment of benefits under our non-qualified deferred compensation plan. As of March 31, 2021, fund assets totaled $14.1 million which include mutual fund investments that are subject to fluctuations in market prices and interest rates. Cash distributions made to plan participants are recognized as operating cash flows in the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consolidated statements of operations. See Notes 14 and 19 to our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10060" w:type="dxa"/>
            <w:vAlign w:val="bottom"/>
            <w:gridSpan w:val="9"/>
          </w:tcPr>
          <w:p>
            <w:pPr>
              <w:spacing w:after="0"/>
              <w:rPr>
                <w:sz w:val="20"/>
                <w:szCs w:val="20"/>
                <w:color w:val="auto"/>
              </w:rPr>
            </w:pPr>
            <w:r>
              <w:rPr>
                <w:rFonts w:ascii="Arial" w:cs="Arial" w:eastAsia="Arial" w:hAnsi="Arial"/>
                <w:sz w:val="14"/>
                <w:szCs w:val="14"/>
                <w:b w:val="1"/>
                <w:bCs w:val="1"/>
                <w:color w:val="auto"/>
              </w:rPr>
              <w:t>Item 8</w:t>
            </w:r>
            <w:r>
              <w:rPr>
                <w:rFonts w:ascii="Arial" w:cs="Arial" w:eastAsia="Arial" w:hAnsi="Arial"/>
                <w:sz w:val="14"/>
                <w:szCs w:val="14"/>
                <w:b w:val="1"/>
                <w:bCs w:val="1"/>
                <w:i w:val="1"/>
                <w:iCs w:val="1"/>
                <w:color w:val="auto"/>
              </w:rPr>
              <w:t>.  Financial Statements and Supplementary Data</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61"/>
        </w:trPr>
        <w:tc>
          <w:tcPr>
            <w:tcW w:w="780" w:type="dxa"/>
            <w:vAlign w:val="bottom"/>
          </w:tcPr>
          <w:p>
            <w:pPr>
              <w:spacing w:after="0"/>
              <w:rPr>
                <w:sz w:val="24"/>
                <w:szCs w:val="24"/>
                <w:color w:val="auto"/>
              </w:rPr>
            </w:pPr>
          </w:p>
        </w:tc>
        <w:tc>
          <w:tcPr>
            <w:tcW w:w="9280" w:type="dxa"/>
            <w:vAlign w:val="bottom"/>
            <w:gridSpan w:val="8"/>
          </w:tcPr>
          <w:p>
            <w:pPr>
              <w:ind w:left="2480"/>
              <w:spacing w:after="0"/>
              <w:rPr>
                <w:sz w:val="20"/>
                <w:szCs w:val="20"/>
                <w:color w:val="auto"/>
              </w:rPr>
            </w:pPr>
            <w:r>
              <w:rPr>
                <w:rFonts w:ascii="Arial" w:cs="Arial" w:eastAsia="Arial" w:hAnsi="Arial"/>
                <w:sz w:val="14"/>
                <w:szCs w:val="14"/>
                <w:b w:val="1"/>
                <w:bCs w:val="1"/>
                <w:color w:val="auto"/>
              </w:rPr>
              <w:t>INDEX TO THE CONSOLIDATED FINANCIAL STATEMENTS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6"/>
        </w:trPr>
        <w:tc>
          <w:tcPr>
            <w:tcW w:w="7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40"/>
        </w:trPr>
        <w:tc>
          <w:tcPr>
            <w:tcW w:w="780" w:type="dxa"/>
            <w:vAlign w:val="bottom"/>
          </w:tcPr>
          <w:p>
            <w:pPr>
              <w:spacing w:after="0"/>
              <w:rPr>
                <w:sz w:val="12"/>
                <w:szCs w:val="12"/>
                <w:color w:val="auto"/>
              </w:rPr>
            </w:pPr>
          </w:p>
        </w:tc>
        <w:tc>
          <w:tcPr>
            <w:tcW w:w="3320" w:type="dxa"/>
            <w:vAlign w:val="bottom"/>
            <w:gridSpan w:val="2"/>
          </w:tcPr>
          <w:p>
            <w:pPr>
              <w:spacing w:after="0" w:line="140" w:lineRule="exact"/>
              <w:rPr>
                <w:rFonts w:ascii="Arial" w:cs="Arial" w:eastAsia="Arial" w:hAnsi="Arial"/>
                <w:sz w:val="14"/>
                <w:szCs w:val="14"/>
                <w:color w:val="0000FF"/>
                <w:w w:val="92"/>
              </w:rPr>
            </w:pPr>
            <w:hyperlink w:anchor="page72">
              <w:r>
                <w:rPr>
                  <w:rFonts w:ascii="Arial" w:cs="Arial" w:eastAsia="Arial" w:hAnsi="Arial"/>
                  <w:sz w:val="14"/>
                  <w:szCs w:val="14"/>
                  <w:color w:val="0000FF"/>
                  <w:w w:val="92"/>
                </w:rPr>
                <w:t>Report of Independent Registered Public Accounting Firm</w:t>
              </w:r>
            </w:hyperlink>
          </w:p>
        </w:tc>
        <w:tc>
          <w:tcPr>
            <w:tcW w:w="5960" w:type="dxa"/>
            <w:vAlign w:val="bottom"/>
            <w:gridSpan w:val="6"/>
          </w:tcPr>
          <w:p>
            <w:pPr>
              <w:spacing w:after="0"/>
              <w:rPr>
                <w:sz w:val="12"/>
                <w:szCs w:val="12"/>
                <w:color w:val="auto"/>
              </w:rPr>
            </w:pPr>
          </w:p>
        </w:tc>
        <w:tc>
          <w:tcPr>
            <w:tcW w:w="680" w:type="dxa"/>
            <w:vAlign w:val="bottom"/>
            <w:gridSpan w:val="3"/>
          </w:tcPr>
          <w:p>
            <w:pPr>
              <w:jc w:val="center"/>
              <w:spacing w:after="0" w:line="140" w:lineRule="exact"/>
              <w:rPr>
                <w:rFonts w:ascii="Arial" w:cs="Arial" w:eastAsia="Arial" w:hAnsi="Arial"/>
                <w:sz w:val="14"/>
                <w:szCs w:val="14"/>
                <w:color w:val="0000FF"/>
              </w:rPr>
            </w:pPr>
            <w:hyperlink w:anchor="page72">
              <w:r>
                <w:rPr>
                  <w:rFonts w:ascii="Arial" w:cs="Arial" w:eastAsia="Arial" w:hAnsi="Arial"/>
                  <w:sz w:val="14"/>
                  <w:szCs w:val="14"/>
                  <w:color w:val="0000FF"/>
                </w:rPr>
                <w:t>2</w:t>
              </w:r>
            </w:hyperlink>
          </w:p>
        </w:tc>
        <w:tc>
          <w:tcPr>
            <w:tcW w:w="54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9280" w:type="dxa"/>
            <w:vAlign w:val="bottom"/>
            <w:gridSpan w:val="8"/>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Consolidated Balance Sheets as of March 31, 2021 and 2020</w:t>
              </w:r>
            </w:hyperlink>
          </w:p>
        </w:tc>
        <w:tc>
          <w:tcPr>
            <w:tcW w:w="660" w:type="dxa"/>
            <w:vAlign w:val="bottom"/>
            <w:gridSpan w:val="2"/>
          </w:tcPr>
          <w:p>
            <w:pPr>
              <w:jc w:val="center"/>
              <w:ind w:left="489"/>
              <w:spacing w:after="0"/>
              <w:rPr>
                <w:rFonts w:ascii="Arial" w:cs="Arial" w:eastAsia="Arial" w:hAnsi="Arial"/>
                <w:sz w:val="14"/>
                <w:szCs w:val="14"/>
                <w:color w:val="0000FF"/>
                <w:w w:val="76"/>
              </w:rPr>
            </w:pPr>
            <w:hyperlink w:anchor="page75">
              <w:r>
                <w:rPr>
                  <w:rFonts w:ascii="Arial" w:cs="Arial" w:eastAsia="Arial" w:hAnsi="Arial"/>
                  <w:sz w:val="14"/>
                  <w:szCs w:val="14"/>
                  <w:color w:val="0000FF"/>
                  <w:w w:val="76"/>
                </w:rPr>
                <w:t>5</w:t>
              </w:r>
            </w:hyperlink>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9280" w:type="dxa"/>
            <w:vAlign w:val="bottom"/>
            <w:gridSpan w:val="8"/>
          </w:tcPr>
          <w:p>
            <w:pPr>
              <w:spacing w:after="0"/>
              <w:rPr>
                <w:rFonts w:ascii="Arial" w:cs="Arial" w:eastAsia="Arial" w:hAnsi="Arial"/>
                <w:sz w:val="14"/>
                <w:szCs w:val="14"/>
                <w:color w:val="0000FF"/>
              </w:rPr>
            </w:pPr>
            <w:hyperlink w:anchor="page76">
              <w:r>
                <w:rPr>
                  <w:rFonts w:ascii="Arial" w:cs="Arial" w:eastAsia="Arial" w:hAnsi="Arial"/>
                  <w:sz w:val="14"/>
                  <w:szCs w:val="14"/>
                  <w:color w:val="0000FF"/>
                </w:rPr>
                <w:t>Consolidated Statements of Operations for the Fiscal Years Ended March 31, 2021, 2020 and 2019</w:t>
              </w:r>
            </w:hyperlink>
          </w:p>
        </w:tc>
        <w:tc>
          <w:tcPr>
            <w:tcW w:w="660" w:type="dxa"/>
            <w:vAlign w:val="bottom"/>
            <w:gridSpan w:val="2"/>
          </w:tcPr>
          <w:p>
            <w:pPr>
              <w:jc w:val="center"/>
              <w:ind w:left="489"/>
              <w:spacing w:after="0"/>
              <w:rPr>
                <w:rFonts w:ascii="Arial" w:cs="Arial" w:eastAsia="Arial" w:hAnsi="Arial"/>
                <w:sz w:val="14"/>
                <w:szCs w:val="14"/>
                <w:color w:val="0000FF"/>
                <w:w w:val="76"/>
              </w:rPr>
            </w:pPr>
            <w:hyperlink w:anchor="page76">
              <w:r>
                <w:rPr>
                  <w:rFonts w:ascii="Arial" w:cs="Arial" w:eastAsia="Arial" w:hAnsi="Arial"/>
                  <w:sz w:val="14"/>
                  <w:szCs w:val="14"/>
                  <w:color w:val="0000FF"/>
                  <w:w w:val="76"/>
                </w:rPr>
                <w:t>6</w:t>
              </w:r>
            </w:hyperlink>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5"/>
        </w:trPr>
        <w:tc>
          <w:tcPr>
            <w:tcW w:w="780" w:type="dxa"/>
            <w:vAlign w:val="bottom"/>
          </w:tcPr>
          <w:p>
            <w:pPr>
              <w:spacing w:after="0"/>
              <w:rPr>
                <w:sz w:val="20"/>
                <w:szCs w:val="20"/>
                <w:color w:val="auto"/>
              </w:rPr>
            </w:pPr>
          </w:p>
        </w:tc>
        <w:tc>
          <w:tcPr>
            <w:tcW w:w="6320" w:type="dxa"/>
            <w:vAlign w:val="bottom"/>
            <w:gridSpan w:val="7"/>
          </w:tcPr>
          <w:p>
            <w:pPr>
              <w:spacing w:after="0"/>
              <w:rPr>
                <w:rFonts w:ascii="Arial" w:cs="Arial" w:eastAsia="Arial" w:hAnsi="Arial"/>
                <w:sz w:val="14"/>
                <w:szCs w:val="14"/>
                <w:color w:val="0000FF"/>
                <w:w w:val="90"/>
              </w:rPr>
            </w:pPr>
            <w:hyperlink w:anchor="page77">
              <w:r>
                <w:rPr>
                  <w:rFonts w:ascii="Arial" w:cs="Arial" w:eastAsia="Arial" w:hAnsi="Arial"/>
                  <w:sz w:val="14"/>
                  <w:szCs w:val="14"/>
                  <w:color w:val="0000FF"/>
                  <w:w w:val="90"/>
                </w:rPr>
                <w:t>Consolidated Statements of Comprehensive Income for the Fiscal Years Ended March 31, 2021, 2020 and 2019</w:t>
              </w:r>
            </w:hyperlink>
          </w:p>
        </w:tc>
        <w:tc>
          <w:tcPr>
            <w:tcW w:w="2960" w:type="dxa"/>
            <w:vAlign w:val="bottom"/>
          </w:tcPr>
          <w:p>
            <w:pPr>
              <w:spacing w:after="0"/>
              <w:rPr>
                <w:sz w:val="20"/>
                <w:szCs w:val="20"/>
                <w:color w:val="auto"/>
              </w:rPr>
            </w:pPr>
          </w:p>
        </w:tc>
        <w:tc>
          <w:tcPr>
            <w:tcW w:w="660" w:type="dxa"/>
            <w:vAlign w:val="bottom"/>
            <w:gridSpan w:val="2"/>
          </w:tcPr>
          <w:p>
            <w:pPr>
              <w:jc w:val="center"/>
              <w:ind w:left="489"/>
              <w:spacing w:after="0"/>
              <w:rPr>
                <w:rFonts w:ascii="Arial" w:cs="Arial" w:eastAsia="Arial" w:hAnsi="Arial"/>
                <w:sz w:val="14"/>
                <w:szCs w:val="14"/>
                <w:color w:val="0000FF"/>
                <w:w w:val="76"/>
              </w:rPr>
            </w:pPr>
            <w:hyperlink w:anchor="page77">
              <w:r>
                <w:rPr>
                  <w:rFonts w:ascii="Arial" w:cs="Arial" w:eastAsia="Arial" w:hAnsi="Arial"/>
                  <w:sz w:val="14"/>
                  <w:szCs w:val="14"/>
                  <w:color w:val="0000FF"/>
                  <w:w w:val="76"/>
                </w:rPr>
                <w:t>7</w:t>
              </w:r>
            </w:hyperlink>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78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5"/>
        </w:trPr>
        <w:tc>
          <w:tcPr>
            <w:tcW w:w="780" w:type="dxa"/>
            <w:vAlign w:val="bottom"/>
          </w:tcPr>
          <w:p>
            <w:pPr>
              <w:spacing w:after="0"/>
              <w:rPr>
                <w:sz w:val="20"/>
                <w:szCs w:val="20"/>
                <w:color w:val="auto"/>
              </w:rPr>
            </w:pPr>
          </w:p>
        </w:tc>
        <w:tc>
          <w:tcPr>
            <w:tcW w:w="5640" w:type="dxa"/>
            <w:vAlign w:val="bottom"/>
            <w:gridSpan w:val="5"/>
          </w:tcPr>
          <w:p>
            <w:pPr>
              <w:spacing w:after="0"/>
              <w:rPr>
                <w:rFonts w:ascii="Arial" w:cs="Arial" w:eastAsia="Arial" w:hAnsi="Arial"/>
                <w:sz w:val="14"/>
                <w:szCs w:val="14"/>
                <w:color w:val="0000FF"/>
                <w:w w:val="90"/>
              </w:rPr>
            </w:pPr>
            <w:hyperlink w:anchor="page78">
              <w:r>
                <w:rPr>
                  <w:rFonts w:ascii="Arial" w:cs="Arial" w:eastAsia="Arial" w:hAnsi="Arial"/>
                  <w:sz w:val="14"/>
                  <w:szCs w:val="14"/>
                  <w:color w:val="0000FF"/>
                  <w:w w:val="90"/>
                </w:rPr>
                <w:t>Consolidated Statements of Cash Flows for the Fiscal Years Ended March 31, 2021, 2020 and 2019</w:t>
              </w:r>
            </w:hyperlink>
          </w:p>
        </w:tc>
        <w:tc>
          <w:tcPr>
            <w:tcW w:w="680" w:type="dxa"/>
            <w:vAlign w:val="bottom"/>
            <w:gridSpan w:val="2"/>
          </w:tcPr>
          <w:p>
            <w:pPr>
              <w:spacing w:after="0"/>
              <w:rPr>
                <w:sz w:val="20"/>
                <w:szCs w:val="20"/>
                <w:color w:val="auto"/>
              </w:rPr>
            </w:pPr>
          </w:p>
        </w:tc>
        <w:tc>
          <w:tcPr>
            <w:tcW w:w="2960" w:type="dxa"/>
            <w:vAlign w:val="bottom"/>
          </w:tcPr>
          <w:p>
            <w:pPr>
              <w:spacing w:after="0"/>
              <w:rPr>
                <w:sz w:val="20"/>
                <w:szCs w:val="20"/>
                <w:color w:val="auto"/>
              </w:rPr>
            </w:pPr>
          </w:p>
        </w:tc>
        <w:tc>
          <w:tcPr>
            <w:tcW w:w="660" w:type="dxa"/>
            <w:vAlign w:val="bottom"/>
            <w:gridSpan w:val="2"/>
          </w:tcPr>
          <w:p>
            <w:pPr>
              <w:jc w:val="center"/>
              <w:ind w:left="489"/>
              <w:spacing w:after="0"/>
              <w:rPr>
                <w:rFonts w:ascii="Arial" w:cs="Arial" w:eastAsia="Arial" w:hAnsi="Arial"/>
                <w:sz w:val="14"/>
                <w:szCs w:val="14"/>
                <w:color w:val="0000FF"/>
                <w:w w:val="76"/>
              </w:rPr>
            </w:pPr>
            <w:hyperlink w:anchor="page78">
              <w:r>
                <w:rPr>
                  <w:rFonts w:ascii="Arial" w:cs="Arial" w:eastAsia="Arial" w:hAnsi="Arial"/>
                  <w:sz w:val="14"/>
                  <w:szCs w:val="14"/>
                  <w:color w:val="0000FF"/>
                  <w:w w:val="76"/>
                </w:rPr>
                <w:t>8</w:t>
              </w:r>
            </w:hyperlink>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0"/>
        </w:trPr>
        <w:tc>
          <w:tcPr>
            <w:tcW w:w="78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1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9280" w:type="dxa"/>
            <w:vAlign w:val="bottom"/>
            <w:gridSpan w:val="8"/>
          </w:tcPr>
          <w:p>
            <w:pPr>
              <w:spacing w:after="0"/>
              <w:rPr>
                <w:rFonts w:ascii="Arial" w:cs="Arial" w:eastAsia="Arial" w:hAnsi="Arial"/>
                <w:sz w:val="14"/>
                <w:szCs w:val="14"/>
                <w:color w:val="0000FF"/>
              </w:rPr>
            </w:pPr>
            <w:hyperlink w:anchor="page79">
              <w:r>
                <w:rPr>
                  <w:rFonts w:ascii="Arial" w:cs="Arial" w:eastAsia="Arial" w:hAnsi="Arial"/>
                  <w:sz w:val="14"/>
                  <w:szCs w:val="14"/>
                  <w:color w:val="0000FF"/>
                </w:rPr>
                <w:t>Consolidated Statements of Stockholders' Equity for the Fiscal Years Ended March 31, 2021, 2020 and 2019</w:t>
              </w:r>
            </w:hyperlink>
          </w:p>
        </w:tc>
        <w:tc>
          <w:tcPr>
            <w:tcW w:w="660" w:type="dxa"/>
            <w:vAlign w:val="bottom"/>
            <w:gridSpan w:val="2"/>
          </w:tcPr>
          <w:p>
            <w:pPr>
              <w:jc w:val="center"/>
              <w:ind w:left="489"/>
              <w:spacing w:after="0"/>
              <w:rPr>
                <w:rFonts w:ascii="Arial" w:cs="Arial" w:eastAsia="Arial" w:hAnsi="Arial"/>
                <w:sz w:val="14"/>
                <w:szCs w:val="14"/>
                <w:color w:val="0000FF"/>
                <w:w w:val="76"/>
              </w:rPr>
            </w:pPr>
            <w:hyperlink w:anchor="page79">
              <w:r>
                <w:rPr>
                  <w:rFonts w:ascii="Arial" w:cs="Arial" w:eastAsia="Arial" w:hAnsi="Arial"/>
                  <w:sz w:val="14"/>
                  <w:szCs w:val="14"/>
                  <w:color w:val="0000FF"/>
                  <w:w w:val="76"/>
                </w:rPr>
                <w:t>9</w:t>
              </w:r>
            </w:hyperlink>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03"/>
        </w:trPr>
        <w:tc>
          <w:tcPr>
            <w:tcW w:w="780" w:type="dxa"/>
            <w:vAlign w:val="bottom"/>
          </w:tcPr>
          <w:p>
            <w:pPr>
              <w:spacing w:after="0"/>
              <w:rPr>
                <w:sz w:val="17"/>
                <w:szCs w:val="17"/>
                <w:color w:val="auto"/>
              </w:rPr>
            </w:pPr>
          </w:p>
        </w:tc>
        <w:tc>
          <w:tcPr>
            <w:tcW w:w="6140" w:type="dxa"/>
            <w:vAlign w:val="bottom"/>
            <w:gridSpan w:val="6"/>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Notes to Consolidated Financial Statements</w:t>
              </w:r>
            </w:hyperlink>
          </w:p>
        </w:tc>
        <w:tc>
          <w:tcPr>
            <w:tcW w:w="3140" w:type="dxa"/>
            <w:vAlign w:val="bottom"/>
            <w:gridSpan w:val="2"/>
          </w:tcPr>
          <w:p>
            <w:pPr>
              <w:spacing w:after="0"/>
              <w:rPr>
                <w:sz w:val="17"/>
                <w:szCs w:val="17"/>
                <w:color w:val="auto"/>
              </w:rPr>
            </w:pPr>
          </w:p>
        </w:tc>
        <w:tc>
          <w:tcPr>
            <w:tcW w:w="1220" w:type="dxa"/>
            <w:vAlign w:val="bottom"/>
            <w:gridSpan w:val="4"/>
          </w:tcPr>
          <w:p>
            <w:pPr>
              <w:jc w:val="center"/>
              <w:spacing w:after="0"/>
              <w:rPr>
                <w:rFonts w:ascii="Arial" w:cs="Arial" w:eastAsia="Arial" w:hAnsi="Arial"/>
                <w:sz w:val="14"/>
                <w:szCs w:val="14"/>
                <w:color w:val="0000FF"/>
                <w:w w:val="89"/>
              </w:rPr>
            </w:pPr>
            <w:hyperlink w:anchor="page80">
              <w:r>
                <w:rPr>
                  <w:rFonts w:ascii="Arial" w:cs="Arial" w:eastAsia="Arial" w:hAnsi="Arial"/>
                  <w:sz w:val="14"/>
                  <w:szCs w:val="14"/>
                  <w:color w:val="0000FF"/>
                  <w:w w:val="89"/>
                </w:rPr>
                <w:t>10</w:t>
              </w:r>
            </w:hyperlink>
          </w:p>
        </w:tc>
      </w:tr>
      <w:tr>
        <w:trPr>
          <w:trHeight w:val="871"/>
        </w:trPr>
        <w:tc>
          <w:tcPr>
            <w:tcW w:w="780" w:type="dxa"/>
            <w:vAlign w:val="bottom"/>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40" w:type="dxa"/>
            <w:vAlign w:val="bottom"/>
            <w:gridSpan w:val="5"/>
          </w:tcPr>
          <w:p>
            <w:pPr>
              <w:ind w:left="1320"/>
              <w:spacing w:after="0"/>
              <w:rPr>
                <w:sz w:val="20"/>
                <w:szCs w:val="20"/>
                <w:color w:val="auto"/>
              </w:rPr>
            </w:pPr>
            <w:r>
              <w:rPr>
                <w:rFonts w:ascii="Arial" w:cs="Arial" w:eastAsia="Arial" w:hAnsi="Arial"/>
                <w:sz w:val="14"/>
                <w:szCs w:val="14"/>
                <w:color w:val="auto"/>
              </w:rPr>
              <w:t>F-1</w:t>
            </w:r>
          </w:p>
        </w:tc>
        <w:tc>
          <w:tcPr>
            <w:tcW w:w="5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r>
      <w:tr>
        <w:trPr>
          <w:trHeight w:val="87"/>
        </w:trPr>
        <w:tc>
          <w:tcPr>
            <w:tcW w:w="78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9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Booz Allen Hamilton Holding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204" w:lineRule="exact"/>
        <w:rPr>
          <w:sz w:val="20"/>
          <w:szCs w:val="20"/>
          <w:color w:val="auto"/>
        </w:rPr>
      </w:pPr>
    </w:p>
    <w:p>
      <w:pPr>
        <w:ind w:right="160"/>
        <w:spacing w:after="0" w:line="288" w:lineRule="auto"/>
        <w:rPr>
          <w:sz w:val="20"/>
          <w:szCs w:val="20"/>
          <w:color w:val="auto"/>
        </w:rPr>
      </w:pPr>
      <w:r>
        <w:rPr>
          <w:rFonts w:ascii="Arial" w:cs="Arial" w:eastAsia="Arial" w:hAnsi="Arial"/>
          <w:sz w:val="13"/>
          <w:szCs w:val="13"/>
          <w:color w:val="auto"/>
        </w:rPr>
        <w:t>We have audited the accompanying consolidated balance sheets of Booz Allen Hamilton Holding Corporation (the Company) as of March 31, 2021 and 2020, the related consolidated statements of operations, comprehensive income, stockholders' equity and cash flows for each of the three years in the period ended March 31, 2021, and the related notes (collectively referred to as the “consolidated financial statements”). In our opinion, the consolidated financial statements present fairly, in all material respects, the financial position of the Company at March 31, 2021 and 2020, and the results of its operations and its cash flows for each of the three years in the period ended March 31, 2021, in conformity with U.S. generally accepted accounting principles.</w:t>
      </w:r>
    </w:p>
    <w:p>
      <w:pPr>
        <w:spacing w:after="0" w:line="152" w:lineRule="exact"/>
        <w:rPr>
          <w:sz w:val="20"/>
          <w:szCs w:val="20"/>
          <w:color w:val="auto"/>
        </w:rPr>
      </w:pPr>
    </w:p>
    <w:p>
      <w:pPr>
        <w:jc w:val="both"/>
        <w:ind w:right="160"/>
        <w:spacing w:after="0" w:line="26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March 31, 2021, based on criteria established in Internal Control-Integrated Framework issued by the Committee of Sponsoring Organizations of the Treadway Commission (2013 framework) and our report dated May 21, 2021 expressed an unqualified opinion thereon.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04" w:lineRule="exact"/>
        <w:rPr>
          <w:sz w:val="20"/>
          <w:szCs w:val="20"/>
          <w:color w:val="auto"/>
        </w:rPr>
      </w:pPr>
    </w:p>
    <w:p>
      <w:pPr>
        <w:ind w:right="240"/>
        <w:spacing w:after="0" w:line="26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400" w:lineRule="exact"/>
        <w:rPr>
          <w:sz w:val="20"/>
          <w:szCs w:val="20"/>
          <w:color w:val="auto"/>
        </w:rPr>
      </w:pPr>
    </w:p>
    <w:p>
      <w:pPr>
        <w:ind w:left="1160"/>
        <w:spacing w:after="0"/>
        <w:rPr>
          <w:sz w:val="20"/>
          <w:szCs w:val="20"/>
          <w:color w:val="auto"/>
        </w:rPr>
      </w:pPr>
      <w:r>
        <w:rPr>
          <w:rFonts w:ascii="Arial" w:cs="Arial" w:eastAsia="Arial" w:hAnsi="Arial"/>
          <w:sz w:val="14"/>
          <w:szCs w:val="14"/>
          <w:b w:val="1"/>
          <w:bCs w:val="1"/>
          <w:i w:val="1"/>
          <w:iCs w:val="1"/>
          <w:color w:val="auto"/>
        </w:rPr>
        <w:t>Revenue recognition related to the cost-based input method and variable consideration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i w:val="1"/>
          <w:iCs w:val="1"/>
          <w:color w:val="auto"/>
        </w:rPr>
        <w:t>Description of the Matter</w:t>
      </w:r>
    </w:p>
    <w:p>
      <w:pPr>
        <w:spacing w:after="0" w:line="20" w:lineRule="exact"/>
        <w:rPr>
          <w:sz w:val="20"/>
          <w:szCs w:val="20"/>
          <w:color w:val="auto"/>
        </w:rPr>
      </w:pPr>
      <w:r>
        <w:rPr>
          <w:sz w:val="20"/>
          <w:szCs w:val="20"/>
          <w:color w:val="auto"/>
        </w:rPr>
        <w:br w:type="column"/>
      </w:r>
    </w:p>
    <w:p>
      <w:pPr>
        <w:ind w:right="60"/>
        <w:spacing w:after="0" w:line="216" w:lineRule="auto"/>
        <w:rPr>
          <w:sz w:val="20"/>
          <w:szCs w:val="20"/>
          <w:color w:val="auto"/>
        </w:rPr>
      </w:pPr>
      <w:r>
        <w:rPr>
          <w:rFonts w:ascii="Arial" w:cs="Arial" w:eastAsia="Arial" w:hAnsi="Arial"/>
          <w:sz w:val="14"/>
          <w:szCs w:val="14"/>
          <w:color w:val="auto"/>
        </w:rPr>
        <w:t>As described in Notes 2 and 3 to the consolidated financial statements, the Company generally recognizes revenue over time as services are provided, as most of its contracts involve a continuous transfer of control to the customer. For certain of these contracts, revenue is recognized under a cost-based input method that requires an estimate of total costs at completion of the performance obligation, and certain contracts include variable consideration (e.g., award or incentive fees) that require estimates of the amounts that are probable. Estimates of costs at completion and variable consideration are highly subjective to develop and can change over the contract performance period for a variety of reasons and, if significant, these changes could have a material effect on the Company’s results of operations.</w:t>
      </w:r>
    </w:p>
    <w:p>
      <w:pPr>
        <w:spacing w:after="0" w:line="128" w:lineRule="exact"/>
        <w:rPr>
          <w:sz w:val="20"/>
          <w:szCs w:val="20"/>
          <w:color w:val="auto"/>
        </w:rPr>
      </w:pPr>
    </w:p>
    <w:p>
      <w:pPr>
        <w:sectPr>
          <w:pgSz w:w="11900" w:h="16838" w:orient="portrait"/>
          <w:cols w:equalWidth="0" w:num="2">
            <w:col w:w="1440" w:space="420"/>
            <w:col w:w="8700"/>
          </w:cols>
          <w:pgMar w:left="320" w:top="882" w:right="1019" w:bottom="1440" w:gutter="0" w:footer="0" w:header="0"/>
        </w:sectPr>
      </w:pPr>
    </w:p>
    <w:p>
      <w:pPr>
        <w:ind w:left="1860"/>
        <w:spacing w:after="0" w:line="258" w:lineRule="auto"/>
        <w:rPr>
          <w:sz w:val="20"/>
          <w:szCs w:val="20"/>
          <w:color w:val="auto"/>
        </w:rPr>
      </w:pPr>
      <w:r>
        <w:rPr>
          <w:rFonts w:ascii="Arial" w:cs="Arial" w:eastAsia="Arial" w:hAnsi="Arial"/>
          <w:sz w:val="12"/>
          <w:szCs w:val="12"/>
          <w:color w:val="auto"/>
        </w:rPr>
        <w:t>Auditing revenue recognition based on the cost-based input method involved subjective auditor judgment because the Company’s estimates include costs at completion. The estimates of costs at completion are based on management’s assessment of the stage of completion of the performance obligations and the time and materials necessary to fulfill its performance obligations under the contracts. Auditing variable consideration involved subjective auditor judgement because the Company’s estimates include an expectation of award and incentive fees. The estimates of variable consideration for a contract are based on, among other things, the Company’s historical experience earning award or incentive fees on that contract or other similar contracts.</w:t>
      </w:r>
    </w:p>
    <w:p>
      <w:pPr>
        <w:sectPr>
          <w:pgSz w:w="11900" w:h="16838" w:orient="portrait"/>
          <w:cols w:equalWidth="0" w:num="1">
            <w:col w:w="10560"/>
          </w:cols>
          <w:pgMar w:left="320" w:top="882" w:right="1019" w:bottom="1440" w:gutter="0" w:footer="0" w:header="0"/>
          <w:type w:val="continuous"/>
        </w:sectPr>
      </w:pPr>
    </w:p>
    <w:p>
      <w:pPr>
        <w:spacing w:after="0" w:line="287" w:lineRule="exact"/>
        <w:rPr>
          <w:sz w:val="20"/>
          <w:szCs w:val="20"/>
          <w:color w:val="auto"/>
        </w:rPr>
      </w:pPr>
    </w:p>
    <w:p>
      <w:pPr>
        <w:spacing w:after="0" w:line="31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100"/>
        <w:spacing w:after="0" w:line="221"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revenue recognition under the cost-based input method and for variable consideration. For example, we tested controls over the determination of significant assumptions regarding the estimation of costs to be incurred for the performance obligations, controls evaluating the appropriateness of changes in estimated future costs, and controls over estimating the portion of award or incentive fees probable to be earned.</w:t>
      </w:r>
    </w:p>
    <w:p>
      <w:pPr>
        <w:spacing w:after="0" w:line="128" w:lineRule="exact"/>
        <w:rPr>
          <w:sz w:val="20"/>
          <w:szCs w:val="20"/>
          <w:color w:val="auto"/>
        </w:rPr>
      </w:pPr>
    </w:p>
    <w:p>
      <w:pPr>
        <w:sectPr>
          <w:pgSz w:w="11900" w:h="16838" w:orient="portrait"/>
          <w:cols w:equalWidth="0" w:num="2">
            <w:col w:w="1300" w:space="560"/>
            <w:col w:w="8700"/>
          </w:cols>
          <w:pgMar w:left="320" w:top="882" w:right="1019" w:bottom="1440" w:gutter="0" w:footer="0" w:header="0"/>
          <w:type w:val="continuous"/>
        </w:sectPr>
      </w:pPr>
    </w:p>
    <w:p>
      <w:pPr>
        <w:ind w:left="1860"/>
        <w:spacing w:after="0" w:line="232" w:lineRule="auto"/>
        <w:rPr>
          <w:sz w:val="20"/>
          <w:szCs w:val="20"/>
          <w:color w:val="auto"/>
        </w:rPr>
      </w:pPr>
      <w:r>
        <w:rPr>
          <w:rFonts w:ascii="Arial" w:cs="Arial" w:eastAsia="Arial" w:hAnsi="Arial"/>
          <w:sz w:val="13"/>
          <w:szCs w:val="13"/>
          <w:color w:val="auto"/>
        </w:rPr>
        <w:t>To test the recognition of revenue under the cost-based input method, our audit procedures included among others, reviewing management’s projected costs for consistency with contract terms, obtaining an understanding of the stage of completion through review of customer correspondence, evidence of stage of completion including discussion with program teams, and comparing actual results to prior management estimates. To test the estimates of the portion of award or incentive fees probable to be earned, our audit procedures included among others, agreeing data from the Company’s calculation to contract documentation supporting fees previously awarded for a contract or other similar contracts, inspecting customer correspondence and considering the sensitivity of the estimates based on the range of historical experience earning award or incentive fees.</w:t>
      </w:r>
    </w:p>
    <w:p>
      <w:pPr>
        <w:sectPr>
          <w:pgSz w:w="11900" w:h="16838" w:orient="portrait"/>
          <w:cols w:equalWidth="0" w:num="1">
            <w:col w:w="10560"/>
          </w:cols>
          <w:pgMar w:left="320" w:top="882" w:right="1019" w:bottom="1440" w:gutter="0" w:footer="0" w:header="0"/>
          <w:type w:val="continuous"/>
        </w:sectPr>
      </w:pPr>
    </w:p>
    <w:p>
      <w:pPr>
        <w:spacing w:after="0" w:line="321" w:lineRule="exact"/>
        <w:rPr>
          <w:sz w:val="20"/>
          <w:szCs w:val="20"/>
          <w:color w:val="auto"/>
        </w:rPr>
      </w:pPr>
    </w:p>
    <w:p>
      <w:pPr>
        <w:ind w:left="1200"/>
        <w:spacing w:after="0"/>
        <w:rPr>
          <w:sz w:val="20"/>
          <w:szCs w:val="20"/>
          <w:color w:val="auto"/>
        </w:rPr>
      </w:pPr>
      <w:r>
        <w:rPr>
          <w:rFonts w:ascii="Arial" w:cs="Arial" w:eastAsia="Arial" w:hAnsi="Arial"/>
          <w:sz w:val="14"/>
          <w:szCs w:val="14"/>
          <w:b w:val="1"/>
          <w:bCs w:val="1"/>
          <w:i w:val="1"/>
          <w:iCs w:val="1"/>
          <w:color w:val="auto"/>
        </w:rPr>
        <w:t>Government Contracting Matters - Provision for Claimed Indirect Costs</w:t>
      </w:r>
    </w:p>
    <w:p>
      <w:pPr>
        <w:spacing w:after="0" w:line="157" w:lineRule="exact"/>
        <w:rPr>
          <w:sz w:val="20"/>
          <w:szCs w:val="20"/>
          <w:color w:val="auto"/>
        </w:rPr>
      </w:pPr>
    </w:p>
    <w:p>
      <w:pPr>
        <w:ind w:left="1860" w:right="40" w:hanging="1866"/>
        <w:spacing w:after="0" w:line="231" w:lineRule="auto"/>
        <w:tabs>
          <w:tab w:leader="none" w:pos="1840" w:val="left"/>
        </w:tabs>
        <w:rPr>
          <w:sz w:val="20"/>
          <w:szCs w:val="20"/>
          <w:color w:val="auto"/>
        </w:rPr>
      </w:pPr>
      <w:r>
        <w:rPr>
          <w:rFonts w:ascii="Arial" w:cs="Arial" w:eastAsia="Arial" w:hAnsi="Arial"/>
          <w:sz w:val="14"/>
          <w:szCs w:val="14"/>
          <w:i w:val="1"/>
          <w:iCs w:val="1"/>
          <w:color w:val="auto"/>
        </w:rPr>
        <w:t>Description of the Matter</w:t>
      </w:r>
      <w:r>
        <w:rPr>
          <w:sz w:val="20"/>
          <w:szCs w:val="20"/>
          <w:color w:val="auto"/>
        </w:rPr>
        <w:tab/>
      </w:r>
      <w:r>
        <w:rPr>
          <w:rFonts w:ascii="Arial" w:cs="Arial" w:eastAsia="Arial" w:hAnsi="Arial"/>
          <w:sz w:val="13"/>
          <w:szCs w:val="13"/>
          <w:color w:val="auto"/>
        </w:rPr>
        <w:t>As discussed in Note 21 to the consolidated financial statements, in the ordinary course of business, agencies of the U.S. government, including the Defense Contract Audit Agency (DCAA), routinely audit the Company’s indirect costs and business practices for compliance with the Cost Accounting Standards and the Federal Acquisition Regulation. Such audits may result in, and have historically resulted in, the Company’s inability to retain certain claimed indirect costs, including executive and employee compensation, due to differing views of the allowability and reasonableness of such costs. As of March 31, 2021, years subsequent to the Company’s fiscal year 2011 remained subject to audit and final resolution. The Company recognized a liability of $263.2 million for estimated adjustments to claimed indirect costs based on its historical DCAA audit results, including the final resolution of such audits with the Defense Contract Management Agency (DCMA) (the provision for claimed indirect costs).</w:t>
      </w:r>
    </w:p>
    <w:p>
      <w:pPr>
        <w:spacing w:after="0" w:line="128" w:lineRule="exact"/>
        <w:rPr>
          <w:sz w:val="20"/>
          <w:szCs w:val="20"/>
          <w:color w:val="auto"/>
        </w:rPr>
      </w:pPr>
    </w:p>
    <w:p>
      <w:pPr>
        <w:ind w:left="1860" w:right="380"/>
        <w:spacing w:after="0" w:line="245" w:lineRule="auto"/>
        <w:rPr>
          <w:sz w:val="20"/>
          <w:szCs w:val="20"/>
          <w:color w:val="auto"/>
        </w:rPr>
      </w:pPr>
      <w:r>
        <w:rPr>
          <w:rFonts w:ascii="Arial" w:cs="Arial" w:eastAsia="Arial" w:hAnsi="Arial"/>
          <w:sz w:val="13"/>
          <w:szCs w:val="13"/>
          <w:color w:val="auto"/>
        </w:rPr>
        <w:t>Auditing the provision for claimed indirect costs was complex due to the inherently judgmental nature of management’s estimate of adjustments to claimed indirect costs based on the number of years that remain open to audit and expected final resolution by agencies of the U.S. government. Significant changes in management’s estimate could have a material effect on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60"/>
          </w:cols>
          <w:pgMar w:left="320" w:top="882" w:right="1019" w:bottom="1440" w:gutter="0" w:footer="0" w:header="0"/>
          <w:type w:val="continuous"/>
        </w:sectPr>
      </w:pPr>
    </w:p>
    <w:bookmarkStart w:id="74" w:name="page75"/>
    <w:bookmarkEnd w:id="74"/>
    <w:p>
      <w:pPr>
        <w:ind w:left="20"/>
        <w:spacing w:after="0" w:line="31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20"/>
        <w:spacing w:after="0" w:line="221"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determination of its provision for claimed indirect costs. For example, we tested controls over the application of the available historical information from resolution of audits and communications from agencies of the U.S. government utilized in the determination of the estimate. We also tested management’s controls over the completeness and accuracy of the data used.</w:t>
      </w:r>
    </w:p>
    <w:p>
      <w:pPr>
        <w:spacing w:after="0" w:line="128" w:lineRule="exact"/>
        <w:rPr>
          <w:sz w:val="20"/>
          <w:szCs w:val="20"/>
          <w:color w:val="auto"/>
        </w:rPr>
      </w:pPr>
    </w:p>
    <w:p>
      <w:pPr>
        <w:sectPr>
          <w:pgSz w:w="11900" w:h="16838" w:orient="portrait"/>
          <w:cols w:equalWidth="0" w:num="2">
            <w:col w:w="1320" w:space="560"/>
            <w:col w:w="8680"/>
          </w:cols>
          <w:pgMar w:left="300" w:top="882" w:right="1039" w:bottom="1440" w:gutter="0" w:footer="0" w:header="0"/>
        </w:sectPr>
      </w:pPr>
    </w:p>
    <w:p>
      <w:pPr>
        <w:ind w:left="1880" w:right="40"/>
        <w:spacing w:after="0" w:line="238" w:lineRule="auto"/>
        <w:rPr>
          <w:sz w:val="20"/>
          <w:szCs w:val="20"/>
          <w:color w:val="auto"/>
        </w:rPr>
      </w:pPr>
      <w:r>
        <w:rPr>
          <w:rFonts w:ascii="Arial" w:cs="Arial" w:eastAsia="Arial" w:hAnsi="Arial"/>
          <w:sz w:val="13"/>
          <w:szCs w:val="13"/>
          <w:color w:val="auto"/>
        </w:rPr>
        <w:t>To test the provision for claimed indirect costs, we performed audit procedures that included, among others, testing the clerical accuracy of the estimates and the completeness and accuracy of the data utilized in determining the provision. We inspected communications with the DCAA or DCMA including prior audit reports and final resolutions. We also engaged our government contracting specialists to assist in identifying trends and recent experience in DCAA audits to evaluate the data the Company used to estimate the provision for claimed indirect costs.</w:t>
      </w:r>
    </w:p>
    <w:p>
      <w:pPr>
        <w:sectPr>
          <w:pgSz w:w="11900" w:h="16838" w:orient="portrait"/>
          <w:cols w:equalWidth="0" w:num="1">
            <w:col w:w="10560"/>
          </w:cols>
          <w:pgMar w:left="300" w:top="882" w:right="1039" w:bottom="1440" w:gutter="0" w:footer="0" w:header="0"/>
          <w:type w:val="continuous"/>
        </w:sectPr>
      </w:pPr>
    </w:p>
    <w:p>
      <w:pPr>
        <w:spacing w:after="0" w:line="309" w:lineRule="exact"/>
        <w:rPr>
          <w:sz w:val="20"/>
          <w:szCs w:val="20"/>
          <w:color w:val="auto"/>
        </w:rPr>
      </w:pPr>
    </w:p>
    <w:p>
      <w:pPr>
        <w:ind w:left="1220"/>
        <w:spacing w:after="0"/>
        <w:rPr>
          <w:sz w:val="20"/>
          <w:szCs w:val="20"/>
          <w:color w:val="auto"/>
        </w:rPr>
      </w:pPr>
      <w:r>
        <w:rPr>
          <w:rFonts w:ascii="Arial" w:cs="Arial" w:eastAsia="Arial" w:hAnsi="Arial"/>
          <w:sz w:val="12"/>
          <w:szCs w:val="12"/>
          <w:b w:val="1"/>
          <w:bCs w:val="1"/>
          <w:i w:val="1"/>
          <w:iCs w:val="1"/>
          <w:color w:val="auto"/>
        </w:rPr>
        <w:t>Unrecognized Tax Benefits</w:t>
      </w:r>
    </w:p>
    <w:p>
      <w:pPr>
        <w:sectPr>
          <w:pgSz w:w="11900" w:h="16838" w:orient="portrait"/>
          <w:cols w:equalWidth="0" w:num="1">
            <w:col w:w="10560"/>
          </w:cols>
          <w:pgMar w:left="300" w:top="882" w:right="1039" w:bottom="1440" w:gutter="0" w:footer="0" w:header="0"/>
          <w:type w:val="continuous"/>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80"/>
        <w:spacing w:after="0" w:line="238" w:lineRule="auto"/>
        <w:rPr>
          <w:sz w:val="20"/>
          <w:szCs w:val="20"/>
          <w:color w:val="auto"/>
        </w:rPr>
      </w:pPr>
      <w:r>
        <w:rPr>
          <w:rFonts w:ascii="Arial" w:cs="Arial" w:eastAsia="Arial" w:hAnsi="Arial"/>
          <w:sz w:val="13"/>
          <w:szCs w:val="13"/>
          <w:color w:val="auto"/>
        </w:rPr>
        <w:t>As discussed in Notes 2 and 13 to the consolidated financial statements, the Company is subject to federal, state and foreign taxation in various jurisdictions. The Company reserves for uncertain tax positions related to unrecognized income tax benefits where it is not more likely than not that the Company’s tax position will be sustained. As of March 31, 2021, the Company has recorded $62.9 million of reserves for uncertain tax positions. These reserves involve considerable judgment and estimation and are evaluated by management based on available information.</w:t>
      </w:r>
    </w:p>
    <w:p>
      <w:pPr>
        <w:spacing w:after="0" w:line="128" w:lineRule="exact"/>
        <w:rPr>
          <w:sz w:val="20"/>
          <w:szCs w:val="20"/>
          <w:color w:val="auto"/>
        </w:rPr>
      </w:pPr>
    </w:p>
    <w:p>
      <w:pPr>
        <w:sectPr>
          <w:pgSz w:w="11900" w:h="16838" w:orient="portrait"/>
          <w:cols w:equalWidth="0" w:num="2">
            <w:col w:w="1460" w:space="420"/>
            <w:col w:w="8680"/>
          </w:cols>
          <w:pgMar w:left="300" w:top="882" w:right="1039" w:bottom="1440" w:gutter="0" w:footer="0" w:header="0"/>
          <w:type w:val="continuous"/>
        </w:sectPr>
      </w:pPr>
    </w:p>
    <w:p>
      <w:pPr>
        <w:ind w:left="1880" w:right="480"/>
        <w:spacing w:after="0" w:line="236" w:lineRule="auto"/>
        <w:rPr>
          <w:sz w:val="20"/>
          <w:szCs w:val="20"/>
          <w:color w:val="auto"/>
        </w:rPr>
      </w:pPr>
      <w:r>
        <w:rPr>
          <w:rFonts w:ascii="Arial" w:cs="Arial" w:eastAsia="Arial" w:hAnsi="Arial"/>
          <w:sz w:val="14"/>
          <w:szCs w:val="14"/>
          <w:color w:val="auto"/>
        </w:rPr>
        <w:t>Auditing the unrecognized tax benefits was complex due to the significant judgment in applying the tax law and inherent uncertainty involved in predicting the ultimate resolution of the matter with the taxing authority.</w:t>
      </w:r>
    </w:p>
    <w:p>
      <w:pPr>
        <w:sectPr>
          <w:pgSz w:w="11900" w:h="16838" w:orient="portrait"/>
          <w:cols w:equalWidth="0" w:num="1">
            <w:col w:w="10560"/>
          </w:cols>
          <w:pgMar w:left="300" w:top="882" w:right="1039" w:bottom="1440" w:gutter="0" w:footer="0" w:header="0"/>
          <w:type w:val="continuous"/>
        </w:sectPr>
      </w:pPr>
    </w:p>
    <w:p>
      <w:pPr>
        <w:spacing w:after="0" w:line="267" w:lineRule="exact"/>
        <w:rPr>
          <w:sz w:val="20"/>
          <w:szCs w:val="20"/>
          <w:color w:val="auto"/>
        </w:rPr>
      </w:pPr>
    </w:p>
    <w:p>
      <w:pPr>
        <w:ind w:left="20"/>
        <w:spacing w:after="0" w:line="312"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accounting for uncertain tax positions. For example, we tested controls over management’s review of the application of the tax law and the analysis performed to determine the unrecognized tax benefits. We also tested management’s controls over the completeness and accuracy of the data used in the calculation of the liabilities recorded.</w:t>
      </w:r>
    </w:p>
    <w:p>
      <w:pPr>
        <w:spacing w:after="0" w:line="200" w:lineRule="exact"/>
        <w:rPr>
          <w:sz w:val="20"/>
          <w:szCs w:val="20"/>
          <w:color w:val="auto"/>
        </w:rPr>
      </w:pPr>
    </w:p>
    <w:p>
      <w:pPr>
        <w:sectPr>
          <w:pgSz w:w="11900" w:h="16838" w:orient="portrait"/>
          <w:cols w:equalWidth="0" w:num="2">
            <w:col w:w="1320" w:space="560"/>
            <w:col w:w="8680"/>
          </w:cols>
          <w:pgMar w:left="300" w:top="882" w:right="1039" w:bottom="1440" w:gutter="0" w:footer="0" w:header="0"/>
          <w:type w:val="continuous"/>
        </w:sectPr>
      </w:pPr>
    </w:p>
    <w:p>
      <w:pPr>
        <w:spacing w:after="0" w:line="13" w:lineRule="exact"/>
        <w:rPr>
          <w:sz w:val="20"/>
          <w:szCs w:val="20"/>
          <w:color w:val="auto"/>
        </w:rPr>
      </w:pPr>
    </w:p>
    <w:p>
      <w:pPr>
        <w:ind w:left="1880"/>
        <w:spacing w:after="0" w:line="216" w:lineRule="auto"/>
        <w:rPr>
          <w:sz w:val="20"/>
          <w:szCs w:val="20"/>
          <w:color w:val="auto"/>
        </w:rPr>
      </w:pPr>
      <w:r>
        <w:rPr>
          <w:rFonts w:ascii="Arial" w:cs="Arial" w:eastAsia="Arial" w:hAnsi="Arial"/>
          <w:sz w:val="14"/>
          <w:szCs w:val="14"/>
          <w:color w:val="auto"/>
        </w:rPr>
        <w:t>To test the unrecognized tax benefits, we performed audit procedures that included, among others, understanding the application of the tax law and rationale used by management and evaluating whether the uncertain tax position met the “more likely than not” recognition threshold. For example, we verified our understanding of the relevant facts by reading the Company's analysis of the application of the tax law. We involved our tax subject matter resources in the assessment of the technical merits of the Company’s tax positions, considering the applicable tax laws, and the methodology applied. We assessed the mathematical accuracy of management’s calculations, reviewed contracts and other source documents and performed sensitivity analyses related to management’s estimate.</w:t>
      </w:r>
    </w:p>
    <w:p>
      <w:pPr>
        <w:sectPr>
          <w:pgSz w:w="11900" w:h="16838" w:orient="portrait"/>
          <w:cols w:equalWidth="0" w:num="1">
            <w:col w:w="10560"/>
          </w:cols>
          <w:pgMar w:left="300" w:top="882"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2006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May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60960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60"/>
          </w:cols>
          <w:pgMar w:left="300" w:top="882" w:right="1039" w:bottom="1440" w:gutter="0" w:footer="0" w:header="0"/>
          <w:type w:val="continuous"/>
        </w:sectPr>
      </w:pPr>
    </w:p>
    <w:bookmarkStart w:id="75" w:name="page76"/>
    <w:bookmarkEnd w:id="75"/>
    <w:p>
      <w:pPr>
        <w:jc w:val="center"/>
        <w:ind w:right="20"/>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BALANCE SHEETS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ind w:left="200"/>
              <w:spacing w:after="0"/>
              <w:rPr>
                <w:sz w:val="20"/>
                <w:szCs w:val="20"/>
                <w:color w:val="auto"/>
              </w:rPr>
            </w:pPr>
            <w:r>
              <w:rPr>
                <w:rFonts w:ascii="Arial" w:cs="Arial" w:eastAsia="Arial" w:hAnsi="Arial"/>
                <w:sz w:val="11"/>
                <w:szCs w:val="11"/>
                <w:b w:val="1"/>
                <w:bCs w:val="1"/>
                <w:color w:val="auto"/>
              </w:rPr>
              <w:t>March 31,</w:t>
            </w:r>
          </w:p>
        </w:tc>
        <w:tc>
          <w:tcPr>
            <w:tcW w:w="280" w:type="dxa"/>
            <w:vAlign w:val="bottom"/>
          </w:tcPr>
          <w:p>
            <w:pPr>
              <w:spacing w:after="0"/>
              <w:rPr>
                <w:sz w:val="10"/>
                <w:szCs w:val="10"/>
                <w:color w:val="auto"/>
              </w:rPr>
            </w:pPr>
          </w:p>
        </w:tc>
        <w:tc>
          <w:tcPr>
            <w:tcW w:w="1160" w:type="dxa"/>
            <w:vAlign w:val="bottom"/>
          </w:tcPr>
          <w:p>
            <w:pPr>
              <w:jc w:val="right"/>
              <w:ind w:right="410"/>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148"/>
        </w:trPr>
        <w:tc>
          <w:tcPr>
            <w:tcW w:w="8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700" w:type="dxa"/>
            <w:vAlign w:val="bottom"/>
            <w:gridSpan w:val="4"/>
          </w:tcPr>
          <w:p>
            <w:pPr>
              <w:jc w:val="right"/>
              <w:ind w:right="670"/>
              <w:spacing w:after="0" w:line="98" w:lineRule="exact"/>
              <w:rPr>
                <w:sz w:val="20"/>
                <w:szCs w:val="20"/>
                <w:color w:val="auto"/>
              </w:rPr>
            </w:pPr>
            <w:r>
              <w:rPr>
                <w:rFonts w:ascii="Arial" w:cs="Arial" w:eastAsia="Arial" w:hAnsi="Arial"/>
                <w:sz w:val="11"/>
                <w:szCs w:val="11"/>
                <w:b w:val="1"/>
                <w:bCs w:val="1"/>
                <w:color w:val="auto"/>
              </w:rPr>
              <w:t>(Amounts in thousands, except</w:t>
            </w:r>
          </w:p>
        </w:tc>
        <w:tc>
          <w:tcPr>
            <w:tcW w:w="0" w:type="dxa"/>
            <w:vAlign w:val="bottom"/>
          </w:tcPr>
          <w:p>
            <w:pPr>
              <w:spacing w:after="0"/>
              <w:rPr>
                <w:sz w:val="1"/>
                <w:szCs w:val="1"/>
                <w:color w:val="auto"/>
              </w:rPr>
            </w:pPr>
          </w:p>
        </w:tc>
      </w:tr>
      <w:tr>
        <w:trPr>
          <w:trHeight w:val="144"/>
        </w:trPr>
        <w:tc>
          <w:tcPr>
            <w:tcW w:w="8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4"/>
          </w:tcPr>
          <w:p>
            <w:pPr>
              <w:jc w:val="right"/>
              <w:ind w:right="810"/>
              <w:spacing w:after="0"/>
              <w:rPr>
                <w:sz w:val="20"/>
                <w:szCs w:val="20"/>
                <w:color w:val="auto"/>
              </w:rPr>
            </w:pPr>
            <w:r>
              <w:rPr>
                <w:rFonts w:ascii="Arial" w:cs="Arial" w:eastAsia="Arial" w:hAnsi="Arial"/>
                <w:sz w:val="11"/>
                <w:szCs w:val="11"/>
                <w:b w:val="1"/>
                <w:bCs w:val="1"/>
                <w:color w:val="auto"/>
              </w:rPr>
              <w:t>share and per share data)</w:t>
            </w:r>
          </w:p>
        </w:tc>
        <w:tc>
          <w:tcPr>
            <w:tcW w:w="0" w:type="dxa"/>
            <w:vAlign w:val="bottom"/>
          </w:tcPr>
          <w:p>
            <w:pPr>
              <w:spacing w:after="0"/>
              <w:rPr>
                <w:sz w:val="1"/>
                <w:szCs w:val="1"/>
                <w:color w:val="auto"/>
              </w:rPr>
            </w:pPr>
          </w:p>
        </w:tc>
      </w:tr>
      <w:tr>
        <w:trPr>
          <w:trHeight w:val="184"/>
        </w:trPr>
        <w:tc>
          <w:tcPr>
            <w:tcW w:w="8300" w:type="dxa"/>
            <w:vAlign w:val="bottom"/>
          </w:tcPr>
          <w:p>
            <w:pPr>
              <w:ind w:left="3880"/>
              <w:spacing w:after="0"/>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990,955</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741,901</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 net</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1,411,894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1,459,471</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126,816</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2,636,172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2,328,188</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Property and equipment, net of accumulated depreciation</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204,642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208,077</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239,374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240,122</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Intangible assets, net of accumulated amortization</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307,128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300,987</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1,581,160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1,581,160</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531,125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135,432</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5,499,601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4,793,966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60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3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Arial" w:cs="Arial" w:eastAsia="Arial" w:hAnsi="Arial"/>
                <w:sz w:val="14"/>
                <w:szCs w:val="14"/>
                <w:color w:val="auto"/>
              </w:rPr>
              <w:t>Current portion of long-term debt</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77,865</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177,865</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 and other accrued expenses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666,971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698,011</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Arial" w:cs="Arial" w:eastAsia="Arial" w:hAnsi="Arial"/>
                <w:sz w:val="14"/>
                <w:szCs w:val="14"/>
                <w:color w:val="auto"/>
              </w:rPr>
              <w:t>Accrued compensation and benefits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425,615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348,775</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49,021</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65,698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54,006</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liabilities</w:t>
            </w: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1,291,105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1,327,678</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Long-term debt, net of current portion</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2,278,731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2,007,979</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270,266</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364,461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88,086</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230,984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243,601</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4,428,425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3,937,610</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21)</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00" w:type="dxa"/>
            <w:vAlign w:val="bottom"/>
            <w:shd w:val="clear" w:color="auto" w:fill="CCEEFF"/>
          </w:tcPr>
          <w:p>
            <w:pPr>
              <w:ind w:left="300"/>
              <w:spacing w:after="0" w:line="138" w:lineRule="exact"/>
              <w:rPr>
                <w:sz w:val="20"/>
                <w:szCs w:val="20"/>
                <w:color w:val="auto"/>
              </w:rPr>
            </w:pPr>
            <w:r>
              <w:rPr>
                <w:rFonts w:ascii="Arial" w:cs="Arial" w:eastAsia="Arial" w:hAnsi="Arial"/>
                <w:sz w:val="14"/>
                <w:szCs w:val="14"/>
                <w:color w:val="auto"/>
                <w:w w:val="98"/>
              </w:rPr>
              <w:t>Common stock, Class A — $0.01 par value — authorized, 600,000,000 shares; issued, 162,950,606 shares at March 31, 2021 and</w:t>
            </w:r>
          </w:p>
        </w:tc>
        <w:tc>
          <w:tcPr>
            <w:tcW w:w="2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1,613</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161,333,973 shares at March 31, 2020; outstanding, 136,246,029 shares at March 31, 2021 and 138,719,921 shares at March 31, 2020</w:t>
            </w:r>
          </w:p>
        </w:tc>
        <w:tc>
          <w:tcPr>
            <w:tcW w:w="26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Arial" w:cs="Arial" w:eastAsia="Arial" w:hAnsi="Arial"/>
                <w:sz w:val="14"/>
                <w:szCs w:val="14"/>
                <w:color w:val="auto"/>
              </w:rPr>
              <w:t>Treasury stock, at cost — 26,704,577 shares at March 31, 2021 and 22,614,052 shares at March 31, 2020</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(1,216,163)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(898,095)</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557,957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468,027</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1,757,524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1,330,812</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(46,001)</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1,071,176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856,356</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5,499,601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4,793,966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20" w:right="31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9"/>
              </w:rPr>
              <w:t>Fiscal Year Ended March 31,</w:t>
            </w: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39"/>
        </w:trPr>
        <w:tc>
          <w:tcPr>
            <w:tcW w:w="6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60" w:type="dxa"/>
            <w:vAlign w:val="bottom"/>
            <w:gridSpan w:val="6"/>
          </w:tcPr>
          <w:p>
            <w:pPr>
              <w:jc w:val="right"/>
              <w:ind w:right="69"/>
              <w:spacing w:after="0"/>
              <w:rPr>
                <w:sz w:val="20"/>
                <w:szCs w:val="20"/>
                <w:color w:val="auto"/>
              </w:rPr>
            </w:pPr>
            <w:r>
              <w:rPr>
                <w:rFonts w:ascii="Arial" w:cs="Arial" w:eastAsia="Arial" w:hAnsi="Arial"/>
                <w:sz w:val="11"/>
                <w:szCs w:val="11"/>
                <w:b w:val="1"/>
                <w:bCs w:val="1"/>
                <w:color w:val="auto"/>
              </w:rPr>
              <w:t>(Amounts in thousands, except per share data)</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7,858,938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7,463,841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6,704,037</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revenue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3,657,530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3,379,180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3,100,466</w:t>
            </w:r>
          </w:p>
        </w:tc>
        <w:tc>
          <w:tcPr>
            <w:tcW w:w="0" w:type="dxa"/>
            <w:vAlign w:val="bottom"/>
          </w:tcPr>
          <w:p>
            <w:pPr>
              <w:spacing w:after="0"/>
              <w:rPr>
                <w:sz w:val="1"/>
                <w:szCs w:val="1"/>
                <w:color w:val="auto"/>
              </w:rPr>
            </w:pPr>
          </w:p>
        </w:tc>
      </w:tr>
      <w:tr>
        <w:trPr>
          <w:trHeight w:val="180"/>
        </w:trPr>
        <w:tc>
          <w:tcPr>
            <w:tcW w:w="6780" w:type="dxa"/>
            <w:vAlign w:val="bottom"/>
          </w:tcPr>
          <w:p>
            <w:pPr>
              <w:ind w:left="180"/>
              <w:spacing w:after="0"/>
              <w:rPr>
                <w:sz w:val="20"/>
                <w:szCs w:val="20"/>
                <w:color w:val="auto"/>
              </w:rPr>
            </w:pPr>
            <w:r>
              <w:rPr>
                <w:rFonts w:ascii="Arial" w:cs="Arial" w:eastAsia="Arial" w:hAnsi="Arial"/>
                <w:sz w:val="14"/>
                <w:szCs w:val="14"/>
                <w:color w:val="auto"/>
              </w:rPr>
              <w:t>Billable expenses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2,325,888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2,298,413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2,004,664</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 expenses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1,036,834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1,035,965</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927,938</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84,315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81,081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68,575</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costs and expenses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7,104,567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6,794,639</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6,101,643</w:t>
            </w:r>
          </w:p>
        </w:tc>
        <w:tc>
          <w:tcPr>
            <w:tcW w:w="0" w:type="dxa"/>
            <w:vAlign w:val="bottom"/>
          </w:tcPr>
          <w:p>
            <w:pPr>
              <w:spacing w:after="0"/>
              <w:rPr>
                <w:sz w:val="1"/>
                <w:szCs w:val="1"/>
                <w:color w:val="auto"/>
              </w:rPr>
            </w:pPr>
          </w:p>
        </w:tc>
      </w:tr>
      <w:tr>
        <w:trPr>
          <w:trHeight w:val="171"/>
        </w:trPr>
        <w:tc>
          <w:tcPr>
            <w:tcW w:w="67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754,371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669,202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602,394</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(96,960)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(89,517)</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 net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662,439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579,434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515,403</w:t>
            </w:r>
          </w:p>
        </w:tc>
        <w:tc>
          <w:tcPr>
            <w:tcW w:w="0" w:type="dxa"/>
            <w:vAlign w:val="bottom"/>
          </w:tcPr>
          <w:p>
            <w:pPr>
              <w:spacing w:after="0"/>
              <w:rPr>
                <w:sz w:val="1"/>
                <w:szCs w:val="1"/>
                <w:color w:val="auto"/>
              </w:rPr>
            </w:pPr>
          </w:p>
        </w:tc>
      </w:tr>
      <w:tr>
        <w:trPr>
          <w:trHeight w:val="18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96,831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96,874</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608,958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482,603</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418,529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Earnings per share of common stock (Note 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7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80" w:type="dxa"/>
            <w:vAlign w:val="bottom"/>
            <w:vMerge w:val="continue"/>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4.37</w:t>
            </w:r>
          </w:p>
        </w:tc>
        <w:tc>
          <w:tcPr>
            <w:tcW w:w="100" w:type="dxa"/>
            <w:vAlign w:val="bottom"/>
          </w:tcPr>
          <w:p>
            <w:pPr>
              <w:spacing w:after="0"/>
              <w:rPr>
                <w:sz w:val="12"/>
                <w:szCs w:val="12"/>
                <w:color w:val="auto"/>
              </w:rPr>
            </w:pPr>
          </w:p>
        </w:tc>
        <w:tc>
          <w:tcPr>
            <w:tcW w:w="34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3.41</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289"/>
              <w:spacing w:after="0" w:line="143"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0" w:right="339" w:bottom="1440" w:gutter="0" w:footer="0" w:header="0"/>
        </w:sectPr>
      </w:pPr>
    </w:p>
    <w:bookmarkStart w:id="77" w:name="page78"/>
    <w:bookmarkEnd w:id="77"/>
    <w:p>
      <w:pPr>
        <w:jc w:val="center"/>
        <w:ind w:right="-1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9"/>
              </w:rPr>
              <w:t>Fiscal Year Ended March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39"/>
        </w:trPr>
        <w:tc>
          <w:tcPr>
            <w:tcW w:w="6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(Amounts in thousands)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608,958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482,603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418,529</w:t>
            </w:r>
          </w:p>
        </w:tc>
        <w:tc>
          <w:tcPr>
            <w:tcW w:w="0" w:type="dxa"/>
            <w:vAlign w:val="bottom"/>
          </w:tcPr>
          <w:p>
            <w:pPr>
              <w:spacing w:after="0"/>
              <w:rPr>
                <w:sz w:val="1"/>
                <w:szCs w:val="1"/>
                <w:color w:val="auto"/>
              </w:rPr>
            </w:pPr>
          </w:p>
        </w:tc>
      </w:tr>
      <w:tr>
        <w:trPr>
          <w:trHeight w:val="180"/>
        </w:trPr>
        <w:tc>
          <w:tcPr>
            <w:tcW w:w="6720" w:type="dxa"/>
            <w:vAlign w:val="bottom"/>
          </w:tcPr>
          <w:p>
            <w:pPr>
              <w:ind w:left="20"/>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unrealized gain (loss) on derivatives designated as cash flow hedges</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(39,752)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(7,971)</w:t>
            </w:r>
          </w:p>
        </w:tc>
        <w:tc>
          <w:tcPr>
            <w:tcW w:w="0" w:type="dxa"/>
            <w:vAlign w:val="bottom"/>
          </w:tcPr>
          <w:p>
            <w:pPr>
              <w:spacing w:after="0"/>
              <w:rPr>
                <w:sz w:val="1"/>
                <w:szCs w:val="1"/>
                <w:color w:val="auto"/>
              </w:rPr>
            </w:pPr>
          </w:p>
        </w:tc>
      </w:tr>
      <w:tr>
        <w:trPr>
          <w:trHeight w:val="180"/>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Change in postretirement plan costs</w:t>
            </w: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11,887</w:t>
            </w: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other comprehensive (loss) income, net of tax</w:t>
            </w: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16,230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(34,811)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4"/>
                <w:szCs w:val="14"/>
                <w:color w:val="auto"/>
              </w:rPr>
              <w:t>Comprehensive income</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2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693"/>
              <w:spacing w:after="0" w:line="143"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4"/>
              </w:rPr>
              <w:t>625,188</w:t>
            </w:r>
          </w:p>
        </w:tc>
        <w:tc>
          <w:tcPr>
            <w:tcW w:w="80" w:type="dxa"/>
            <w:vAlign w:val="bottom"/>
          </w:tcPr>
          <w:p>
            <w:pPr>
              <w:spacing w:after="0"/>
              <w:rPr>
                <w:sz w:val="12"/>
                <w:szCs w:val="12"/>
                <w:color w:val="auto"/>
              </w:rPr>
            </w:pPr>
          </w:p>
        </w:tc>
        <w:tc>
          <w:tcPr>
            <w:tcW w:w="12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447,792</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422,445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921" w:right="439" w:bottom="1440" w:gutter="0" w:footer="0" w:header="0"/>
        </w:sectPr>
      </w:pPr>
    </w:p>
    <w:bookmarkStart w:id="78" w:name="page79"/>
    <w:bookmarkEnd w:id="78"/>
    <w:p>
      <w:pPr>
        <w:jc w:val="center"/>
        <w:ind w:right="-3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136"/>
              <w:spacing w:after="0"/>
              <w:rPr>
                <w:sz w:val="20"/>
                <w:szCs w:val="20"/>
                <w:color w:val="auto"/>
              </w:rPr>
            </w:pPr>
            <w:r>
              <w:rPr>
                <w:rFonts w:ascii="Arial" w:cs="Arial" w:eastAsia="Arial" w:hAnsi="Arial"/>
                <w:sz w:val="13"/>
                <w:szCs w:val="13"/>
                <w:b w:val="1"/>
                <w:bCs w:val="1"/>
                <w:color w:val="auto"/>
              </w:rPr>
              <w:t>Fiscal Year Ended March 31,</w:t>
            </w:r>
          </w:p>
        </w:tc>
        <w:tc>
          <w:tcPr>
            <w:tcW w:w="960" w:type="dxa"/>
            <w:vAlign w:val="bottom"/>
            <w:tcBorders>
              <w:bottom w:val="single" w:sz="8" w:color="auto"/>
            </w:tcBorders>
          </w:tcPr>
          <w:p>
            <w:pPr>
              <w:spacing w:after="0"/>
              <w:rPr>
                <w:sz w:val="14"/>
                <w:szCs w:val="14"/>
                <w:color w:val="auto"/>
              </w:rPr>
            </w:pPr>
          </w:p>
        </w:tc>
      </w:tr>
      <w:tr>
        <w:trPr>
          <w:trHeight w:val="160"/>
        </w:trPr>
        <w:tc>
          <w:tcPr>
            <w:tcW w:w="70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2019</w:t>
            </w:r>
          </w:p>
        </w:tc>
      </w:tr>
      <w:tr>
        <w:trPr>
          <w:trHeight w:val="160"/>
        </w:trPr>
        <w:tc>
          <w:tcPr>
            <w:tcW w:w="7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gridSpan w:val="4"/>
          </w:tcPr>
          <w:p>
            <w:pPr>
              <w:ind w:left="80"/>
              <w:spacing w:after="0"/>
              <w:rPr>
                <w:sz w:val="20"/>
                <w:szCs w:val="20"/>
                <w:color w:val="auto"/>
              </w:rPr>
            </w:pPr>
            <w:r>
              <w:rPr>
                <w:rFonts w:ascii="Arial" w:cs="Arial" w:eastAsia="Arial" w:hAnsi="Arial"/>
                <w:sz w:val="13"/>
                <w:szCs w:val="13"/>
                <w:b w:val="1"/>
                <w:bCs w:val="1"/>
                <w:color w:val="auto"/>
                <w:w w:val="89"/>
              </w:rPr>
              <w:t>(Amounts in thousands)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608,958</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482,603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418,529</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84,315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81,081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68,575</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Noncash lease expense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55,096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Stock-based compensation expense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59,844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43,290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31,275</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Deferred income taxes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231,998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23,006</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Amortization of debt issuance costs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4,688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5,052</w:t>
            </w:r>
          </w:p>
        </w:tc>
      </w:tr>
      <w:tr>
        <w:trPr>
          <w:trHeight w:val="183"/>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Loss on debt extinguishment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4,302</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Losses (gains) on dispositions, and other</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(5,464)</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assets and liabilities: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Accounts receivable, net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47,081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(129,107)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(196,453)</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Income taxes receivable / payable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(363,396)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(122,977)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21,634</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Prepaid expenses and other current assets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(13,500)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(2,328)</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long-term assets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(15,346)</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Accrued compensation and benefits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71,713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18,044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44,137</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payable and other accrued expenses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107,644</w:t>
            </w:r>
          </w:p>
        </w:tc>
      </w:tr>
      <w:tr>
        <w:trPr>
          <w:trHeight w:val="168"/>
        </w:trPr>
        <w:tc>
          <w:tcPr>
            <w:tcW w:w="7020" w:type="dxa"/>
            <w:vAlign w:val="bottom"/>
          </w:tcPr>
          <w:p>
            <w:pPr>
              <w:ind w:left="360"/>
              <w:spacing w:after="0"/>
              <w:rPr>
                <w:sz w:val="20"/>
                <w:szCs w:val="20"/>
                <w:color w:val="auto"/>
              </w:rPr>
            </w:pPr>
            <w:r>
              <w:rPr>
                <w:rFonts w:ascii="Arial" w:cs="Arial" w:eastAsia="Arial" w:hAnsi="Arial"/>
                <w:sz w:val="13"/>
                <w:szCs w:val="13"/>
                <w:color w:val="auto"/>
              </w:rPr>
              <w:t>Other current liabilities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(9,463)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(7,885)</w:t>
            </w:r>
          </w:p>
        </w:tc>
      </w:tr>
      <w:tr>
        <w:trPr>
          <w:trHeight w:val="172"/>
        </w:trPr>
        <w:tc>
          <w:tcPr>
            <w:tcW w:w="7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lease liabilities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(53,641)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(37,651)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 long-term liabilities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10,336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47,934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2,932</w:t>
            </w:r>
          </w:p>
        </w:tc>
      </w:tr>
      <w:tr>
        <w:trPr>
          <w:trHeight w:val="163"/>
        </w:trPr>
        <w:tc>
          <w:tcPr>
            <w:tcW w:w="70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718,684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551,428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499,610</w:t>
            </w:r>
          </w:p>
        </w:tc>
      </w:tr>
      <w:tr>
        <w:trPr>
          <w:trHeight w:val="168"/>
        </w:trPr>
        <w:tc>
          <w:tcPr>
            <w:tcW w:w="70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property, equipment, and software</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(94,681)</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Payment for minority investment in entity</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(74,168)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sales of assets, net of payment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5,469</w:t>
            </w:r>
          </w:p>
        </w:tc>
      </w:tr>
      <w:tr>
        <w:trPr>
          <w:trHeight w:val="158"/>
        </w:trPr>
        <w:tc>
          <w:tcPr>
            <w:tcW w:w="7020" w:type="dxa"/>
            <w:vAlign w:val="bottom"/>
          </w:tcPr>
          <w:p>
            <w:pPr>
              <w:ind w:left="520"/>
              <w:spacing w:after="0" w:line="146" w:lineRule="exact"/>
              <w:rPr>
                <w:sz w:val="20"/>
                <w:szCs w:val="20"/>
                <w:color w:val="auto"/>
              </w:rPr>
            </w:pPr>
            <w:r>
              <w:rPr>
                <w:rFonts w:ascii="Arial" w:cs="Arial" w:eastAsia="Arial" w:hAnsi="Arial"/>
                <w:sz w:val="13"/>
                <w:szCs w:val="13"/>
                <w:color w:val="auto"/>
              </w:rPr>
              <w:t>Net cash used in investing activities</w:t>
            </w: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(158,284)</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(128,079)</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(89,212)</w:t>
            </w: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Proceeds from issuance of common stock</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19,408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14,987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11,266</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option exercises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12,116</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Repurchases of common stock</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(313,397)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(182,224)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(252,824)</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paid</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(181,066)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(114,234)</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Debt extinguishment costs</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(8,971)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 of debt</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(527,865)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(170,512)</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Proceeds from debt issuance</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691,496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497,891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102,071</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Payment of deferred payment obligation</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financing activities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(1,249)</w:t>
            </w:r>
          </w:p>
        </w:tc>
      </w:tr>
      <w:tr>
        <w:trPr>
          <w:trHeight w:val="163"/>
        </w:trPr>
        <w:tc>
          <w:tcPr>
            <w:tcW w:w="7020" w:type="dxa"/>
            <w:vAlign w:val="bottom"/>
            <w:shd w:val="clear" w:color="auto" w:fill="CCEEFF"/>
          </w:tcPr>
          <w:p>
            <w:pPr>
              <w:ind w:left="520"/>
              <w:spacing w:after="0" w:line="148" w:lineRule="exact"/>
              <w:rPr>
                <w:sz w:val="20"/>
                <w:szCs w:val="20"/>
                <w:color w:val="auto"/>
              </w:rPr>
            </w:pPr>
            <w:r>
              <w:rPr>
                <w:rFonts w:ascii="Arial" w:cs="Arial" w:eastAsia="Arial" w:hAnsi="Arial"/>
                <w:sz w:val="13"/>
                <w:szCs w:val="13"/>
                <w:color w:val="auto"/>
              </w:rPr>
              <w:t>Net cash provided by (used in) financing activities</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(311,346)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34,562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(413,366)</w:t>
            </w:r>
          </w:p>
        </w:tc>
      </w:tr>
      <w:tr>
        <w:trPr>
          <w:trHeight w:val="158"/>
        </w:trPr>
        <w:tc>
          <w:tcPr>
            <w:tcW w:w="7020" w:type="dxa"/>
            <w:vAlign w:val="bottom"/>
          </w:tcPr>
          <w:p>
            <w:pPr>
              <w:ind w:left="20"/>
              <w:spacing w:after="0" w:line="146" w:lineRule="exact"/>
              <w:rPr>
                <w:sz w:val="20"/>
                <w:szCs w:val="20"/>
                <w:color w:val="auto"/>
              </w:rPr>
            </w:pPr>
            <w:r>
              <w:rPr>
                <w:rFonts w:ascii="Arial" w:cs="Arial" w:eastAsia="Arial" w:hAnsi="Arial"/>
                <w:sz w:val="13"/>
                <w:szCs w:val="13"/>
                <w:color w:val="auto"/>
              </w:rPr>
              <w:t>Net increase (decrease) in cash and cash equivalents</w:t>
            </w: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249,054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457,911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(2,968)</w:t>
            </w: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equivalents––beginning of year</w:t>
            </w: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741,901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283,990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286,958</w:t>
            </w:r>
          </w:p>
        </w:tc>
      </w:tr>
      <w:tr>
        <w:trPr>
          <w:trHeight w:val="158"/>
        </w:trPr>
        <w:tc>
          <w:tcPr>
            <w:tcW w:w="7020" w:type="dxa"/>
            <w:vAlign w:val="bottom"/>
          </w:tcPr>
          <w:p>
            <w:pPr>
              <w:ind w:left="20"/>
              <w:spacing w:after="0" w:line="146" w:lineRule="exact"/>
              <w:rPr>
                <w:sz w:val="20"/>
                <w:szCs w:val="20"/>
                <w:color w:val="auto"/>
              </w:rPr>
            </w:pPr>
            <w:r>
              <w:rPr>
                <w:rFonts w:ascii="Arial" w:cs="Arial" w:eastAsia="Arial" w:hAnsi="Arial"/>
                <w:sz w:val="13"/>
                <w:szCs w:val="13"/>
                <w:color w:val="auto"/>
              </w:rPr>
              <w:t>Cash and cash equivalents––end of year</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990,955</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741,901</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283,990</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7020" w:type="dxa"/>
            <w:vAlign w:val="bottom"/>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Supplemental disclosures of cash flow information</w:t>
            </w: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68"/>
        </w:trPr>
        <w:tc>
          <w:tcPr>
            <w:tcW w:w="7020" w:type="dxa"/>
            <w:vAlign w:val="bottom"/>
          </w:tcPr>
          <w:p>
            <w:pPr>
              <w:ind w:left="20"/>
              <w:spacing w:after="0"/>
              <w:rPr>
                <w:sz w:val="20"/>
                <w:szCs w:val="20"/>
                <w:color w:val="auto"/>
              </w:rPr>
            </w:pPr>
            <w:r>
              <w:rPr>
                <w:rFonts w:ascii="Arial" w:cs="Arial" w:eastAsia="Arial" w:hAnsi="Arial"/>
                <w:sz w:val="13"/>
                <w:szCs w:val="13"/>
                <w:color w:val="auto"/>
              </w:rPr>
              <w:t>Cash paid during the period for:</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60,955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76,731</w:t>
            </w: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Income taxes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176,711</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109,754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52,512</w:t>
            </w:r>
          </w:p>
        </w:tc>
      </w:tr>
      <w:tr>
        <w:trPr>
          <w:trHeight w:val="172"/>
        </w:trPr>
        <w:tc>
          <w:tcPr>
            <w:tcW w:w="7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disclosures of non-cash investing and financing activities</w:t>
            </w: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7020" w:type="dxa"/>
            <w:vAlign w:val="bottom"/>
          </w:tcPr>
          <w:p>
            <w:pPr>
              <w:ind w:left="180"/>
              <w:spacing w:after="0"/>
              <w:rPr>
                <w:sz w:val="20"/>
                <w:szCs w:val="20"/>
                <w:color w:val="auto"/>
              </w:rPr>
            </w:pPr>
            <w:r>
              <w:rPr>
                <w:rFonts w:ascii="Arial" w:cs="Arial" w:eastAsia="Arial" w:hAnsi="Arial"/>
                <w:sz w:val="13"/>
                <w:szCs w:val="13"/>
                <w:color w:val="auto"/>
              </w:rPr>
              <w:t>Share repurchases transacted but not settled and paid</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15,408</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10,736</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6,315</w:t>
            </w:r>
          </w:p>
        </w:tc>
      </w:tr>
      <w:tr>
        <w:trPr>
          <w:trHeight w:val="172"/>
        </w:trPr>
        <w:tc>
          <w:tcPr>
            <w:tcW w:w="70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Noncash financing activities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3,033</w:t>
            </w:r>
          </w:p>
        </w:tc>
      </w:tr>
    </w:tbl>
    <w:p>
      <w:pPr>
        <w:spacing w:after="0" w:line="117"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300" w:top="920" w:right="6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920" w:type="dxa"/>
            <w:vAlign w:val="bottom"/>
            <w:gridSpan w:val="2"/>
            <w:vMerge w:val="restart"/>
          </w:tcPr>
          <w:p>
            <w:pPr>
              <w:jc w:val="center"/>
              <w:ind w:left="501"/>
              <w:spacing w:after="0"/>
              <w:rPr>
                <w:sz w:val="20"/>
                <w:szCs w:val="20"/>
                <w:color w:val="auto"/>
              </w:rPr>
            </w:pPr>
            <w:r>
              <w:rPr>
                <w:rFonts w:ascii="Arial" w:cs="Arial" w:eastAsia="Arial" w:hAnsi="Arial"/>
                <w:sz w:val="10"/>
                <w:szCs w:val="10"/>
                <w:b w:val="1"/>
                <w:bCs w:val="1"/>
                <w:color w:val="auto"/>
                <w:w w:val="87"/>
              </w:rPr>
              <w:t>Class A</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Treasury</w:t>
            </w: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44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jc w:val="center"/>
              <w:ind w:right="180"/>
              <w:spacing w:after="0" w:line="96" w:lineRule="exact"/>
              <w:rPr>
                <w:sz w:val="20"/>
                <w:szCs w:val="20"/>
                <w:color w:val="auto"/>
              </w:rPr>
            </w:pPr>
            <w:r>
              <w:rPr>
                <w:rFonts w:ascii="Arial" w:cs="Arial" w:eastAsia="Arial" w:hAnsi="Arial"/>
                <w:sz w:val="10"/>
                <w:szCs w:val="10"/>
                <w:b w:val="1"/>
                <w:bCs w:val="1"/>
                <w:color w:val="auto"/>
                <w:w w:val="93"/>
              </w:rPr>
              <w:t>Additional</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restart"/>
          </w:tcPr>
          <w:p>
            <w:pPr>
              <w:jc w:val="center"/>
              <w:ind w:right="180"/>
              <w:spacing w:after="0" w:line="96"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2"/>
                <w:szCs w:val="2"/>
                <w:color w:val="auto"/>
              </w:rPr>
            </w:pPr>
          </w:p>
        </w:tc>
        <w:tc>
          <w:tcPr>
            <w:tcW w:w="720" w:type="dxa"/>
            <w:vAlign w:val="bottom"/>
            <w:vMerge w:val="restart"/>
          </w:tcPr>
          <w:p>
            <w:pPr>
              <w:jc w:val="center"/>
              <w:ind w:right="41"/>
              <w:spacing w:after="0" w:line="96"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line="20" w:lineRule="exact"/>
              <w:rPr>
                <w:sz w:val="1"/>
                <w:szCs w:val="1"/>
                <w:color w:val="auto"/>
              </w:rPr>
            </w:pPr>
          </w:p>
        </w:tc>
      </w:tr>
      <w:tr>
        <w:trPr>
          <w:trHeight w:val="64"/>
        </w:trPr>
        <w:tc>
          <w:tcPr>
            <w:tcW w:w="4480" w:type="dxa"/>
            <w:vAlign w:val="bottom"/>
          </w:tcPr>
          <w:p>
            <w:pPr>
              <w:spacing w:after="0"/>
              <w:rPr>
                <w:sz w:val="5"/>
                <w:szCs w:val="5"/>
                <w:color w:val="auto"/>
              </w:rPr>
            </w:pPr>
          </w:p>
        </w:tc>
        <w:tc>
          <w:tcPr>
            <w:tcW w:w="150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89"/>
              </w:rPr>
              <w:t>Common Stock</w:t>
            </w:r>
          </w:p>
        </w:tc>
        <w:tc>
          <w:tcPr>
            <w:tcW w:w="80" w:type="dxa"/>
            <w:vAlign w:val="bottom"/>
            <w:vMerge w:val="restart"/>
          </w:tcPr>
          <w:p>
            <w:pPr>
              <w:spacing w:after="0"/>
              <w:rPr>
                <w:sz w:val="5"/>
                <w:szCs w:val="5"/>
                <w:color w:val="auto"/>
              </w:rPr>
            </w:pPr>
          </w:p>
        </w:tc>
        <w:tc>
          <w:tcPr>
            <w:tcW w:w="1140" w:type="dxa"/>
            <w:vAlign w:val="bottom"/>
            <w:gridSpan w:val="3"/>
            <w:vMerge w:val="restart"/>
          </w:tcPr>
          <w:p>
            <w:pPr>
              <w:jc w:val="right"/>
              <w:ind w:right="80"/>
              <w:spacing w:after="0"/>
              <w:rPr>
                <w:sz w:val="20"/>
                <w:szCs w:val="20"/>
                <w:color w:val="auto"/>
              </w:rPr>
            </w:pPr>
            <w:r>
              <w:rPr>
                <w:rFonts w:ascii="Arial" w:cs="Arial" w:eastAsia="Arial" w:hAnsi="Arial"/>
                <w:sz w:val="10"/>
                <w:szCs w:val="10"/>
                <w:b w:val="1"/>
                <w:bCs w:val="1"/>
                <w:color w:val="auto"/>
              </w:rPr>
              <w:t>Stock</w:t>
            </w: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480" w:type="dxa"/>
            <w:vAlign w:val="bottom"/>
          </w:tcPr>
          <w:p>
            <w:pPr>
              <w:ind w:left="20"/>
              <w:spacing w:after="0" w:line="69" w:lineRule="exact"/>
              <w:rPr>
                <w:sz w:val="20"/>
                <w:szCs w:val="20"/>
                <w:color w:val="auto"/>
              </w:rPr>
            </w:pPr>
            <w:r>
              <w:rPr>
                <w:rFonts w:ascii="Arial" w:cs="Arial" w:eastAsia="Arial" w:hAnsi="Arial"/>
                <w:sz w:val="7"/>
                <w:szCs w:val="7"/>
                <w:b w:val="1"/>
                <w:bCs w:val="1"/>
                <w:color w:val="auto"/>
              </w:rPr>
              <w:t>(Amounts in thousands, except</w:t>
            </w:r>
          </w:p>
        </w:tc>
        <w:tc>
          <w:tcPr>
            <w:tcW w:w="1500" w:type="dxa"/>
            <w:vAlign w:val="bottom"/>
            <w:tcBorders>
              <w:bottom w:val="single" w:sz="8" w:color="auto"/>
            </w:tcBorders>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40" w:type="dxa"/>
            <w:vAlign w:val="bottom"/>
            <w:tcBorders>
              <w:bottom w:val="single" w:sz="8" w:color="auto"/>
            </w:tcBorders>
            <w:gridSpan w:val="3"/>
            <w:vMerge w:val="continue"/>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2"/>
          </w:tcPr>
          <w:p>
            <w:pPr>
              <w:jc w:val="center"/>
              <w:ind w:right="160"/>
              <w:spacing w:after="0" w:line="69" w:lineRule="exact"/>
              <w:rPr>
                <w:sz w:val="20"/>
                <w:szCs w:val="20"/>
                <w:color w:val="auto"/>
              </w:rPr>
            </w:pPr>
            <w:r>
              <w:rPr>
                <w:rFonts w:ascii="Arial" w:cs="Arial" w:eastAsia="Arial" w:hAnsi="Arial"/>
                <w:sz w:val="7"/>
                <w:szCs w:val="7"/>
                <w:b w:val="1"/>
                <w:bCs w:val="1"/>
                <w:color w:val="auto"/>
              </w:rPr>
              <w:t>Paid-In</w:t>
            </w:r>
          </w:p>
        </w:tc>
        <w:tc>
          <w:tcPr>
            <w:tcW w:w="120" w:type="dxa"/>
            <w:vAlign w:val="bottom"/>
          </w:tcPr>
          <w:p>
            <w:pPr>
              <w:spacing w:after="0"/>
              <w:rPr>
                <w:sz w:val="5"/>
                <w:szCs w:val="5"/>
                <w:color w:val="auto"/>
              </w:rPr>
            </w:pPr>
          </w:p>
        </w:tc>
        <w:tc>
          <w:tcPr>
            <w:tcW w:w="680" w:type="dxa"/>
            <w:vAlign w:val="bottom"/>
            <w:gridSpan w:val="2"/>
          </w:tcPr>
          <w:p>
            <w:pPr>
              <w:ind w:left="40"/>
              <w:spacing w:after="0" w:line="69" w:lineRule="exact"/>
              <w:rPr>
                <w:sz w:val="20"/>
                <w:szCs w:val="20"/>
                <w:color w:val="auto"/>
              </w:rPr>
            </w:pPr>
            <w:r>
              <w:rPr>
                <w:rFonts w:ascii="Arial" w:cs="Arial" w:eastAsia="Arial" w:hAnsi="Arial"/>
                <w:sz w:val="7"/>
                <w:szCs w:val="7"/>
                <w:b w:val="1"/>
                <w:bCs w:val="1"/>
                <w:color w:val="auto"/>
              </w:rPr>
              <w:t>Retained</w:t>
            </w:r>
          </w:p>
        </w:tc>
        <w:tc>
          <w:tcPr>
            <w:tcW w:w="80" w:type="dxa"/>
            <w:vAlign w:val="bottom"/>
          </w:tcPr>
          <w:p>
            <w:pPr>
              <w:spacing w:after="0"/>
              <w:rPr>
                <w:sz w:val="5"/>
                <w:szCs w:val="5"/>
                <w:color w:val="auto"/>
              </w:rPr>
            </w:pPr>
          </w:p>
        </w:tc>
        <w:tc>
          <w:tcPr>
            <w:tcW w:w="880" w:type="dxa"/>
            <w:vAlign w:val="bottom"/>
            <w:gridSpan w:val="2"/>
          </w:tcPr>
          <w:p>
            <w:pPr>
              <w:jc w:val="center"/>
              <w:ind w:right="180"/>
              <w:spacing w:after="0" w:line="69" w:lineRule="exact"/>
              <w:rPr>
                <w:sz w:val="20"/>
                <w:szCs w:val="20"/>
                <w:color w:val="auto"/>
              </w:rPr>
            </w:pPr>
            <w:r>
              <w:rPr>
                <w:rFonts w:ascii="Arial" w:cs="Arial" w:eastAsia="Arial" w:hAnsi="Arial"/>
                <w:sz w:val="7"/>
                <w:szCs w:val="7"/>
                <w:b w:val="1"/>
                <w:bCs w:val="1"/>
                <w:color w:val="auto"/>
              </w:rPr>
              <w:t>Comprehensive</w:t>
            </w:r>
          </w:p>
        </w:tc>
        <w:tc>
          <w:tcPr>
            <w:tcW w:w="100" w:type="dxa"/>
            <w:vAlign w:val="bottom"/>
          </w:tcPr>
          <w:p>
            <w:pPr>
              <w:spacing w:after="0"/>
              <w:rPr>
                <w:sz w:val="5"/>
                <w:szCs w:val="5"/>
                <w:color w:val="auto"/>
              </w:rPr>
            </w:pPr>
          </w:p>
        </w:tc>
        <w:tc>
          <w:tcPr>
            <w:tcW w:w="720" w:type="dxa"/>
            <w:vAlign w:val="bottom"/>
          </w:tcPr>
          <w:p>
            <w:pPr>
              <w:jc w:val="center"/>
              <w:ind w:right="41"/>
              <w:spacing w:after="0" w:line="69"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9"/>
        </w:trPr>
        <w:tc>
          <w:tcPr>
            <w:tcW w:w="4480" w:type="dxa"/>
            <w:vAlign w:val="bottom"/>
          </w:tcPr>
          <w:p>
            <w:pPr>
              <w:ind w:left="20"/>
              <w:spacing w:after="0"/>
              <w:rPr>
                <w:sz w:val="20"/>
                <w:szCs w:val="20"/>
                <w:color w:val="auto"/>
              </w:rPr>
            </w:pPr>
            <w:r>
              <w:rPr>
                <w:rFonts w:ascii="Arial" w:cs="Arial" w:eastAsia="Arial" w:hAnsi="Arial"/>
                <w:sz w:val="10"/>
                <w:szCs w:val="10"/>
                <w:b w:val="1"/>
                <w:bCs w:val="1"/>
                <w:color w:val="auto"/>
              </w:rPr>
              <w:t>share data)</w:t>
            </w:r>
          </w:p>
        </w:tc>
        <w:tc>
          <w:tcPr>
            <w:tcW w:w="920" w:type="dxa"/>
            <w:vAlign w:val="bottom"/>
            <w:gridSpan w:val="2"/>
          </w:tcPr>
          <w:p>
            <w:pPr>
              <w:ind w:left="28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960" w:type="dxa"/>
            <w:vAlign w:val="bottom"/>
            <w:gridSpan w:val="2"/>
          </w:tcPr>
          <w:p>
            <w:pPr>
              <w:ind w:left="30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Capital</w:t>
            </w:r>
          </w:p>
        </w:tc>
        <w:tc>
          <w:tcPr>
            <w:tcW w:w="120" w:type="dxa"/>
            <w:vAlign w:val="bottom"/>
          </w:tcPr>
          <w:p>
            <w:pPr>
              <w:spacing w:after="0"/>
              <w:rPr>
                <w:sz w:val="12"/>
                <w:szCs w:val="12"/>
                <w:color w:val="auto"/>
              </w:rPr>
            </w:pPr>
          </w:p>
        </w:tc>
        <w:tc>
          <w:tcPr>
            <w:tcW w:w="680" w:type="dxa"/>
            <w:vAlign w:val="bottom"/>
            <w:gridSpan w:val="2"/>
          </w:tcPr>
          <w:p>
            <w:pPr>
              <w:ind w:left="40"/>
              <w:spacing w:after="0"/>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12"/>
                <w:szCs w:val="12"/>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76"/>
              </w:rPr>
              <w:t>Loss</w:t>
            </w:r>
          </w:p>
        </w:tc>
        <w:tc>
          <w:tcPr>
            <w:tcW w:w="100" w:type="dxa"/>
            <w:vAlign w:val="bottom"/>
          </w:tcPr>
          <w:p>
            <w:pPr>
              <w:spacing w:after="0"/>
              <w:rPr>
                <w:sz w:val="12"/>
                <w:szCs w:val="12"/>
                <w:color w:val="auto"/>
              </w:rPr>
            </w:pPr>
          </w:p>
        </w:tc>
        <w:tc>
          <w:tcPr>
            <w:tcW w:w="720" w:type="dxa"/>
            <w:vAlign w:val="bottom"/>
          </w:tcPr>
          <w:p>
            <w:pPr>
              <w:jc w:val="center"/>
              <w:ind w:right="61"/>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5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158,028,673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1,580</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(14,582,134)</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(461,457)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346,958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690,516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(15,106)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562,491</w:t>
            </w:r>
          </w:p>
        </w:tc>
        <w:tc>
          <w:tcPr>
            <w:tcW w:w="0" w:type="dxa"/>
            <w:vAlign w:val="bottom"/>
          </w:tcPr>
          <w:p>
            <w:pPr>
              <w:spacing w:after="0"/>
              <w:rPr>
                <w:sz w:val="1"/>
                <w:szCs w:val="1"/>
                <w:color w:val="auto"/>
              </w:rPr>
            </w:pPr>
          </w:p>
        </w:tc>
      </w:tr>
      <w:tr>
        <w:trPr>
          <w:trHeight w:val="147"/>
        </w:trPr>
        <w:tc>
          <w:tcPr>
            <w:tcW w:w="4480" w:type="dxa"/>
            <w:vAlign w:val="bottom"/>
          </w:tcPr>
          <w:p>
            <w:pPr>
              <w:ind w:left="120"/>
              <w:spacing w:after="0" w:line="133" w:lineRule="exact"/>
              <w:rPr>
                <w:sz w:val="20"/>
                <w:szCs w:val="20"/>
                <w:color w:val="auto"/>
              </w:rPr>
            </w:pPr>
            <w:r>
              <w:rPr>
                <w:rFonts w:ascii="Arial" w:cs="Arial" w:eastAsia="Arial" w:hAnsi="Arial"/>
                <w:sz w:val="12"/>
                <w:szCs w:val="12"/>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2"/>
                <w:szCs w:val="12"/>
                <w:color w:val="auto"/>
              </w:rPr>
              <w:t>876,187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11,257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11,266</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1,019,965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12,116</w:t>
            </w:r>
          </w:p>
        </w:tc>
        <w:tc>
          <w:tcPr>
            <w:tcW w:w="0" w:type="dxa"/>
            <w:vAlign w:val="bottom"/>
          </w:tcPr>
          <w:p>
            <w:pPr>
              <w:spacing w:after="0"/>
              <w:rPr>
                <w:sz w:val="1"/>
                <w:szCs w:val="1"/>
                <w:color w:val="auto"/>
              </w:rPr>
            </w:pPr>
          </w:p>
        </w:tc>
      </w:tr>
      <w:tr>
        <w:trPr>
          <w:trHeight w:val="156"/>
        </w:trPr>
        <w:tc>
          <w:tcPr>
            <w:tcW w:w="4480" w:type="dxa"/>
            <w:vAlign w:val="bottom"/>
          </w:tcPr>
          <w:p>
            <w:pPr>
              <w:ind w:left="120"/>
              <w:spacing w:after="0"/>
              <w:rPr>
                <w:sz w:val="20"/>
                <w:szCs w:val="20"/>
                <w:color w:val="auto"/>
              </w:rPr>
            </w:pPr>
            <w:r>
              <w:rPr>
                <w:rFonts w:ascii="Arial" w:cs="Arial" w:eastAsia="Arial" w:hAnsi="Arial"/>
                <w:sz w:val="12"/>
                <w:szCs w:val="12"/>
                <w:color w:val="auto"/>
              </w:rPr>
              <w:t>Repurchase of common stock</w:t>
            </w:r>
          </w:p>
        </w:tc>
        <w:tc>
          <w:tcPr>
            <w:tcW w:w="920" w:type="dxa"/>
            <w:vAlign w:val="bottom"/>
            <w:gridSpan w:val="2"/>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(5,314,838)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(249,993)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(249,993)</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92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418,529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418,529</w:t>
            </w:r>
          </w:p>
        </w:tc>
        <w:tc>
          <w:tcPr>
            <w:tcW w:w="0" w:type="dxa"/>
            <w:vAlign w:val="bottom"/>
          </w:tcPr>
          <w:p>
            <w:pPr>
              <w:spacing w:after="0"/>
              <w:rPr>
                <w:sz w:val="1"/>
                <w:szCs w:val="1"/>
                <w:color w:val="auto"/>
              </w:rPr>
            </w:pPr>
          </w:p>
        </w:tc>
      </w:tr>
      <w:tr>
        <w:trPr>
          <w:trHeight w:val="156"/>
        </w:trPr>
        <w:tc>
          <w:tcPr>
            <w:tcW w:w="4480" w:type="dxa"/>
            <w:vAlign w:val="bottom"/>
          </w:tcPr>
          <w:p>
            <w:pPr>
              <w:ind w:left="120"/>
              <w:spacing w:after="0"/>
              <w:rPr>
                <w:sz w:val="20"/>
                <w:szCs w:val="20"/>
                <w:color w:val="auto"/>
              </w:rPr>
            </w:pPr>
            <w:r>
              <w:rPr>
                <w:rFonts w:ascii="Arial" w:cs="Arial" w:eastAsia="Arial" w:hAnsi="Arial"/>
                <w:sz w:val="12"/>
                <w:szCs w:val="12"/>
                <w:color w:val="auto"/>
              </w:rPr>
              <w:t>Other comprehensive income, net of tax</w:t>
            </w:r>
          </w:p>
        </w:tc>
        <w:tc>
          <w:tcPr>
            <w:tcW w:w="920" w:type="dxa"/>
            <w:vAlign w:val="bottom"/>
            <w:gridSpan w:val="2"/>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3,916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3,916</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Dividends paid of $0.80 per share of common stock</w:t>
            </w:r>
          </w:p>
        </w:tc>
        <w:tc>
          <w:tcPr>
            <w:tcW w:w="92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(114,234)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(114,234)</w:t>
            </w:r>
          </w:p>
        </w:tc>
        <w:tc>
          <w:tcPr>
            <w:tcW w:w="0" w:type="dxa"/>
            <w:vAlign w:val="bottom"/>
          </w:tcPr>
          <w:p>
            <w:pPr>
              <w:spacing w:after="0"/>
              <w:rPr>
                <w:sz w:val="1"/>
                <w:szCs w:val="1"/>
                <w:color w:val="auto"/>
              </w:rPr>
            </w:pPr>
          </w:p>
        </w:tc>
      </w:tr>
      <w:tr>
        <w:trPr>
          <w:trHeight w:val="156"/>
        </w:trPr>
        <w:tc>
          <w:tcPr>
            <w:tcW w:w="4480" w:type="dxa"/>
            <w:vAlign w:val="bottom"/>
          </w:tcPr>
          <w:p>
            <w:pPr>
              <w:ind w:left="120"/>
              <w:spacing w:after="0"/>
              <w:rPr>
                <w:sz w:val="20"/>
                <w:szCs w:val="20"/>
                <w:color w:val="auto"/>
              </w:rPr>
            </w:pPr>
            <w:r>
              <w:rPr>
                <w:rFonts w:ascii="Arial" w:cs="Arial" w:eastAsia="Arial" w:hAnsi="Arial"/>
                <w:sz w:val="12"/>
                <w:szCs w:val="12"/>
                <w:color w:val="auto"/>
              </w:rPr>
              <w:t>Stock-based compensation expense</w:t>
            </w:r>
          </w:p>
        </w:tc>
        <w:tc>
          <w:tcPr>
            <w:tcW w:w="920" w:type="dxa"/>
            <w:vAlign w:val="bottom"/>
            <w:gridSpan w:val="2"/>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31,275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31,275</w:t>
            </w:r>
          </w:p>
        </w:tc>
        <w:tc>
          <w:tcPr>
            <w:tcW w:w="0" w:type="dxa"/>
            <w:vAlign w:val="bottom"/>
          </w:tcPr>
          <w:p>
            <w:pPr>
              <w:spacing w:after="0"/>
              <w:rPr>
                <w:sz w:val="1"/>
                <w:szCs w:val="1"/>
                <w:color w:val="auto"/>
              </w:rPr>
            </w:pPr>
          </w:p>
        </w:tc>
      </w:tr>
      <w:tr>
        <w:trPr>
          <w:trHeight w:val="153"/>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159,924,825</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1,599</w:t>
            </w: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(19,896,972)</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(711,450)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401,596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994,811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(11,190)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675,366</w:t>
            </w:r>
          </w:p>
        </w:tc>
        <w:tc>
          <w:tcPr>
            <w:tcW w:w="0" w:type="dxa"/>
            <w:vAlign w:val="bottom"/>
          </w:tcPr>
          <w:p>
            <w:pPr>
              <w:spacing w:after="0"/>
              <w:rPr>
                <w:sz w:val="1"/>
                <w:szCs w:val="1"/>
                <w:color w:val="auto"/>
              </w:rPr>
            </w:pPr>
          </w:p>
        </w:tc>
      </w:tr>
      <w:tr>
        <w:trPr>
          <w:trHeight w:val="147"/>
        </w:trPr>
        <w:tc>
          <w:tcPr>
            <w:tcW w:w="4480" w:type="dxa"/>
            <w:vAlign w:val="bottom"/>
          </w:tcPr>
          <w:p>
            <w:pPr>
              <w:ind w:left="120"/>
              <w:spacing w:after="0" w:line="133" w:lineRule="exact"/>
              <w:rPr>
                <w:sz w:val="20"/>
                <w:szCs w:val="20"/>
                <w:color w:val="auto"/>
              </w:rPr>
            </w:pPr>
            <w:r>
              <w:rPr>
                <w:rFonts w:ascii="Arial" w:cs="Arial" w:eastAsia="Arial" w:hAnsi="Arial"/>
                <w:sz w:val="12"/>
                <w:szCs w:val="12"/>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2"/>
                <w:szCs w:val="12"/>
                <w:color w:val="auto"/>
              </w:rPr>
              <w:t>833,258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14,979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14,987</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575,890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8,925</w:t>
            </w:r>
          </w:p>
        </w:tc>
        <w:tc>
          <w:tcPr>
            <w:tcW w:w="0" w:type="dxa"/>
            <w:vAlign w:val="bottom"/>
          </w:tcPr>
          <w:p>
            <w:pPr>
              <w:spacing w:after="0"/>
              <w:rPr>
                <w:sz w:val="1"/>
                <w:szCs w:val="1"/>
                <w:color w:val="auto"/>
              </w:rPr>
            </w:pPr>
          </w:p>
        </w:tc>
      </w:tr>
      <w:tr>
        <w:trPr>
          <w:trHeight w:val="156"/>
        </w:trPr>
        <w:tc>
          <w:tcPr>
            <w:tcW w:w="4480" w:type="dxa"/>
            <w:vAlign w:val="bottom"/>
          </w:tcPr>
          <w:p>
            <w:pPr>
              <w:ind w:left="120"/>
              <w:spacing w:after="0"/>
              <w:rPr>
                <w:sz w:val="20"/>
                <w:szCs w:val="20"/>
                <w:color w:val="auto"/>
              </w:rPr>
            </w:pPr>
            <w:r>
              <w:rPr>
                <w:rFonts w:ascii="Arial" w:cs="Arial" w:eastAsia="Arial" w:hAnsi="Arial"/>
                <w:sz w:val="12"/>
                <w:szCs w:val="12"/>
                <w:color w:val="auto"/>
              </w:rPr>
              <w:t>Repurchase of common stock</w:t>
            </w:r>
          </w:p>
        </w:tc>
        <w:tc>
          <w:tcPr>
            <w:tcW w:w="920" w:type="dxa"/>
            <w:vAlign w:val="bottom"/>
            <w:gridSpan w:val="2"/>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(2,717,080)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(186,645)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(186,645)</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Recognition of liability related to future stock units vesting</w:t>
            </w:r>
          </w:p>
        </w:tc>
        <w:tc>
          <w:tcPr>
            <w:tcW w:w="92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(757)</w:t>
            </w:r>
          </w:p>
        </w:tc>
        <w:tc>
          <w:tcPr>
            <w:tcW w:w="0" w:type="dxa"/>
            <w:vAlign w:val="bottom"/>
          </w:tcPr>
          <w:p>
            <w:pPr>
              <w:spacing w:after="0"/>
              <w:rPr>
                <w:sz w:val="1"/>
                <w:szCs w:val="1"/>
                <w:color w:val="auto"/>
              </w:rPr>
            </w:pPr>
          </w:p>
        </w:tc>
      </w:tr>
      <w:tr>
        <w:trPr>
          <w:trHeight w:val="156"/>
        </w:trPr>
        <w:tc>
          <w:tcPr>
            <w:tcW w:w="448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920" w:type="dxa"/>
            <w:vAlign w:val="bottom"/>
            <w:gridSpan w:val="2"/>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482,603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482,603</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loss, net of tax</w:t>
            </w:r>
          </w:p>
        </w:tc>
        <w:tc>
          <w:tcPr>
            <w:tcW w:w="92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(34,811)</w:t>
            </w:r>
          </w:p>
        </w:tc>
        <w:tc>
          <w:tcPr>
            <w:tcW w:w="0" w:type="dxa"/>
            <w:vAlign w:val="bottom"/>
          </w:tcPr>
          <w:p>
            <w:pPr>
              <w:spacing w:after="0"/>
              <w:rPr>
                <w:sz w:val="1"/>
                <w:szCs w:val="1"/>
                <w:color w:val="auto"/>
              </w:rPr>
            </w:pPr>
          </w:p>
        </w:tc>
      </w:tr>
      <w:tr>
        <w:trPr>
          <w:trHeight w:val="156"/>
        </w:trPr>
        <w:tc>
          <w:tcPr>
            <w:tcW w:w="4480" w:type="dxa"/>
            <w:vAlign w:val="bottom"/>
          </w:tcPr>
          <w:p>
            <w:pPr>
              <w:ind w:left="120"/>
              <w:spacing w:after="0"/>
              <w:rPr>
                <w:sz w:val="20"/>
                <w:szCs w:val="20"/>
                <w:color w:val="auto"/>
              </w:rPr>
            </w:pPr>
            <w:r>
              <w:rPr>
                <w:rFonts w:ascii="Arial" w:cs="Arial" w:eastAsia="Arial" w:hAnsi="Arial"/>
                <w:sz w:val="12"/>
                <w:szCs w:val="12"/>
                <w:color w:val="auto"/>
              </w:rPr>
              <w:t>Dividends paid of $1.04 per share of common stock</w:t>
            </w:r>
          </w:p>
        </w:tc>
        <w:tc>
          <w:tcPr>
            <w:tcW w:w="920" w:type="dxa"/>
            <w:vAlign w:val="bottom"/>
            <w:gridSpan w:val="2"/>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(146,602)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(146,602)</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w:t>
            </w:r>
          </w:p>
        </w:tc>
        <w:tc>
          <w:tcPr>
            <w:tcW w:w="92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43,290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43,290</w:t>
            </w:r>
          </w:p>
        </w:tc>
        <w:tc>
          <w:tcPr>
            <w:tcW w:w="0" w:type="dxa"/>
            <w:vAlign w:val="bottom"/>
          </w:tcPr>
          <w:p>
            <w:pPr>
              <w:spacing w:after="0"/>
              <w:rPr>
                <w:sz w:val="1"/>
                <w:szCs w:val="1"/>
                <w:color w:val="auto"/>
              </w:rPr>
            </w:pPr>
          </w:p>
        </w:tc>
      </w:tr>
      <w:tr>
        <w:trPr>
          <w:trHeight w:val="147"/>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Balance at March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161,333,973</w:t>
            </w: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1,613</w:t>
            </w:r>
          </w:p>
        </w:tc>
        <w:tc>
          <w:tcPr>
            <w:tcW w:w="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(22,614,052)</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(898,095)</w:t>
            </w: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468,027</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1,330,812</w:t>
            </w: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(46,001)</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856,356</w:t>
            </w:r>
          </w:p>
        </w:tc>
        <w:tc>
          <w:tcPr>
            <w:tcW w:w="0" w:type="dxa"/>
            <w:vAlign w:val="bottom"/>
          </w:tcPr>
          <w:p>
            <w:pPr>
              <w:spacing w:after="0"/>
              <w:rPr>
                <w:sz w:val="1"/>
                <w:szCs w:val="1"/>
                <w:color w:val="auto"/>
              </w:rPr>
            </w:pPr>
          </w:p>
        </w:tc>
      </w:tr>
      <w:tr>
        <w:trPr>
          <w:trHeight w:val="153"/>
        </w:trPr>
        <w:tc>
          <w:tcPr>
            <w:tcW w:w="44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1,112,183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18,803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18,814</w:t>
            </w:r>
          </w:p>
        </w:tc>
        <w:tc>
          <w:tcPr>
            <w:tcW w:w="0" w:type="dxa"/>
            <w:vAlign w:val="bottom"/>
          </w:tcPr>
          <w:p>
            <w:pPr>
              <w:spacing w:after="0"/>
              <w:rPr>
                <w:sz w:val="1"/>
                <w:szCs w:val="1"/>
                <w:color w:val="auto"/>
              </w:rPr>
            </w:pPr>
          </w:p>
        </w:tc>
      </w:tr>
      <w:tr>
        <w:trPr>
          <w:trHeight w:val="156"/>
        </w:trPr>
        <w:tc>
          <w:tcPr>
            <w:tcW w:w="4480" w:type="dxa"/>
            <w:vAlign w:val="bottom"/>
          </w:tcPr>
          <w:p>
            <w:pPr>
              <w:ind w:left="120"/>
              <w:spacing w:after="0"/>
              <w:rPr>
                <w:sz w:val="20"/>
                <w:szCs w:val="20"/>
                <w:color w:val="auto"/>
              </w:rPr>
            </w:pPr>
            <w:r>
              <w:rPr>
                <w:rFonts w:ascii="Arial" w:cs="Arial" w:eastAsia="Arial" w:hAnsi="Arial"/>
                <w:sz w:val="12"/>
                <w:szCs w:val="12"/>
                <w:color w:val="auto"/>
              </w:rPr>
              <w:t>Stock options exercised</w:t>
            </w:r>
          </w:p>
        </w:tc>
        <w:tc>
          <w:tcPr>
            <w:tcW w:w="860" w:type="dxa"/>
            <w:vAlign w:val="bottom"/>
          </w:tcPr>
          <w:p>
            <w:pPr>
              <w:jc w:val="right"/>
              <w:spacing w:after="0"/>
              <w:rPr>
                <w:sz w:val="20"/>
                <w:szCs w:val="20"/>
                <w:color w:val="auto"/>
              </w:rPr>
            </w:pPr>
            <w:r>
              <w:rPr>
                <w:rFonts w:ascii="Arial" w:cs="Arial" w:eastAsia="Arial" w:hAnsi="Arial"/>
                <w:sz w:val="12"/>
                <w:szCs w:val="12"/>
                <w:color w:val="auto"/>
              </w:rPr>
              <w:t>504,450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11,742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11,747</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Repurchase of common stock</w:t>
            </w:r>
          </w:p>
        </w:tc>
        <w:tc>
          <w:tcPr>
            <w:tcW w:w="92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(4,090,525)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(318,068)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(318,068)</w:t>
            </w:r>
          </w:p>
        </w:tc>
        <w:tc>
          <w:tcPr>
            <w:tcW w:w="0" w:type="dxa"/>
            <w:vAlign w:val="bottom"/>
          </w:tcPr>
          <w:p>
            <w:pPr>
              <w:spacing w:after="0"/>
              <w:rPr>
                <w:sz w:val="1"/>
                <w:szCs w:val="1"/>
                <w:color w:val="auto"/>
              </w:rPr>
            </w:pPr>
          </w:p>
        </w:tc>
      </w:tr>
      <w:tr>
        <w:trPr>
          <w:trHeight w:val="156"/>
        </w:trPr>
        <w:tc>
          <w:tcPr>
            <w:tcW w:w="4480" w:type="dxa"/>
            <w:vAlign w:val="bottom"/>
          </w:tcPr>
          <w:p>
            <w:pPr>
              <w:ind w:left="120"/>
              <w:spacing w:after="0"/>
              <w:rPr>
                <w:sz w:val="20"/>
                <w:szCs w:val="20"/>
                <w:color w:val="auto"/>
              </w:rPr>
            </w:pPr>
            <w:r>
              <w:rPr>
                <w:rFonts w:ascii="Arial" w:cs="Arial" w:eastAsia="Arial" w:hAnsi="Arial"/>
                <w:sz w:val="12"/>
                <w:szCs w:val="12"/>
                <w:color w:val="auto"/>
              </w:rPr>
              <w:t>Recognition of liability related to future restricted stock units vesting</w:t>
            </w:r>
          </w:p>
        </w:tc>
        <w:tc>
          <w:tcPr>
            <w:tcW w:w="920" w:type="dxa"/>
            <w:vAlign w:val="bottom"/>
            <w:gridSpan w:val="2"/>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(456)</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income</w:t>
            </w:r>
          </w:p>
        </w:tc>
        <w:tc>
          <w:tcPr>
            <w:tcW w:w="92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608,958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608,958</w:t>
            </w:r>
          </w:p>
        </w:tc>
        <w:tc>
          <w:tcPr>
            <w:tcW w:w="0" w:type="dxa"/>
            <w:vAlign w:val="bottom"/>
          </w:tcPr>
          <w:p>
            <w:pPr>
              <w:spacing w:after="0"/>
              <w:rPr>
                <w:sz w:val="1"/>
                <w:szCs w:val="1"/>
                <w:color w:val="auto"/>
              </w:rPr>
            </w:pPr>
          </w:p>
        </w:tc>
      </w:tr>
      <w:tr>
        <w:trPr>
          <w:trHeight w:val="168"/>
        </w:trPr>
        <w:tc>
          <w:tcPr>
            <w:tcW w:w="4480" w:type="dxa"/>
            <w:vAlign w:val="bottom"/>
          </w:tcPr>
          <w:p>
            <w:pPr>
              <w:ind w:left="120"/>
              <w:spacing w:after="0"/>
              <w:rPr>
                <w:sz w:val="20"/>
                <w:szCs w:val="20"/>
                <w:color w:val="auto"/>
              </w:rPr>
            </w:pPr>
            <w:r>
              <w:rPr>
                <w:rFonts w:ascii="Arial" w:cs="Arial" w:eastAsia="Arial" w:hAnsi="Arial"/>
                <w:sz w:val="12"/>
                <w:szCs w:val="12"/>
                <w:color w:val="auto"/>
              </w:rPr>
              <w:t>Topic 326 adoption impact</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(1,180)</w:t>
            </w:r>
          </w:p>
        </w:tc>
        <w:tc>
          <w:tcPr>
            <w:tcW w:w="0" w:type="dxa"/>
            <w:vAlign w:val="bottom"/>
          </w:tcPr>
          <w:p>
            <w:pPr>
              <w:spacing w:after="0"/>
              <w:rPr>
                <w:sz w:val="1"/>
                <w:szCs w:val="1"/>
                <w:color w:val="auto"/>
              </w:rPr>
            </w:pPr>
          </w:p>
        </w:tc>
      </w:tr>
      <w:tr>
        <w:trPr>
          <w:trHeight w:val="161"/>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income, net of tax</w:t>
            </w:r>
          </w:p>
        </w:tc>
        <w:tc>
          <w:tcPr>
            <w:tcW w:w="92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16,230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16,230</w:t>
            </w:r>
          </w:p>
        </w:tc>
        <w:tc>
          <w:tcPr>
            <w:tcW w:w="0" w:type="dxa"/>
            <w:vAlign w:val="bottom"/>
          </w:tcPr>
          <w:p>
            <w:pPr>
              <w:spacing w:after="0"/>
              <w:rPr>
                <w:sz w:val="1"/>
                <w:szCs w:val="1"/>
                <w:color w:val="auto"/>
              </w:rPr>
            </w:pPr>
          </w:p>
        </w:tc>
      </w:tr>
      <w:tr>
        <w:trPr>
          <w:trHeight w:val="156"/>
        </w:trPr>
        <w:tc>
          <w:tcPr>
            <w:tcW w:w="4480" w:type="dxa"/>
            <w:vAlign w:val="bottom"/>
          </w:tcPr>
          <w:p>
            <w:pPr>
              <w:ind w:left="120"/>
              <w:spacing w:after="0"/>
              <w:rPr>
                <w:sz w:val="20"/>
                <w:szCs w:val="20"/>
                <w:color w:val="auto"/>
              </w:rPr>
            </w:pPr>
            <w:r>
              <w:rPr>
                <w:rFonts w:ascii="Arial" w:cs="Arial" w:eastAsia="Arial" w:hAnsi="Arial"/>
                <w:sz w:val="12"/>
                <w:szCs w:val="12"/>
                <w:color w:val="auto"/>
              </w:rPr>
              <w:t>Dividends paid of $1.30 per share of common stock</w:t>
            </w:r>
          </w:p>
        </w:tc>
        <w:tc>
          <w:tcPr>
            <w:tcW w:w="920" w:type="dxa"/>
            <w:vAlign w:val="bottom"/>
            <w:gridSpan w:val="2"/>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(181,066)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(181,066)</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 expense</w:t>
            </w:r>
          </w:p>
        </w:tc>
        <w:tc>
          <w:tcPr>
            <w:tcW w:w="920" w:type="dxa"/>
            <w:vAlign w:val="bottom"/>
            <w:gridSpan w:val="2"/>
            <w:shd w:val="clear" w:color="auto" w:fill="CCEEFF"/>
          </w:tcPr>
          <w:p>
            <w:pPr>
              <w:jc w:val="center"/>
              <w:ind w:left="501"/>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59,841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59,841</w:t>
            </w:r>
          </w:p>
        </w:tc>
        <w:tc>
          <w:tcPr>
            <w:tcW w:w="0" w:type="dxa"/>
            <w:vAlign w:val="bottom"/>
          </w:tcPr>
          <w:p>
            <w:pPr>
              <w:spacing w:after="0"/>
              <w:rPr>
                <w:sz w:val="1"/>
                <w:szCs w:val="1"/>
                <w:color w:val="auto"/>
              </w:rPr>
            </w:pPr>
          </w:p>
        </w:tc>
      </w:tr>
      <w:tr>
        <w:trPr>
          <w:trHeight w:val="147"/>
        </w:trPr>
        <w:tc>
          <w:tcPr>
            <w:tcW w:w="448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162,950,606</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1,629</w:t>
            </w:r>
          </w:p>
        </w:tc>
        <w:tc>
          <w:tcPr>
            <w:tcW w:w="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(26,704,577)</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(1,216,163)</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557,957</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1,757,524</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(29,771)</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1,071,176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9" w:right="3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 2021</w:t>
      </w:r>
    </w:p>
    <w:p>
      <w:pPr>
        <w:spacing w:after="0" w:line="164" w:lineRule="exact"/>
        <w:rPr>
          <w:sz w:val="20"/>
          <w:szCs w:val="20"/>
          <w:color w:val="auto"/>
        </w:rPr>
      </w:pPr>
    </w:p>
    <w:p>
      <w:pPr>
        <w:ind w:left="160" w:right="9620" w:hanging="155"/>
        <w:spacing w:after="0" w:line="382" w:lineRule="auto"/>
        <w:tabs>
          <w:tab w:leader="none" w:pos="142"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BUSINESS OVERVIEW </w:t>
      </w:r>
      <w:r>
        <w:rPr>
          <w:rFonts w:ascii="Arial" w:cs="Arial" w:eastAsia="Arial" w:hAnsi="Arial"/>
          <w:sz w:val="14"/>
          <w:szCs w:val="14"/>
          <w:b w:val="1"/>
          <w:bCs w:val="1"/>
          <w:i w:val="1"/>
          <w:iCs w:val="1"/>
          <w:color w:val="auto"/>
        </w:rPr>
        <w:t>Our Business</w:t>
      </w:r>
    </w:p>
    <w:p>
      <w:pPr>
        <w:spacing w:after="0" w:line="1"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27,700 employees as of March 31, 2021.</w:t>
      </w:r>
    </w:p>
    <w:p>
      <w:pPr>
        <w:spacing w:after="0" w:line="142" w:lineRule="exact"/>
        <w:rPr>
          <w:sz w:val="20"/>
          <w:szCs w:val="20"/>
          <w:color w:val="auto"/>
        </w:rPr>
      </w:pPr>
    </w:p>
    <w:p>
      <w:pPr>
        <w:ind w:left="160" w:right="7440" w:hanging="155"/>
        <w:spacing w:after="0" w:line="382" w:lineRule="auto"/>
        <w:tabs>
          <w:tab w:leader="none" w:pos="142"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b w:val="1"/>
          <w:bCs w:val="1"/>
          <w:i w:val="1"/>
          <w:iCs w:val="1"/>
          <w:color w:val="auto"/>
        </w:rPr>
        <w:t>Basis of Presentation</w:t>
      </w:r>
    </w:p>
    <w:p>
      <w:pPr>
        <w:spacing w:after="0" w:line="1" w:lineRule="exact"/>
        <w:rPr>
          <w:sz w:val="20"/>
          <w:szCs w:val="20"/>
          <w:color w:val="auto"/>
        </w:rPr>
      </w:pPr>
    </w:p>
    <w:p>
      <w:pPr>
        <w:jc w:val="both"/>
        <w:ind w:right="40" w:firstLine="318"/>
        <w:spacing w:after="0" w:line="267" w:lineRule="auto"/>
        <w:rPr>
          <w:sz w:val="20"/>
          <w:szCs w:val="20"/>
          <w:color w:val="auto"/>
        </w:rPr>
      </w:pPr>
      <w:r>
        <w:rPr>
          <w:rFonts w:ascii="Arial" w:cs="Arial" w:eastAsia="Arial" w:hAnsi="Arial"/>
          <w:sz w:val="14"/>
          <w:szCs w:val="14"/>
          <w:color w:val="auto"/>
        </w:rPr>
        <w:t>The accompanying consolidated financial statements include the accounts of the Company and its wholly owned subsidiaries, and have been prepared in accordance with accounting principles generally accepted in the United States, or U.S. GAAP, and the rules and regulations of the U.S. Securities and Exchange Commission, or SEC. All intercompany balances and transactions have been eliminated in consolidation.</w:t>
      </w:r>
    </w:p>
    <w:p>
      <w:pPr>
        <w:spacing w:after="0" w:line="57" w:lineRule="exact"/>
        <w:rPr>
          <w:sz w:val="20"/>
          <w:szCs w:val="20"/>
          <w:color w:val="auto"/>
        </w:rPr>
      </w:pPr>
    </w:p>
    <w:p>
      <w:pPr>
        <w:ind w:right="20" w:firstLine="318"/>
        <w:spacing w:after="0" w:line="368" w:lineRule="auto"/>
        <w:rPr>
          <w:sz w:val="20"/>
          <w:szCs w:val="20"/>
          <w:color w:val="auto"/>
        </w:rPr>
      </w:pPr>
      <w:r>
        <w:rPr>
          <w:rFonts w:ascii="Arial" w:cs="Arial" w:eastAsia="Arial" w:hAnsi="Arial"/>
          <w:sz w:val="12"/>
          <w:szCs w:val="12"/>
          <w:color w:val="auto"/>
        </w:rPr>
        <w:t>The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1" w:lineRule="exact"/>
        <w:rPr>
          <w:sz w:val="20"/>
          <w:szCs w:val="20"/>
          <w:color w:val="auto"/>
        </w:rPr>
      </w:pPr>
    </w:p>
    <w:p>
      <w:pPr>
        <w:ind w:right="440" w:firstLine="318"/>
        <w:spacing w:after="0" w:line="321" w:lineRule="auto"/>
        <w:rPr>
          <w:sz w:val="20"/>
          <w:szCs w:val="20"/>
          <w:color w:val="auto"/>
        </w:rPr>
      </w:pPr>
      <w:r>
        <w:rPr>
          <w:rFonts w:ascii="Arial" w:cs="Arial" w:eastAsia="Arial" w:hAnsi="Arial"/>
          <w:sz w:val="13"/>
          <w:szCs w:val="13"/>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2021 and 2020 and the Company’s results of operations for fiscal 2021, 2020, and 2019.</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Certain amounts reported in the Company's prior year consolidated financial statements have been reclassified to conform to the current year presentation.</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Accounting Estimates</w:t>
      </w:r>
    </w:p>
    <w:p>
      <w:pPr>
        <w:spacing w:after="0" w:line="136"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periods. Areas of the consolidated financial statements where estimates may have the most significant effect include the provision for claimed indirect costs, valuation and expected lives of tangible and intangible assets, contingent consideration related to business acquisitions,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4" w:lineRule="exact"/>
        <w:rPr>
          <w:sz w:val="20"/>
          <w:szCs w:val="20"/>
          <w:color w:val="auto"/>
        </w:rPr>
      </w:pPr>
    </w:p>
    <w:p>
      <w:pPr>
        <w:ind w:right="240" w:firstLine="318"/>
        <w:spacing w:after="0" w:line="297" w:lineRule="auto"/>
        <w:rPr>
          <w:sz w:val="20"/>
          <w:szCs w:val="20"/>
          <w:color w:val="auto"/>
        </w:rPr>
      </w:pPr>
      <w:r>
        <w:rPr>
          <w:rFonts w:ascii="Arial" w:cs="Arial" w:eastAsia="Arial" w:hAnsi="Arial"/>
          <w:sz w:val="13"/>
          <w:szCs w:val="13"/>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 contracts, and fixed-price contracts.</w:t>
      </w:r>
    </w:p>
    <w:p>
      <w:pPr>
        <w:spacing w:after="0" w:line="39" w:lineRule="exact"/>
        <w:rPr>
          <w:sz w:val="20"/>
          <w:szCs w:val="20"/>
          <w:color w:val="auto"/>
        </w:rPr>
      </w:pPr>
    </w:p>
    <w:p>
      <w:pPr>
        <w:ind w:right="80" w:firstLine="139"/>
        <w:spacing w:after="0" w:line="267" w:lineRule="auto"/>
        <w:rPr>
          <w:sz w:val="20"/>
          <w:szCs w:val="20"/>
          <w:color w:val="auto"/>
        </w:rPr>
      </w:pPr>
      <w:r>
        <w:rPr>
          <w:rFonts w:ascii="Arial" w:cs="Arial" w:eastAsia="Arial" w:hAnsi="Arial"/>
          <w:sz w:val="14"/>
          <w:szCs w:val="14"/>
          <w:color w:val="auto"/>
        </w:rPr>
        <w:t>The Company considers a contract with a customer to exist under Topic 606, when there is approval and commitment from both the Company and the customer, the rights of the parties and payment terms are identified, the contract has commercial substance, and collectability of consideration is probable. The Company also will consider whether two or more contracts entered into with the same customer should be combined and accounted for as a single contract. Furthermore, in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certain transactions with commercial clients and with the U.S. government, the Company may commence providing services prior to receiving a formal approval from the customer. In these situations, the Company will consider the factors noted above, the risks associated with commencing the work and legal enforceability in determining whether a contract with the customer exists under Topic 606.</w:t>
      </w:r>
    </w:p>
    <w:p>
      <w:pPr>
        <w:spacing w:after="0" w:line="57"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62"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The Company evaluates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The Company’s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62" w:lineRule="exact"/>
        <w:rPr>
          <w:sz w:val="20"/>
          <w:szCs w:val="20"/>
          <w:color w:val="auto"/>
        </w:rPr>
      </w:pPr>
    </w:p>
    <w:p>
      <w:pPr>
        <w:ind w:right="60" w:firstLine="318"/>
        <w:spacing w:after="0" w:line="277" w:lineRule="auto"/>
        <w:rPr>
          <w:sz w:val="20"/>
          <w:szCs w:val="20"/>
          <w:color w:val="auto"/>
        </w:rPr>
      </w:pPr>
      <w:r>
        <w:rPr>
          <w:rFonts w:ascii="Arial" w:cs="Arial" w:eastAsia="Arial" w:hAnsi="Arial"/>
          <w:sz w:val="13"/>
          <w:szCs w:val="13"/>
          <w:color w:val="auto"/>
        </w:rPr>
        <w:t>Contracts with the U.S. government are generally subject to the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The Company may perform work under a contract that has not been fully funded if the work has been authorized by management and the customer to proceed. The Company evaluates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the Company allocates the transaction price of a contract between the performance obligations in the proportion to their respective stand-alone selling prices. The Company generally estimates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54"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The Company recognizes revenue for each performance obligation identified within our customer contracts when, or as, the performance obligation is satisfied by transferring the promised goods or services. Revenue may either be recognized over time or at a point in time. The Company generally recognizes revenue over time as our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generally includes both funded and unfunded portions of customer contracts in this estimation process.</w:t>
      </w:r>
    </w:p>
    <w:p>
      <w:pPr>
        <w:spacing w:after="0" w:line="53"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the Company and the U.S. government and represent indirect contract costs required to execute and administer contract obligations. The impact of any agreed-upon changes, or changes in the estimated annual</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2" w:name="page83"/>
    <w:bookmarkEnd w:id="82"/>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forward-pricing rates, are recorded in the interim financial reporting period when such changes are identified. These changes relate to the interim financial reporting period differences between the actual indirect costs incurred and allocated to customer contracts compared to the estimated amounts allocated to contracts using the estimated annual forward-pricing rates established with the U.S. government.</w:t>
      </w:r>
    </w:p>
    <w:p>
      <w:pPr>
        <w:spacing w:after="0" w:line="57"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which would allow the Company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49"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in the period when such changes are made on a cumulative catch-up basis. If the estimate of contract profitability indicates an anticipated loss on a contract, the Company recognizes the total loss at the time it is identified. For fiscal 2021, 2020 and 2019, the aggregate impact of adjustments in contract estimates was not material.</w:t>
      </w:r>
    </w:p>
    <w:p>
      <w:pPr>
        <w:spacing w:after="0" w:line="66" w:lineRule="exact"/>
        <w:rPr>
          <w:sz w:val="20"/>
          <w:szCs w:val="20"/>
          <w:color w:val="auto"/>
        </w:rPr>
      </w:pPr>
    </w:p>
    <w:p>
      <w:pPr>
        <w:ind w:right="460" w:firstLine="318"/>
        <w:spacing w:after="0" w:line="368" w:lineRule="auto"/>
        <w:rPr>
          <w:sz w:val="20"/>
          <w:szCs w:val="20"/>
          <w:color w:val="auto"/>
        </w:rPr>
      </w:pPr>
      <w:r>
        <w:rPr>
          <w:rFonts w:ascii="Arial" w:cs="Arial" w:eastAsia="Arial" w:hAnsi="Arial"/>
          <w:sz w:val="12"/>
          <w:szCs w:val="12"/>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94" w:lineRule="exact"/>
        <w:rPr>
          <w:sz w:val="20"/>
          <w:szCs w:val="20"/>
          <w:color w:val="auto"/>
        </w:rPr>
      </w:pPr>
    </w:p>
    <w:p>
      <w:pPr>
        <w:jc w:val="both"/>
        <w:ind w:right="120" w:firstLine="350"/>
        <w:spacing w:after="0" w:line="267" w:lineRule="auto"/>
        <w:rPr>
          <w:sz w:val="20"/>
          <w:szCs w:val="20"/>
          <w:color w:val="auto"/>
        </w:rPr>
      </w:pPr>
      <w:r>
        <w:rPr>
          <w:rFonts w:ascii="Arial" w:cs="Arial" w:eastAsia="Arial" w:hAnsi="Arial"/>
          <w:sz w:val="14"/>
          <w:szCs w:val="14"/>
          <w:color w:val="auto"/>
        </w:rPr>
        <w:t>Cash and cash equivalents include operating cash on hand and highly liquid investments having a weighted average maturity of 60 days or less and a weighted average life of 120 days or less. The Company’s cash equivalents consist primarily of government money market funds and money market deposit accounts. The Company maintains its cash and cash equivalents in bank accounts that, at times, exceed the federally insured FDIC limits. The Company has not experienced any losses in such accounts.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Valuation of Accounts Receivable</w:t>
      </w:r>
    </w:p>
    <w:p>
      <w:pPr>
        <w:spacing w:after="0" w:line="94" w:lineRule="exact"/>
        <w:rPr>
          <w:sz w:val="20"/>
          <w:szCs w:val="20"/>
          <w:color w:val="auto"/>
        </w:rPr>
      </w:pPr>
    </w:p>
    <w:p>
      <w:pPr>
        <w:ind w:right="80" w:firstLine="350"/>
        <w:spacing w:after="0" w:line="258" w:lineRule="auto"/>
        <w:rPr>
          <w:sz w:val="20"/>
          <w:szCs w:val="20"/>
          <w:color w:val="auto"/>
        </w:rPr>
      </w:pPr>
      <w:r>
        <w:rPr>
          <w:rFonts w:ascii="Arial" w:cs="Arial" w:eastAsia="Arial" w:hAnsi="Arial"/>
          <w:sz w:val="14"/>
          <w:szCs w:val="14"/>
          <w:color w:val="auto"/>
        </w:rPr>
        <w:t>The Company maintains allowances for doubtful accounts against certain accounts receivables based upon the latest information regarding whether specific charges are recoverable or invoices are ultimately collectible. Assessing the recoverability of charges and collectability of customer receivables requires management judgment. The Company determines its allowance for doubtful accounts by specifically analyzing individual accounts receivable, historical bad debts, customer credit-worthiness, current economic conditions, accounts receivable aging trends for billed receivables, availability of funding, compliance with contractual terms and conditions, client satisfaction with work performed, and other factors impacting accounts receivables. Valuation reserves are periodically re-evaluated and adjusted as more information about the ultimate recoverability and collectability of accounts receivable becomes available. Upon determination that a receivable is uncollectible, the receivable balance and any associated reserve are written off.</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94" w:lineRule="exact"/>
        <w:rPr>
          <w:sz w:val="20"/>
          <w:szCs w:val="20"/>
          <w:color w:val="auto"/>
        </w:rPr>
      </w:pPr>
    </w:p>
    <w:p>
      <w:pPr>
        <w:ind w:right="180" w:firstLine="350"/>
        <w:spacing w:after="0" w:line="267"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equivalents and accounts receivable. The Company’s cash equivalents are generally invested in U.S. government money market funds and money market deposit accounts. The Company believes that credit risk for accounts receivable is limited as the receivables are primarily with the U.S. government.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94"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Property and equipment are recorded at cost, and the balances are presented net of accumulated depreciation. Depreciation is calculated using the straight-line method over the estimated useful lives of the assets. Furniture and equipment is depreciated over five to ten years, and computer equipment is depreciated over four years. Leasehold improvements are amortized over the shorter of the useful life of the asset or the lease term. Maintenance and repairs are charged to expense as incurred.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94"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The accounting for the Company’s business combinations consists of allocating the purchase price to tangible and intangible assets acquired and liabilities assumed based on their estimated fair values, with the excess recorded as goodwill. The Company has up to one year from the acquisition date to use information as of each acquisition date to adjust the fair value of the acquired assets and liabilities which may result in material changes to their recorded values with an offsetting adjustment to goodwill.</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94" w:lineRule="exact"/>
        <w:rPr>
          <w:sz w:val="20"/>
          <w:szCs w:val="20"/>
          <w:color w:val="auto"/>
        </w:rPr>
      </w:pPr>
    </w:p>
    <w:p>
      <w:pPr>
        <w:ind w:right="120" w:firstLine="350"/>
        <w:spacing w:after="0" w:line="279" w:lineRule="auto"/>
        <w:rPr>
          <w:sz w:val="20"/>
          <w:szCs w:val="20"/>
          <w:color w:val="auto"/>
        </w:rPr>
      </w:pPr>
      <w:r>
        <w:rPr>
          <w:rFonts w:ascii="Arial" w:cs="Arial" w:eastAsia="Arial" w:hAnsi="Arial"/>
          <w:sz w:val="13"/>
          <w:szCs w:val="13"/>
          <w:color w:val="auto"/>
        </w:rPr>
        <w:t>Intangible assets primarily consist of the Company's trade name, customer relationships, software and other amortizable intangible assets. The Company capitalizes the following costs associated with developing internal-use computer software pertaining to upgrades in our business and financial systems: (i) external direct costs of materials and services consumed in developing or obtaining internal-use computer software and (ii) certain payroll and payroll-related costs for Company employees who are directly associated with the development of internal-use software, to the extent of the time spent directly on the project. Customer relationships are generally amortized on an accelerated basis over the expected life based on projected future cash flows of approximately three to twelve years. Software purchased or developed for internal use is amortized over two to five years. The Company's trade name is not amortized, but is tested for impairment on at least an annual basis as of January 1 and more frequently if interim indicators of impairment exist. The trade name is considered to be impaired if the carrying value exceeds its estimated fair value. The Company uses the relief from royalty method to estimate the fair value. The fair value of the asset is the present value of the license fees avoided by owning the asset, or the royalty savings. During the fiscal years ended March 31, 2021, 2020, and 2019, the Company did not record any impairment of intangible assets.</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Goodwill</w:t>
      </w:r>
    </w:p>
    <w:p>
      <w:pPr>
        <w:spacing w:after="0" w:line="94" w:lineRule="exact"/>
        <w:rPr>
          <w:sz w:val="20"/>
          <w:szCs w:val="20"/>
          <w:color w:val="auto"/>
        </w:rPr>
      </w:pPr>
    </w:p>
    <w:p>
      <w:pPr>
        <w:ind w:right="40" w:firstLine="350"/>
        <w:spacing w:after="0" w:line="260" w:lineRule="auto"/>
        <w:rPr>
          <w:sz w:val="20"/>
          <w:szCs w:val="20"/>
          <w:color w:val="auto"/>
        </w:rPr>
      </w:pPr>
      <w:r>
        <w:rPr>
          <w:rFonts w:ascii="Arial" w:cs="Arial" w:eastAsia="Arial" w:hAnsi="Arial"/>
          <w:sz w:val="14"/>
          <w:szCs w:val="14"/>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2021, the Company performed its annual impairment test of goodwill by comparing the fair value of the Company (based on market capitalization) to the carrying value of the Company's net equity, and concluded that the fair value of the reporting unit was significantly greater than the carrying amount. During the fiscal years ended March 31, 2021, 2020, and 2019, the Company did not record any impairment of goodwill.</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Long-Lived Assets</w:t>
      </w:r>
    </w:p>
    <w:p>
      <w:pPr>
        <w:spacing w:after="0" w:line="94" w:lineRule="exact"/>
        <w:rPr>
          <w:sz w:val="20"/>
          <w:szCs w:val="20"/>
          <w:color w:val="auto"/>
        </w:rPr>
      </w:pPr>
    </w:p>
    <w:p>
      <w:pPr>
        <w:ind w:firstLine="350"/>
        <w:spacing w:after="0" w:line="262" w:lineRule="auto"/>
        <w:rPr>
          <w:sz w:val="20"/>
          <w:szCs w:val="20"/>
          <w:color w:val="auto"/>
        </w:rPr>
      </w:pPr>
      <w:r>
        <w:rPr>
          <w:rFonts w:ascii="Arial" w:cs="Arial" w:eastAsia="Arial" w:hAnsi="Arial"/>
          <w:sz w:val="14"/>
          <w:szCs w:val="14"/>
          <w:color w:val="auto"/>
        </w:rPr>
        <w:t>The Company reviews its long-lived assets, including property and equipment, amortizable intangible assets, and right-of-use (ROU)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2021, 2020, and 2019, the Company did not record any material impairment charges.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Leases</w:t>
      </w:r>
    </w:p>
    <w:p>
      <w:pPr>
        <w:spacing w:after="0" w:line="94" w:lineRule="exact"/>
        <w:rPr>
          <w:sz w:val="20"/>
          <w:szCs w:val="20"/>
          <w:color w:val="auto"/>
        </w:rPr>
      </w:pPr>
    </w:p>
    <w:p>
      <w:pPr>
        <w:ind w:firstLine="159"/>
        <w:spacing w:after="0" w:line="262" w:lineRule="auto"/>
        <w:rPr>
          <w:sz w:val="20"/>
          <w:szCs w:val="20"/>
          <w:color w:val="auto"/>
        </w:rPr>
      </w:pPr>
      <w:r>
        <w:rPr>
          <w:rFonts w:ascii="Arial" w:cs="Arial" w:eastAsia="Arial" w:hAnsi="Arial"/>
          <w:sz w:val="14"/>
          <w:szCs w:val="14"/>
          <w:color w:val="auto"/>
        </w:rPr>
        <w:t>At contract inception, the Company determines whether the contract is, or contains, a lease, which exists when the contract conveys the right to control the use of identified property or equipment for a period of time in exchange for consideration. Operating lease balances are included in operating lease right-of-use ("ROU") assets, operating lease liabilities, and operating lease liabilities, net of current portion in our consolidated balance sheet. Cash payments arising from operating leases are classified within operating activities in the consolidated statement of cash flows. As of March 31, 2021, the Company had no finance leases.</w:t>
      </w:r>
    </w:p>
    <w:p>
      <w:pPr>
        <w:spacing w:after="0" w:line="61" w:lineRule="exact"/>
        <w:rPr>
          <w:sz w:val="20"/>
          <w:szCs w:val="20"/>
          <w:color w:val="auto"/>
        </w:rPr>
      </w:pPr>
    </w:p>
    <w:p>
      <w:pPr>
        <w:ind w:right="140" w:firstLine="318"/>
        <w:spacing w:after="0" w:line="280" w:lineRule="auto"/>
        <w:rPr>
          <w:sz w:val="20"/>
          <w:szCs w:val="20"/>
          <w:color w:val="auto"/>
        </w:rPr>
      </w:pPr>
      <w:r>
        <w:rPr>
          <w:rFonts w:ascii="Arial" w:cs="Arial" w:eastAsia="Arial" w:hAnsi="Arial"/>
          <w:sz w:val="13"/>
          <w:szCs w:val="13"/>
          <w:color w:val="auto"/>
        </w:rPr>
        <w:t>The Company's leases are generally for facilities and office space and the Company recognizes ROU assets and lease liabilities at the lease commencement date for those arrangements. The initial lease liability is equal to the present value of the future minimum lease payments over the lease term. The initial measurement of the ROU asset is equal to the initial lease liability plus any initial direct costs and prepaid lease payments, less any lease incentives. At the lease commencement date the Company estimates its collateralized incremental borrowing rate based on publicly available yields adjusted for Company-specific considerations and the Company's varying lease terms in determining the present value of future payments. Certain of the Company’s leases contain options to renew or to terminate the lease which are included in the determination of the ROU assets and lease liabilities when it is reasonably certain that the Company will exercise the option. The Company's leases may also include variable lease payments, such as maintenance costs, utilities, or other variable lease-related payments which are not included in measuring ROU assets and lease liabilities and are recorded as lease expense in the period incurred.</w:t>
      </w:r>
    </w:p>
    <w:p>
      <w:pPr>
        <w:spacing w:after="0" w:line="52"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As permitted under Topic 842 the Company elected not to recognize ROU assets and lease liabilities for leases with an initial term of 12 months or less; lease expense from these leases are recognized on a straight-line basis over the lease term. As further permitted under Topic 842, for all material classes of leased assets, the Company elected to not separate lease components from non-lease components, accounting for both components as a single lease component. As of March 31, 2021, the Company did not have any lease agreements with residual value guarantees or material restrictions or covenants.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Income Taxes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3"/>
          <w:szCs w:val="13"/>
          <w:color w:val="auto"/>
        </w:rPr>
        <w:t>The Company provides for income taxes as a “C” corporation on income earned from operations. The Company is subject to federal, state, and foreign taxation in various jurisdictions.</w:t>
      </w:r>
    </w:p>
    <w:p>
      <w:pPr>
        <w:spacing w:after="0" w:line="105" w:lineRule="exact"/>
        <w:rPr>
          <w:sz w:val="20"/>
          <w:szCs w:val="20"/>
          <w:color w:val="auto"/>
        </w:rPr>
      </w:pPr>
    </w:p>
    <w:p>
      <w:pPr>
        <w:ind w:right="40" w:firstLine="350"/>
        <w:spacing w:after="0" w:line="258" w:lineRule="auto"/>
        <w:rPr>
          <w:sz w:val="20"/>
          <w:szCs w:val="20"/>
          <w:color w:val="auto"/>
        </w:rPr>
      </w:pPr>
      <w:r>
        <w:rPr>
          <w:rFonts w:ascii="Arial" w:cs="Arial" w:eastAsia="Arial" w:hAnsi="Arial"/>
          <w:sz w:val="14"/>
          <w:szCs w:val="14"/>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consolidated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65" w:lineRule="exact"/>
        <w:rPr>
          <w:sz w:val="20"/>
          <w:szCs w:val="20"/>
          <w:color w:val="auto"/>
        </w:rPr>
      </w:pPr>
    </w:p>
    <w:p>
      <w:pPr>
        <w:ind w:right="120" w:firstLine="350"/>
        <w:spacing w:after="0" w:line="309" w:lineRule="auto"/>
        <w:rPr>
          <w:sz w:val="20"/>
          <w:szCs w:val="20"/>
          <w:color w:val="auto"/>
        </w:rPr>
      </w:pPr>
      <w:r>
        <w:rPr>
          <w:rFonts w:ascii="Arial" w:cs="Arial" w:eastAsia="Arial" w:hAnsi="Arial"/>
          <w:sz w:val="12"/>
          <w:szCs w:val="12"/>
          <w:color w:val="auto"/>
        </w:rPr>
        <w:t>The Company periodically assesses its tax positions for all periods open to examination by tax authorities based on the latest available information. Those positions are evaluated to determine whether they will more likely than not be sustained upon examination by the Internal Revenue Service (“IRS”) or other taxing authorities. The Company reserves for these uncertain tax positions related to unrecognized income tax benefits where it is not more likely than not that the Company’s tax position will be sustained on examination and settlement with the various taxing authorities. Liabilities for unrecognized tax benefits are measured based on the largest amount of benefit that is greater than 50% likely of being realized upon ultimate settlement. These unrecognized tax benefits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Comprehensive Income</w:t>
      </w:r>
    </w:p>
    <w:p>
      <w:pPr>
        <w:spacing w:after="0" w:line="94" w:lineRule="exact"/>
        <w:rPr>
          <w:sz w:val="20"/>
          <w:szCs w:val="20"/>
          <w:color w:val="auto"/>
        </w:rPr>
      </w:pPr>
    </w:p>
    <w:p>
      <w:pPr>
        <w:ind w:right="180" w:firstLine="382"/>
        <w:spacing w:after="0" w:line="267" w:lineRule="auto"/>
        <w:rPr>
          <w:sz w:val="20"/>
          <w:szCs w:val="20"/>
          <w:color w:val="auto"/>
        </w:rPr>
      </w:pPr>
      <w:r>
        <w:rPr>
          <w:rFonts w:ascii="Arial" w:cs="Arial" w:eastAsia="Arial" w:hAnsi="Arial"/>
          <w:sz w:val="14"/>
          <w:szCs w:val="14"/>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loss as of March 31, 2021 and 2020 consisted of net unrealized losses on the Company’s defined and postretirement benefit plans and unrealized gains or losses on interest rate swaps designated as cash flow hedges.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94" w:lineRule="exact"/>
        <w:rPr>
          <w:sz w:val="20"/>
          <w:szCs w:val="20"/>
          <w:color w:val="auto"/>
        </w:rPr>
      </w:pPr>
    </w:p>
    <w:p>
      <w:pPr>
        <w:ind w:right="60" w:firstLine="350"/>
        <w:spacing w:after="0" w:line="262" w:lineRule="auto"/>
        <w:rPr>
          <w:sz w:val="20"/>
          <w:szCs w:val="20"/>
          <w:color w:val="auto"/>
        </w:rPr>
      </w:pPr>
      <w:r>
        <w:rPr>
          <w:rFonts w:ascii="Arial" w:cs="Arial" w:eastAsia="Arial" w:hAnsi="Arial"/>
          <w:sz w:val="14"/>
          <w:szCs w:val="14"/>
          <w:color w:val="auto"/>
        </w:rPr>
        <w:t>Stock-based compensation to employees is recognized in the consolidated statements of operations based on the grant date fair values with the expense for time vested awards recognized on an accelerated basis over the vesting period. The Company estimates forfeitures anticipated to occur during the vesting period for the purposes of recognizing costs associated with stock-based compensation. The expense for performance awards is recognized straight line over the vesting period. The Company uses the Black-Scholes option-pricing model to determine the fair value of its option awards at the time of grant.</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Defined Benefit Plan and Other Postretirement Benefits</w:t>
      </w:r>
    </w:p>
    <w:p>
      <w:pPr>
        <w:spacing w:after="0" w:line="94" w:lineRule="exact"/>
        <w:rPr>
          <w:sz w:val="20"/>
          <w:szCs w:val="20"/>
          <w:color w:val="auto"/>
        </w:rPr>
      </w:pPr>
    </w:p>
    <w:p>
      <w:pPr>
        <w:jc w:val="both"/>
        <w:ind w:right="280" w:firstLine="350"/>
        <w:spacing w:after="0" w:line="297" w:lineRule="auto"/>
        <w:rPr>
          <w:sz w:val="20"/>
          <w:szCs w:val="20"/>
          <w:color w:val="auto"/>
        </w:rPr>
      </w:pPr>
      <w:r>
        <w:rPr>
          <w:rFonts w:ascii="Arial" w:cs="Arial" w:eastAsia="Arial" w:hAnsi="Arial"/>
          <w:sz w:val="13"/>
          <w:szCs w:val="13"/>
          <w:color w:val="auto"/>
        </w:rPr>
        <w:t>The Company recognizes the underfunded status of defined benefit plans on the consolidated balance sheets within other long-term liabilities. Gains and losses, and prior service costs and credits that have not yet been recognized through net periodic benefit cost are recognized in accumulated other comprehensive loss, net of tax effects, and will be amortized as a component of net periodic cost in future periods. The measurement date, the date at which the benefit obligations are measured, is the Company’s fiscal year-end.</w:t>
      </w:r>
    </w:p>
    <w:p>
      <w:pPr>
        <w:spacing w:after="0" w:line="39" w:lineRule="exact"/>
        <w:rPr>
          <w:sz w:val="20"/>
          <w:szCs w:val="20"/>
          <w:color w:val="auto"/>
        </w:rPr>
      </w:pPr>
    </w:p>
    <w:p>
      <w:pPr>
        <w:jc w:val="both"/>
        <w:ind w:right="380"/>
        <w:spacing w:after="0" w:line="267" w:lineRule="auto"/>
        <w:rPr>
          <w:sz w:val="20"/>
          <w:szCs w:val="20"/>
          <w:color w:val="auto"/>
        </w:rPr>
      </w:pPr>
      <w:r>
        <w:rPr>
          <w:rFonts w:ascii="Arial" w:cs="Arial" w:eastAsia="Arial" w:hAnsi="Arial"/>
          <w:sz w:val="14"/>
          <w:szCs w:val="14"/>
          <w:color w:val="auto"/>
        </w:rPr>
        <w:t>The Company also offers medical and dental benefits to inactive employees (and their eligible dependents) on long-term disability. The Company accrues the costs of the benefits at the date the inactive employee becomes disability eligible and elects to participate in the benefit. The accrued cost for such benefits is calculated using an actuarial estimate of the present value of all future benefit payments for obligations at the end of the fiscal year.</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Self-Funded Medical Plans</w:t>
      </w:r>
    </w:p>
    <w:p>
      <w:pPr>
        <w:spacing w:after="0" w:line="94" w:lineRule="exact"/>
        <w:rPr>
          <w:sz w:val="20"/>
          <w:szCs w:val="20"/>
          <w:color w:val="auto"/>
        </w:rPr>
      </w:pPr>
    </w:p>
    <w:p>
      <w:pPr>
        <w:ind w:right="20" w:firstLine="350"/>
        <w:spacing w:after="0" w:line="262" w:lineRule="auto"/>
        <w:rPr>
          <w:sz w:val="20"/>
          <w:szCs w:val="20"/>
          <w:color w:val="auto"/>
        </w:rPr>
      </w:pPr>
      <w:r>
        <w:rPr>
          <w:rFonts w:ascii="Arial" w:cs="Arial" w:eastAsia="Arial" w:hAnsi="Arial"/>
          <w:sz w:val="14"/>
          <w:szCs w:val="14"/>
          <w:color w:val="auto"/>
        </w:rPr>
        <w:t>The Company maintains self-funded medical insurance. Self-funded plans include Consumer Driven Health Plans with a Health Savings Account option and traditional choice plans.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third-party valuation firm, primarily based on claims and participant data for the medical, dental, and pharmacy related costs.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94" w:lineRule="exact"/>
        <w:rPr>
          <w:sz w:val="20"/>
          <w:szCs w:val="20"/>
          <w:color w:val="auto"/>
        </w:rPr>
      </w:pPr>
    </w:p>
    <w:p>
      <w:pPr>
        <w:ind w:right="20" w:firstLine="350"/>
        <w:spacing w:after="0" w:line="267" w:lineRule="auto"/>
        <w:rPr>
          <w:sz w:val="20"/>
          <w:szCs w:val="20"/>
          <w:color w:val="auto"/>
        </w:rPr>
      </w:pPr>
      <w:r>
        <w:rPr>
          <w:rFonts w:ascii="Arial" w:cs="Arial" w:eastAsia="Arial" w:hAnsi="Arial"/>
          <w:sz w:val="14"/>
          <w:szCs w:val="14"/>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when pricing the asset or liability.</w:t>
      </w:r>
    </w:p>
    <w:p>
      <w:pPr>
        <w:spacing w:after="0" w:line="57" w:lineRule="exact"/>
        <w:rPr>
          <w:sz w:val="20"/>
          <w:szCs w:val="20"/>
          <w:color w:val="auto"/>
        </w:rPr>
      </w:pPr>
    </w:p>
    <w:p>
      <w:pPr>
        <w:ind w:right="60" w:firstLine="350"/>
        <w:spacing w:after="0" w:line="288" w:lineRule="auto"/>
        <w:rPr>
          <w:sz w:val="20"/>
          <w:szCs w:val="20"/>
          <w:color w:val="auto"/>
        </w:rPr>
      </w:pPr>
      <w:r>
        <w:rPr>
          <w:rFonts w:ascii="Arial" w:cs="Arial" w:eastAsia="Arial" w:hAnsi="Arial"/>
          <w:sz w:val="13"/>
          <w:szCs w:val="13"/>
          <w:color w:val="auto"/>
        </w:rPr>
        <w:t>The accounting guidance for fair value measurements establishes a three-level fair value hierarchy that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Assets and liabilities are classified in their entirety within the fair value hierarchy based on the lowest level input that is significant to the fair value measurement. See Note 19 to our consolidated financial statements for additional information on the Company’s fair value measurements.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Recently Adopted Accounting Standards</w:t>
      </w:r>
    </w:p>
    <w:p>
      <w:pPr>
        <w:spacing w:after="0" w:line="94" w:lineRule="exact"/>
        <w:rPr>
          <w:sz w:val="20"/>
          <w:szCs w:val="20"/>
          <w:color w:val="auto"/>
        </w:rPr>
      </w:pPr>
    </w:p>
    <w:p>
      <w:pPr>
        <w:ind w:right="4040" w:firstLine="318"/>
        <w:spacing w:after="0" w:line="275" w:lineRule="auto"/>
        <w:rPr>
          <w:sz w:val="20"/>
          <w:szCs w:val="20"/>
          <w:color w:val="auto"/>
        </w:rPr>
      </w:pPr>
      <w:r>
        <w:rPr>
          <w:rFonts w:ascii="Arial" w:cs="Arial" w:eastAsia="Arial" w:hAnsi="Arial"/>
          <w:sz w:val="13"/>
          <w:szCs w:val="13"/>
          <w:color w:val="auto"/>
        </w:rPr>
        <w:t xml:space="preserve">In June 2016, the FASB issued ASU 2016-13, </w:t>
      </w:r>
      <w:r>
        <w:rPr>
          <w:rFonts w:ascii="Arial" w:cs="Arial" w:eastAsia="Arial" w:hAnsi="Arial"/>
          <w:sz w:val="13"/>
          <w:szCs w:val="13"/>
          <w:i w:val="1"/>
          <w:iCs w:val="1"/>
          <w:color w:val="auto"/>
        </w:rPr>
        <w:t>Financial Instruments - Credit Losses: Measurement of Credit Losses on</w:t>
      </w:r>
      <w:r>
        <w:rPr>
          <w:rFonts w:ascii="Arial" w:cs="Arial" w:eastAsia="Arial" w:hAnsi="Arial"/>
          <w:sz w:val="13"/>
          <w:szCs w:val="13"/>
          <w:color w:val="auto"/>
        </w:rPr>
        <w:t xml:space="preserve"> </w:t>
      </w:r>
      <w:r>
        <w:rPr>
          <w:rFonts w:ascii="Arial" w:cs="Arial" w:eastAsia="Arial" w:hAnsi="Arial"/>
          <w:sz w:val="13"/>
          <w:szCs w:val="13"/>
          <w:i w:val="1"/>
          <w:iCs w:val="1"/>
          <w:color w:val="auto"/>
        </w:rPr>
        <w:t>Financial Instruments (Topic 326)</w:t>
      </w:r>
      <w:r>
        <w:rPr>
          <w:rFonts w:ascii="Arial" w:cs="Arial" w:eastAsia="Arial" w:hAnsi="Arial"/>
          <w:sz w:val="13"/>
          <w:szCs w:val="13"/>
          <w:color w:val="auto"/>
        </w:rPr>
        <w:t>. This guidance requires companies to record an allowance for expected credit losses over the</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contractual term of certain financial assets, including trade receivables and contract assets, and expands disclosure requirements for credit quality of financial assets. The Company adopted this standard effective April 1, 2020 using the modified retrospective method. The adoption of this standard did not have a material impact on the consolidated financial</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statements and disclosures.</w:t>
      </w:r>
    </w:p>
    <w:p>
      <w:pPr>
        <w:spacing w:after="0" w:line="83"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 xml:space="preserve">In August 2018, the FASB issued ASU 2018-15, </w:t>
      </w:r>
      <w:r>
        <w:rPr>
          <w:rFonts w:ascii="Arial" w:cs="Arial" w:eastAsia="Arial" w:hAnsi="Arial"/>
          <w:sz w:val="13"/>
          <w:szCs w:val="13"/>
          <w:i w:val="1"/>
          <w:iCs w:val="1"/>
          <w:color w:val="auto"/>
        </w:rPr>
        <w:t>Customer’s Accounting for Implementation Costs Incurred in a Cloud Computing Arrangement That Is a Service Contract</w:t>
      </w:r>
      <w:r>
        <w:rPr>
          <w:rFonts w:ascii="Arial" w:cs="Arial" w:eastAsia="Arial" w:hAnsi="Arial"/>
          <w:sz w:val="13"/>
          <w:szCs w:val="13"/>
          <w:color w:val="auto"/>
        </w:rPr>
        <w:t>. This guidance requires a customer in a cloud computing arrangement that is a service contract to follow existing internal-use software 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reporting periods for fiscal years beginning after December 15, 2019. The Company adopted this standard effective April 1, 2020 on a prospective basis, and adoption of this standard did not have a material impact on the consolidated financial statements.</w:t>
      </w:r>
    </w:p>
    <w:p>
      <w:pPr>
        <w:spacing w:after="0" w:line="1" w:lineRule="exact"/>
        <w:rPr>
          <w:sz w:val="20"/>
          <w:szCs w:val="20"/>
          <w:color w:val="auto"/>
        </w:rPr>
      </w:pPr>
    </w:p>
    <w:p>
      <w:pPr>
        <w:ind w:right="100" w:firstLine="509"/>
        <w:spacing w:after="0" w:line="257"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This guidance includes removal of certain exceptions to the general principles of Topic 740 and simplification in several other areas such as accounting for a franchise tax (or similar tax) that is partially based on income. The provisions of this standard are effective for years beginning after December 15, 2020, with early adoption permitted. The Company early adopted the standard effective April 1, 2020, and applied most of the relevant amendments prospectively. The Company’s adoption did not have a material impact on the consolidated financial statements.</w:t>
      </w:r>
    </w:p>
    <w:p>
      <w:pPr>
        <w:spacing w:after="0" w:line="64" w:lineRule="exact"/>
        <w:rPr>
          <w:sz w:val="20"/>
          <w:szCs w:val="20"/>
          <w:color w:val="auto"/>
        </w:rPr>
      </w:pPr>
    </w:p>
    <w:p>
      <w:pPr>
        <w:ind w:right="100" w:firstLine="318"/>
        <w:spacing w:after="0" w:line="280" w:lineRule="auto"/>
        <w:rPr>
          <w:sz w:val="20"/>
          <w:szCs w:val="20"/>
          <w:color w:val="auto"/>
        </w:rPr>
      </w:pPr>
      <w:r>
        <w:rPr>
          <w:rFonts w:ascii="Arial" w:cs="Arial" w:eastAsia="Arial" w:hAnsi="Arial"/>
          <w:sz w:val="13"/>
          <w:szCs w:val="13"/>
          <w:color w:val="auto"/>
        </w:rPr>
        <w:t xml:space="preserve">In March 2020, the FASB issued ASU 2020-04, </w:t>
      </w:r>
      <w:r>
        <w:rPr>
          <w:rFonts w:ascii="Arial" w:cs="Arial" w:eastAsia="Arial" w:hAnsi="Arial"/>
          <w:sz w:val="13"/>
          <w:szCs w:val="13"/>
          <w:i w:val="1"/>
          <w:iCs w:val="1"/>
          <w:color w:val="auto"/>
        </w:rPr>
        <w:t>Reference Rate Reform (Topic 848): Facilitation of the Effects of Reference Rate Reform on Financial Reporting</w:t>
      </w:r>
      <w:r>
        <w:rPr>
          <w:rFonts w:ascii="Arial" w:cs="Arial" w:eastAsia="Arial" w:hAnsi="Arial"/>
          <w:sz w:val="13"/>
          <w:szCs w:val="13"/>
          <w:color w:val="auto"/>
        </w:rPr>
        <w:t>. The guidance is intended to provide relief for entities impacted by reference rate reform. Topic 848 contains provisions and optional expedients designed to simplify requirements around designation of hedging relationships, probability assessments of hedged forecasted transactions and accounting for modifications of contracts that refer to LIBOR or other rates affected by reference rate reform. The guidance is elective and is effective on the date of issuance. Topic 848 is applied prospectively to contract modifications and as of the effective date for existing and new eligible hedging relationships. The guidance is temporary and will generally not be applicable to transactions which occur after December 31, 2022. The Company elected to adopt Topic 848 in the fourth quarter of fiscal 2020 and has elected to apply the hedge accounting practical expedient related to probability of the hedged future LIBOR indexed cash flows. The Company continues to evaluate the impact of this guidance and may apply other elections, as applicable. The adoption of this guidance did not have a material impact on the consolidated financial statements and disclosures.</w:t>
      </w:r>
    </w:p>
    <w:p>
      <w:pPr>
        <w:spacing w:after="0" w:line="52"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 xml:space="preserve">In August 2020, the SEC issued Release No. 33-10825, </w:t>
      </w:r>
      <w:r>
        <w:rPr>
          <w:rFonts w:ascii="Arial" w:cs="Arial" w:eastAsia="Arial" w:hAnsi="Arial"/>
          <w:sz w:val="14"/>
          <w:szCs w:val="14"/>
          <w:i w:val="1"/>
          <w:iCs w:val="1"/>
          <w:color w:val="auto"/>
        </w:rPr>
        <w:t>Modernization of Regulation S-K Items 101, 103 and 105</w:t>
      </w:r>
      <w:r>
        <w:rPr>
          <w:rFonts w:ascii="Arial" w:cs="Arial" w:eastAsia="Arial" w:hAnsi="Arial"/>
          <w:sz w:val="14"/>
          <w:szCs w:val="14"/>
          <w:color w:val="auto"/>
        </w:rPr>
        <w:t>, with the intent of improving the readability of filed documents and simplifying registrants' compliance efforts. This amendment became effective on November 9, 2020. The Company’s adoption only impacted the Company's disclosures and did not impact the consolidated financial statements.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Recent Accounting Pronouncements Not Yet Adopted</w:t>
      </w:r>
    </w:p>
    <w:p>
      <w:pPr>
        <w:spacing w:after="0" w:line="94" w:lineRule="exact"/>
        <w:rPr>
          <w:sz w:val="20"/>
          <w:szCs w:val="20"/>
          <w:color w:val="auto"/>
        </w:rPr>
      </w:pPr>
    </w:p>
    <w:p>
      <w:pPr>
        <w:ind w:right="4400" w:firstLine="318"/>
        <w:spacing w:after="0" w:line="304" w:lineRule="auto"/>
        <w:rPr>
          <w:sz w:val="20"/>
          <w:szCs w:val="20"/>
          <w:color w:val="auto"/>
        </w:rPr>
      </w:pPr>
      <w:r>
        <w:rPr>
          <w:rFonts w:ascii="Arial" w:cs="Arial" w:eastAsia="Arial" w:hAnsi="Arial"/>
          <w:sz w:val="12"/>
          <w:szCs w:val="12"/>
          <w:color w:val="auto"/>
        </w:rPr>
        <w:t xml:space="preserve">In November 2020, the SEC issued Release No. 33-10890, </w:t>
      </w:r>
      <w:r>
        <w:rPr>
          <w:rFonts w:ascii="Arial" w:cs="Arial" w:eastAsia="Arial" w:hAnsi="Arial"/>
          <w:sz w:val="12"/>
          <w:szCs w:val="12"/>
          <w:i w:val="1"/>
          <w:iCs w:val="1"/>
          <w:color w:val="auto"/>
        </w:rPr>
        <w:t>Amendments to Management's Discussion and Analysis,</w:t>
      </w:r>
      <w:r>
        <w:rPr>
          <w:rFonts w:ascii="Arial" w:cs="Arial" w:eastAsia="Arial" w:hAnsi="Arial"/>
          <w:sz w:val="12"/>
          <w:szCs w:val="12"/>
          <w:color w:val="auto"/>
        </w:rPr>
        <w:t xml:space="preserve"> </w:t>
      </w:r>
      <w:r>
        <w:rPr>
          <w:rFonts w:ascii="Arial" w:cs="Arial" w:eastAsia="Arial" w:hAnsi="Arial"/>
          <w:sz w:val="12"/>
          <w:szCs w:val="12"/>
          <w:i w:val="1"/>
          <w:iCs w:val="1"/>
          <w:color w:val="auto"/>
        </w:rPr>
        <w:t>Selected Financial Data, and Supplementary Financial Information</w:t>
      </w:r>
      <w:r>
        <w:rPr>
          <w:rFonts w:ascii="Arial" w:cs="Arial" w:eastAsia="Arial" w:hAnsi="Arial"/>
          <w:sz w:val="12"/>
          <w:szCs w:val="12"/>
          <w:color w:val="auto"/>
        </w:rPr>
        <w:t>, to simplify, modernize and enhance certain financial</w:t>
      </w:r>
    </w:p>
    <w:p>
      <w:pPr>
        <w:ind w:right="100"/>
        <w:spacing w:after="0" w:line="266" w:lineRule="auto"/>
        <w:rPr>
          <w:sz w:val="20"/>
          <w:szCs w:val="20"/>
          <w:color w:val="auto"/>
        </w:rPr>
      </w:pPr>
      <w:r>
        <w:rPr>
          <w:rFonts w:ascii="Arial" w:cs="Arial" w:eastAsia="Arial" w:hAnsi="Arial"/>
          <w:sz w:val="14"/>
          <w:szCs w:val="14"/>
          <w:color w:val="auto"/>
        </w:rPr>
        <w:t>disclosure requirements in Regulation S-K. Companies are required to adopt the amendment for their first fiscal year ending on or after August 9, 2021, with early adoption permitted on an item-by-item basis. The Company is currently assessing the future impact of this amendment on its related disclosures.</w:t>
      </w:r>
    </w:p>
    <w:p>
      <w:pPr>
        <w:spacing w:after="0" w:line="57" w:lineRule="exact"/>
        <w:rPr>
          <w:sz w:val="20"/>
          <w:szCs w:val="20"/>
          <w:color w:val="auto"/>
        </w:rPr>
      </w:pPr>
    </w:p>
    <w:p>
      <w:pPr>
        <w:ind w:right="220" w:firstLine="350"/>
        <w:spacing w:after="0" w:line="281" w:lineRule="auto"/>
        <w:rPr>
          <w:sz w:val="20"/>
          <w:szCs w:val="20"/>
          <w:color w:val="auto"/>
        </w:rPr>
      </w:pPr>
      <w:r>
        <w:rPr>
          <w:rFonts w:ascii="Arial" w:cs="Arial" w:eastAsia="Arial" w:hAnsi="Arial"/>
          <w:sz w:val="14"/>
          <w:szCs w:val="14"/>
          <w:color w:val="auto"/>
        </w:rPr>
        <w:t>Other recent accounting pronouncements issued during fiscal 2021 and through the filing date are not expected to have a material impact on the Company's present or historical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w:t>
      </w:r>
    </w:p>
    <w:p>
      <w:pPr>
        <w:spacing w:after="0" w:line="98"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The Company's revenues from contracts with customers (clients) are derived from offerings that include management and technology consulting services, analytics, digital solutions, engineering, mission operations,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 contracts, and fixed-price contracts.</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Disaggregation of Revenue</w:t>
      </w:r>
    </w:p>
    <w:p>
      <w:pPr>
        <w:spacing w:after="0" w:line="94" w:lineRule="exact"/>
        <w:rPr>
          <w:sz w:val="20"/>
          <w:szCs w:val="20"/>
          <w:color w:val="auto"/>
        </w:rPr>
      </w:pPr>
    </w:p>
    <w:p>
      <w:pPr>
        <w:ind w:right="540" w:firstLine="318"/>
        <w:spacing w:after="0" w:line="267" w:lineRule="auto"/>
        <w:rPr>
          <w:sz w:val="20"/>
          <w:szCs w:val="20"/>
          <w:color w:val="auto"/>
        </w:rPr>
      </w:pPr>
      <w:r>
        <w:rPr>
          <w:rFonts w:ascii="Arial" w:cs="Arial" w:eastAsia="Arial" w:hAnsi="Arial"/>
          <w:sz w:val="14"/>
          <w:szCs w:val="14"/>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Revenue by Contract Type:</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We generate revenue under the following three basic types of contracts:</w:t>
      </w:r>
    </w:p>
    <w:p>
      <w:pPr>
        <w:spacing w:after="0" w:line="94" w:lineRule="exact"/>
        <w:rPr>
          <w:sz w:val="20"/>
          <w:szCs w:val="20"/>
          <w:color w:val="auto"/>
        </w:rPr>
      </w:pPr>
    </w:p>
    <w:p>
      <w:pPr>
        <w:ind w:left="1540" w:hanging="517"/>
        <w:spacing w:after="0" w:line="281" w:lineRule="auto"/>
        <w:tabs>
          <w:tab w:leader="none" w:pos="1536" w:val="left"/>
        </w:tabs>
        <w:numPr>
          <w:ilvl w:val="0"/>
          <w:numId w:val="59"/>
        </w:numPr>
        <w:rPr>
          <w:rFonts w:ascii="Arial" w:cs="Arial" w:eastAsia="Arial" w:hAnsi="Arial"/>
          <w:sz w:val="14"/>
          <w:szCs w:val="14"/>
          <w:color w:val="auto"/>
        </w:rPr>
      </w:pPr>
      <w:r>
        <w:rPr>
          <w:rFonts w:ascii="Arial" w:cs="Arial" w:eastAsia="Arial" w:hAnsi="Arial"/>
          <w:sz w:val="14"/>
          <w:szCs w:val="14"/>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47" w:lineRule="exact"/>
        <w:rPr>
          <w:rFonts w:ascii="Arial" w:cs="Arial" w:eastAsia="Arial" w:hAnsi="Arial"/>
          <w:sz w:val="14"/>
          <w:szCs w:val="14"/>
          <w:color w:val="auto"/>
        </w:rPr>
      </w:pPr>
    </w:p>
    <w:p>
      <w:pPr>
        <w:ind w:left="1540" w:right="140" w:hanging="517"/>
        <w:spacing w:after="0" w:line="267" w:lineRule="auto"/>
        <w:tabs>
          <w:tab w:leader="none" w:pos="1536" w:val="left"/>
        </w:tabs>
        <w:numPr>
          <w:ilvl w:val="0"/>
          <w:numId w:val="59"/>
        </w:numPr>
        <w:rPr>
          <w:rFonts w:ascii="Arial" w:cs="Arial" w:eastAsia="Arial" w:hAnsi="Arial"/>
          <w:sz w:val="14"/>
          <w:szCs w:val="14"/>
          <w:color w:val="auto"/>
        </w:rPr>
      </w:pPr>
      <w:r>
        <w:rPr>
          <w:rFonts w:ascii="Arial" w:cs="Arial" w:eastAsia="Arial" w:hAnsi="Arial"/>
          <w:sz w:val="14"/>
          <w:szCs w:val="14"/>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56" w:lineRule="exact"/>
        <w:rPr>
          <w:rFonts w:ascii="Arial" w:cs="Arial" w:eastAsia="Arial" w:hAnsi="Arial"/>
          <w:sz w:val="14"/>
          <w:szCs w:val="14"/>
          <w:color w:val="auto"/>
        </w:rPr>
      </w:pPr>
    </w:p>
    <w:p>
      <w:pPr>
        <w:ind w:left="1540" w:right="20" w:hanging="517"/>
        <w:spacing w:after="0" w:line="321" w:lineRule="auto"/>
        <w:tabs>
          <w:tab w:leader="none" w:pos="1536" w:val="left"/>
        </w:tabs>
        <w:numPr>
          <w:ilvl w:val="0"/>
          <w:numId w:val="59"/>
        </w:numPr>
        <w:rPr>
          <w:rFonts w:ascii="Arial" w:cs="Arial" w:eastAsia="Arial" w:hAnsi="Arial"/>
          <w:sz w:val="13"/>
          <w:szCs w:val="13"/>
          <w:color w:val="auto"/>
        </w:rPr>
      </w:pPr>
      <w:r>
        <w:rPr>
          <w:rFonts w:ascii="Arial" w:cs="Arial" w:eastAsia="Arial" w:hAnsi="Arial"/>
          <w:sz w:val="13"/>
          <w:szCs w:val="13"/>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98" w:right="359" w:bottom="1440" w:gutter="0" w:footer="0" w:header="0"/>
        </w:sectPr>
      </w:pPr>
    </w:p>
    <w:bookmarkStart w:id="88" w:name="page89"/>
    <w:bookmarkEnd w:id="88"/>
    <w:p>
      <w:pPr>
        <w:jc w:val="center"/>
        <w:ind w:right="-5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table below presents the total revenue for each type of contract:</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51"/>
        </w:trPr>
        <w:tc>
          <w:tcPr>
            <w:tcW w:w="1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160" w:type="dxa"/>
            <w:vAlign w:val="bottom"/>
            <w:tcBorders>
              <w:bottom w:val="single" w:sz="8" w:color="CCEEFF"/>
            </w:tcBorders>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66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3"/>
                <w:szCs w:val="13"/>
                <w:color w:val="auto"/>
              </w:rPr>
              <w:t>Cost-reimbursable</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4,419,533</w:t>
            </w:r>
          </w:p>
        </w:tc>
        <w:tc>
          <w:tcPr>
            <w:tcW w:w="50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2"/>
              </w:rPr>
              <w:t>56%</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4,211,592</w:t>
            </w:r>
          </w:p>
        </w:tc>
        <w:tc>
          <w:tcPr>
            <w:tcW w:w="52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84"/>
              </w:rPr>
              <w:t>57%</w:t>
            </w:r>
          </w:p>
        </w:tc>
        <w:tc>
          <w:tcPr>
            <w:tcW w:w="1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auto"/>
              </w:rPr>
              <w:t>3,580,595</w:t>
            </w:r>
          </w:p>
        </w:tc>
        <w:tc>
          <w:tcPr>
            <w:tcW w:w="500" w:type="dxa"/>
            <w:vAlign w:val="bottom"/>
            <w:shd w:val="clear" w:color="auto" w:fill="CCEEFF"/>
          </w:tcPr>
          <w:p>
            <w:pPr>
              <w:jc w:val="center"/>
              <w:ind w:right="76"/>
              <w:spacing w:after="0"/>
              <w:rPr>
                <w:sz w:val="20"/>
                <w:szCs w:val="20"/>
                <w:color w:val="auto"/>
              </w:rPr>
            </w:pPr>
            <w:r>
              <w:rPr>
                <w:rFonts w:ascii="Arial" w:cs="Arial" w:eastAsia="Arial" w:hAnsi="Arial"/>
                <w:sz w:val="13"/>
                <w:szCs w:val="13"/>
                <w:color w:val="auto"/>
                <w:w w:val="92"/>
              </w:rPr>
              <w:t>53%</w:t>
            </w:r>
          </w:p>
        </w:tc>
        <w:tc>
          <w:tcPr>
            <w:tcW w:w="160" w:type="dxa"/>
            <w:vAlign w:val="bottom"/>
          </w:tcPr>
          <w:p>
            <w:pPr>
              <w:spacing w:after="0"/>
              <w:rPr>
                <w:sz w:val="14"/>
                <w:szCs w:val="14"/>
                <w:color w:val="auto"/>
              </w:rPr>
            </w:pPr>
          </w:p>
        </w:tc>
      </w:tr>
      <w:tr>
        <w:trPr>
          <w:trHeight w:val="168"/>
        </w:trPr>
        <w:tc>
          <w:tcPr>
            <w:tcW w:w="4660" w:type="dxa"/>
            <w:vAlign w:val="bottom"/>
            <w:gridSpan w:val="2"/>
          </w:tcPr>
          <w:p>
            <w:pPr>
              <w:ind w:left="20"/>
              <w:spacing w:after="0"/>
              <w:rPr>
                <w:sz w:val="20"/>
                <w:szCs w:val="20"/>
                <w:color w:val="auto"/>
              </w:rPr>
            </w:pPr>
            <w:r>
              <w:rPr>
                <w:rFonts w:ascii="Arial" w:cs="Arial" w:eastAsia="Arial" w:hAnsi="Arial"/>
                <w:sz w:val="13"/>
                <w:szCs w:val="13"/>
                <w:color w:val="auto"/>
              </w:rPr>
              <w:t>Time-and-materials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38"/>
              <w:spacing w:after="0"/>
              <w:rPr>
                <w:sz w:val="20"/>
                <w:szCs w:val="20"/>
                <w:color w:val="auto"/>
              </w:rPr>
            </w:pPr>
            <w:r>
              <w:rPr>
                <w:rFonts w:ascii="Arial" w:cs="Arial" w:eastAsia="Arial" w:hAnsi="Arial"/>
                <w:sz w:val="13"/>
                <w:szCs w:val="13"/>
                <w:color w:val="auto"/>
              </w:rPr>
              <w:t>1,962,999</w:t>
            </w:r>
          </w:p>
        </w:tc>
        <w:tc>
          <w:tcPr>
            <w:tcW w:w="500" w:type="dxa"/>
            <w:vAlign w:val="bottom"/>
          </w:tcPr>
          <w:p>
            <w:pPr>
              <w:jc w:val="center"/>
              <w:ind w:right="76"/>
              <w:spacing w:after="0"/>
              <w:rPr>
                <w:sz w:val="20"/>
                <w:szCs w:val="20"/>
                <w:color w:val="auto"/>
              </w:rPr>
            </w:pPr>
            <w:r>
              <w:rPr>
                <w:rFonts w:ascii="Arial" w:cs="Arial" w:eastAsia="Arial" w:hAnsi="Arial"/>
                <w:sz w:val="13"/>
                <w:szCs w:val="13"/>
                <w:color w:val="auto"/>
                <w:w w:val="92"/>
              </w:rPr>
              <w:t>25%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38"/>
              <w:spacing w:after="0"/>
              <w:rPr>
                <w:sz w:val="20"/>
                <w:szCs w:val="20"/>
                <w:color w:val="auto"/>
              </w:rPr>
            </w:pPr>
            <w:r>
              <w:rPr>
                <w:rFonts w:ascii="Arial" w:cs="Arial" w:eastAsia="Arial" w:hAnsi="Arial"/>
                <w:sz w:val="13"/>
                <w:szCs w:val="13"/>
                <w:color w:val="auto"/>
              </w:rPr>
              <w:t>1,737,414</w:t>
            </w:r>
          </w:p>
        </w:tc>
        <w:tc>
          <w:tcPr>
            <w:tcW w:w="520" w:type="dxa"/>
            <w:vAlign w:val="bottom"/>
          </w:tcPr>
          <w:p>
            <w:pPr>
              <w:jc w:val="center"/>
              <w:ind w:right="76"/>
              <w:spacing w:after="0"/>
              <w:rPr>
                <w:sz w:val="20"/>
                <w:szCs w:val="20"/>
                <w:color w:val="auto"/>
              </w:rPr>
            </w:pPr>
            <w:r>
              <w:rPr>
                <w:rFonts w:ascii="Arial" w:cs="Arial" w:eastAsia="Arial" w:hAnsi="Arial"/>
                <w:sz w:val="13"/>
                <w:szCs w:val="13"/>
                <w:color w:val="auto"/>
                <w:w w:val="84"/>
              </w:rPr>
              <w:t>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38"/>
              <w:spacing w:after="0"/>
              <w:rPr>
                <w:sz w:val="20"/>
                <w:szCs w:val="20"/>
                <w:color w:val="auto"/>
              </w:rPr>
            </w:pPr>
            <w:r>
              <w:rPr>
                <w:rFonts w:ascii="Arial" w:cs="Arial" w:eastAsia="Arial" w:hAnsi="Arial"/>
                <w:sz w:val="13"/>
                <w:szCs w:val="13"/>
                <w:color w:val="auto"/>
              </w:rPr>
              <w:t>1,576,673</w:t>
            </w:r>
          </w:p>
        </w:tc>
        <w:tc>
          <w:tcPr>
            <w:tcW w:w="500" w:type="dxa"/>
            <w:vAlign w:val="bottom"/>
          </w:tcPr>
          <w:p>
            <w:pPr>
              <w:jc w:val="center"/>
              <w:ind w:right="76"/>
              <w:spacing w:after="0"/>
              <w:rPr>
                <w:sz w:val="20"/>
                <w:szCs w:val="20"/>
                <w:color w:val="auto"/>
              </w:rPr>
            </w:pPr>
            <w:r>
              <w:rPr>
                <w:rFonts w:ascii="Arial" w:cs="Arial" w:eastAsia="Arial" w:hAnsi="Arial"/>
                <w:sz w:val="13"/>
                <w:szCs w:val="13"/>
                <w:color w:val="auto"/>
                <w:w w:val="92"/>
              </w:rPr>
              <w:t>24%</w:t>
            </w:r>
          </w:p>
        </w:tc>
        <w:tc>
          <w:tcPr>
            <w:tcW w:w="160" w:type="dxa"/>
            <w:vAlign w:val="bottom"/>
          </w:tcPr>
          <w:p>
            <w:pPr>
              <w:spacing w:after="0"/>
              <w:rPr>
                <w:sz w:val="14"/>
                <w:szCs w:val="14"/>
                <w:color w:val="auto"/>
              </w:rPr>
            </w:pPr>
          </w:p>
        </w:tc>
      </w:tr>
      <w:tr>
        <w:trPr>
          <w:trHeight w:val="172"/>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Fixed-price</w:t>
            </w:r>
          </w:p>
        </w:tc>
        <w:tc>
          <w:tcPr>
            <w:tcW w:w="1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rPr>
              <w:t>1,476,406</w:t>
            </w:r>
          </w:p>
        </w:tc>
        <w:tc>
          <w:tcPr>
            <w:tcW w:w="50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3"/>
                <w:szCs w:val="13"/>
                <w:color w:val="auto"/>
                <w:w w:val="92"/>
              </w:rPr>
              <w:t>19%</w:t>
            </w: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rPr>
              <w:t>1,514,835</w:t>
            </w:r>
          </w:p>
        </w:tc>
        <w:tc>
          <w:tcPr>
            <w:tcW w:w="5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3"/>
                <w:szCs w:val="13"/>
                <w:color w:val="auto"/>
                <w:w w:val="84"/>
              </w:rPr>
              <w:t>20%</w:t>
            </w: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3"/>
                <w:szCs w:val="13"/>
                <w:color w:val="auto"/>
              </w:rPr>
              <w:t>1,546,769</w:t>
            </w:r>
          </w:p>
        </w:tc>
        <w:tc>
          <w:tcPr>
            <w:tcW w:w="50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3"/>
                <w:szCs w:val="13"/>
                <w:color w:val="auto"/>
                <w:w w:val="92"/>
              </w:rPr>
              <w:t>23%</w:t>
            </w:r>
          </w:p>
        </w:tc>
        <w:tc>
          <w:tcPr>
            <w:tcW w:w="160" w:type="dxa"/>
            <w:vAlign w:val="bottom"/>
          </w:tcPr>
          <w:p>
            <w:pPr>
              <w:spacing w:after="0"/>
              <w:rPr>
                <w:sz w:val="14"/>
                <w:szCs w:val="14"/>
                <w:color w:val="auto"/>
              </w:rPr>
            </w:pPr>
          </w:p>
        </w:tc>
      </w:tr>
      <w:tr>
        <w:trPr>
          <w:trHeight w:val="156"/>
        </w:trPr>
        <w:tc>
          <w:tcPr>
            <w:tcW w:w="46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Total Revenue</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320" w:type="dxa"/>
            <w:vAlign w:val="bottom"/>
          </w:tcPr>
          <w:p>
            <w:pPr>
              <w:spacing w:after="0"/>
              <w:rPr>
                <w:sz w:val="13"/>
                <w:szCs w:val="13"/>
                <w:color w:val="auto"/>
              </w:rPr>
            </w:pPr>
          </w:p>
        </w:tc>
        <w:tc>
          <w:tcPr>
            <w:tcW w:w="980" w:type="dxa"/>
            <w:vAlign w:val="bottom"/>
          </w:tcPr>
          <w:p>
            <w:pPr>
              <w:jc w:val="right"/>
              <w:ind w:right="138"/>
              <w:spacing w:after="0"/>
              <w:rPr>
                <w:sz w:val="20"/>
                <w:szCs w:val="20"/>
                <w:color w:val="auto"/>
              </w:rPr>
            </w:pPr>
            <w:r>
              <w:rPr>
                <w:rFonts w:ascii="Arial" w:cs="Arial" w:eastAsia="Arial" w:hAnsi="Arial"/>
                <w:sz w:val="13"/>
                <w:szCs w:val="13"/>
                <w:color w:val="auto"/>
              </w:rPr>
              <w:t>7,858,938</w:t>
            </w:r>
          </w:p>
        </w:tc>
        <w:tc>
          <w:tcPr>
            <w:tcW w:w="500" w:type="dxa"/>
            <w:vAlign w:val="bottom"/>
          </w:tcPr>
          <w:p>
            <w:pPr>
              <w:jc w:val="center"/>
              <w:ind w:right="96"/>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3"/>
                <w:szCs w:val="13"/>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1200" w:type="dxa"/>
            <w:vAlign w:val="bottom"/>
          </w:tcPr>
          <w:p>
            <w:pPr>
              <w:jc w:val="right"/>
              <w:ind w:right="138"/>
              <w:spacing w:after="0"/>
              <w:rPr>
                <w:sz w:val="20"/>
                <w:szCs w:val="20"/>
                <w:color w:val="auto"/>
              </w:rPr>
            </w:pPr>
            <w:r>
              <w:rPr>
                <w:rFonts w:ascii="Arial" w:cs="Arial" w:eastAsia="Arial" w:hAnsi="Arial"/>
                <w:sz w:val="13"/>
                <w:szCs w:val="13"/>
                <w:color w:val="auto"/>
              </w:rPr>
              <w:t>7,463,841</w:t>
            </w:r>
          </w:p>
        </w:tc>
        <w:tc>
          <w:tcPr>
            <w:tcW w:w="520" w:type="dxa"/>
            <w:vAlign w:val="bottom"/>
          </w:tcPr>
          <w:p>
            <w:pPr>
              <w:jc w:val="center"/>
              <w:ind w:right="76"/>
              <w:spacing w:after="0"/>
              <w:rPr>
                <w:sz w:val="20"/>
                <w:szCs w:val="20"/>
                <w:color w:val="auto"/>
              </w:rPr>
            </w:pPr>
            <w:r>
              <w:rPr>
                <w:rFonts w:ascii="Arial" w:cs="Arial" w:eastAsia="Arial" w:hAnsi="Arial"/>
                <w:sz w:val="13"/>
                <w:szCs w:val="13"/>
                <w:color w:val="auto"/>
                <w:w w:val="90"/>
              </w:rPr>
              <w:t>100%</w:t>
            </w:r>
          </w:p>
        </w:tc>
        <w:tc>
          <w:tcPr>
            <w:tcW w:w="100" w:type="dxa"/>
            <w:vAlign w:val="bottom"/>
          </w:tcPr>
          <w:p>
            <w:pPr>
              <w:spacing w:after="0"/>
              <w:rPr>
                <w:sz w:val="13"/>
                <w:szCs w:val="13"/>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320" w:type="dxa"/>
            <w:vAlign w:val="bottom"/>
          </w:tcPr>
          <w:p>
            <w:pPr>
              <w:spacing w:after="0"/>
              <w:rPr>
                <w:sz w:val="13"/>
                <w:szCs w:val="13"/>
                <w:color w:val="auto"/>
              </w:rPr>
            </w:pPr>
          </w:p>
        </w:tc>
        <w:tc>
          <w:tcPr>
            <w:tcW w:w="980" w:type="dxa"/>
            <w:vAlign w:val="bottom"/>
          </w:tcPr>
          <w:p>
            <w:pPr>
              <w:jc w:val="right"/>
              <w:ind w:right="138"/>
              <w:spacing w:after="0"/>
              <w:rPr>
                <w:sz w:val="20"/>
                <w:szCs w:val="20"/>
                <w:color w:val="auto"/>
              </w:rPr>
            </w:pPr>
            <w:r>
              <w:rPr>
                <w:rFonts w:ascii="Arial" w:cs="Arial" w:eastAsia="Arial" w:hAnsi="Arial"/>
                <w:sz w:val="13"/>
                <w:szCs w:val="13"/>
                <w:color w:val="auto"/>
              </w:rPr>
              <w:t>6,704,037</w:t>
            </w:r>
          </w:p>
        </w:tc>
        <w:tc>
          <w:tcPr>
            <w:tcW w:w="500" w:type="dxa"/>
            <w:vAlign w:val="bottom"/>
          </w:tcPr>
          <w:p>
            <w:pPr>
              <w:jc w:val="center"/>
              <w:ind w:right="96"/>
              <w:spacing w:after="0"/>
              <w:rPr>
                <w:sz w:val="20"/>
                <w:szCs w:val="20"/>
                <w:color w:val="auto"/>
              </w:rPr>
            </w:pPr>
            <w:r>
              <w:rPr>
                <w:rFonts w:ascii="Arial" w:cs="Arial" w:eastAsia="Arial" w:hAnsi="Arial"/>
                <w:sz w:val="13"/>
                <w:szCs w:val="13"/>
                <w:color w:val="auto"/>
                <w:w w:val="90"/>
              </w:rPr>
              <w:t>100%</w:t>
            </w:r>
          </w:p>
        </w:tc>
        <w:tc>
          <w:tcPr>
            <w:tcW w:w="160" w:type="dxa"/>
            <w:vAlign w:val="bottom"/>
          </w:tcPr>
          <w:p>
            <w:pPr>
              <w:spacing w:after="0"/>
              <w:rPr>
                <w:sz w:val="13"/>
                <w:szCs w:val="13"/>
                <w:color w:val="auto"/>
              </w:rPr>
            </w:pPr>
          </w:p>
        </w:tc>
      </w:tr>
      <w:tr>
        <w:trPr>
          <w:trHeight w:val="301"/>
        </w:trPr>
        <w:tc>
          <w:tcPr>
            <w:tcW w:w="4660" w:type="dxa"/>
            <w:vAlign w:val="bottom"/>
            <w:gridSpan w:val="2"/>
          </w:tcPr>
          <w:p>
            <w:pPr>
              <w:spacing w:after="0"/>
              <w:rPr>
                <w:sz w:val="20"/>
                <w:szCs w:val="20"/>
                <w:color w:val="auto"/>
              </w:rPr>
            </w:pPr>
            <w:r>
              <w:rPr>
                <w:rFonts w:ascii="Arial" w:cs="Arial" w:eastAsia="Arial" w:hAnsi="Arial"/>
                <w:sz w:val="14"/>
                <w:szCs w:val="14"/>
                <w:i w:val="1"/>
                <w:iCs w:val="1"/>
                <w:color w:val="auto"/>
              </w:rPr>
              <w:t>Revenue by Customer Type:</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7"/>
        </w:trPr>
        <w:tc>
          <w:tcPr>
            <w:tcW w:w="1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Fiscal Year Ended March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42"/>
        </w:trPr>
        <w:tc>
          <w:tcPr>
            <w:tcW w:w="16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51"/>
        </w:trPr>
        <w:tc>
          <w:tcPr>
            <w:tcW w:w="160" w:type="dxa"/>
            <w:vAlign w:val="bottom"/>
          </w:tcPr>
          <w:p>
            <w:pPr>
              <w:spacing w:after="0"/>
              <w:rPr>
                <w:sz w:val="13"/>
                <w:szCs w:val="13"/>
                <w:color w:val="auto"/>
              </w:rPr>
            </w:pPr>
          </w:p>
        </w:tc>
        <w:tc>
          <w:tcPr>
            <w:tcW w:w="450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U.S. government:</w:t>
            </w: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8"/>
        </w:trPr>
        <w:tc>
          <w:tcPr>
            <w:tcW w:w="16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Defense Clients</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3,898,802</w:t>
            </w:r>
          </w:p>
        </w:tc>
        <w:tc>
          <w:tcPr>
            <w:tcW w:w="500" w:type="dxa"/>
            <w:vAlign w:val="bottom"/>
          </w:tcPr>
          <w:p>
            <w:pPr>
              <w:jc w:val="center"/>
              <w:ind w:left="116"/>
              <w:spacing w:after="0"/>
              <w:rPr>
                <w:sz w:val="20"/>
                <w:szCs w:val="20"/>
                <w:color w:val="auto"/>
              </w:rPr>
            </w:pPr>
            <w:r>
              <w:rPr>
                <w:rFonts w:ascii="Arial" w:cs="Arial" w:eastAsia="Arial" w:hAnsi="Arial"/>
                <w:sz w:val="13"/>
                <w:szCs w:val="13"/>
                <w:color w:val="auto"/>
                <w:w w:val="92"/>
              </w:rPr>
              <w:t>49%</w:t>
            </w:r>
          </w:p>
        </w:tc>
        <w:tc>
          <w:tcPr>
            <w:tcW w:w="10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3,568,659</w:t>
            </w:r>
          </w:p>
        </w:tc>
        <w:tc>
          <w:tcPr>
            <w:tcW w:w="520" w:type="dxa"/>
            <w:vAlign w:val="bottom"/>
          </w:tcPr>
          <w:p>
            <w:pPr>
              <w:jc w:val="center"/>
              <w:ind w:left="96"/>
              <w:spacing w:after="0"/>
              <w:rPr>
                <w:sz w:val="20"/>
                <w:szCs w:val="20"/>
                <w:color w:val="auto"/>
              </w:rPr>
            </w:pPr>
            <w:r>
              <w:rPr>
                <w:rFonts w:ascii="Arial" w:cs="Arial" w:eastAsia="Arial" w:hAnsi="Arial"/>
                <w:sz w:val="13"/>
                <w:szCs w:val="13"/>
                <w:color w:val="auto"/>
                <w:w w:val="92"/>
              </w:rPr>
              <w:t>47%</w:t>
            </w:r>
          </w:p>
        </w:tc>
        <w:tc>
          <w:tcPr>
            <w:tcW w:w="100" w:type="dxa"/>
            <w:vAlign w:val="bottom"/>
          </w:tcPr>
          <w:p>
            <w:pPr>
              <w:spacing w:after="0"/>
              <w:rPr>
                <w:sz w:val="14"/>
                <w:szCs w:val="14"/>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3,114,571</w:t>
            </w:r>
          </w:p>
        </w:tc>
        <w:tc>
          <w:tcPr>
            <w:tcW w:w="500" w:type="dxa"/>
            <w:vAlign w:val="bottom"/>
          </w:tcPr>
          <w:p>
            <w:pPr>
              <w:jc w:val="center"/>
              <w:ind w:left="116"/>
              <w:spacing w:after="0"/>
              <w:rPr>
                <w:sz w:val="20"/>
                <w:szCs w:val="20"/>
                <w:color w:val="auto"/>
              </w:rPr>
            </w:pPr>
            <w:r>
              <w:rPr>
                <w:rFonts w:ascii="Arial" w:cs="Arial" w:eastAsia="Arial" w:hAnsi="Arial"/>
                <w:sz w:val="13"/>
                <w:szCs w:val="13"/>
                <w:color w:val="auto"/>
                <w:w w:val="92"/>
              </w:rPr>
              <w:t>47%</w:t>
            </w:r>
          </w:p>
        </w:tc>
        <w:tc>
          <w:tcPr>
            <w:tcW w:w="160" w:type="dxa"/>
            <w:vAlign w:val="bottom"/>
          </w:tcPr>
          <w:p>
            <w:pPr>
              <w:spacing w:after="0"/>
              <w:rPr>
                <w:sz w:val="14"/>
                <w:szCs w:val="14"/>
                <w:color w:val="auto"/>
              </w:rPr>
            </w:pPr>
          </w:p>
        </w:tc>
      </w:tr>
      <w:tr>
        <w:trPr>
          <w:trHeight w:val="172"/>
        </w:trPr>
        <w:tc>
          <w:tcPr>
            <w:tcW w:w="16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Intelligence Clients</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1,571,411</w:t>
            </w:r>
          </w:p>
        </w:tc>
        <w:tc>
          <w:tcPr>
            <w:tcW w:w="50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2"/>
              </w:rPr>
              <w:t>20%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1,614,315</w:t>
            </w:r>
          </w:p>
        </w:tc>
        <w:tc>
          <w:tcPr>
            <w:tcW w:w="520" w:type="dxa"/>
            <w:vAlign w:val="bottom"/>
            <w:shd w:val="clear" w:color="auto" w:fill="CCEEFF"/>
          </w:tcPr>
          <w:p>
            <w:pPr>
              <w:jc w:val="center"/>
              <w:ind w:left="96"/>
              <w:spacing w:after="0"/>
              <w:rPr>
                <w:sz w:val="20"/>
                <w:szCs w:val="20"/>
                <w:color w:val="auto"/>
              </w:rPr>
            </w:pPr>
            <w:r>
              <w:rPr>
                <w:rFonts w:ascii="Arial" w:cs="Arial" w:eastAsia="Arial" w:hAnsi="Arial"/>
                <w:sz w:val="13"/>
                <w:szCs w:val="13"/>
                <w:color w:val="auto"/>
                <w:w w:val="92"/>
              </w:rPr>
              <w:t>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1,566,870</w:t>
            </w:r>
          </w:p>
        </w:tc>
        <w:tc>
          <w:tcPr>
            <w:tcW w:w="50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2"/>
              </w:rPr>
              <w:t>23%</w:t>
            </w:r>
          </w:p>
        </w:tc>
        <w:tc>
          <w:tcPr>
            <w:tcW w:w="160" w:type="dxa"/>
            <w:vAlign w:val="bottom"/>
            <w:shd w:val="clear" w:color="auto" w:fill="CCEEFF"/>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Civil Clients</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2,185,030</w:t>
            </w:r>
          </w:p>
        </w:tc>
        <w:tc>
          <w:tcPr>
            <w:tcW w:w="50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w w:val="92"/>
              </w:rPr>
              <w:t>28%</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2,019,245</w:t>
            </w:r>
          </w:p>
        </w:tc>
        <w:tc>
          <w:tcPr>
            <w:tcW w:w="520" w:type="dxa"/>
            <w:vAlign w:val="bottom"/>
            <w:tcBorders>
              <w:bottom w:val="single" w:sz="8" w:color="auto"/>
            </w:tcBorders>
          </w:tcPr>
          <w:p>
            <w:pPr>
              <w:jc w:val="center"/>
              <w:ind w:left="96"/>
              <w:spacing w:after="0"/>
              <w:rPr>
                <w:sz w:val="20"/>
                <w:szCs w:val="20"/>
                <w:color w:val="auto"/>
              </w:rPr>
            </w:pPr>
            <w:r>
              <w:rPr>
                <w:rFonts w:ascii="Arial" w:cs="Arial" w:eastAsia="Arial" w:hAnsi="Arial"/>
                <w:sz w:val="13"/>
                <w:szCs w:val="13"/>
                <w:color w:val="auto"/>
                <w:w w:val="92"/>
              </w:rPr>
              <w:t>27%</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1,760,996</w:t>
            </w:r>
          </w:p>
        </w:tc>
        <w:tc>
          <w:tcPr>
            <w:tcW w:w="50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w w:val="92"/>
              </w:rPr>
              <w:t>26%</w:t>
            </w:r>
          </w:p>
        </w:tc>
        <w:tc>
          <w:tcPr>
            <w:tcW w:w="160" w:type="dxa"/>
            <w:vAlign w:val="bottom"/>
            <w:tcBorders>
              <w:bottom w:val="single" w:sz="8" w:color="auto"/>
            </w:tcBorders>
          </w:tcPr>
          <w:p>
            <w:pPr>
              <w:spacing w:after="0"/>
              <w:rPr>
                <w:sz w:val="14"/>
                <w:szCs w:val="14"/>
                <w:color w:val="auto"/>
              </w:rPr>
            </w:pPr>
          </w:p>
        </w:tc>
      </w:tr>
      <w:tr>
        <w:trPr>
          <w:trHeight w:val="163"/>
        </w:trPr>
        <w:tc>
          <w:tcPr>
            <w:tcW w:w="16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Total U.S. government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7,655,243</w:t>
            </w:r>
          </w:p>
        </w:tc>
        <w:tc>
          <w:tcPr>
            <w:tcW w:w="50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2"/>
              </w:rPr>
              <w:t>97%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7,202,219</w:t>
            </w:r>
          </w:p>
        </w:tc>
        <w:tc>
          <w:tcPr>
            <w:tcW w:w="520" w:type="dxa"/>
            <w:vAlign w:val="bottom"/>
            <w:shd w:val="clear" w:color="auto" w:fill="CCEEFF"/>
          </w:tcPr>
          <w:p>
            <w:pPr>
              <w:jc w:val="center"/>
              <w:ind w:left="96"/>
              <w:spacing w:after="0"/>
              <w:rPr>
                <w:sz w:val="20"/>
                <w:szCs w:val="20"/>
                <w:color w:val="auto"/>
              </w:rPr>
            </w:pPr>
            <w:r>
              <w:rPr>
                <w:rFonts w:ascii="Arial" w:cs="Arial" w:eastAsia="Arial" w:hAnsi="Arial"/>
                <w:sz w:val="13"/>
                <w:szCs w:val="13"/>
                <w:color w:val="auto"/>
                <w:w w:val="92"/>
              </w:rPr>
              <w:t>96%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6,442,437</w:t>
            </w:r>
          </w:p>
        </w:tc>
        <w:tc>
          <w:tcPr>
            <w:tcW w:w="50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2"/>
              </w:rPr>
              <w:t>96%</w:t>
            </w:r>
          </w:p>
        </w:tc>
        <w:tc>
          <w:tcPr>
            <w:tcW w:w="160" w:type="dxa"/>
            <w:vAlign w:val="bottom"/>
            <w:shd w:val="clear" w:color="auto" w:fill="CCEEFF"/>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Global Commercial Clients</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203,695</w:t>
            </w:r>
          </w:p>
        </w:tc>
        <w:tc>
          <w:tcPr>
            <w:tcW w:w="50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w w:val="84"/>
              </w:rPr>
              <w:t>3%</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261,622</w:t>
            </w:r>
          </w:p>
        </w:tc>
        <w:tc>
          <w:tcPr>
            <w:tcW w:w="52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w w:val="95"/>
              </w:rPr>
              <w:t>4%</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261,600</w:t>
            </w:r>
          </w:p>
        </w:tc>
        <w:tc>
          <w:tcPr>
            <w:tcW w:w="500" w:type="dxa"/>
            <w:vAlign w:val="bottom"/>
            <w:tcBorders>
              <w:bottom w:val="single" w:sz="8" w:color="auto"/>
            </w:tcBorders>
          </w:tcPr>
          <w:p>
            <w:pPr>
              <w:jc w:val="center"/>
              <w:ind w:left="116"/>
              <w:spacing w:after="0"/>
              <w:rPr>
                <w:sz w:val="20"/>
                <w:szCs w:val="20"/>
                <w:color w:val="auto"/>
              </w:rPr>
            </w:pPr>
            <w:r>
              <w:rPr>
                <w:rFonts w:ascii="Arial" w:cs="Arial" w:eastAsia="Arial" w:hAnsi="Arial"/>
                <w:sz w:val="13"/>
                <w:szCs w:val="13"/>
                <w:color w:val="auto"/>
                <w:w w:val="84"/>
              </w:rPr>
              <w:t>4%</w:t>
            </w:r>
          </w:p>
        </w:tc>
        <w:tc>
          <w:tcPr>
            <w:tcW w:w="160" w:type="dxa"/>
            <w:vAlign w:val="bottom"/>
            <w:tcBorders>
              <w:bottom w:val="single" w:sz="8" w:color="auto"/>
            </w:tcBorders>
          </w:tcPr>
          <w:p>
            <w:pPr>
              <w:spacing w:after="0"/>
              <w:rPr>
                <w:sz w:val="14"/>
                <w:szCs w:val="14"/>
                <w:color w:val="auto"/>
              </w:rPr>
            </w:pPr>
          </w:p>
        </w:tc>
      </w:tr>
      <w:tr>
        <w:trPr>
          <w:trHeight w:val="163"/>
        </w:trPr>
        <w:tc>
          <w:tcPr>
            <w:tcW w:w="16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7,858,938</w:t>
            </w:r>
          </w:p>
        </w:tc>
        <w:tc>
          <w:tcPr>
            <w:tcW w:w="500" w:type="dxa"/>
            <w:vAlign w:val="bottom"/>
            <w:shd w:val="clear" w:color="auto" w:fill="CCEEFF"/>
          </w:tcPr>
          <w:p>
            <w:pPr>
              <w:jc w:val="center"/>
              <w:ind w:left="96"/>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7,463,841</w:t>
            </w:r>
          </w:p>
        </w:tc>
        <w:tc>
          <w:tcPr>
            <w:tcW w:w="520" w:type="dxa"/>
            <w:vAlign w:val="bottom"/>
            <w:shd w:val="clear" w:color="auto" w:fill="CCEEFF"/>
          </w:tcPr>
          <w:p>
            <w:pPr>
              <w:jc w:val="center"/>
              <w:ind w:left="116"/>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6,704,037</w:t>
            </w:r>
          </w:p>
        </w:tc>
        <w:tc>
          <w:tcPr>
            <w:tcW w:w="500" w:type="dxa"/>
            <w:vAlign w:val="bottom"/>
            <w:shd w:val="clear" w:color="auto" w:fill="CCEEFF"/>
          </w:tcPr>
          <w:p>
            <w:pPr>
              <w:jc w:val="center"/>
              <w:ind w:left="96"/>
              <w:spacing w:after="0"/>
              <w:rPr>
                <w:sz w:val="20"/>
                <w:szCs w:val="20"/>
                <w:color w:val="auto"/>
              </w:rPr>
            </w:pPr>
            <w:r>
              <w:rPr>
                <w:rFonts w:ascii="Arial" w:cs="Arial" w:eastAsia="Arial" w:hAnsi="Arial"/>
                <w:sz w:val="13"/>
                <w:szCs w:val="13"/>
                <w:color w:val="auto"/>
                <w:w w:val="90"/>
              </w:rPr>
              <w:t>100%</w:t>
            </w:r>
          </w:p>
        </w:tc>
        <w:tc>
          <w:tcPr>
            <w:tcW w:w="160" w:type="dxa"/>
            <w:vAlign w:val="bottom"/>
            <w:shd w:val="clear" w:color="auto" w:fill="CCEEFF"/>
          </w:tcPr>
          <w:p>
            <w:pPr>
              <w:spacing w:after="0"/>
              <w:rPr>
                <w:sz w:val="14"/>
                <w:szCs w:val="14"/>
                <w:color w:val="auto"/>
              </w:rPr>
            </w:pPr>
          </w:p>
        </w:tc>
      </w:tr>
    </w:tbl>
    <w:p>
      <w:pPr>
        <w:spacing w:after="0" w:line="11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Revenue by Whether the Company Acts as a Prime Contractor or a Sub-Contractor:</w:t>
      </w:r>
    </w:p>
    <w:p>
      <w:pPr>
        <w:spacing w:after="0" w:line="108" w:lineRule="exact"/>
        <w:rPr>
          <w:sz w:val="20"/>
          <w:szCs w:val="20"/>
          <w:color w:val="auto"/>
        </w:rPr>
      </w:pPr>
    </w:p>
    <w:tbl>
      <w:tblPr>
        <w:tblLayout w:type="fixed"/>
        <w:tblInd w:w="360" w:type="dxa"/>
        <w:tblCellMar>
          <w:top w:w="0" w:type="dxa"/>
          <w:left w:w="0" w:type="dxa"/>
          <w:bottom w:w="0" w:type="dxa"/>
          <w:right w:w="0" w:type="dxa"/>
        </w:tblCellMar>
      </w:tblPr>
      <w:tr>
        <w:trPr>
          <w:trHeight w:val="151"/>
        </w:trPr>
        <w:tc>
          <w:tcPr>
            <w:tcW w:w="46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Fiscal Year Ended March 31,</w:t>
            </w: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18"/>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1"/>
                <w:szCs w:val="11"/>
                <w:b w:val="1"/>
                <w:bCs w:val="1"/>
                <w:color w:val="auto"/>
              </w:rPr>
              <w:t>2020</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2019</w:t>
            </w:r>
          </w:p>
        </w:tc>
        <w:tc>
          <w:tcPr>
            <w:tcW w:w="600" w:type="dxa"/>
            <w:vAlign w:val="bottom"/>
            <w:tcBorders>
              <w:bottom w:val="single" w:sz="8" w:color="auto"/>
            </w:tcBorders>
          </w:tcPr>
          <w:p>
            <w:pPr>
              <w:spacing w:after="0"/>
              <w:rPr>
                <w:sz w:val="12"/>
                <w:szCs w:val="12"/>
                <w:color w:val="auto"/>
              </w:rPr>
            </w:pPr>
          </w:p>
        </w:tc>
      </w:tr>
      <w:tr>
        <w:trPr>
          <w:trHeight w:val="161"/>
        </w:trPr>
        <w:tc>
          <w:tcPr>
            <w:tcW w:w="4660" w:type="dxa"/>
            <w:vAlign w:val="bottom"/>
            <w:shd w:val="clear" w:color="auto" w:fill="CCEEFF"/>
          </w:tcPr>
          <w:p>
            <w:pPr>
              <w:spacing w:after="0" w:line="146" w:lineRule="exact"/>
              <w:rPr>
                <w:sz w:val="20"/>
                <w:szCs w:val="20"/>
                <w:color w:val="auto"/>
              </w:rPr>
            </w:pPr>
            <w:r>
              <w:rPr>
                <w:rFonts w:ascii="Arial" w:cs="Arial" w:eastAsia="Arial" w:hAnsi="Arial"/>
                <w:sz w:val="13"/>
                <w:szCs w:val="13"/>
                <w:color w:val="auto"/>
              </w:rPr>
              <w:t>Prime Contractor</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7,311,313</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6,884,763</w:t>
            </w:r>
          </w:p>
        </w:tc>
        <w:tc>
          <w:tcPr>
            <w:tcW w:w="60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2"/>
              </w:rPr>
              <w:t>92%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6,159,918</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92%</w:t>
            </w:r>
          </w:p>
        </w:tc>
      </w:tr>
      <w:tr>
        <w:trPr>
          <w:trHeight w:val="168"/>
        </w:trPr>
        <w:tc>
          <w:tcPr>
            <w:tcW w:w="46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Sub-contractor</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547,625</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579,078</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544,119</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8%</w:t>
            </w:r>
          </w:p>
        </w:tc>
      </w:tr>
      <w:tr>
        <w:trPr>
          <w:trHeight w:val="163"/>
        </w:trPr>
        <w:tc>
          <w:tcPr>
            <w:tcW w:w="4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Total Revenue</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7,858,938</w:t>
            </w:r>
          </w:p>
        </w:tc>
        <w:tc>
          <w:tcPr>
            <w:tcW w:w="580" w:type="dxa"/>
            <w:vAlign w:val="bottom"/>
            <w:shd w:val="clear" w:color="auto" w:fill="CCEEFF"/>
          </w:tcPr>
          <w:p>
            <w:pPr>
              <w:jc w:val="center"/>
              <w:ind w:right="16"/>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7,463,841</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6,704,037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100%</w:t>
            </w:r>
          </w:p>
        </w:tc>
      </w:tr>
    </w:tbl>
    <w:p>
      <w:pPr>
        <w:spacing w:after="0" w:line="33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Performance Obligations</w:t>
      </w:r>
    </w:p>
    <w:p>
      <w:pPr>
        <w:spacing w:after="0" w:line="94"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57" w:lineRule="exact"/>
        <w:rPr>
          <w:sz w:val="20"/>
          <w:szCs w:val="20"/>
          <w:color w:val="auto"/>
        </w:rPr>
      </w:pPr>
    </w:p>
    <w:p>
      <w:pPr>
        <w:ind w:firstLine="318"/>
        <w:spacing w:after="0" w:line="368" w:lineRule="auto"/>
        <w:rPr>
          <w:sz w:val="20"/>
          <w:szCs w:val="20"/>
          <w:color w:val="auto"/>
        </w:rPr>
      </w:pPr>
      <w:r>
        <w:rPr>
          <w:rFonts w:ascii="Arial" w:cs="Arial" w:eastAsia="Arial" w:hAnsi="Arial"/>
          <w:sz w:val="12"/>
          <w:szCs w:val="12"/>
          <w:color w:val="auto"/>
        </w:rPr>
        <w:t>As of March 31, 2021 and 2020, the Company had $6.7 billion and $6.3 billion of remaining performance obligations, respectively. We expect to recognize approximately 70% of the remaining performance obligations as of March 31, 2021 as revenue over the next 12 months, and approximately 85% over the next 24 months. The remainder is expected to be recognized thereafter.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94"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As discussed in Note 2, 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results in net contract assets or liabilities being recognized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698"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6 for more information on receivables recognized from contracts accounted for under Topic 606.</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contract balances recognized on the Company’s consolidated balance sheets: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75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200"/>
              <w:spacing w:after="0" w:line="149" w:lineRule="exact"/>
              <w:rPr>
                <w:sz w:val="20"/>
                <w:szCs w:val="20"/>
                <w:color w:val="auto"/>
              </w:rPr>
            </w:pPr>
            <w:r>
              <w:rPr>
                <w:rFonts w:ascii="Arial" w:cs="Arial" w:eastAsia="Arial" w:hAnsi="Arial"/>
                <w:sz w:val="14"/>
                <w:szCs w:val="14"/>
                <w:b w:val="1"/>
                <w:bCs w:val="1"/>
                <w:color w:val="auto"/>
              </w:rPr>
              <w:t>March 31,</w:t>
            </w:r>
          </w:p>
        </w:tc>
        <w:tc>
          <w:tcPr>
            <w:tcW w:w="2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409"/>
              <w:spacing w:after="0" w:line="149" w:lineRule="exact"/>
              <w:rPr>
                <w:sz w:val="20"/>
                <w:szCs w:val="20"/>
                <w:color w:val="auto"/>
              </w:rPr>
            </w:pPr>
            <w:r>
              <w:rPr>
                <w:rFonts w:ascii="Arial" w:cs="Arial" w:eastAsia="Arial" w:hAnsi="Arial"/>
                <w:sz w:val="14"/>
                <w:szCs w:val="14"/>
                <w:b w:val="1"/>
                <w:bCs w:val="1"/>
                <w:color w:val="auto"/>
              </w:rPr>
              <w:t>March 31,</w:t>
            </w:r>
          </w:p>
        </w:tc>
      </w:tr>
      <w:tr>
        <w:trPr>
          <w:trHeight w:val="180"/>
        </w:trPr>
        <w:tc>
          <w:tcPr>
            <w:tcW w:w="75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2020</w:t>
            </w:r>
          </w:p>
        </w:tc>
      </w:tr>
      <w:tr>
        <w:trPr>
          <w:trHeight w:val="160"/>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7580" w:type="dxa"/>
            <w:vAlign w:val="bottom"/>
          </w:tcPr>
          <w:p>
            <w:pPr>
              <w:ind w:left="280"/>
              <w:spacing w:after="0"/>
              <w:rPr>
                <w:sz w:val="20"/>
                <w:szCs w:val="20"/>
                <w:color w:val="auto"/>
              </w:rPr>
            </w:pPr>
            <w:r>
              <w:rPr>
                <w:rFonts w:ascii="Arial" w:cs="Arial" w:eastAsia="Arial" w:hAnsi="Arial"/>
                <w:sz w:val="14"/>
                <w:szCs w:val="14"/>
                <w:color w:val="auto"/>
              </w:rPr>
              <w:t>Current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1,037,968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988,634</w:t>
            </w:r>
          </w:p>
        </w:tc>
      </w:tr>
      <w:tr>
        <w:trPr>
          <w:trHeight w:val="181"/>
        </w:trPr>
        <w:tc>
          <w:tcPr>
            <w:tcW w:w="7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w:t>
            </w: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63,869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62,600</w:t>
            </w:r>
          </w:p>
        </w:tc>
      </w:tr>
      <w:tr>
        <w:trPr>
          <w:trHeight w:val="171"/>
        </w:trPr>
        <w:tc>
          <w:tcPr>
            <w:tcW w:w="7580" w:type="dxa"/>
            <w:vAlign w:val="bottom"/>
          </w:tcPr>
          <w:p>
            <w:pPr>
              <w:ind w:left="44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1,101,837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1,051,234</w:t>
            </w:r>
          </w:p>
        </w:tc>
      </w:tr>
      <w:tr>
        <w:trPr>
          <w:trHeight w:val="181"/>
        </w:trPr>
        <w:tc>
          <w:tcPr>
            <w:tcW w:w="7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7580" w:type="dxa"/>
            <w:vAlign w:val="bottom"/>
          </w:tcPr>
          <w:p>
            <w:pPr>
              <w:ind w:left="280"/>
              <w:spacing w:after="0"/>
              <w:rPr>
                <w:sz w:val="20"/>
                <w:szCs w:val="20"/>
                <w:color w:val="auto"/>
              </w:rPr>
            </w:pPr>
            <w:r>
              <w:rPr>
                <w:rFonts w:ascii="Arial" w:cs="Arial" w:eastAsia="Arial" w:hAnsi="Arial"/>
                <w:sz w:val="14"/>
                <w:szCs w:val="14"/>
                <w:color w:val="auto"/>
              </w:rPr>
              <w:t>Advance payments, billings in excess of costs incurred and deferred revenue</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15,906</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26,018</w:t>
            </w:r>
          </w:p>
        </w:tc>
      </w:tr>
    </w:tbl>
    <w:p>
      <w:pPr>
        <w:spacing w:after="0" w:line="75"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Changes in contract assets and contract liabilities are primarily due to the timing difference between the Company’s performance of services and payments from customers. For fiscal 2021, 2020 and 2019, we recognized revenue of $24.5 million, $18.9 million and $25.3 million, respectively, related to our contract liabilities on April 1, 2020, 2019 and 2018,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EARNINGS PER SHARE</w:t>
      </w:r>
    </w:p>
    <w:p>
      <w:pPr>
        <w:spacing w:after="0" w:line="98" w:lineRule="exact"/>
        <w:rPr>
          <w:sz w:val="20"/>
          <w:szCs w:val="20"/>
          <w:color w:val="auto"/>
        </w:rPr>
      </w:pPr>
    </w:p>
    <w:p>
      <w:pPr>
        <w:jc w:val="both"/>
        <w:ind w:right="420" w:firstLine="318"/>
        <w:spacing w:after="0" w:line="267" w:lineRule="auto"/>
        <w:rPr>
          <w:sz w:val="20"/>
          <w:szCs w:val="20"/>
          <w:color w:val="auto"/>
        </w:rPr>
      </w:pPr>
      <w:r>
        <w:rPr>
          <w:rFonts w:ascii="Arial" w:cs="Arial" w:eastAsia="Arial" w:hAnsi="Arial"/>
          <w:sz w:val="14"/>
          <w:szCs w:val="14"/>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99"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The Company currently has outstanding shares of Class A Common Stock. Holders of unvested Class A Common Stock and time-vested restricted stock units are entitled to participate in non-forfeitable dividends or other distributions. These unvested restricted shares participated in the Company's dividends declared and paid in each quarter of fiscal 2021, 2020, and 2019.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86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Fiscal Year Ended March 31,</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9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69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2"/>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for basic computations (1)</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481,085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416,664</w:t>
            </w:r>
          </w:p>
        </w:tc>
        <w:tc>
          <w:tcPr>
            <w:tcW w:w="0" w:type="dxa"/>
            <w:vAlign w:val="bottom"/>
          </w:tcPr>
          <w:p>
            <w:pPr>
              <w:spacing w:after="0"/>
              <w:rPr>
                <w:sz w:val="1"/>
                <w:szCs w:val="1"/>
                <w:color w:val="auto"/>
              </w:rPr>
            </w:pPr>
          </w:p>
        </w:tc>
      </w:tr>
      <w:tr>
        <w:trPr>
          <w:trHeight w:val="180"/>
        </w:trPr>
        <w:tc>
          <w:tcPr>
            <w:tcW w:w="5860" w:type="dxa"/>
            <w:vAlign w:val="bottom"/>
          </w:tcPr>
          <w:p>
            <w:pPr>
              <w:ind w:left="20"/>
              <w:spacing w:after="0"/>
              <w:rPr>
                <w:sz w:val="20"/>
                <w:szCs w:val="20"/>
                <w:color w:val="auto"/>
              </w:rPr>
            </w:pPr>
            <w:r>
              <w:rPr>
                <w:rFonts w:ascii="Arial" w:cs="Arial" w:eastAsia="Arial" w:hAnsi="Arial"/>
                <w:sz w:val="14"/>
                <w:szCs w:val="14"/>
                <w:color w:val="auto"/>
              </w:rPr>
              <w:t>Weighted-average common shares outstanding for basic computations</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137,722,589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140,059,494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141,910,799</w:t>
            </w:r>
          </w:p>
        </w:tc>
        <w:tc>
          <w:tcPr>
            <w:tcW w:w="0" w:type="dxa"/>
            <w:vAlign w:val="bottom"/>
          </w:tcPr>
          <w:p>
            <w:pPr>
              <w:spacing w:after="0"/>
              <w:rPr>
                <w:sz w:val="1"/>
                <w:szCs w:val="1"/>
                <w:color w:val="auto"/>
              </w:rPr>
            </w:pPr>
          </w:p>
        </w:tc>
      </w:tr>
      <w:tr>
        <w:trPr>
          <w:trHeight w:val="18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for diluted computations (1)</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605,455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416,675</w:t>
            </w:r>
          </w:p>
        </w:tc>
        <w:tc>
          <w:tcPr>
            <w:tcW w:w="0" w:type="dxa"/>
            <w:vAlign w:val="bottom"/>
          </w:tcPr>
          <w:p>
            <w:pPr>
              <w:spacing w:after="0"/>
              <w:rPr>
                <w:sz w:val="1"/>
                <w:szCs w:val="1"/>
                <w:color w:val="auto"/>
              </w:rPr>
            </w:pPr>
          </w:p>
        </w:tc>
      </w:tr>
      <w:tr>
        <w:trPr>
          <w:trHeight w:val="18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Dilutive stock options and restricted stock</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980,631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1,178,641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1,245,377</w:t>
            </w:r>
          </w:p>
        </w:tc>
        <w:tc>
          <w:tcPr>
            <w:tcW w:w="0" w:type="dxa"/>
            <w:vAlign w:val="bottom"/>
          </w:tcPr>
          <w:p>
            <w:pPr>
              <w:spacing w:after="0"/>
              <w:rPr>
                <w:sz w:val="1"/>
                <w:szCs w:val="1"/>
                <w:color w:val="auto"/>
              </w:rPr>
            </w:pPr>
          </w:p>
        </w:tc>
      </w:tr>
      <w:tr>
        <w:trPr>
          <w:trHeight w:val="171"/>
        </w:trPr>
        <w:tc>
          <w:tcPr>
            <w:tcW w:w="5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common shares outstanding for diluted computations</w:t>
            </w:r>
          </w:p>
        </w:tc>
        <w:tc>
          <w:tcPr>
            <w:tcW w:w="4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138,703,220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141,238,135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143,156,176</w:t>
            </w:r>
          </w:p>
        </w:tc>
        <w:tc>
          <w:tcPr>
            <w:tcW w:w="0" w:type="dxa"/>
            <w:vAlign w:val="bottom"/>
          </w:tcPr>
          <w:p>
            <w:pPr>
              <w:spacing w:after="0"/>
              <w:rPr>
                <w:sz w:val="1"/>
                <w:szCs w:val="1"/>
                <w:color w:val="auto"/>
              </w:rPr>
            </w:pPr>
          </w:p>
        </w:tc>
      </w:tr>
      <w:tr>
        <w:trPr>
          <w:trHeight w:val="160"/>
        </w:trPr>
        <w:tc>
          <w:tcPr>
            <w:tcW w:w="5860" w:type="dxa"/>
            <w:vAlign w:val="bottom"/>
          </w:tcPr>
          <w:p>
            <w:pPr>
              <w:ind w:left="20"/>
              <w:spacing w:after="0"/>
              <w:rPr>
                <w:sz w:val="20"/>
                <w:szCs w:val="20"/>
                <w:color w:val="auto"/>
              </w:rPr>
            </w:pPr>
            <w:r>
              <w:rPr>
                <w:rFonts w:ascii="Arial" w:cs="Arial" w:eastAsia="Arial" w:hAnsi="Arial"/>
                <w:sz w:val="14"/>
                <w:szCs w:val="14"/>
                <w:color w:val="auto"/>
              </w:rPr>
              <w:t>Earnings per share of common stock</w:t>
            </w: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vMerge w:val="continue"/>
          </w:tcPr>
          <w:p>
            <w:pPr>
              <w:spacing w:after="0"/>
              <w:rPr>
                <w:sz w:val="12"/>
                <w:szCs w:val="12"/>
                <w:color w:val="auto"/>
              </w:rPr>
            </w:pPr>
          </w:p>
        </w:tc>
        <w:tc>
          <w:tcPr>
            <w:tcW w:w="420" w:type="dxa"/>
            <w:vAlign w:val="bottom"/>
            <w:tcBorders>
              <w:bottom w:val="single" w:sz="8" w:color="auto"/>
            </w:tcBorders>
          </w:tcPr>
          <w:p>
            <w:pPr>
              <w:jc w:val="right"/>
              <w:ind w:right="269"/>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4.37</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3.41</w:t>
            </w:r>
          </w:p>
        </w:tc>
        <w:tc>
          <w:tcPr>
            <w:tcW w:w="100" w:type="dxa"/>
            <w:vAlign w:val="bottom"/>
          </w:tcPr>
          <w:p>
            <w:pPr>
              <w:spacing w:after="0"/>
              <w:rPr>
                <w:sz w:val="12"/>
                <w:szCs w:val="12"/>
                <w:color w:val="auto"/>
              </w:rPr>
            </w:pPr>
          </w:p>
        </w:tc>
        <w:tc>
          <w:tcPr>
            <w:tcW w:w="420" w:type="dxa"/>
            <w:vAlign w:val="bottom"/>
            <w:tcBorders>
              <w:bottom w:val="single" w:sz="8" w:color="auto"/>
            </w:tcBorders>
          </w:tcPr>
          <w:p>
            <w:pPr>
              <w:jc w:val="right"/>
              <w:ind w:right="269"/>
              <w:spacing w:after="0" w:line="143"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20" w:firstLine="5"/>
        <w:spacing w:after="0" w:line="262" w:lineRule="auto"/>
        <w:tabs>
          <w:tab w:leader="none" w:pos="2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During fiscal 2021, 2020, and 2019 approximately 0.8 million, 0.4 million, and 0.6 million shares of participating securities were paid dividends totaling $1.0 million, $0.7 million, and $0.6 million, respectively. There were undistributed earnings of $2.5 million, $0.9 million, and $1.2 million allocated to the participating class of securities in both basic and diluted earnings per share of common stock for fiscal 2021, 2020, and 2019, respectively. The allocated undistributed earnings and the dividends paid comprise the difference between net income presented on the consolidated statements of operations and earnings for basic and diluted computations for fiscal 2021, 2020, and 2019.</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EPS calculation for fiscal 2021, 2020, and 2019 excludes 0.03 million, 0.2 million, and 0.2 million options, respectively, as their impact was anti-dilutive.</w:t>
      </w:r>
    </w:p>
    <w:p>
      <w:pPr>
        <w:spacing w:after="0" w:line="196" w:lineRule="exact"/>
        <w:rPr>
          <w:sz w:val="20"/>
          <w:szCs w:val="20"/>
          <w:color w:val="auto"/>
        </w:rPr>
      </w:pPr>
    </w:p>
    <w:p>
      <w:pPr>
        <w:ind w:left="200" w:right="8460" w:hanging="195"/>
        <w:spacing w:after="0" w:line="350" w:lineRule="auto"/>
        <w:tabs>
          <w:tab w:leader="none" w:pos="15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GOODWILL AND INTANGIBLE ASSETS </w:t>
      </w:r>
      <w:r>
        <w:rPr>
          <w:rFonts w:ascii="Arial" w:cs="Arial" w:eastAsia="Arial" w:hAnsi="Arial"/>
          <w:sz w:val="14"/>
          <w:szCs w:val="14"/>
          <w:b w:val="1"/>
          <w:bCs w:val="1"/>
          <w:i w:val="1"/>
          <w:iCs w:val="1"/>
          <w:color w:val="auto"/>
        </w:rPr>
        <w:t>Goodwill</w:t>
      </w:r>
    </w:p>
    <w:p>
      <w:pPr>
        <w:spacing w:after="0" w:line="1"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As of both March 31, 2021 and 2020, goodwill was $1,581.2 million. The Company performed an annual impairment test of the goodwill as of January 1, 2021 and 2020, and did not identify any impairment.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91" w:name="page92"/>
    <w:bookmarkEnd w:id="91"/>
    <w:p>
      <w:pPr>
        <w:jc w:val="center"/>
        <w:ind w:right="-9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Intangible assets consisted of the following:</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68"/>
        </w:trPr>
        <w:tc>
          <w:tcPr>
            <w:tcW w:w="3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0"/>
              </w:rPr>
              <w:t>March 31, 2021</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March 31, 2020</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120" w:type="dxa"/>
            <w:vAlign w:val="bottom"/>
          </w:tcPr>
          <w:p>
            <w:pPr>
              <w:spacing w:after="0"/>
              <w:rPr>
                <w:sz w:val="10"/>
                <w:szCs w:val="10"/>
                <w:color w:val="auto"/>
              </w:rPr>
            </w:pPr>
          </w:p>
        </w:tc>
        <w:tc>
          <w:tcPr>
            <w:tcW w:w="1000" w:type="dxa"/>
            <w:vAlign w:val="bottom"/>
            <w:gridSpan w:val="3"/>
          </w:tcPr>
          <w:p>
            <w:pPr>
              <w:jc w:val="center"/>
              <w:ind w:right="100"/>
              <w:spacing w:after="0" w:line="120" w:lineRule="exact"/>
              <w:rPr>
                <w:sz w:val="20"/>
                <w:szCs w:val="20"/>
                <w:color w:val="auto"/>
              </w:rPr>
            </w:pPr>
            <w:r>
              <w:rPr>
                <w:rFonts w:ascii="Arial" w:cs="Arial" w:eastAsia="Arial" w:hAnsi="Arial"/>
                <w:sz w:val="13"/>
                <w:szCs w:val="13"/>
                <w:b w:val="1"/>
                <w:bCs w:val="1"/>
                <w:color w:val="auto"/>
                <w:w w:val="90"/>
              </w:rPr>
              <w:t>Gross Carrying</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0"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840" w:type="dxa"/>
            <w:vAlign w:val="bottom"/>
          </w:tcPr>
          <w:p>
            <w:pPr>
              <w:jc w:val="center"/>
              <w:ind w:right="36"/>
              <w:spacing w:after="0" w:line="120" w:lineRule="exact"/>
              <w:rPr>
                <w:sz w:val="20"/>
                <w:szCs w:val="20"/>
                <w:color w:val="auto"/>
              </w:rPr>
            </w:pPr>
            <w:r>
              <w:rPr>
                <w:rFonts w:ascii="Arial" w:cs="Arial" w:eastAsia="Arial" w:hAnsi="Arial"/>
                <w:sz w:val="13"/>
                <w:szCs w:val="13"/>
                <w:b w:val="1"/>
                <w:bCs w:val="1"/>
                <w:color w:val="auto"/>
                <w:w w:val="94"/>
              </w:rPr>
              <w:t>Net Carrying</w:t>
            </w:r>
          </w:p>
        </w:tc>
        <w:tc>
          <w:tcPr>
            <w:tcW w:w="180" w:type="dxa"/>
            <w:vAlign w:val="bottom"/>
          </w:tcPr>
          <w:p>
            <w:pPr>
              <w:spacing w:after="0"/>
              <w:rPr>
                <w:sz w:val="10"/>
                <w:szCs w:val="10"/>
                <w:color w:val="auto"/>
              </w:rPr>
            </w:pPr>
          </w:p>
        </w:tc>
        <w:tc>
          <w:tcPr>
            <w:tcW w:w="1020" w:type="dxa"/>
            <w:vAlign w:val="bottom"/>
            <w:gridSpan w:val="3"/>
          </w:tcPr>
          <w:p>
            <w:pPr>
              <w:jc w:val="center"/>
              <w:ind w:right="100"/>
              <w:spacing w:after="0" w:line="120" w:lineRule="exact"/>
              <w:rPr>
                <w:sz w:val="20"/>
                <w:szCs w:val="20"/>
                <w:color w:val="auto"/>
              </w:rPr>
            </w:pPr>
            <w:r>
              <w:rPr>
                <w:rFonts w:ascii="Arial" w:cs="Arial" w:eastAsia="Arial" w:hAnsi="Arial"/>
                <w:sz w:val="13"/>
                <w:szCs w:val="13"/>
                <w:b w:val="1"/>
                <w:bCs w:val="1"/>
                <w:color w:val="auto"/>
                <w:w w:val="88"/>
              </w:rPr>
              <w:t>Gross Carrying</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0"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840" w:type="dxa"/>
            <w:vAlign w:val="bottom"/>
          </w:tcPr>
          <w:p>
            <w:pPr>
              <w:jc w:val="right"/>
              <w:ind w:right="36"/>
              <w:spacing w:after="0" w:line="120"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4"/>
                <w:szCs w:val="14"/>
                <w:color w:val="auto"/>
              </w:rPr>
            </w:pPr>
          </w:p>
        </w:tc>
        <w:tc>
          <w:tcPr>
            <w:tcW w:w="840" w:type="dxa"/>
            <w:vAlign w:val="bottom"/>
          </w:tcPr>
          <w:p>
            <w:pPr>
              <w:jc w:val="right"/>
              <w:ind w:right="256"/>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5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Amortizable intangible assets:</w:t>
            </w: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120" w:type="dxa"/>
            <w:vAlign w:val="bottom"/>
          </w:tcPr>
          <w:p>
            <w:pPr>
              <w:ind w:left="180"/>
              <w:spacing w:after="0" w:line="131" w:lineRule="exact"/>
              <w:rPr>
                <w:sz w:val="20"/>
                <w:szCs w:val="20"/>
                <w:color w:val="auto"/>
              </w:rPr>
            </w:pPr>
            <w:r>
              <w:rPr>
                <w:rFonts w:ascii="Arial" w:cs="Arial" w:eastAsia="Arial" w:hAnsi="Arial"/>
                <w:sz w:val="13"/>
                <w:szCs w:val="13"/>
                <w:color w:val="auto"/>
              </w:rPr>
              <w:t>Customer relationships and other amortizable</w:t>
            </w:r>
          </w:p>
        </w:tc>
        <w:tc>
          <w:tcPr>
            <w:tcW w:w="180" w:type="dxa"/>
            <w:vAlign w:val="bottom"/>
            <w:vMerge w:val="restart"/>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82,400</w:t>
            </w:r>
          </w:p>
        </w:tc>
        <w:tc>
          <w:tcPr>
            <w:tcW w:w="100" w:type="dxa"/>
            <w:vAlign w:val="bottom"/>
          </w:tcPr>
          <w:p>
            <w:pPr>
              <w:spacing w:after="0"/>
              <w:rPr>
                <w:sz w:val="11"/>
                <w:szCs w:val="11"/>
                <w:color w:val="auto"/>
              </w:rPr>
            </w:pPr>
          </w:p>
        </w:tc>
        <w:tc>
          <w:tcPr>
            <w:tcW w:w="160" w:type="dxa"/>
            <w:vAlign w:val="bottom"/>
            <w:vMerge w:val="restart"/>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50,503</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31,897</w:t>
            </w:r>
          </w:p>
        </w:tc>
        <w:tc>
          <w:tcPr>
            <w:tcW w:w="180" w:type="dxa"/>
            <w:vAlign w:val="bottom"/>
          </w:tcPr>
          <w:p>
            <w:pPr>
              <w:spacing w:after="0"/>
              <w:rPr>
                <w:sz w:val="11"/>
                <w:szCs w:val="11"/>
                <w:color w:val="auto"/>
              </w:rPr>
            </w:pPr>
          </w:p>
        </w:tc>
        <w:tc>
          <w:tcPr>
            <w:tcW w:w="180" w:type="dxa"/>
            <w:vAlign w:val="bottom"/>
            <w:vMerge w:val="restart"/>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88,350</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46,285</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42,065</w:t>
            </w:r>
          </w:p>
        </w:tc>
        <w:tc>
          <w:tcPr>
            <w:tcW w:w="0" w:type="dxa"/>
            <w:vAlign w:val="bottom"/>
          </w:tcPr>
          <w:p>
            <w:pPr>
              <w:spacing w:after="0"/>
              <w:rPr>
                <w:sz w:val="1"/>
                <w:szCs w:val="1"/>
                <w:color w:val="auto"/>
              </w:rPr>
            </w:pPr>
          </w:p>
        </w:tc>
      </w:tr>
      <w:tr>
        <w:trPr>
          <w:trHeight w:val="164"/>
        </w:trPr>
        <w:tc>
          <w:tcPr>
            <w:tcW w:w="3120" w:type="dxa"/>
            <w:vAlign w:val="bottom"/>
          </w:tcPr>
          <w:p>
            <w:pPr>
              <w:ind w:left="180"/>
              <w:spacing w:after="0"/>
              <w:rPr>
                <w:sz w:val="20"/>
                <w:szCs w:val="20"/>
                <w:color w:val="auto"/>
              </w:rPr>
            </w:pPr>
            <w:r>
              <w:rPr>
                <w:rFonts w:ascii="Arial" w:cs="Arial" w:eastAsia="Arial" w:hAnsi="Arial"/>
                <w:sz w:val="13"/>
                <w:szCs w:val="13"/>
                <w:color w:val="auto"/>
              </w:rPr>
              <w:t>intangible assets</w:t>
            </w:r>
          </w:p>
        </w:tc>
        <w:tc>
          <w:tcPr>
            <w:tcW w:w="1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1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Software</w:t>
            </w: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114,972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29,941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85,031</w:t>
            </w:r>
          </w:p>
        </w:tc>
        <w:tc>
          <w:tcPr>
            <w:tcW w:w="1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101,410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32,688</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68,722</w:t>
            </w:r>
          </w:p>
        </w:tc>
        <w:tc>
          <w:tcPr>
            <w:tcW w:w="0" w:type="dxa"/>
            <w:vAlign w:val="bottom"/>
          </w:tcPr>
          <w:p>
            <w:pPr>
              <w:spacing w:after="0"/>
              <w:rPr>
                <w:sz w:val="1"/>
                <w:szCs w:val="1"/>
                <w:color w:val="auto"/>
              </w:rPr>
            </w:pPr>
          </w:p>
        </w:tc>
      </w:tr>
      <w:tr>
        <w:trPr>
          <w:trHeight w:val="15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amortizable intangible assets</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197,372</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80,444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116,928</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189,760</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78,973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110,787</w:t>
            </w:r>
          </w:p>
        </w:tc>
        <w:tc>
          <w:tcPr>
            <w:tcW w:w="0" w:type="dxa"/>
            <w:vAlign w:val="bottom"/>
          </w:tcPr>
          <w:p>
            <w:pPr>
              <w:spacing w:after="0"/>
              <w:rPr>
                <w:sz w:val="1"/>
                <w:szCs w:val="1"/>
                <w:color w:val="auto"/>
              </w:rPr>
            </w:pPr>
          </w:p>
        </w:tc>
      </w:tr>
      <w:tr>
        <w:trPr>
          <w:trHeight w:val="152"/>
        </w:trPr>
        <w:tc>
          <w:tcPr>
            <w:tcW w:w="31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Unamortizable intangible assets:</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20" w:type="dxa"/>
            <w:vAlign w:val="bottom"/>
          </w:tcPr>
          <w:p>
            <w:pPr>
              <w:ind w:left="180"/>
              <w:spacing w:after="0"/>
              <w:rPr>
                <w:sz w:val="20"/>
                <w:szCs w:val="20"/>
                <w:color w:val="auto"/>
              </w:rPr>
            </w:pPr>
            <w:r>
              <w:rPr>
                <w:rFonts w:ascii="Arial" w:cs="Arial" w:eastAsia="Arial" w:hAnsi="Arial"/>
                <w:sz w:val="13"/>
                <w:szCs w:val="13"/>
                <w:color w:val="auto"/>
              </w:rPr>
              <w:t>Trade name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190,200</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190,200</w:t>
            </w:r>
          </w:p>
        </w:tc>
        <w:tc>
          <w:tcPr>
            <w:tcW w:w="18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190,200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190,200</w:t>
            </w:r>
          </w:p>
        </w:tc>
        <w:tc>
          <w:tcPr>
            <w:tcW w:w="0" w:type="dxa"/>
            <w:vAlign w:val="bottom"/>
          </w:tcPr>
          <w:p>
            <w:pPr>
              <w:spacing w:after="0"/>
              <w:rPr>
                <w:sz w:val="1"/>
                <w:szCs w:val="1"/>
                <w:color w:val="auto"/>
              </w:rPr>
            </w:pPr>
          </w:p>
        </w:tc>
      </w:tr>
      <w:tr>
        <w:trPr>
          <w:trHeight w:val="18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387,572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80,444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307,128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379,960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78,973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300,987</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280" w:firstLine="318"/>
        <w:spacing w:after="0" w:line="281" w:lineRule="auto"/>
        <w:rPr>
          <w:sz w:val="20"/>
          <w:szCs w:val="20"/>
          <w:color w:val="auto"/>
        </w:rPr>
      </w:pPr>
      <w:r>
        <w:rPr>
          <w:rFonts w:ascii="Arial" w:cs="Arial" w:eastAsia="Arial" w:hAnsi="Arial"/>
          <w:sz w:val="14"/>
          <w:szCs w:val="14"/>
          <w:color w:val="auto"/>
        </w:rPr>
        <w:t>Intangible assets related to customer relationships are generally amortized on an accelerated basis over periods ranging from 3 years to 12 years, and those related to software are generally amortized on a straight line basis over periods ranging from 2 years to 5 years.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performed an annual impairment test of the trade name as of January 1, 2021 and 2020, and did not identify any impairment.</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Amortization expense for fiscal 2021, 2020, and 2019 was $19.3 million, $22.3 million, and $20.9 million, respectively.</w:t>
      </w:r>
    </w:p>
    <w:p>
      <w:pPr>
        <w:spacing w:after="0" w:line="9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following table summarizes the estimated annual amortization expense for future periods, which does not reflect amortization expense for certain intangible assets that are not yet placed in service:</w:t>
      </w:r>
    </w:p>
    <w:p>
      <w:pPr>
        <w:spacing w:after="0" w:line="185" w:lineRule="exact"/>
        <w:rPr>
          <w:sz w:val="20"/>
          <w:szCs w:val="20"/>
          <w:color w:val="auto"/>
        </w:rPr>
      </w:pPr>
    </w:p>
    <w:tbl>
      <w:tblPr>
        <w:tblLayout w:type="fixed"/>
        <w:tblInd w:w="680" w:type="dxa"/>
        <w:tblCellMar>
          <w:top w:w="0" w:type="dxa"/>
          <w:left w:w="0" w:type="dxa"/>
          <w:bottom w:w="0" w:type="dxa"/>
          <w:right w:w="0" w:type="dxa"/>
        </w:tblCellMar>
      </w:tblPr>
      <w:tr>
        <w:trPr>
          <w:trHeight w:val="168"/>
        </w:trPr>
        <w:tc>
          <w:tcPr>
            <w:tcW w:w="8980" w:type="dxa"/>
            <w:vAlign w:val="bottom"/>
          </w:tcPr>
          <w:p>
            <w:pPr>
              <w:ind w:left="20"/>
              <w:spacing w:after="0"/>
              <w:rPr>
                <w:sz w:val="20"/>
                <w:szCs w:val="20"/>
                <w:color w:val="auto"/>
              </w:rPr>
            </w:pPr>
            <w:r>
              <w:rPr>
                <w:rFonts w:ascii="Arial" w:cs="Arial" w:eastAsia="Arial" w:hAnsi="Arial"/>
                <w:sz w:val="13"/>
                <w:szCs w:val="13"/>
                <w:b w:val="1"/>
                <w:bCs w:val="1"/>
                <w:color w:val="auto"/>
              </w:rPr>
              <w:t>For the Fiscal Year Ended March 31,</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8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17,824</w:t>
            </w:r>
          </w:p>
        </w:tc>
      </w:tr>
      <w:tr>
        <w:trPr>
          <w:trHeight w:val="168"/>
        </w:trPr>
        <w:tc>
          <w:tcPr>
            <w:tcW w:w="8980" w:type="dxa"/>
            <w:vAlign w:val="bottom"/>
          </w:tcPr>
          <w:p>
            <w:pPr>
              <w:ind w:left="20"/>
              <w:spacing w:after="0"/>
              <w:rPr>
                <w:sz w:val="20"/>
                <w:szCs w:val="20"/>
                <w:color w:val="auto"/>
              </w:rPr>
            </w:pPr>
            <w:r>
              <w:rPr>
                <w:rFonts w:ascii="Arial" w:cs="Arial" w:eastAsia="Arial" w:hAnsi="Arial"/>
                <w:sz w:val="13"/>
                <w:szCs w:val="13"/>
                <w:color w:val="auto"/>
              </w:rPr>
              <w:t>2023</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15,587</w:t>
            </w:r>
          </w:p>
        </w:tc>
      </w:tr>
      <w:tr>
        <w:trPr>
          <w:trHeight w:val="172"/>
        </w:trPr>
        <w:tc>
          <w:tcPr>
            <w:tcW w:w="8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2024</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11,796</w:t>
            </w:r>
          </w:p>
        </w:tc>
      </w:tr>
      <w:tr>
        <w:trPr>
          <w:trHeight w:val="168"/>
        </w:trPr>
        <w:tc>
          <w:tcPr>
            <w:tcW w:w="8980" w:type="dxa"/>
            <w:vAlign w:val="bottom"/>
          </w:tcPr>
          <w:p>
            <w:pPr>
              <w:ind w:left="20"/>
              <w:spacing w:after="0"/>
              <w:rPr>
                <w:sz w:val="20"/>
                <w:szCs w:val="20"/>
                <w:color w:val="auto"/>
              </w:rPr>
            </w:pPr>
            <w:r>
              <w:rPr>
                <w:rFonts w:ascii="Arial" w:cs="Arial" w:eastAsia="Arial" w:hAnsi="Arial"/>
                <w:sz w:val="13"/>
                <w:szCs w:val="13"/>
                <w:color w:val="auto"/>
              </w:rPr>
              <w:t>2025</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6,801</w:t>
            </w:r>
          </w:p>
        </w:tc>
      </w:tr>
      <w:tr>
        <w:trPr>
          <w:trHeight w:val="172"/>
        </w:trPr>
        <w:tc>
          <w:tcPr>
            <w:tcW w:w="8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4,074</w:t>
            </w:r>
          </w:p>
        </w:tc>
      </w:tr>
      <w:tr>
        <w:trPr>
          <w:trHeight w:val="168"/>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Thereafter</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4,865</w:t>
            </w:r>
          </w:p>
        </w:tc>
      </w:tr>
      <w:tr>
        <w:trPr>
          <w:trHeight w:val="18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estimated amortization expense</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60,947</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698" w:right="399" w:bottom="1440" w:gutter="0" w:footer="0" w:header="0"/>
        </w:sectPr>
      </w:pPr>
    </w:p>
    <w:bookmarkStart w:id="92" w:name="page93"/>
    <w:bookmarkEnd w:id="92"/>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ACCOUNTS RECEIVABLE, NET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Accounts receivable, net consisted of the following:</w:t>
      </w:r>
    </w:p>
    <w:p>
      <w:pPr>
        <w:spacing w:after="0" w:line="193" w:lineRule="exact"/>
        <w:rPr>
          <w:sz w:val="20"/>
          <w:szCs w:val="20"/>
          <w:color w:val="auto"/>
        </w:rPr>
      </w:pPr>
    </w:p>
    <w:tbl>
      <w:tblPr>
        <w:tblLayout w:type="fixed"/>
        <w:tblInd w:w="880" w:type="dxa"/>
        <w:tblCellMar>
          <w:top w:w="0" w:type="dxa"/>
          <w:left w:w="0" w:type="dxa"/>
          <w:bottom w:w="0" w:type="dxa"/>
          <w:right w:w="0" w:type="dxa"/>
        </w:tblCellMar>
      </w:tblPr>
      <w:tr>
        <w:trPr>
          <w:trHeight w:val="151"/>
        </w:trPr>
        <w:tc>
          <w:tcPr>
            <w:tcW w:w="65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March 31,</w:t>
            </w:r>
          </w:p>
        </w:tc>
        <w:tc>
          <w:tcPr>
            <w:tcW w:w="1040" w:type="dxa"/>
            <w:vAlign w:val="bottom"/>
            <w:tcBorders>
              <w:bottom w:val="single" w:sz="8" w:color="auto"/>
            </w:tcBorders>
          </w:tcPr>
          <w:p>
            <w:pPr>
              <w:spacing w:after="0"/>
              <w:rPr>
                <w:sz w:val="13"/>
                <w:szCs w:val="13"/>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r>
      <w:tr>
        <w:trPr>
          <w:trHeight w:val="161"/>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6580" w:type="dxa"/>
            <w:vAlign w:val="bottom"/>
          </w:tcPr>
          <w:p>
            <w:pPr>
              <w:ind w:left="260"/>
              <w:spacing w:after="0"/>
              <w:rPr>
                <w:sz w:val="20"/>
                <w:szCs w:val="20"/>
                <w:color w:val="auto"/>
              </w:rPr>
            </w:pPr>
            <w:r>
              <w:rPr>
                <w:rFonts w:ascii="Arial" w:cs="Arial" w:eastAsia="Arial" w:hAnsi="Arial"/>
                <w:sz w:val="14"/>
                <w:szCs w:val="14"/>
                <w:color w:val="auto"/>
              </w:rPr>
              <w:t>Accounts receivable–billed</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375,383</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474,822</w:t>
            </w:r>
          </w:p>
        </w:tc>
      </w:tr>
      <w:tr>
        <w:trPr>
          <w:trHeight w:val="181"/>
        </w:trPr>
        <w:tc>
          <w:tcPr>
            <w:tcW w:w="6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receivable–unbilled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1,037,968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988,634</w:t>
            </w:r>
          </w:p>
        </w:tc>
      </w:tr>
      <w:tr>
        <w:trPr>
          <w:trHeight w:val="180"/>
        </w:trPr>
        <w:tc>
          <w:tcPr>
            <w:tcW w:w="65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Allowance for doubtful accounts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(3,985)</w:t>
            </w:r>
          </w:p>
        </w:tc>
      </w:tr>
      <w:tr>
        <w:trPr>
          <w:trHeight w:val="171"/>
        </w:trPr>
        <w:tc>
          <w:tcPr>
            <w:tcW w:w="65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1,411,894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1,459,471</w:t>
            </w:r>
          </w:p>
        </w:tc>
      </w:tr>
      <w:tr>
        <w:trPr>
          <w:trHeight w:val="180"/>
        </w:trPr>
        <w:tc>
          <w:tcPr>
            <w:tcW w:w="6580" w:type="dxa"/>
            <w:vAlign w:val="bottom"/>
          </w:tcPr>
          <w:p>
            <w:pPr>
              <w:spacing w:after="0"/>
              <w:rPr>
                <w:sz w:val="20"/>
                <w:szCs w:val="20"/>
                <w:color w:val="auto"/>
              </w:rPr>
            </w:pPr>
            <w:r>
              <w:rPr>
                <w:rFonts w:ascii="Arial" w:cs="Arial" w:eastAsia="Arial" w:hAnsi="Arial"/>
                <w:sz w:val="14"/>
                <w:szCs w:val="14"/>
                <w:color w:val="auto"/>
              </w:rPr>
              <w:t>Other long-term assets: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1"/>
        </w:trPr>
        <w:tc>
          <w:tcPr>
            <w:tcW w:w="6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receivable–unbilled</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63,869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62,600</w:t>
            </w:r>
          </w:p>
        </w:tc>
      </w:tr>
      <w:tr>
        <w:trPr>
          <w:trHeight w:val="171"/>
        </w:trPr>
        <w:tc>
          <w:tcPr>
            <w:tcW w:w="6580" w:type="dxa"/>
            <w:vAlign w:val="bottom"/>
          </w:tcPr>
          <w:p>
            <w:pPr>
              <w:ind w:left="520"/>
              <w:spacing w:after="0"/>
              <w:rPr>
                <w:sz w:val="20"/>
                <w:szCs w:val="20"/>
                <w:color w:val="auto"/>
              </w:rPr>
            </w:pPr>
            <w:r>
              <w:rPr>
                <w:rFonts w:ascii="Arial" w:cs="Arial" w:eastAsia="Arial" w:hAnsi="Arial"/>
                <w:sz w:val="14"/>
                <w:szCs w:val="14"/>
                <w:color w:val="auto"/>
              </w:rPr>
              <w:t>Total accounts receivable, net</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1,475,763</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1,522,071</w:t>
            </w: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Unbilled amounts represent revenues for which billings have not been presented to customers at year end. These amounts are usually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consolidated balance sheets. The Company recognized a (benefit) provision for doubtful accounts of $(2.6) million, $(6.4) million, and $11.9 million for fiscal 2021, 2020, and 2019,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PROPERTY AND EQUIPMENT, NET</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components of property and equipment, net were as follows:</w:t>
      </w:r>
    </w:p>
    <w:p>
      <w:pPr>
        <w:spacing w:after="0" w:line="183" w:lineRule="exact"/>
        <w:rPr>
          <w:sz w:val="20"/>
          <w:szCs w:val="20"/>
          <w:color w:val="auto"/>
        </w:rPr>
      </w:pPr>
    </w:p>
    <w:tbl>
      <w:tblPr>
        <w:tblLayout w:type="fixed"/>
        <w:tblInd w:w="60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March 31,</w:t>
            </w:r>
          </w:p>
        </w:tc>
        <w:tc>
          <w:tcPr>
            <w:tcW w:w="1020" w:type="dxa"/>
            <w:vAlign w:val="bottom"/>
            <w:tcBorders>
              <w:bottom w:val="single" w:sz="8" w:color="auto"/>
            </w:tcBorders>
          </w:tcPr>
          <w:p>
            <w:pPr>
              <w:spacing w:after="0"/>
              <w:rPr>
                <w:sz w:val="13"/>
                <w:szCs w:val="13"/>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r>
      <w:tr>
        <w:trPr>
          <w:trHeight w:val="172"/>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86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117,430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140,232</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Computer equipment</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97,571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94,529</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225,132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245,685</w:t>
            </w:r>
          </w:p>
        </w:tc>
      </w:tr>
      <w:tr>
        <w:trPr>
          <w:trHeight w:val="171"/>
        </w:trPr>
        <w:tc>
          <w:tcPr>
            <w:tcW w:w="7120" w:type="dxa"/>
            <w:vAlign w:val="bottom"/>
          </w:tcPr>
          <w:p>
            <w:pPr>
              <w:ind w:left="260"/>
              <w:spacing w:after="0"/>
              <w:rPr>
                <w:sz w:val="20"/>
                <w:szCs w:val="20"/>
                <w:color w:val="auto"/>
              </w:rPr>
            </w:pPr>
            <w:r>
              <w:rPr>
                <w:rFonts w:ascii="Arial" w:cs="Arial" w:eastAsia="Arial" w:hAnsi="Arial"/>
                <w:sz w:val="14"/>
                <w:szCs w:val="14"/>
                <w:color w:val="auto"/>
              </w:rPr>
              <w:t>Total</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440,133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480,446</w:t>
            </w:r>
          </w:p>
        </w:tc>
      </w:tr>
      <w:tr>
        <w:trPr>
          <w:trHeight w:val="18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Less: Accumulated depreciation and amortization</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(235,491)</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(272,369)</w:t>
            </w:r>
          </w:p>
        </w:tc>
      </w:tr>
      <w:tr>
        <w:trPr>
          <w:trHeight w:val="171"/>
        </w:trPr>
        <w:tc>
          <w:tcPr>
            <w:tcW w:w="7120" w:type="dxa"/>
            <w:vAlign w:val="bottom"/>
          </w:tcPr>
          <w:p>
            <w:pPr>
              <w:ind w:left="880"/>
              <w:spacing w:after="0"/>
              <w:rPr>
                <w:sz w:val="20"/>
                <w:szCs w:val="20"/>
                <w:color w:val="auto"/>
              </w:rPr>
            </w:pPr>
            <w:r>
              <w:rPr>
                <w:rFonts w:ascii="Arial" w:cs="Arial" w:eastAsia="Arial" w:hAnsi="Arial"/>
                <w:sz w:val="14"/>
                <w:szCs w:val="14"/>
                <w:color w:val="auto"/>
              </w:rPr>
              <w:t>Property and equipment, net</w:t>
            </w:r>
          </w:p>
        </w:tc>
        <w:tc>
          <w:tcPr>
            <w:tcW w:w="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204,642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208,077</w:t>
            </w:r>
          </w:p>
        </w:tc>
      </w:tr>
      <w:tr>
        <w:trPr>
          <w:trHeight w:val="20"/>
        </w:trPr>
        <w:tc>
          <w:tcPr>
            <w:tcW w:w="7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both"/>
        <w:ind w:right="80" w:firstLine="350"/>
        <w:spacing w:after="0" w:line="267" w:lineRule="auto"/>
        <w:rPr>
          <w:sz w:val="20"/>
          <w:szCs w:val="20"/>
          <w:color w:val="auto"/>
        </w:rPr>
      </w:pPr>
      <w:r>
        <w:rPr>
          <w:rFonts w:ascii="Arial" w:cs="Arial" w:eastAsia="Arial" w:hAnsi="Arial"/>
          <w:sz w:val="14"/>
          <w:szCs w:val="14"/>
          <w:color w:val="auto"/>
        </w:rPr>
        <w:t>Depreciation and amortization expense relating to property and equipment for fiscal 2021, 2020, and 2019 was $65.0 million, $58.8 million, and $47.8 million, respectively. During fiscal 2021 and 2020, the Company reduced the gross cost and accumulated depreciation and amortization by $100.3 million and $171.8 million, respectively, for zero net book value assets deemed no longer in service.</w:t>
      </w:r>
    </w:p>
    <w:p>
      <w:pPr>
        <w:spacing w:after="0" w:line="244" w:lineRule="exact"/>
        <w:rPr>
          <w:sz w:val="20"/>
          <w:szCs w:val="20"/>
          <w:color w:val="auto"/>
        </w:rPr>
      </w:pPr>
    </w:p>
    <w:p>
      <w:pPr>
        <w:ind w:left="360" w:right="6780" w:hanging="355"/>
        <w:spacing w:after="0" w:line="464" w:lineRule="auto"/>
        <w:tabs>
          <w:tab w:leader="none" w:pos="151"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ACCOUNTS PAYABLE AND OTHER ACCRUED EXPENSES </w:t>
      </w:r>
      <w:r>
        <w:rPr>
          <w:rFonts w:ascii="Arial" w:cs="Arial" w:eastAsia="Arial" w:hAnsi="Arial"/>
          <w:sz w:val="13"/>
          <w:szCs w:val="13"/>
          <w:color w:val="auto"/>
        </w:rPr>
        <w:t>Accounts payable and other accrued expenses consisted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March 31,</w:t>
            </w:r>
          </w:p>
        </w:tc>
        <w:tc>
          <w:tcPr>
            <w:tcW w:w="1040" w:type="dxa"/>
            <w:vAlign w:val="bottom"/>
            <w:tcBorders>
              <w:bottom w:val="single" w:sz="8" w:color="auto"/>
            </w:tcBorders>
          </w:tcPr>
          <w:p>
            <w:pPr>
              <w:spacing w:after="0"/>
              <w:rPr>
                <w:sz w:val="13"/>
                <w:szCs w:val="13"/>
                <w:color w:val="auto"/>
              </w:rPr>
            </w:pPr>
          </w:p>
        </w:tc>
        <w:tc>
          <w:tcPr>
            <w:tcW w:w="820" w:type="dxa"/>
            <w:vAlign w:val="bottom"/>
          </w:tcPr>
          <w:p>
            <w:pPr>
              <w:spacing w:after="0"/>
              <w:rPr>
                <w:sz w:val="13"/>
                <w:szCs w:val="13"/>
                <w:color w:val="auto"/>
              </w:rPr>
            </w:pPr>
          </w:p>
        </w:tc>
      </w:tr>
      <w:tr>
        <w:trPr>
          <w:trHeight w:val="142"/>
        </w:trPr>
        <w:tc>
          <w:tcPr>
            <w:tcW w:w="84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2020</w:t>
            </w:r>
          </w:p>
        </w:tc>
        <w:tc>
          <w:tcPr>
            <w:tcW w:w="820" w:type="dxa"/>
            <w:vAlign w:val="bottom"/>
          </w:tcPr>
          <w:p>
            <w:pPr>
              <w:spacing w:after="0"/>
              <w:rPr>
                <w:sz w:val="12"/>
                <w:szCs w:val="12"/>
                <w:color w:val="auto"/>
              </w:rPr>
            </w:pPr>
          </w:p>
        </w:tc>
      </w:tr>
      <w:tr>
        <w:trPr>
          <w:trHeight w:val="172"/>
        </w:trPr>
        <w:tc>
          <w:tcPr>
            <w:tcW w:w="84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color w:val="auto"/>
              </w:rPr>
              <w:t>Vendor payables</w:t>
            </w:r>
          </w:p>
        </w:tc>
        <w:tc>
          <w:tcPr>
            <w:tcW w:w="27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371,744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432,953</w:t>
            </w:r>
          </w:p>
        </w:tc>
        <w:tc>
          <w:tcPr>
            <w:tcW w:w="820" w:type="dxa"/>
            <w:vAlign w:val="bottom"/>
          </w:tcPr>
          <w:p>
            <w:pPr>
              <w:spacing w:after="0"/>
              <w:rPr>
                <w:sz w:val="14"/>
                <w:szCs w:val="14"/>
                <w:color w:val="auto"/>
              </w:rPr>
            </w:pPr>
          </w:p>
        </w:tc>
      </w:tr>
      <w:tr>
        <w:trPr>
          <w:trHeight w:val="180"/>
        </w:trPr>
        <w:tc>
          <w:tcPr>
            <w:tcW w:w="840" w:type="dxa"/>
            <w:vAlign w:val="bottom"/>
          </w:tcPr>
          <w:p>
            <w:pPr>
              <w:spacing w:after="0"/>
              <w:rPr>
                <w:sz w:val="15"/>
                <w:szCs w:val="15"/>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Accrued expenses</w:t>
            </w:r>
          </w:p>
        </w:tc>
        <w:tc>
          <w:tcPr>
            <w:tcW w:w="27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295,227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265,058</w:t>
            </w:r>
          </w:p>
        </w:tc>
        <w:tc>
          <w:tcPr>
            <w:tcW w:w="820" w:type="dxa"/>
            <w:vAlign w:val="bottom"/>
          </w:tcPr>
          <w:p>
            <w:pPr>
              <w:spacing w:after="0"/>
              <w:rPr>
                <w:sz w:val="15"/>
                <w:szCs w:val="15"/>
                <w:color w:val="auto"/>
              </w:rPr>
            </w:pPr>
          </w:p>
        </w:tc>
      </w:tr>
      <w:tr>
        <w:trPr>
          <w:trHeight w:val="196"/>
        </w:trPr>
        <w:tc>
          <w:tcPr>
            <w:tcW w:w="840" w:type="dxa"/>
            <w:vAlign w:val="bottom"/>
          </w:tcPr>
          <w:p>
            <w:pPr>
              <w:spacing w:after="0"/>
              <w:rPr>
                <w:sz w:val="16"/>
                <w:szCs w:val="16"/>
                <w:color w:val="auto"/>
              </w:rPr>
            </w:pPr>
          </w:p>
        </w:tc>
        <w:tc>
          <w:tcPr>
            <w:tcW w:w="3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accounts payable and other accrued expenses</w:t>
            </w:r>
          </w:p>
        </w:tc>
        <w:tc>
          <w:tcPr>
            <w:tcW w:w="27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666,971</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698,011</w:t>
            </w:r>
          </w:p>
        </w:tc>
        <w:tc>
          <w:tcPr>
            <w:tcW w:w="820" w:type="dxa"/>
            <w:vAlign w:val="bottom"/>
          </w:tcPr>
          <w:p>
            <w:pPr>
              <w:spacing w:after="0"/>
              <w:rPr>
                <w:sz w:val="16"/>
                <w:szCs w:val="16"/>
                <w:color w:val="auto"/>
              </w:rPr>
            </w:pPr>
          </w:p>
        </w:tc>
      </w:tr>
      <w:tr>
        <w:trPr>
          <w:trHeight w:val="20"/>
        </w:trPr>
        <w:tc>
          <w:tcPr>
            <w:tcW w:w="84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673"/>
        </w:trPr>
        <w:tc>
          <w:tcPr>
            <w:tcW w:w="8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20" w:type="dxa"/>
            <w:vAlign w:val="bottom"/>
            <w:gridSpan w:val="2"/>
          </w:tcPr>
          <w:p>
            <w:pPr>
              <w:jc w:val="right"/>
              <w:ind w:right="2514"/>
              <w:spacing w:after="0"/>
              <w:rPr>
                <w:sz w:val="20"/>
                <w:szCs w:val="20"/>
                <w:color w:val="auto"/>
              </w:rPr>
            </w:pPr>
            <w:r>
              <w:rPr>
                <w:rFonts w:ascii="Arial" w:cs="Arial" w:eastAsia="Arial" w:hAnsi="Arial"/>
                <w:sz w:val="14"/>
                <w:szCs w:val="14"/>
                <w:color w:val="auto"/>
              </w:rPr>
              <w:t>F-22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87"/>
        </w:trPr>
        <w:tc>
          <w:tcPr>
            <w:tcW w:w="84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360" w:firstLine="350"/>
        <w:spacing w:after="0" w:line="260" w:lineRule="auto"/>
        <w:rPr>
          <w:sz w:val="20"/>
          <w:szCs w:val="20"/>
          <w:color w:val="auto"/>
        </w:rPr>
      </w:pPr>
      <w:r>
        <w:rPr>
          <w:rFonts w:ascii="Arial" w:cs="Arial" w:eastAsia="Arial" w:hAnsi="Arial"/>
          <w:sz w:val="14"/>
          <w:szCs w:val="14"/>
          <w:color w:val="auto"/>
        </w:rPr>
        <w:t>Accrued expenses consisted primarily of the Company’s provision for claimed indirect costs, which was approximately $263.2 million and $224.6 million as of March 31, 2021 and 2020, respectively. Refer to Note 21 for further discussion of this provision.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ACCRUED COMPENSATION AND BENEFITS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Accrued compensation and benefits consisted of the following:</w:t>
      </w:r>
    </w:p>
    <w:p>
      <w:pPr>
        <w:spacing w:after="0" w:line="193" w:lineRule="exact"/>
        <w:rPr>
          <w:sz w:val="20"/>
          <w:szCs w:val="20"/>
          <w:color w:val="auto"/>
        </w:rPr>
      </w:pPr>
    </w:p>
    <w:p>
      <w:pPr>
        <w:jc w:val="center"/>
        <w:ind w:left="6580"/>
        <w:spacing w:after="0"/>
        <w:rPr>
          <w:sz w:val="20"/>
          <w:szCs w:val="20"/>
          <w:color w:val="auto"/>
        </w:rPr>
      </w:pPr>
      <w:r>
        <w:rPr>
          <w:rFonts w:ascii="Arial" w:cs="Arial" w:eastAsia="Arial" w:hAnsi="Arial"/>
          <w:sz w:val="11"/>
          <w:szCs w:val="11"/>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18415</wp:posOffset>
            </wp:positionV>
            <wp:extent cx="187960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13" w:lineRule="exact"/>
        <w:rPr>
          <w:sz w:val="20"/>
          <w:szCs w:val="20"/>
          <w:color w:val="auto"/>
        </w:rPr>
      </w:pPr>
    </w:p>
    <w:p>
      <w:pPr>
        <w:ind w:left="8060"/>
        <w:spacing w:after="0"/>
        <w:tabs>
          <w:tab w:leader="none" w:pos="9560" w:val="left"/>
        </w:tabs>
        <w:rPr>
          <w:sz w:val="20"/>
          <w:szCs w:val="20"/>
          <w:color w:val="auto"/>
        </w:rPr>
      </w:pPr>
      <w:r>
        <w:rPr>
          <w:rFonts w:ascii="Arial" w:cs="Arial" w:eastAsia="Arial" w:hAnsi="Arial"/>
          <w:sz w:val="11"/>
          <w:szCs w:val="11"/>
          <w:b w:val="1"/>
          <w:bCs w:val="1"/>
          <w:color w:val="auto"/>
        </w:rPr>
        <w:t>2021</w:t>
      </w:r>
      <w:r>
        <w:rPr>
          <w:sz w:val="20"/>
          <w:szCs w:val="20"/>
          <w:color w:val="auto"/>
        </w:rPr>
        <w:tab/>
      </w:r>
      <w:r>
        <w:rPr>
          <w:rFonts w:ascii="Arial" w:cs="Arial" w:eastAsia="Arial" w:hAnsi="Arial"/>
          <w:sz w:val="11"/>
          <w:szCs w:val="11"/>
          <w:b w:val="1"/>
          <w:bCs w:val="1"/>
          <w:color w:val="auto"/>
        </w:rPr>
        <w:t>2020</w:t>
      </w:r>
    </w:p>
    <w:p>
      <w:pPr>
        <w:sectPr>
          <w:pgSz w:w="11900" w:h="16838" w:orient="portrait"/>
          <w:cols w:equalWidth="0" w:num="1">
            <w:col w:w="11280"/>
          </w:cols>
          <w:pgMar w:left="300" w:top="698" w:right="319" w:bottom="1440" w:gutter="0" w:footer="0" w:header="0"/>
        </w:sectPr>
      </w:pPr>
    </w:p>
    <w:p>
      <w:pPr>
        <w:spacing w:after="0" w:line="2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Bonus</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4"/>
          <w:szCs w:val="14"/>
          <w:color w:val="auto"/>
        </w:rPr>
        <w:t>Retirement</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Vacation</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Other</w:t>
      </w:r>
    </w:p>
    <w:p>
      <w:pPr>
        <w:spacing w:after="0" w:line="19" w:lineRule="exact"/>
        <w:rPr>
          <w:sz w:val="20"/>
          <w:szCs w:val="20"/>
          <w:color w:val="auto"/>
        </w:rPr>
      </w:pPr>
    </w:p>
    <w:p>
      <w:pPr>
        <w:jc w:val="right"/>
        <w:ind w:right="1200"/>
        <w:spacing w:after="0"/>
        <w:rPr>
          <w:sz w:val="20"/>
          <w:szCs w:val="20"/>
          <w:color w:val="auto"/>
        </w:rPr>
      </w:pPr>
      <w:r>
        <w:rPr>
          <w:rFonts w:ascii="Arial" w:cs="Arial" w:eastAsia="Arial" w:hAnsi="Arial"/>
          <w:sz w:val="14"/>
          <w:szCs w:val="14"/>
          <w:color w:val="auto"/>
        </w:rPr>
        <w:t>Total accrued compensation and benefits</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Debt consisted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80" w:type="dxa"/>
        <w:tblCellMar>
          <w:top w:w="0" w:type="dxa"/>
          <w:left w:w="0" w:type="dxa"/>
          <w:bottom w:w="0" w:type="dxa"/>
          <w:right w:w="0" w:type="dxa"/>
        </w:tblCellMar>
      </w:tblPr>
      <w:tr>
        <w:trPr>
          <w:trHeight w:val="179"/>
        </w:trPr>
        <w:tc>
          <w:tcPr>
            <w:tcW w:w="50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130,565</w:t>
            </w:r>
          </w:p>
        </w:tc>
        <w:tc>
          <w:tcPr>
            <w:tcW w:w="100" w:type="dxa"/>
            <w:vAlign w:val="bottom"/>
          </w:tcPr>
          <w:p>
            <w:pPr>
              <w:spacing w:after="0"/>
              <w:rPr>
                <w:sz w:val="15"/>
                <w:szCs w:val="15"/>
                <w:color w:val="auto"/>
              </w:rPr>
            </w:pPr>
          </w:p>
        </w:tc>
        <w:tc>
          <w:tcPr>
            <w:tcW w:w="50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114,359</w:t>
            </w:r>
          </w:p>
        </w:tc>
      </w:tr>
      <w:tr>
        <w:trPr>
          <w:trHeight w:val="180"/>
        </w:trPr>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44,474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41,604</w:t>
            </w:r>
          </w:p>
        </w:tc>
      </w:tr>
      <w:tr>
        <w:trPr>
          <w:trHeight w:val="180"/>
        </w:trPr>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202,100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159,512</w:t>
            </w:r>
          </w:p>
        </w:tc>
      </w:tr>
      <w:tr>
        <w:trPr>
          <w:trHeight w:val="181"/>
        </w:trPr>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48,476</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33,300</w:t>
            </w:r>
          </w:p>
        </w:tc>
      </w:tr>
      <w:tr>
        <w:trPr>
          <w:trHeight w:val="171"/>
        </w:trPr>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425,615</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348,775</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-612140</wp:posOffset>
            </wp:positionV>
            <wp:extent cx="6056630" cy="1212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56630" cy="12128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-376555</wp:posOffset>
            </wp:positionV>
            <wp:extent cx="6056630" cy="114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56630" cy="11430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-147320</wp:posOffset>
            </wp:positionV>
            <wp:extent cx="6056630" cy="134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5663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88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w w:val="99"/>
              </w:rPr>
              <w:t>March 31, 2021</w:t>
            </w: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March 31, 2020</w:t>
            </w:r>
          </w:p>
        </w:tc>
      </w:tr>
      <w:tr>
        <w:trPr>
          <w:trHeight w:val="101"/>
        </w:trPr>
        <w:tc>
          <w:tcPr>
            <w:tcW w:w="1880" w:type="dxa"/>
            <w:vAlign w:val="bottom"/>
          </w:tcPr>
          <w:p>
            <w:pPr>
              <w:jc w:val="center"/>
              <w:ind w:right="363"/>
              <w:spacing w:after="0" w:line="101" w:lineRule="exact"/>
              <w:rPr>
                <w:sz w:val="20"/>
                <w:szCs w:val="20"/>
                <w:color w:val="auto"/>
              </w:rPr>
            </w:pPr>
            <w:r>
              <w:rPr>
                <w:rFonts w:ascii="Arial" w:cs="Arial" w:eastAsia="Arial" w:hAnsi="Arial"/>
                <w:sz w:val="11"/>
                <w:szCs w:val="11"/>
                <w:b w:val="1"/>
                <w:bCs w:val="1"/>
                <w:color w:val="auto"/>
                <w:w w:val="95"/>
              </w:rPr>
              <w:t>Interest</w:t>
            </w:r>
          </w:p>
        </w:tc>
        <w:tc>
          <w:tcPr>
            <w:tcW w:w="1020" w:type="dxa"/>
            <w:vAlign w:val="bottom"/>
          </w:tcPr>
          <w:p>
            <w:pPr>
              <w:jc w:val="center"/>
              <w:ind w:right="283"/>
              <w:spacing w:after="0" w:line="101" w:lineRule="exact"/>
              <w:rPr>
                <w:sz w:val="20"/>
                <w:szCs w:val="20"/>
                <w:color w:val="auto"/>
              </w:rPr>
            </w:pPr>
            <w:r>
              <w:rPr>
                <w:rFonts w:ascii="Arial" w:cs="Arial" w:eastAsia="Arial" w:hAnsi="Arial"/>
                <w:sz w:val="11"/>
                <w:szCs w:val="11"/>
                <w:b w:val="1"/>
                <w:bCs w:val="1"/>
                <w:color w:val="auto"/>
                <w:w w:val="92"/>
              </w:rPr>
              <w:t>Outstanding</w:t>
            </w:r>
          </w:p>
        </w:tc>
        <w:tc>
          <w:tcPr>
            <w:tcW w:w="100" w:type="dxa"/>
            <w:vAlign w:val="bottom"/>
          </w:tcPr>
          <w:p>
            <w:pPr>
              <w:spacing w:after="0"/>
              <w:rPr>
                <w:sz w:val="8"/>
                <w:szCs w:val="8"/>
                <w:color w:val="auto"/>
              </w:rPr>
            </w:pPr>
          </w:p>
        </w:tc>
        <w:tc>
          <w:tcPr>
            <w:tcW w:w="1000" w:type="dxa"/>
            <w:vAlign w:val="bottom"/>
          </w:tcPr>
          <w:p>
            <w:pPr>
              <w:jc w:val="center"/>
              <w:ind w:left="403"/>
              <w:spacing w:after="0" w:line="101" w:lineRule="exact"/>
              <w:rPr>
                <w:sz w:val="20"/>
                <w:szCs w:val="20"/>
                <w:color w:val="auto"/>
              </w:rPr>
            </w:pPr>
            <w:r>
              <w:rPr>
                <w:rFonts w:ascii="Arial" w:cs="Arial" w:eastAsia="Arial" w:hAnsi="Arial"/>
                <w:sz w:val="11"/>
                <w:szCs w:val="11"/>
                <w:b w:val="1"/>
                <w:bCs w:val="1"/>
                <w:color w:val="auto"/>
                <w:w w:val="95"/>
              </w:rPr>
              <w:t>Interest</w:t>
            </w:r>
          </w:p>
        </w:tc>
        <w:tc>
          <w:tcPr>
            <w:tcW w:w="1900" w:type="dxa"/>
            <w:vAlign w:val="bottom"/>
          </w:tcPr>
          <w:p>
            <w:pPr>
              <w:jc w:val="center"/>
              <w:ind w:left="483"/>
              <w:spacing w:after="0" w:line="101" w:lineRule="exact"/>
              <w:rPr>
                <w:sz w:val="20"/>
                <w:szCs w:val="20"/>
                <w:color w:val="auto"/>
              </w:rPr>
            </w:pPr>
            <w:r>
              <w:rPr>
                <w:rFonts w:ascii="Arial" w:cs="Arial" w:eastAsia="Arial" w:hAnsi="Arial"/>
                <w:sz w:val="11"/>
                <w:szCs w:val="11"/>
                <w:b w:val="1"/>
                <w:bCs w:val="1"/>
                <w:color w:val="auto"/>
                <w:w w:val="92"/>
              </w:rPr>
              <w:t>Outstanding</w:t>
            </w:r>
          </w:p>
        </w:tc>
      </w:tr>
      <w:tr>
        <w:trPr>
          <w:trHeight w:val="147"/>
        </w:trPr>
        <w:tc>
          <w:tcPr>
            <w:tcW w:w="1880" w:type="dxa"/>
            <w:vAlign w:val="bottom"/>
          </w:tcPr>
          <w:p>
            <w:pPr>
              <w:jc w:val="center"/>
              <w:ind w:right="363"/>
              <w:spacing w:after="0"/>
              <w:rPr>
                <w:sz w:val="20"/>
                <w:szCs w:val="20"/>
                <w:color w:val="auto"/>
              </w:rPr>
            </w:pPr>
            <w:r>
              <w:rPr>
                <w:rFonts w:ascii="Arial" w:cs="Arial" w:eastAsia="Arial" w:hAnsi="Arial"/>
                <w:sz w:val="11"/>
                <w:szCs w:val="11"/>
                <w:b w:val="1"/>
                <w:bCs w:val="1"/>
                <w:color w:val="auto"/>
                <w:w w:val="92"/>
              </w:rPr>
              <w:t>Rate</w:t>
            </w:r>
          </w:p>
        </w:tc>
        <w:tc>
          <w:tcPr>
            <w:tcW w:w="112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89"/>
              </w:rPr>
              <w:t>Balance</w:t>
            </w:r>
          </w:p>
        </w:tc>
        <w:tc>
          <w:tcPr>
            <w:tcW w:w="1000" w:type="dxa"/>
            <w:vAlign w:val="bottom"/>
          </w:tcPr>
          <w:p>
            <w:pPr>
              <w:jc w:val="center"/>
              <w:ind w:left="383"/>
              <w:spacing w:after="0"/>
              <w:rPr>
                <w:sz w:val="20"/>
                <w:szCs w:val="20"/>
                <w:color w:val="auto"/>
              </w:rPr>
            </w:pPr>
            <w:r>
              <w:rPr>
                <w:rFonts w:ascii="Arial" w:cs="Arial" w:eastAsia="Arial" w:hAnsi="Arial"/>
                <w:sz w:val="11"/>
                <w:szCs w:val="11"/>
                <w:b w:val="1"/>
                <w:bCs w:val="1"/>
                <w:color w:val="auto"/>
              </w:rPr>
              <w:t>Rate</w:t>
            </w:r>
          </w:p>
        </w:tc>
        <w:tc>
          <w:tcPr>
            <w:tcW w:w="1900" w:type="dxa"/>
            <w:vAlign w:val="bottom"/>
          </w:tcPr>
          <w:p>
            <w:pPr>
              <w:jc w:val="center"/>
              <w:ind w:left="483"/>
              <w:spacing w:after="0"/>
              <w:rPr>
                <w:sz w:val="20"/>
                <w:szCs w:val="20"/>
                <w:color w:val="auto"/>
              </w:rPr>
            </w:pPr>
            <w:r>
              <w:rPr>
                <w:rFonts w:ascii="Arial" w:cs="Arial" w:eastAsia="Arial" w:hAnsi="Arial"/>
                <w:sz w:val="11"/>
                <w:szCs w:val="11"/>
                <w:b w:val="1"/>
                <w:bCs w:val="1"/>
                <w:color w:val="auto"/>
                <w:w w:val="94"/>
              </w:rPr>
              <w:t>Balance</w:t>
            </w:r>
          </w:p>
        </w:tc>
      </w:tr>
    </w:tbl>
    <w:p>
      <w:pPr>
        <w:spacing w:after="0" w:line="20" w:lineRule="exact"/>
        <w:rPr>
          <w:sz w:val="20"/>
          <w:szCs w:val="20"/>
          <w:color w:val="auto"/>
        </w:rPr>
      </w:pPr>
    </w:p>
    <w:p>
      <w:pPr>
        <w:sectPr>
          <w:pgSz w:w="11900" w:h="16838" w:orient="portrait"/>
          <w:cols w:equalWidth="0" w:num="2">
            <w:col w:w="4660" w:space="720"/>
            <w:col w:w="5900"/>
          </w:cols>
          <w:pgMar w:left="300" w:top="698" w:right="319" w:bottom="1440" w:gutter="0" w:footer="0" w:header="0"/>
          <w:type w:val="continuous"/>
        </w:sectPr>
      </w:pPr>
    </w:p>
    <w:tbl>
      <w:tblPr>
        <w:tblLayout w:type="fixed"/>
        <w:tblInd w:w="20" w:type="dxa"/>
        <w:tblCellMar>
          <w:top w:w="0" w:type="dxa"/>
          <w:left w:w="0" w:type="dxa"/>
          <w:bottom w:w="0" w:type="dxa"/>
          <w:right w:w="0" w:type="dxa"/>
        </w:tblCellMar>
      </w:tblPr>
      <w:tr>
        <w:trPr>
          <w:trHeight w:val="20"/>
        </w:trPr>
        <w:tc>
          <w:tcPr>
            <w:tcW w:w="53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Term Loan A</w:t>
            </w: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60" w:type="dxa"/>
            <w:vAlign w:val="bottom"/>
            <w:vMerge w:val="continue"/>
            <w:shd w:val="clear" w:color="auto" w:fill="CCEEFF"/>
          </w:tcPr>
          <w:p>
            <w:pPr>
              <w:spacing w:after="0"/>
              <w:rPr>
                <w:sz w:val="13"/>
                <w:szCs w:val="13"/>
                <w:color w:val="auto"/>
              </w:rPr>
            </w:pPr>
          </w:p>
        </w:tc>
        <w:tc>
          <w:tcPr>
            <w:tcW w:w="1960" w:type="dxa"/>
            <w:vAlign w:val="bottom"/>
            <w:gridSpan w:val="3"/>
            <w:shd w:val="clear" w:color="auto" w:fill="CCEEFF"/>
          </w:tcPr>
          <w:p>
            <w:pPr>
              <w:jc w:val="right"/>
              <w:ind w:right="249"/>
              <w:spacing w:after="0" w:line="153" w:lineRule="exact"/>
              <w:rPr>
                <w:sz w:val="20"/>
                <w:szCs w:val="20"/>
                <w:color w:val="auto"/>
              </w:rPr>
            </w:pPr>
            <w:r>
              <w:rPr>
                <w:rFonts w:ascii="Arial" w:cs="Arial" w:eastAsia="Arial" w:hAnsi="Arial"/>
                <w:sz w:val="14"/>
                <w:szCs w:val="14"/>
                <w:color w:val="auto"/>
              </w:rPr>
              <w:t>1.61 %  $</w:t>
            </w:r>
          </w:p>
        </w:tc>
        <w:tc>
          <w:tcPr>
            <w:tcW w:w="9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1,289,764</w:t>
            </w:r>
          </w:p>
        </w:tc>
        <w:tc>
          <w:tcPr>
            <w:tcW w:w="2060" w:type="dxa"/>
            <w:vAlign w:val="bottom"/>
            <w:gridSpan w:val="4"/>
            <w:shd w:val="clear" w:color="auto" w:fill="CCEEFF"/>
          </w:tcPr>
          <w:p>
            <w:pPr>
              <w:jc w:val="right"/>
              <w:ind w:right="269"/>
              <w:spacing w:after="0" w:line="153" w:lineRule="exact"/>
              <w:rPr>
                <w:sz w:val="20"/>
                <w:szCs w:val="20"/>
                <w:color w:val="auto"/>
              </w:rPr>
            </w:pPr>
            <w:r>
              <w:rPr>
                <w:rFonts w:ascii="Arial" w:cs="Arial" w:eastAsia="Arial" w:hAnsi="Arial"/>
                <w:sz w:val="14"/>
                <w:szCs w:val="14"/>
                <w:color w:val="auto"/>
              </w:rPr>
              <w:t>2.49 %  $</w:t>
            </w:r>
          </w:p>
        </w:tc>
        <w:tc>
          <w:tcPr>
            <w:tcW w:w="9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1,363,739</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Term Loan B</w:t>
            </w:r>
          </w:p>
        </w:tc>
        <w:tc>
          <w:tcPr>
            <w:tcW w:w="1460" w:type="dxa"/>
            <w:vAlign w:val="bottom"/>
          </w:tcPr>
          <w:p>
            <w:pPr>
              <w:jc w:val="right"/>
              <w:spacing w:after="0"/>
              <w:rPr>
                <w:sz w:val="20"/>
                <w:szCs w:val="20"/>
                <w:color w:val="auto"/>
              </w:rPr>
            </w:pPr>
            <w:r>
              <w:rPr>
                <w:rFonts w:ascii="Arial" w:cs="Arial" w:eastAsia="Arial" w:hAnsi="Arial"/>
                <w:sz w:val="14"/>
                <w:szCs w:val="14"/>
                <w:color w:val="auto"/>
              </w:rPr>
              <w:t>1.86 %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384,212</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2.74 %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388,102</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Revolver</w:t>
            </w:r>
          </w:p>
        </w:tc>
        <w:tc>
          <w:tcPr>
            <w:tcW w:w="1960" w:type="dxa"/>
            <w:vAlign w:val="bottom"/>
            <w:gridSpan w:val="3"/>
            <w:shd w:val="clear" w:color="auto" w:fill="CCEEFF"/>
          </w:tcPr>
          <w:p>
            <w:pPr>
              <w:jc w:val="right"/>
              <w:ind w:right="449"/>
              <w:spacing w:after="0"/>
              <w:rPr>
                <w:sz w:val="20"/>
                <w:szCs w:val="20"/>
                <w:color w:val="auto"/>
              </w:rPr>
            </w:pPr>
            <w:r>
              <w:rPr>
                <w:rFonts w:ascii="Arial" w:cs="Arial" w:eastAsia="Arial" w:hAnsi="Arial"/>
                <w:sz w:val="14"/>
                <w:szCs w:val="14"/>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3.75 %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0"/>
        </w:trPr>
        <w:tc>
          <w:tcPr>
            <w:tcW w:w="5360" w:type="dxa"/>
            <w:vAlign w:val="bottom"/>
          </w:tcPr>
          <w:p>
            <w:pPr>
              <w:spacing w:after="0"/>
              <w:rPr>
                <w:sz w:val="20"/>
                <w:szCs w:val="20"/>
                <w:color w:val="auto"/>
              </w:rPr>
            </w:pPr>
            <w:r>
              <w:rPr>
                <w:rFonts w:ascii="Arial" w:cs="Arial" w:eastAsia="Arial" w:hAnsi="Arial"/>
                <w:sz w:val="14"/>
                <w:szCs w:val="14"/>
                <w:color w:val="auto"/>
              </w:rPr>
              <w:t>Senior Notes</w:t>
            </w:r>
          </w:p>
        </w:tc>
        <w:tc>
          <w:tcPr>
            <w:tcW w:w="1460" w:type="dxa"/>
            <w:vAlign w:val="bottom"/>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700,000</w:t>
            </w:r>
          </w:p>
        </w:tc>
        <w:tc>
          <w:tcPr>
            <w:tcW w:w="100" w:type="dxa"/>
            <w:vAlign w:val="bottom"/>
          </w:tcPr>
          <w:p>
            <w:pPr>
              <w:spacing w:after="0"/>
              <w:rPr>
                <w:sz w:val="15"/>
                <w:szCs w:val="15"/>
                <w:color w:val="auto"/>
              </w:rPr>
            </w:pPr>
          </w:p>
        </w:tc>
        <w:tc>
          <w:tcPr>
            <w:tcW w:w="1960" w:type="dxa"/>
            <w:vAlign w:val="bottom"/>
            <w:gridSpan w:val="3"/>
          </w:tcPr>
          <w:p>
            <w:pPr>
              <w:jc w:val="right"/>
              <w:ind w:right="449"/>
              <w:spacing w:after="0"/>
              <w:rPr>
                <w:sz w:val="20"/>
                <w:szCs w:val="20"/>
                <w:color w:val="auto"/>
              </w:rPr>
            </w:pPr>
            <w:r>
              <w:rPr>
                <w:rFonts w:ascii="Arial" w:cs="Arial" w:eastAsia="Arial" w:hAnsi="Arial"/>
                <w:sz w:val="14"/>
                <w:szCs w:val="14"/>
                <w:color w:val="auto"/>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360" w:type="dxa"/>
            <w:vAlign w:val="bottom"/>
            <w:shd w:val="clear" w:color="auto" w:fill="CCEEFF"/>
          </w:tcPr>
          <w:p>
            <w:pPr>
              <w:spacing w:after="0"/>
              <w:rPr>
                <w:sz w:val="20"/>
                <w:szCs w:val="20"/>
                <w:color w:val="auto"/>
              </w:rPr>
            </w:pPr>
            <w:r>
              <w:rPr>
                <w:rFonts w:ascii="Arial" w:cs="Arial" w:eastAsia="Arial" w:hAnsi="Arial"/>
                <w:sz w:val="14"/>
                <w:szCs w:val="14"/>
                <w:color w:val="auto"/>
              </w:rPr>
              <w:t>2017 Senior Notes</w:t>
            </w:r>
          </w:p>
        </w:tc>
        <w:tc>
          <w:tcPr>
            <w:tcW w:w="1960" w:type="dxa"/>
            <w:vAlign w:val="bottom"/>
            <w:gridSpan w:val="3"/>
            <w:shd w:val="clear" w:color="auto" w:fill="CCEEFF"/>
          </w:tcPr>
          <w:p>
            <w:pPr>
              <w:jc w:val="right"/>
              <w:ind w:right="449"/>
              <w:spacing w:after="0"/>
              <w:rPr>
                <w:sz w:val="20"/>
                <w:szCs w:val="20"/>
                <w:color w:val="auto"/>
              </w:rPr>
            </w:pPr>
            <w:r>
              <w:rPr>
                <w:rFonts w:ascii="Arial" w:cs="Arial" w:eastAsia="Arial" w:hAnsi="Arial"/>
                <w:sz w:val="14"/>
                <w:szCs w:val="14"/>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5.13 %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Unamortized debt issuance costs and discount on debt</w:t>
            </w: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(17,380)</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(15,997)</w:t>
            </w:r>
          </w:p>
        </w:tc>
        <w:tc>
          <w:tcPr>
            <w:tcW w:w="0" w:type="dxa"/>
            <w:vAlign w:val="bottom"/>
          </w:tcPr>
          <w:p>
            <w:pPr>
              <w:spacing w:after="0"/>
              <w:rPr>
                <w:sz w:val="1"/>
                <w:szCs w:val="1"/>
                <w:color w:val="auto"/>
              </w:rPr>
            </w:pPr>
          </w:p>
        </w:tc>
      </w:tr>
      <w:tr>
        <w:trPr>
          <w:trHeight w:val="171"/>
        </w:trPr>
        <w:tc>
          <w:tcPr>
            <w:tcW w:w="5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2,356,596</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2,185,844</w:t>
            </w:r>
          </w:p>
        </w:tc>
        <w:tc>
          <w:tcPr>
            <w:tcW w:w="0" w:type="dxa"/>
            <w:vAlign w:val="bottom"/>
          </w:tcPr>
          <w:p>
            <w:pPr>
              <w:spacing w:after="0"/>
              <w:rPr>
                <w:sz w:val="1"/>
                <w:szCs w:val="1"/>
                <w:color w:val="auto"/>
              </w:rPr>
            </w:pPr>
          </w:p>
        </w:tc>
      </w:tr>
      <w:tr>
        <w:trPr>
          <w:trHeight w:val="180"/>
        </w:trPr>
        <w:tc>
          <w:tcPr>
            <w:tcW w:w="53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Less: Current portion of long-term debt</w:t>
            </w: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(77,865)</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(177,865)</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Long-term debt, net of current portion</w:t>
            </w: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2,278,731</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2,007,979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Term Loans and Revolving Credit Facility</w:t>
      </w:r>
    </w:p>
    <w:p>
      <w:pPr>
        <w:spacing w:after="0" w:line="200" w:lineRule="exact"/>
        <w:rPr>
          <w:sz w:val="20"/>
          <w:szCs w:val="20"/>
          <w:color w:val="auto"/>
        </w:rPr>
      </w:pPr>
    </w:p>
    <w:p>
      <w:pPr>
        <w:ind w:right="20" w:firstLine="141"/>
        <w:spacing w:after="0" w:line="274" w:lineRule="auto"/>
        <w:rPr>
          <w:sz w:val="20"/>
          <w:szCs w:val="20"/>
          <w:color w:val="auto"/>
        </w:rPr>
      </w:pPr>
      <w:r>
        <w:rPr>
          <w:rFonts w:ascii="Arial" w:cs="Arial" w:eastAsia="Arial" w:hAnsi="Arial"/>
          <w:sz w:val="13"/>
          <w:szCs w:val="13"/>
          <w:color w:val="auto"/>
        </w:rPr>
        <w:t>On November 26, 2019 (the "Amendment Effective Date"), Booz Allen Hamilton Inc. ("Booz Allen Hamilton"), Booz Allen Hamilton Investor Corporation ("Investor"), and certain wholly-owned subsidiaries of Booz Allen Hamilton, entered into the Seventh Amendment (the "Seventh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the Credit Agreement, dated as of May 7, 2014, the Third Amendment to the Credit Agreement, dated as of July 13, 2016, the Fourth Amendment to the Credit Agreement, dated as of February 6, 2017, the Fifth Amendment to the Credit Agreement, dated as of March 7, 2018, and the Sixth Amendment to the Credit Agreement, dated as of July 23, 2018). Pursuant to the Seventh Amendment, the Company reduced the applicable margin applicable to the Term Loan B ("Term Loan B" and, together with the Term Loan A, the "Term Loans") from 2.00% to 1.75% for LIBOR loans and from</w:t>
      </w:r>
    </w:p>
    <w:p>
      <w:pPr>
        <w:spacing w:after="0" w:line="4"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1.00% to 0.75% for base rate loans and extended the maturity of the Term Loan B to November 26, 2026. The applicable margin and maturity date applicable to the Term Loan A (the "Term Loan A") remained unchanged.</w:t>
      </w:r>
    </w:p>
    <w:p>
      <w:pPr>
        <w:spacing w:after="0" w:line="163" w:lineRule="exact"/>
        <w:rPr>
          <w:sz w:val="20"/>
          <w:szCs w:val="20"/>
          <w:color w:val="auto"/>
        </w:rPr>
      </w:pPr>
    </w:p>
    <w:p>
      <w:pPr>
        <w:ind w:right="220" w:firstLine="141"/>
        <w:spacing w:after="0" w:line="321" w:lineRule="auto"/>
        <w:rPr>
          <w:sz w:val="20"/>
          <w:szCs w:val="20"/>
          <w:color w:val="auto"/>
        </w:rPr>
      </w:pPr>
      <w:r>
        <w:rPr>
          <w:rFonts w:ascii="Arial" w:cs="Arial" w:eastAsia="Arial" w:hAnsi="Arial"/>
          <w:sz w:val="13"/>
          <w:szCs w:val="13"/>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189"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The other terms of the New Refinancing Tranche B Term Loans are generally the same as the existing Term Loan B prior to the Seventh Amendment.</w:t>
      </w:r>
    </w:p>
    <w:p>
      <w:pPr>
        <w:spacing w:after="0" w:line="57"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As of March 31, 2021, the Credit Agreement provided Booz Allen Hamilton with a $1,289.8 million Term Loan A, a $384.2 million Term Loan B and a $500.0 million revolving credit facility (the “Revolving Credit Facility”) with a sub-limit for letters of credit of $100.0 million (collectively, the "Secured Credit Facility"). As of March 31, 2021,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53" w:lineRule="exact"/>
        <w:rPr>
          <w:sz w:val="20"/>
          <w:szCs w:val="20"/>
          <w:color w:val="auto"/>
        </w:rPr>
      </w:pPr>
    </w:p>
    <w:p>
      <w:pPr>
        <w:ind w:right="80" w:firstLine="318"/>
        <w:spacing w:after="0" w:line="282" w:lineRule="auto"/>
        <w:rPr>
          <w:sz w:val="20"/>
          <w:szCs w:val="20"/>
          <w:color w:val="auto"/>
        </w:rPr>
      </w:pPr>
      <w:r>
        <w:rPr>
          <w:rFonts w:ascii="Arial" w:cs="Arial" w:eastAsia="Arial" w:hAnsi="Arial"/>
          <w:sz w:val="13"/>
          <w:szCs w:val="13"/>
          <w:color w:val="auto"/>
        </w:rPr>
        <w:t>At Booz Allen Hamilton’s option, borrowings under the Secured Credit Facility bear interest based either at LIBOR (adjusted for maximum reserves, and subject to a floor of zero) for the applicable interest period or a base rate (equal to the highest of (x) the administrative agent’s prime corporate rate, (y) 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49" w:lineRule="exact"/>
        <w:rPr>
          <w:sz w:val="20"/>
          <w:szCs w:val="20"/>
          <w:color w:val="auto"/>
        </w:rPr>
      </w:pPr>
    </w:p>
    <w:p>
      <w:pPr>
        <w:ind w:right="240" w:firstLine="318"/>
        <w:spacing w:after="0" w:line="297" w:lineRule="auto"/>
        <w:rPr>
          <w:sz w:val="20"/>
          <w:szCs w:val="20"/>
          <w:color w:val="auto"/>
        </w:rPr>
      </w:pPr>
      <w:r>
        <w:rPr>
          <w:rFonts w:ascii="Arial" w:cs="Arial" w:eastAsia="Arial" w:hAnsi="Arial"/>
          <w:sz w:val="13"/>
          <w:szCs w:val="13"/>
          <w:color w:val="auto"/>
        </w:rPr>
        <w:t>Booz Allen Hamilton occasionally borrows under the Revolving Credit Facility in anticipation of cash demands. During fiscal 2021, Booz Allen Hamilton accessed no amounts of its $500.0 million Revolving Credit Facility. During fiscal 2020, Booz Allen Hamilton accessed a total of $100 million, of its $500 million Revolving Credit Facility. As of March 31, 2021, there was no outstanding balance on the Revolving Credit Facility. As of March 31, 2020, $100 million was outstanding on the Revolving Credit Facility, which was repaid in June 2020.</w:t>
      </w:r>
    </w:p>
    <w:p>
      <w:pPr>
        <w:spacing w:after="0" w:line="39"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47" w:lineRule="exact"/>
        <w:rPr>
          <w:sz w:val="20"/>
          <w:szCs w:val="20"/>
          <w:color w:val="auto"/>
        </w:rPr>
      </w:pPr>
    </w:p>
    <w:p>
      <w:pPr>
        <w:ind w:firstLine="318"/>
        <w:spacing w:after="0" w:line="278" w:lineRule="auto"/>
        <w:rPr>
          <w:sz w:val="20"/>
          <w:szCs w:val="20"/>
          <w:color w:val="auto"/>
        </w:rPr>
      </w:pPr>
      <w:r>
        <w:rPr>
          <w:rFonts w:ascii="Arial" w:cs="Arial" w:eastAsia="Arial" w:hAnsi="Arial"/>
          <w:sz w:val="13"/>
          <w:szCs w:val="13"/>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 (vi) 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March 31, 2021 and 2020, Booz Allen Hamilton was in compliance with all financial covenants associated with its debt and debt-like instruments.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5" w:name="page96"/>
    <w:bookmarkEnd w:id="95"/>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During fiscal 2021, interest payments of $23.6 million and $7.8 million were made for Term Loan A and Term Loan B, respectively. During fiscal 2020, interest payments of $50.3 million and $15.9 million were made for Term Loan A and Term Loan B, respectively.</w:t>
      </w:r>
    </w:p>
    <w:p>
      <w:pPr>
        <w:spacing w:after="0" w:line="47"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March 31, 2021, Booz Allen Hamilton had interest rate swaps with an aggregate notional amount of $1 billion. These instruments hedge the variability of cash outflows for interest payments on the Term Loans and the Revolving Credit Facility. The Company's objectives in using cash flow hedges are to reduce volatility due to interest rate movements and to add stability to interest expense (see Note 11 in our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Senior Notes</w:t>
      </w:r>
    </w:p>
    <w:p>
      <w:pPr>
        <w:spacing w:after="0" w:line="94" w:lineRule="exact"/>
        <w:rPr>
          <w:sz w:val="20"/>
          <w:szCs w:val="20"/>
          <w:color w:val="auto"/>
        </w:rPr>
      </w:pPr>
    </w:p>
    <w:p>
      <w:pPr>
        <w:ind w:right="140" w:firstLine="318"/>
        <w:spacing w:after="0" w:line="257" w:lineRule="auto"/>
        <w:rPr>
          <w:sz w:val="20"/>
          <w:szCs w:val="20"/>
          <w:color w:val="auto"/>
        </w:rPr>
      </w:pPr>
      <w:r>
        <w:rPr>
          <w:rFonts w:ascii="Arial" w:cs="Arial" w:eastAsia="Arial" w:hAnsi="Arial"/>
          <w:sz w:val="14"/>
          <w:szCs w:val="14"/>
          <w:color w:val="auto"/>
        </w:rPr>
        <w:t>On August 24, 2020, Booz Allen Hamilton issued $700.0 million aggregate principal amount of its 3.875% Senior Notes due 2028 (the “Senior Notes”) under an Indenture, dated as of August 24, 2020, among Booz Allen Hamilton, certain subsidiaries of Booz Allen Hamilton, as guarantors (the “Subsidiary Guarantors”), and Wilmington Trust, National Association as trustee (the “Trustee”), as supplemented by the First Supplemental Indenture, dated as of August 24, 2020, among Booz Allen Hamilton, the Subsidiary Guarantors and the Trustee. Each of Booz Allen Hamilton's existing and future restricted subsidiaries that guarantee its obligations under the Secured Credit Facility or certain other indebtedness guarantee the Senior Notes on a senior unsecured basis. The Senior Notes and the guarantees are Booz Allen Hamilton’s and each Subsidiary Guarantors’ senior unsecured obligations and rank equally in right of payment with all of Booz Allen Hamilton’s and the Subsidiary Guarantors’ existing and future senior indebtedness and rank senior in right of payment to any of Booz Allen Hamilton’s and the Subsidiary Guarantors’ future subordinated indebtedness.</w:t>
      </w:r>
    </w:p>
    <w:p>
      <w:pPr>
        <w:spacing w:after="0" w:line="66"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color w:val="auto"/>
        </w:rPr>
        <w:t>Booz Allen Hamilton may redeem some or all of the Senior Notes at any time prior to September 1, 2023, at a price equal to 100.00% of the principal amount of the Senior Notes redeemed, plus accrued and unpaid interest, if any, to (but not including) the redemption date, plus an applicable “make-whole premium.” Booz Allen Hamilton may redeem the Senior Notes at its option, in whole at any time or in part from time to time, upon certain required notice, at any time (i) on and after September 1, 2023, at a price equal to 101.94% of the principal amount of the Senior Notes, (ii) on or after September 1, 2024, at a price equal to 100.97% of the principal amount of the Senior Notes, and (iii) on September 1, 2025 and thereafter, at a price equal to 100.00% of the principal amount of the Senior Notes, in each case, plus accrued and unpaid interest, if any, to (but not including) the applicable redemption date. In addition, at any time on or prior to September 1, 2023, Booz Allen Hamilton may redeem up to 40.00% of the original aggregate principal amount of the Senior Notes with the net cash proceeds of certain equity offerings at a redemption price equal to 103.88% of the principal amount of the Senior Notes, plus accrued and unpaid interest, if any, to (but not including) the redemption date, provided that at least 50.00% of the original aggregate principal amount of the Senior Notes remains outstanding after each such redemption; and the redemption occurs within 180 days of the closing date of such equity offering.</w:t>
      </w:r>
    </w:p>
    <w:p>
      <w:pPr>
        <w:spacing w:after="0" w:line="53"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Interest is payable on the Senior Notes semi-annually on March 1 and September 1 of each year, beginning on March 1, 2021, and principal is due at maturity on September 1, 2028. In connection with the issuance of the Senior Notes, the Company recognized $9.2 million of issuance costs, which were recorded as an offset against the carrying value of debt and will be amortized to interest expense over the term of the Senior Notes. For fiscal 2021, interest payments of $14.1 million were made for the Senior Notes.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2017 Senior Notes</w:t>
      </w:r>
    </w:p>
    <w:p>
      <w:pPr>
        <w:spacing w:after="0" w:line="9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On April 25, 2017, Booz Allen Hamilton issued $350.0 million aggregate principal amount of its 5.125% Senior Notes due 2025 (the "2017 Senior Notes"), under an Indenture, dated as of April 25, 2017, among Booz Allen Hamilton, certain subsidiaries of Booz Allen Hamilton, as guarantors, and Wilmington Trust, National Association, as trustee, as supplemented by the First Supplemental Indenture, dated as of April 25, 2017, among Booz Allen Hamilton, certain subsidiaries of Booz Allen Hamilton, as guarantors, and Wilmington Trust, National Association, as trustee. Each of Booz Allen Hamilton's existing and future domestic restricted subsidiaries that guaranteed its obligations under the Secured Credit Facility and certain other indebtedness guaranteed the 2017 Senior Notes on a senior unsecured basis.</w:t>
      </w:r>
    </w:p>
    <w:p>
      <w:pPr>
        <w:spacing w:after="0" w:line="62" w:lineRule="exact"/>
        <w:rPr>
          <w:sz w:val="20"/>
          <w:szCs w:val="20"/>
          <w:color w:val="auto"/>
        </w:rPr>
      </w:pPr>
    </w:p>
    <w:p>
      <w:pPr>
        <w:ind w:right="200" w:firstLine="318"/>
        <w:spacing w:after="0" w:line="368" w:lineRule="auto"/>
        <w:rPr>
          <w:sz w:val="20"/>
          <w:szCs w:val="20"/>
          <w:color w:val="auto"/>
        </w:rPr>
      </w:pPr>
      <w:r>
        <w:rPr>
          <w:rFonts w:ascii="Arial" w:cs="Arial" w:eastAsia="Arial" w:hAnsi="Arial"/>
          <w:sz w:val="12"/>
          <w:szCs w:val="12"/>
          <w:color w:val="auto"/>
        </w:rPr>
        <w:t>On August 24, 2020, Booz Allen Hamilton used a portion of the net proceeds from the sale of the Senior Notes to redeem in full $350.0 million aggregate principal amount of the outstanding 2017 Senior Notes at a redemption price of 102.563% of the principal amount thereof, plus accrued and unpaid interest thereon to (but excluding) the redemption date, and to pay all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color w:val="auto"/>
        </w:rPr>
        <w:t>fees and expenses related to the foregoing. Booz Allen Hamilton intends to use the remaining net proceeds from the sale of the Senior Notes for working capital and other general corporate purposes.</w:t>
      </w:r>
    </w:p>
    <w:p>
      <w:pPr>
        <w:spacing w:after="0" w:line="117"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During fiscal 2021, the Company recorded $13.2 million of loss on debt extinguishment in other (expense) income, net on the Consolidated Statements of Operations, including $9.0 million of the premium paid at redemption, and write-off of the unamortized debt issuance cost of the 2017 Senior Notes. For fiscal 2021 and 2020, interest payments of $14.6 million and $17.9 million were made for the 2017 Senior Notes, respectively.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required future debt principal repayments: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ind w:left="140"/>
              <w:spacing w:after="0"/>
              <w:rPr>
                <w:sz w:val="20"/>
                <w:szCs w:val="20"/>
                <w:color w:val="auto"/>
              </w:rPr>
            </w:pPr>
            <w:r>
              <w:rPr>
                <w:rFonts w:ascii="Arial" w:cs="Arial" w:eastAsia="Arial" w:hAnsi="Arial"/>
                <w:sz w:val="11"/>
                <w:szCs w:val="11"/>
                <w:b w:val="1"/>
                <w:bCs w:val="1"/>
                <w:color w:val="auto"/>
                <w:w w:val="91"/>
              </w:rPr>
              <w:t>Payments Due By March 31,</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r>
      <w:tr>
        <w:trPr>
          <w:trHeight w:val="142"/>
        </w:trPr>
        <w:tc>
          <w:tcPr>
            <w:tcW w:w="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00" w:type="dxa"/>
            <w:vAlign w:val="bottom"/>
            <w:gridSpan w:val="2"/>
          </w:tcPr>
          <w:p>
            <w:pPr>
              <w:ind w:left="480"/>
              <w:spacing w:after="0"/>
              <w:rPr>
                <w:sz w:val="20"/>
                <w:szCs w:val="20"/>
                <w:color w:val="auto"/>
              </w:rPr>
            </w:pPr>
            <w:r>
              <w:rPr>
                <w:rFonts w:ascii="Arial" w:cs="Arial" w:eastAsia="Arial" w:hAnsi="Arial"/>
                <w:sz w:val="11"/>
                <w:szCs w:val="11"/>
                <w:b w:val="1"/>
                <w:bCs w:val="1"/>
                <w:color w:val="auto"/>
              </w:rPr>
              <w:t>Total</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auto"/>
                <w:w w:val="89"/>
              </w:rPr>
              <w:t>2022</w:t>
            </w:r>
          </w:p>
        </w:tc>
        <w:tc>
          <w:tcPr>
            <w:tcW w:w="100" w:type="dxa"/>
            <w:vAlign w:val="bottom"/>
          </w:tcPr>
          <w:p>
            <w:pPr>
              <w:spacing w:after="0"/>
              <w:rPr>
                <w:sz w:val="12"/>
                <w:szCs w:val="12"/>
                <w:color w:val="auto"/>
              </w:rPr>
            </w:pPr>
          </w:p>
        </w:tc>
        <w:tc>
          <w:tcPr>
            <w:tcW w:w="840" w:type="dxa"/>
            <w:vAlign w:val="bottom"/>
          </w:tcPr>
          <w:p>
            <w:pPr>
              <w:jc w:val="center"/>
              <w:ind w:left="272"/>
              <w:spacing w:after="0"/>
              <w:rPr>
                <w:sz w:val="20"/>
                <w:szCs w:val="20"/>
                <w:color w:val="auto"/>
              </w:rPr>
            </w:pPr>
            <w:r>
              <w:rPr>
                <w:rFonts w:ascii="Arial" w:cs="Arial" w:eastAsia="Arial" w:hAnsi="Arial"/>
                <w:sz w:val="11"/>
                <w:szCs w:val="11"/>
                <w:b w:val="1"/>
                <w:bCs w:val="1"/>
                <w:color w:val="auto"/>
                <w:w w:val="89"/>
              </w:rPr>
              <w:t>2023</w:t>
            </w:r>
          </w:p>
        </w:tc>
        <w:tc>
          <w:tcPr>
            <w:tcW w:w="200" w:type="dxa"/>
            <w:vAlign w:val="bottom"/>
          </w:tcPr>
          <w:p>
            <w:pPr>
              <w:spacing w:after="0"/>
              <w:rPr>
                <w:sz w:val="12"/>
                <w:szCs w:val="12"/>
                <w:color w:val="auto"/>
              </w:rPr>
            </w:pPr>
          </w:p>
        </w:tc>
        <w:tc>
          <w:tcPr>
            <w:tcW w:w="1380" w:type="dxa"/>
            <w:vAlign w:val="bottom"/>
            <w:gridSpan w:val="3"/>
          </w:tcPr>
          <w:p>
            <w:pPr>
              <w:jc w:val="center"/>
              <w:ind w:left="173"/>
              <w:spacing w:after="0"/>
              <w:rPr>
                <w:sz w:val="20"/>
                <w:szCs w:val="20"/>
                <w:color w:val="auto"/>
              </w:rPr>
            </w:pPr>
            <w:r>
              <w:rPr>
                <w:rFonts w:ascii="Arial" w:cs="Arial" w:eastAsia="Arial" w:hAnsi="Arial"/>
                <w:sz w:val="11"/>
                <w:szCs w:val="11"/>
                <w:b w:val="1"/>
                <w:bCs w:val="1"/>
                <w:color w:val="auto"/>
                <w:w w:val="89"/>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right="191"/>
              <w:spacing w:after="0"/>
              <w:rPr>
                <w:sz w:val="20"/>
                <w:szCs w:val="20"/>
                <w:color w:val="auto"/>
              </w:rPr>
            </w:pPr>
            <w:r>
              <w:rPr>
                <w:rFonts w:ascii="Arial" w:cs="Arial" w:eastAsia="Arial" w:hAnsi="Arial"/>
                <w:sz w:val="11"/>
                <w:szCs w:val="11"/>
                <w:b w:val="1"/>
                <w:bCs w:val="1"/>
                <w:color w:val="auto"/>
                <w:w w:val="97"/>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1"/>
              <w:spacing w:after="0"/>
              <w:rPr>
                <w:sz w:val="20"/>
                <w:szCs w:val="20"/>
                <w:color w:val="auto"/>
              </w:rPr>
            </w:pPr>
            <w:r>
              <w:rPr>
                <w:rFonts w:ascii="Arial" w:cs="Arial" w:eastAsia="Arial" w:hAnsi="Arial"/>
                <w:sz w:val="11"/>
                <w:szCs w:val="11"/>
                <w:b w:val="1"/>
                <w:bCs w:val="1"/>
                <w:color w:val="auto"/>
                <w:w w:val="89"/>
              </w:rPr>
              <w:t>2026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320"/>
              <w:spacing w:after="0"/>
              <w:rPr>
                <w:sz w:val="20"/>
                <w:szCs w:val="20"/>
                <w:color w:val="auto"/>
              </w:rPr>
            </w:pPr>
            <w:r>
              <w:rPr>
                <w:rFonts w:ascii="Arial" w:cs="Arial" w:eastAsia="Arial" w:hAnsi="Arial"/>
                <w:sz w:val="11"/>
                <w:szCs w:val="11"/>
                <w:b w:val="1"/>
                <w:bCs w:val="1"/>
                <w:color w:val="auto"/>
              </w:rPr>
              <w:t>Thereafter</w:t>
            </w:r>
          </w:p>
        </w:tc>
      </w:tr>
      <w:tr>
        <w:trPr>
          <w:trHeight w:val="172"/>
        </w:trPr>
        <w:tc>
          <w:tcPr>
            <w:tcW w:w="40" w:type="dxa"/>
            <w:vAlign w:val="bottom"/>
          </w:tcPr>
          <w:p>
            <w:pPr>
              <w:spacing w:after="0"/>
              <w:rPr>
                <w:sz w:val="14"/>
                <w:szCs w:val="14"/>
                <w:color w:val="auto"/>
              </w:rPr>
            </w:pPr>
          </w:p>
        </w:tc>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Term Loan A</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$1,289,764</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$73,974</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center"/>
              <w:ind w:left="272"/>
              <w:spacing w:after="0"/>
              <w:rPr>
                <w:sz w:val="20"/>
                <w:szCs w:val="20"/>
                <w:color w:val="auto"/>
              </w:rPr>
            </w:pPr>
            <w:r>
              <w:rPr>
                <w:rFonts w:ascii="Arial" w:cs="Arial" w:eastAsia="Arial" w:hAnsi="Arial"/>
                <w:sz w:val="14"/>
                <w:szCs w:val="14"/>
                <w:color w:val="auto"/>
                <w:w w:val="90"/>
              </w:rPr>
              <w:t>$73,974</w:t>
            </w:r>
          </w:p>
        </w:tc>
        <w:tc>
          <w:tcPr>
            <w:tcW w:w="2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$1,141,816</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ind w:right="191"/>
              <w:spacing w:after="0"/>
              <w:rPr>
                <w:sz w:val="20"/>
                <w:szCs w:val="20"/>
                <w:color w:val="auto"/>
              </w:rPr>
            </w:pPr>
            <w:r>
              <w:rPr>
                <w:rFonts w:ascii="Arial" w:cs="Arial" w:eastAsia="Arial" w:hAnsi="Arial"/>
                <w:sz w:val="14"/>
                <w:szCs w:val="14"/>
                <w:color w:val="auto"/>
                <w:w w:val="91"/>
              </w:rPr>
              <w:t>$—</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center"/>
              <w:ind w:right="51"/>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80"/>
        </w:trPr>
        <w:tc>
          <w:tcPr>
            <w:tcW w:w="4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Term Loan B</w:t>
            </w:r>
          </w:p>
        </w:tc>
        <w:tc>
          <w:tcPr>
            <w:tcW w:w="1200" w:type="dxa"/>
            <w:vAlign w:val="bottom"/>
          </w:tcPr>
          <w:p>
            <w:pPr>
              <w:jc w:val="center"/>
              <w:spacing w:after="0"/>
              <w:rPr>
                <w:sz w:val="20"/>
                <w:szCs w:val="20"/>
                <w:color w:val="auto"/>
              </w:rPr>
            </w:pPr>
            <w:r>
              <w:rPr>
                <w:rFonts w:ascii="Arial" w:cs="Arial" w:eastAsia="Arial" w:hAnsi="Arial"/>
                <w:sz w:val="14"/>
                <w:szCs w:val="14"/>
                <w:color w:val="auto"/>
                <w:w w:val="90"/>
              </w:rPr>
              <w:t>384,212</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3,891</w:t>
            </w:r>
          </w:p>
        </w:tc>
        <w:tc>
          <w:tcPr>
            <w:tcW w:w="100" w:type="dxa"/>
            <w:vAlign w:val="bottom"/>
          </w:tcPr>
          <w:p>
            <w:pPr>
              <w:spacing w:after="0"/>
              <w:rPr>
                <w:sz w:val="15"/>
                <w:szCs w:val="15"/>
                <w:color w:val="auto"/>
              </w:rPr>
            </w:pPr>
          </w:p>
        </w:tc>
        <w:tc>
          <w:tcPr>
            <w:tcW w:w="840" w:type="dxa"/>
            <w:vAlign w:val="bottom"/>
          </w:tcPr>
          <w:p>
            <w:pPr>
              <w:jc w:val="center"/>
              <w:ind w:left="252"/>
              <w:spacing w:after="0"/>
              <w:rPr>
                <w:sz w:val="20"/>
                <w:szCs w:val="20"/>
                <w:color w:val="auto"/>
              </w:rPr>
            </w:pPr>
            <w:r>
              <w:rPr>
                <w:rFonts w:ascii="Arial" w:cs="Arial" w:eastAsia="Arial" w:hAnsi="Arial"/>
                <w:sz w:val="14"/>
                <w:szCs w:val="14"/>
                <w:color w:val="auto"/>
                <w:w w:val="91"/>
              </w:rPr>
              <w:t>3,891</w:t>
            </w:r>
          </w:p>
        </w:tc>
        <w:tc>
          <w:tcPr>
            <w:tcW w:w="200" w:type="dxa"/>
            <w:vAlign w:val="bottom"/>
          </w:tcPr>
          <w:p>
            <w:pPr>
              <w:spacing w:after="0"/>
              <w:rPr>
                <w:sz w:val="15"/>
                <w:szCs w:val="15"/>
                <w:color w:val="auto"/>
              </w:rPr>
            </w:pPr>
          </w:p>
        </w:tc>
        <w:tc>
          <w:tcPr>
            <w:tcW w:w="1380" w:type="dxa"/>
            <w:vAlign w:val="bottom"/>
            <w:gridSpan w:val="3"/>
          </w:tcPr>
          <w:p>
            <w:pPr>
              <w:jc w:val="center"/>
              <w:ind w:left="193"/>
              <w:spacing w:after="0"/>
              <w:rPr>
                <w:sz w:val="20"/>
                <w:szCs w:val="20"/>
                <w:color w:val="auto"/>
              </w:rPr>
            </w:pPr>
            <w:r>
              <w:rPr>
                <w:rFonts w:ascii="Arial" w:cs="Arial" w:eastAsia="Arial" w:hAnsi="Arial"/>
                <w:sz w:val="14"/>
                <w:szCs w:val="14"/>
                <w:color w:val="auto"/>
                <w:w w:val="91"/>
              </w:rPr>
              <w:t>3,891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center"/>
              <w:ind w:right="191"/>
              <w:spacing w:after="0"/>
              <w:rPr>
                <w:sz w:val="20"/>
                <w:szCs w:val="20"/>
                <w:color w:val="auto"/>
              </w:rPr>
            </w:pPr>
            <w:r>
              <w:rPr>
                <w:rFonts w:ascii="Arial" w:cs="Arial" w:eastAsia="Arial" w:hAnsi="Arial"/>
                <w:sz w:val="14"/>
                <w:szCs w:val="14"/>
                <w:color w:val="auto"/>
                <w:w w:val="91"/>
              </w:rPr>
              <w:t>3,891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51"/>
              <w:spacing w:after="0"/>
              <w:rPr>
                <w:sz w:val="20"/>
                <w:szCs w:val="20"/>
                <w:color w:val="auto"/>
              </w:rPr>
            </w:pPr>
            <w:r>
              <w:rPr>
                <w:rFonts w:ascii="Arial" w:cs="Arial" w:eastAsia="Arial" w:hAnsi="Arial"/>
                <w:sz w:val="14"/>
                <w:szCs w:val="14"/>
                <w:color w:val="auto"/>
                <w:w w:val="85"/>
              </w:rPr>
              <w:t>3,891</w:t>
            </w:r>
          </w:p>
        </w:tc>
        <w:tc>
          <w:tcPr>
            <w:tcW w:w="1540" w:type="dxa"/>
            <w:vAlign w:val="bottom"/>
            <w:gridSpan w:val="4"/>
          </w:tcPr>
          <w:p>
            <w:pPr>
              <w:jc w:val="center"/>
              <w:ind w:left="290"/>
              <w:spacing w:after="0"/>
              <w:rPr>
                <w:sz w:val="20"/>
                <w:szCs w:val="20"/>
                <w:color w:val="auto"/>
              </w:rPr>
            </w:pPr>
            <w:r>
              <w:rPr>
                <w:rFonts w:ascii="Arial" w:cs="Arial" w:eastAsia="Arial" w:hAnsi="Arial"/>
                <w:sz w:val="14"/>
                <w:szCs w:val="14"/>
                <w:color w:val="auto"/>
                <w:w w:val="90"/>
              </w:rPr>
              <w:t>364,757</w:t>
            </w:r>
          </w:p>
        </w:tc>
      </w:tr>
      <w:tr>
        <w:trPr>
          <w:trHeight w:val="181"/>
        </w:trPr>
        <w:tc>
          <w:tcPr>
            <w:tcW w:w="40" w:type="dxa"/>
            <w:vAlign w:val="bottom"/>
          </w:tcPr>
          <w:p>
            <w:pPr>
              <w:spacing w:after="0"/>
              <w:rPr>
                <w:sz w:val="15"/>
                <w:szCs w:val="15"/>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Senior Notes</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700,000</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jc w:val="center"/>
              <w:ind w:right="700"/>
              <w:spacing w:after="0"/>
              <w:rPr>
                <w:sz w:val="20"/>
                <w:szCs w:val="20"/>
                <w:color w:val="auto"/>
              </w:rPr>
            </w:pPr>
            <w:r>
              <w:rPr>
                <w:rFonts w:ascii="Arial" w:cs="Arial" w:eastAsia="Arial" w:hAnsi="Arial"/>
                <w:sz w:val="14"/>
                <w:szCs w:val="14"/>
                <w:color w:val="auto"/>
                <w:w w:val="99"/>
              </w:rPr>
              <w:t>—</w:t>
            </w:r>
          </w:p>
        </w:tc>
        <w:tc>
          <w:tcPr>
            <w:tcW w:w="540" w:type="dxa"/>
            <w:vAlign w:val="bottom"/>
            <w:shd w:val="clear" w:color="auto" w:fill="CCEEFF"/>
          </w:tcPr>
          <w:p>
            <w:pPr>
              <w:jc w:val="center"/>
              <w:ind w:right="51"/>
              <w:spacing w:after="0"/>
              <w:rPr>
                <w:sz w:val="20"/>
                <w:szCs w:val="20"/>
                <w:color w:val="auto"/>
              </w:rPr>
            </w:pPr>
            <w:r>
              <w:rPr>
                <w:rFonts w:ascii="Arial" w:cs="Arial" w:eastAsia="Arial" w:hAnsi="Arial"/>
                <w:sz w:val="14"/>
                <w:szCs w:val="14"/>
                <w:color w:val="auto"/>
                <w:w w:val="99"/>
              </w:rPr>
              <w:t>—</w:t>
            </w:r>
          </w:p>
        </w:tc>
        <w:tc>
          <w:tcPr>
            <w:tcW w:w="1540" w:type="dxa"/>
            <w:vAlign w:val="bottom"/>
            <w:gridSpan w:val="4"/>
            <w:shd w:val="clear" w:color="auto" w:fill="CCEEFF"/>
          </w:tcPr>
          <w:p>
            <w:pPr>
              <w:jc w:val="center"/>
              <w:ind w:left="290"/>
              <w:spacing w:after="0"/>
              <w:rPr>
                <w:sz w:val="20"/>
                <w:szCs w:val="20"/>
                <w:color w:val="auto"/>
              </w:rPr>
            </w:pPr>
            <w:r>
              <w:rPr>
                <w:rFonts w:ascii="Arial" w:cs="Arial" w:eastAsia="Arial" w:hAnsi="Arial"/>
                <w:sz w:val="14"/>
                <w:szCs w:val="14"/>
                <w:color w:val="auto"/>
                <w:w w:val="90"/>
              </w:rPr>
              <w:t>700,000</w:t>
            </w:r>
          </w:p>
        </w:tc>
      </w:tr>
      <w:tr>
        <w:trPr>
          <w:trHeight w:val="171"/>
        </w:trPr>
        <w:tc>
          <w:tcPr>
            <w:tcW w:w="4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Arial" w:cs="Arial" w:eastAsia="Arial" w:hAnsi="Arial"/>
                <w:sz w:val="14"/>
                <w:szCs w:val="14"/>
                <w:color w:val="auto"/>
              </w:rPr>
              <w:t>Total</w:t>
            </w: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1"/>
              </w:rPr>
              <w:t>$2,373,976</w:t>
            </w: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$77,865</w:t>
            </w: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center"/>
              <w:ind w:left="272"/>
              <w:spacing w:after="0"/>
              <w:rPr>
                <w:sz w:val="20"/>
                <w:szCs w:val="20"/>
                <w:color w:val="auto"/>
              </w:rPr>
            </w:pPr>
            <w:r>
              <w:rPr>
                <w:rFonts w:ascii="Arial" w:cs="Arial" w:eastAsia="Arial" w:hAnsi="Arial"/>
                <w:sz w:val="14"/>
                <w:szCs w:val="14"/>
                <w:color w:val="auto"/>
                <w:w w:val="90"/>
              </w:rPr>
              <w:t>$77,865</w:t>
            </w:r>
          </w:p>
        </w:tc>
        <w:tc>
          <w:tcPr>
            <w:tcW w:w="2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gridSpan w:val="3"/>
          </w:tcPr>
          <w:p>
            <w:pPr>
              <w:jc w:val="center"/>
              <w:ind w:left="193"/>
              <w:spacing w:after="0"/>
              <w:rPr>
                <w:sz w:val="20"/>
                <w:szCs w:val="20"/>
                <w:color w:val="auto"/>
              </w:rPr>
            </w:pPr>
            <w:r>
              <w:rPr>
                <w:rFonts w:ascii="Arial" w:cs="Arial" w:eastAsia="Arial" w:hAnsi="Arial"/>
                <w:sz w:val="14"/>
                <w:szCs w:val="14"/>
                <w:color w:val="auto"/>
                <w:w w:val="91"/>
              </w:rPr>
              <w:t>$1,145,707</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center"/>
              <w:ind w:right="191"/>
              <w:spacing w:after="0"/>
              <w:rPr>
                <w:sz w:val="20"/>
                <w:szCs w:val="20"/>
                <w:color w:val="auto"/>
              </w:rPr>
            </w:pPr>
            <w:r>
              <w:rPr>
                <w:rFonts w:ascii="Arial" w:cs="Arial" w:eastAsia="Arial" w:hAnsi="Arial"/>
                <w:sz w:val="14"/>
                <w:szCs w:val="14"/>
                <w:color w:val="auto"/>
                <w:w w:val="93"/>
              </w:rPr>
              <w:t>$3,891</w:t>
            </w: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center"/>
              <w:ind w:right="51"/>
              <w:spacing w:after="0"/>
              <w:rPr>
                <w:sz w:val="20"/>
                <w:szCs w:val="20"/>
                <w:color w:val="auto"/>
              </w:rPr>
            </w:pPr>
            <w:r>
              <w:rPr>
                <w:rFonts w:ascii="Arial" w:cs="Arial" w:eastAsia="Arial" w:hAnsi="Arial"/>
                <w:sz w:val="14"/>
                <w:szCs w:val="14"/>
                <w:color w:val="auto"/>
                <w:w w:val="88"/>
              </w:rPr>
              <w:t>$3,891</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1"/>
              </w:rPr>
              <w:t>$1,064,757</w:t>
            </w:r>
          </w:p>
        </w:tc>
      </w:tr>
      <w:tr>
        <w:trPr>
          <w:trHeight w:val="20"/>
        </w:trPr>
        <w:tc>
          <w:tcPr>
            <w:tcW w:w="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13"/>
        </w:trPr>
        <w:tc>
          <w:tcPr>
            <w:tcW w:w="40" w:type="dxa"/>
            <w:vAlign w:val="bottom"/>
          </w:tcPr>
          <w:p>
            <w:pPr>
              <w:spacing w:after="0"/>
              <w:rPr>
                <w:sz w:val="24"/>
                <w:szCs w:val="24"/>
                <w:color w:val="auto"/>
              </w:rPr>
            </w:pPr>
          </w:p>
        </w:tc>
        <w:tc>
          <w:tcPr>
            <w:tcW w:w="4960" w:type="dxa"/>
            <w:vAlign w:val="bottom"/>
            <w:gridSpan w:val="5"/>
          </w:tcPr>
          <w:p>
            <w:pPr>
              <w:ind w:left="320"/>
              <w:spacing w:after="0"/>
              <w:rPr>
                <w:sz w:val="20"/>
                <w:szCs w:val="20"/>
                <w:color w:val="auto"/>
              </w:rPr>
            </w:pPr>
            <w:r>
              <w:rPr>
                <w:rFonts w:ascii="Arial" w:cs="Arial" w:eastAsia="Arial" w:hAnsi="Arial"/>
                <w:sz w:val="14"/>
                <w:szCs w:val="14"/>
                <w:color w:val="auto"/>
              </w:rPr>
              <w:t>Interest on debt and debt-like instruments consisted of the following:</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6"/>
        </w:trPr>
        <w:tc>
          <w:tcPr>
            <w:tcW w:w="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1"/>
                <w:szCs w:val="11"/>
                <w:b w:val="1"/>
                <w:bCs w:val="1"/>
                <w:color w:val="auto"/>
                <w:w w:val="94"/>
              </w:rPr>
              <w:t>Fiscal Year Ended March 31,</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r>
      <w:tr>
        <w:trPr>
          <w:trHeight w:val="142"/>
        </w:trPr>
        <w:tc>
          <w:tcPr>
            <w:tcW w:w="40" w:type="dxa"/>
            <w:vAlign w:val="bottom"/>
            <w:tcBorders>
              <w:bottom w:val="single" w:sz="8" w:color="CCEEFF"/>
            </w:tcBorders>
          </w:tcPr>
          <w:p>
            <w:pPr>
              <w:spacing w:after="0"/>
              <w:rPr>
                <w:sz w:val="12"/>
                <w:szCs w:val="12"/>
                <w:color w:val="auto"/>
              </w:rPr>
            </w:pPr>
          </w:p>
        </w:tc>
        <w:tc>
          <w:tcPr>
            <w:tcW w:w="24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609"/>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614"/>
              <w:spacing w:after="0"/>
              <w:rPr>
                <w:sz w:val="20"/>
                <w:szCs w:val="20"/>
                <w:color w:val="auto"/>
              </w:rPr>
            </w:pPr>
            <w:r>
              <w:rPr>
                <w:rFonts w:ascii="Arial" w:cs="Arial" w:eastAsia="Arial" w:hAnsi="Arial"/>
                <w:sz w:val="11"/>
                <w:szCs w:val="11"/>
                <w:b w:val="1"/>
                <w:bCs w:val="1"/>
                <w:color w:val="auto"/>
              </w:rPr>
              <w:t>2019</w:t>
            </w:r>
          </w:p>
        </w:tc>
        <w:tc>
          <w:tcPr>
            <w:tcW w:w="500" w:type="dxa"/>
            <w:vAlign w:val="bottom"/>
          </w:tcPr>
          <w:p>
            <w:pPr>
              <w:spacing w:after="0"/>
              <w:rPr>
                <w:sz w:val="12"/>
                <w:szCs w:val="12"/>
                <w:color w:val="auto"/>
              </w:rPr>
            </w:pPr>
          </w:p>
        </w:tc>
      </w:tr>
      <w:tr>
        <w:trPr>
          <w:trHeight w:val="172"/>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 Loan A Interest Expense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23,541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w w:val="76"/>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50,080</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1"/>
              <w:spacing w:after="0"/>
              <w:rPr>
                <w:sz w:val="20"/>
                <w:szCs w:val="20"/>
                <w:color w:val="auto"/>
              </w:rPr>
            </w:pPr>
            <w:r>
              <w:rPr>
                <w:rFonts w:ascii="Arial" w:cs="Arial" w:eastAsia="Arial" w:hAnsi="Arial"/>
                <w:sz w:val="14"/>
                <w:szCs w:val="14"/>
                <w:color w:val="auto"/>
                <w:w w:val="76"/>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42,043</w:t>
            </w:r>
          </w:p>
        </w:tc>
        <w:tc>
          <w:tcPr>
            <w:tcW w:w="500" w:type="dxa"/>
            <w:vAlign w:val="bottom"/>
          </w:tcPr>
          <w:p>
            <w:pPr>
              <w:spacing w:after="0"/>
              <w:rPr>
                <w:sz w:val="14"/>
                <w:szCs w:val="14"/>
                <w:color w:val="auto"/>
              </w:rPr>
            </w:pPr>
          </w:p>
        </w:tc>
      </w:tr>
      <w:tr>
        <w:trPr>
          <w:trHeight w:val="18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Term Loan B Interest Expense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7,787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15,739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16,765</w:t>
            </w:r>
          </w:p>
        </w:tc>
        <w:tc>
          <w:tcPr>
            <w:tcW w:w="500" w:type="dxa"/>
            <w:vAlign w:val="bottom"/>
          </w:tcPr>
          <w:p>
            <w:pPr>
              <w:spacing w:after="0"/>
              <w:rPr>
                <w:sz w:val="15"/>
                <w:szCs w:val="15"/>
                <w:color w:val="auto"/>
              </w:rPr>
            </w:pPr>
          </w:p>
        </w:tc>
      </w:tr>
      <w:tr>
        <w:trPr>
          <w:trHeight w:val="181"/>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on Revolving Credit Facility</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500" w:type="dxa"/>
            <w:vAlign w:val="bottom"/>
          </w:tcPr>
          <w:p>
            <w:pPr>
              <w:spacing w:after="0"/>
              <w:rPr>
                <w:sz w:val="15"/>
                <w:szCs w:val="15"/>
                <w:color w:val="auto"/>
              </w:rPr>
            </w:pPr>
          </w:p>
        </w:tc>
      </w:tr>
      <w:tr>
        <w:trPr>
          <w:trHeight w:val="18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Senior Notes Interest Expense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23,476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17,938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17,938</w:t>
            </w:r>
          </w:p>
        </w:tc>
        <w:tc>
          <w:tcPr>
            <w:tcW w:w="500" w:type="dxa"/>
            <w:vAlign w:val="bottom"/>
          </w:tcPr>
          <w:p>
            <w:pPr>
              <w:spacing w:after="0"/>
              <w:rPr>
                <w:sz w:val="15"/>
                <w:szCs w:val="15"/>
                <w:color w:val="auto"/>
              </w:rPr>
            </w:pPr>
          </w:p>
        </w:tc>
      </w:tr>
      <w:tr>
        <w:trPr>
          <w:trHeight w:val="181"/>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Deferred Payment Obligation Interest (1)</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5,740</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7,993</w:t>
            </w:r>
          </w:p>
        </w:tc>
        <w:tc>
          <w:tcPr>
            <w:tcW w:w="500" w:type="dxa"/>
            <w:vAlign w:val="bottom"/>
          </w:tcPr>
          <w:p>
            <w:pPr>
              <w:spacing w:after="0"/>
              <w:rPr>
                <w:sz w:val="15"/>
                <w:szCs w:val="15"/>
                <w:color w:val="auto"/>
              </w:rPr>
            </w:pPr>
          </w:p>
        </w:tc>
      </w:tr>
      <w:tr>
        <w:trPr>
          <w:trHeight w:val="180"/>
        </w:trPr>
        <w:tc>
          <w:tcPr>
            <w:tcW w:w="5000" w:type="dxa"/>
            <w:vAlign w:val="bottom"/>
            <w:gridSpan w:val="6"/>
          </w:tcPr>
          <w:p>
            <w:pPr>
              <w:ind w:left="20"/>
              <w:spacing w:after="0"/>
              <w:rPr>
                <w:sz w:val="20"/>
                <w:szCs w:val="20"/>
                <w:color w:val="auto"/>
              </w:rPr>
            </w:pPr>
            <w:r>
              <w:rPr>
                <w:rFonts w:ascii="Arial" w:cs="Arial" w:eastAsia="Arial" w:hAnsi="Arial"/>
                <w:sz w:val="14"/>
                <w:szCs w:val="14"/>
                <w:color w:val="auto"/>
                <w:w w:val="99"/>
              </w:rPr>
              <w:t>Amortization of Debt Issuance Costs (DIC) and Original Issue Discount (OID) (2)</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4,396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4"/>
                <w:szCs w:val="14"/>
                <w:color w:val="auto"/>
              </w:rPr>
              <w:t>4,688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5,052</w:t>
            </w:r>
          </w:p>
        </w:tc>
        <w:tc>
          <w:tcPr>
            <w:tcW w:w="500" w:type="dxa"/>
            <w:vAlign w:val="bottom"/>
          </w:tcPr>
          <w:p>
            <w:pPr>
              <w:spacing w:after="0"/>
              <w:rPr>
                <w:sz w:val="15"/>
                <w:szCs w:val="15"/>
                <w:color w:val="auto"/>
              </w:rPr>
            </w:pPr>
          </w:p>
        </w:tc>
      </w:tr>
      <w:tr>
        <w:trPr>
          <w:trHeight w:val="181"/>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Swap Expense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20,558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2,094</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(1,026)</w:t>
            </w:r>
          </w:p>
        </w:tc>
        <w:tc>
          <w:tcPr>
            <w:tcW w:w="500" w:type="dxa"/>
            <w:vAlign w:val="bottom"/>
          </w:tcPr>
          <w:p>
            <w:pPr>
              <w:spacing w:after="0"/>
              <w:rPr>
                <w:sz w:val="15"/>
                <w:szCs w:val="15"/>
                <w:color w:val="auto"/>
              </w:rPr>
            </w:pPr>
          </w:p>
        </w:tc>
      </w:tr>
      <w:tr>
        <w:trPr>
          <w:trHeight w:val="180"/>
        </w:trPr>
        <w:tc>
          <w:tcPr>
            <w:tcW w:w="2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713</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589</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637</w:t>
            </w:r>
          </w:p>
        </w:tc>
        <w:tc>
          <w:tcPr>
            <w:tcW w:w="500" w:type="dxa"/>
            <w:vAlign w:val="bottom"/>
          </w:tcPr>
          <w:p>
            <w:pPr>
              <w:spacing w:after="0"/>
              <w:rPr>
                <w:sz w:val="15"/>
                <w:szCs w:val="15"/>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Interest Expense</w:t>
            </w: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81,270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96,960</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89,517</w:t>
            </w:r>
          </w:p>
        </w:tc>
        <w:tc>
          <w:tcPr>
            <w:tcW w:w="500" w:type="dxa"/>
            <w:vAlign w:val="bottom"/>
          </w:tcPr>
          <w:p>
            <w:pPr>
              <w:spacing w:after="0"/>
              <w:rPr>
                <w:sz w:val="16"/>
                <w:szCs w:val="16"/>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53" w:lineRule="exact"/>
        <w:rPr>
          <w:sz w:val="20"/>
          <w:szCs w:val="20"/>
          <w:color w:val="auto"/>
        </w:rPr>
      </w:pPr>
    </w:p>
    <w:p>
      <w:pPr>
        <w:ind w:right="80" w:firstLine="5"/>
        <w:spacing w:after="0" w:line="262" w:lineRule="auto"/>
        <w:tabs>
          <w:tab w:leader="none" w:pos="2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connection with Carlyle Group indirectly acquiring all of the issued and outstanding stock of the Company on July 31, 2008, the Company established a Deferred Payment Obligation, payable 8.5 years after the closing date, or until settlement of all outstanding claims, less any settled claims. All remaining potential claims outstanding that were able to be indemnified under the Deferred Payment Obligation related to former officers and stockholders' lawsuits, were all settled as of December 31, 2019. Interest payments on the Deferred Payment Obligation were made twice a year in January and July. The final payment was made during fiscal 2020.</w:t>
      </w:r>
    </w:p>
    <w:p>
      <w:pPr>
        <w:spacing w:after="0" w:line="60" w:lineRule="exact"/>
        <w:rPr>
          <w:rFonts w:ascii="Arial" w:cs="Arial" w:eastAsia="Arial" w:hAnsi="Arial"/>
          <w:sz w:val="14"/>
          <w:szCs w:val="14"/>
          <w:color w:val="auto"/>
        </w:rPr>
      </w:pPr>
    </w:p>
    <w:p>
      <w:pPr>
        <w:ind w:right="100" w:firstLine="5"/>
        <w:spacing w:after="0" w:line="267" w:lineRule="auto"/>
        <w:tabs>
          <w:tab w:leader="none" w:pos="2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DIC and OID on the Term Loans and Senior Notes are recorded as a reduction of long-term debt in the consolidated balance sheet and are amortized ratably over the life of the related debt using the effective rate method. DIC on the Company's Revolving Credit Facility is recorded as a long-term asset on the consolidated balance sheet and amortized ratably over the term of the Revolving Credit Facility.</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DERIVATIVES</w:t>
      </w:r>
    </w:p>
    <w:p>
      <w:pPr>
        <w:spacing w:after="0" w:line="98"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$1 billion as of March 31, 2021. The swaps have staggered maturities, ranging from June 30, 2021 to June 30, 2025. These swaps mature within the last tranche of the Company's floating rate debt (November 26, 2026).</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520" w:firstLine="318"/>
        <w:spacing w:after="0" w:line="281" w:lineRule="auto"/>
        <w:rPr>
          <w:sz w:val="20"/>
          <w:szCs w:val="20"/>
          <w:color w:val="auto"/>
        </w:rPr>
      </w:pPr>
      <w:r>
        <w:rPr>
          <w:rFonts w:ascii="Arial" w:cs="Arial" w:eastAsia="Arial" w:hAnsi="Arial"/>
          <w:sz w:val="14"/>
          <w:szCs w:val="14"/>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47"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Derivative instruments are recorded in the consolidated balance sheet on a gross basis at estimated fair value. As of March 31, 2021, $17.2 million, and $21.0 million were classified as other current liabilities and other long-term liabilities, respectively, on the consolidated balance sheet. As of March 31, 2020, $18.8 million and $37.8 million were classified as other current liabilities, and other long-term liabilities, respectively, on the consolidated balance sheet.</w:t>
      </w:r>
    </w:p>
    <w:p>
      <w:pPr>
        <w:spacing w:after="0" w:line="57" w:lineRule="exact"/>
        <w:rPr>
          <w:sz w:val="20"/>
          <w:szCs w:val="20"/>
          <w:color w:val="auto"/>
        </w:rPr>
      </w:pPr>
    </w:p>
    <w:p>
      <w:pPr>
        <w:ind w:right="40" w:firstLine="318"/>
        <w:spacing w:after="0" w:line="288" w:lineRule="auto"/>
        <w:rPr>
          <w:sz w:val="20"/>
          <w:szCs w:val="20"/>
          <w:color w:val="auto"/>
        </w:rPr>
      </w:pPr>
      <w:r>
        <w:rPr>
          <w:rFonts w:ascii="Arial" w:cs="Arial" w:eastAsia="Arial" w:hAnsi="Arial"/>
          <w:sz w:val="13"/>
          <w:szCs w:val="13"/>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Over the next 12 months, the Company estimates that $17.2 million will be reclassified as an increase to interest expense. Cash flows associated with periodic settlements of interest rate swaps will be classified as operating activities in the consolidated statement of cash flows. The effect of derivative instruments on the accompanying consolidated financial statements is as follows:</w:t>
      </w:r>
    </w:p>
    <w:p>
      <w:pPr>
        <w:spacing w:after="0" w:line="146" w:lineRule="exact"/>
        <w:rPr>
          <w:sz w:val="20"/>
          <w:szCs w:val="20"/>
          <w:color w:val="auto"/>
        </w:rPr>
      </w:pPr>
    </w:p>
    <w:tbl>
      <w:tblPr>
        <w:tblLayout w:type="fixed"/>
        <w:tblInd w:w="140" w:type="dxa"/>
        <w:tblCellMar>
          <w:top w:w="0" w:type="dxa"/>
          <w:left w:w="0" w:type="dxa"/>
          <w:bottom w:w="0" w:type="dxa"/>
          <w:right w:w="0" w:type="dxa"/>
        </w:tblCellMar>
      </w:tblPr>
      <w:tr>
        <w:trPr>
          <w:trHeight w:val="151"/>
        </w:trPr>
        <w:tc>
          <w:tcPr>
            <w:tcW w:w="1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1"/>
                <w:szCs w:val="11"/>
                <w:b w:val="1"/>
                <w:bCs w:val="1"/>
                <w:color w:val="auto"/>
                <w:w w:val="94"/>
              </w:rPr>
              <w:t>Fiscal year ended March 31,</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460" w:type="dxa"/>
            <w:vAlign w:val="bottom"/>
          </w:tcPr>
          <w:p>
            <w:pPr>
              <w:spacing w:after="0"/>
              <w:rPr>
                <w:sz w:val="21"/>
                <w:szCs w:val="21"/>
                <w:color w:val="auto"/>
              </w:rPr>
            </w:pPr>
          </w:p>
        </w:tc>
        <w:tc>
          <w:tcPr>
            <w:tcW w:w="1700" w:type="dxa"/>
            <w:vAlign w:val="bottom"/>
            <w:vMerge w:val="restart"/>
          </w:tcPr>
          <w:p>
            <w:pPr>
              <w:jc w:val="center"/>
              <w:ind w:left="6"/>
              <w:spacing w:after="0"/>
              <w:rPr>
                <w:sz w:val="20"/>
                <w:szCs w:val="20"/>
                <w:color w:val="auto"/>
              </w:rPr>
            </w:pPr>
            <w:r>
              <w:rPr>
                <w:rFonts w:ascii="Arial" w:cs="Arial" w:eastAsia="Arial" w:hAnsi="Arial"/>
                <w:sz w:val="11"/>
                <w:szCs w:val="11"/>
                <w:b w:val="1"/>
                <w:bCs w:val="1"/>
                <w:color w:val="auto"/>
                <w:w w:val="92"/>
              </w:rPr>
              <w:t>Location of Gain or Loss</w:t>
            </w:r>
          </w:p>
        </w:tc>
        <w:tc>
          <w:tcPr>
            <w:tcW w:w="80" w:type="dxa"/>
            <w:vAlign w:val="bottom"/>
          </w:tcPr>
          <w:p>
            <w:pPr>
              <w:spacing w:after="0"/>
              <w:rPr>
                <w:sz w:val="21"/>
                <w:szCs w:val="21"/>
                <w:color w:val="auto"/>
              </w:rPr>
            </w:pPr>
          </w:p>
        </w:tc>
        <w:tc>
          <w:tcPr>
            <w:tcW w:w="2540" w:type="dxa"/>
            <w:vAlign w:val="bottom"/>
            <w:gridSpan w:val="5"/>
          </w:tcPr>
          <w:p>
            <w:pPr>
              <w:jc w:val="center"/>
              <w:ind w:right="23"/>
              <w:spacing w:after="0"/>
              <w:rPr>
                <w:sz w:val="20"/>
                <w:szCs w:val="20"/>
                <w:color w:val="auto"/>
              </w:rPr>
            </w:pPr>
            <w:r>
              <w:rPr>
                <w:rFonts w:ascii="Arial" w:cs="Arial" w:eastAsia="Arial" w:hAnsi="Arial"/>
                <w:sz w:val="11"/>
                <w:szCs w:val="11"/>
                <w:b w:val="1"/>
                <w:bCs w:val="1"/>
                <w:color w:val="auto"/>
                <w:w w:val="94"/>
              </w:rPr>
              <w:t>Amount of Gain or (Loss) Recognized in AOCI on</w:t>
            </w:r>
          </w:p>
        </w:tc>
        <w:tc>
          <w:tcPr>
            <w:tcW w:w="80" w:type="dxa"/>
            <w:vAlign w:val="bottom"/>
          </w:tcPr>
          <w:p>
            <w:pPr>
              <w:spacing w:after="0"/>
              <w:rPr>
                <w:sz w:val="21"/>
                <w:szCs w:val="21"/>
                <w:color w:val="auto"/>
              </w:rPr>
            </w:pPr>
          </w:p>
        </w:tc>
        <w:tc>
          <w:tcPr>
            <w:tcW w:w="2500" w:type="dxa"/>
            <w:vAlign w:val="bottom"/>
            <w:gridSpan w:val="3"/>
          </w:tcPr>
          <w:p>
            <w:pPr>
              <w:jc w:val="center"/>
              <w:ind w:right="3"/>
              <w:spacing w:after="0"/>
              <w:rPr>
                <w:sz w:val="20"/>
                <w:szCs w:val="20"/>
                <w:color w:val="auto"/>
              </w:rPr>
            </w:pPr>
            <w:r>
              <w:rPr>
                <w:rFonts w:ascii="Arial" w:cs="Arial" w:eastAsia="Arial" w:hAnsi="Arial"/>
                <w:sz w:val="11"/>
                <w:szCs w:val="11"/>
                <w:b w:val="1"/>
                <w:bCs w:val="1"/>
                <w:color w:val="auto"/>
                <w:w w:val="94"/>
              </w:rPr>
              <w:t>Amount of Gain or (Loss) Reclassified from AOCI</w:t>
            </w:r>
          </w:p>
        </w:tc>
        <w:tc>
          <w:tcPr>
            <w:tcW w:w="140" w:type="dxa"/>
            <w:vAlign w:val="bottom"/>
          </w:tcPr>
          <w:p>
            <w:pPr>
              <w:spacing w:after="0"/>
              <w:rPr>
                <w:sz w:val="21"/>
                <w:szCs w:val="21"/>
                <w:color w:val="auto"/>
              </w:rPr>
            </w:pPr>
          </w:p>
        </w:tc>
        <w:tc>
          <w:tcPr>
            <w:tcW w:w="2520" w:type="dxa"/>
            <w:vAlign w:val="bottom"/>
            <w:gridSpan w:val="5"/>
          </w:tcPr>
          <w:p>
            <w:pPr>
              <w:jc w:val="center"/>
              <w:ind w:right="43"/>
              <w:spacing w:after="0"/>
              <w:rPr>
                <w:sz w:val="20"/>
                <w:szCs w:val="20"/>
                <w:color w:val="auto"/>
              </w:rPr>
            </w:pPr>
            <w:r>
              <w:rPr>
                <w:rFonts w:ascii="Arial" w:cs="Arial" w:eastAsia="Arial" w:hAnsi="Arial"/>
                <w:sz w:val="11"/>
                <w:szCs w:val="11"/>
                <w:b w:val="1"/>
                <w:bCs w:val="1"/>
                <w:color w:val="auto"/>
                <w:w w:val="90"/>
              </w:rPr>
              <w:t>Interest Expense on Consolidated Statements of</w:t>
            </w:r>
          </w:p>
        </w:tc>
        <w:tc>
          <w:tcPr>
            <w:tcW w:w="0" w:type="dxa"/>
            <w:vAlign w:val="bottom"/>
          </w:tcPr>
          <w:p>
            <w:pPr>
              <w:spacing w:after="0"/>
              <w:rPr>
                <w:sz w:val="1"/>
                <w:szCs w:val="1"/>
                <w:color w:val="auto"/>
              </w:rPr>
            </w:pPr>
          </w:p>
        </w:tc>
      </w:tr>
      <w:tr>
        <w:trPr>
          <w:trHeight w:val="64"/>
        </w:trPr>
        <w:tc>
          <w:tcPr>
            <w:tcW w:w="14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center"/>
              <w:ind w:right="63"/>
              <w:spacing w:after="0"/>
              <w:rPr>
                <w:sz w:val="20"/>
                <w:szCs w:val="20"/>
                <w:color w:val="auto"/>
              </w:rPr>
            </w:pPr>
            <w:r>
              <w:rPr>
                <w:rFonts w:ascii="Arial" w:cs="Arial" w:eastAsia="Arial" w:hAnsi="Arial"/>
                <w:sz w:val="11"/>
                <w:szCs w:val="11"/>
                <w:b w:val="1"/>
                <w:bCs w:val="1"/>
                <w:color w:val="auto"/>
                <w:w w:val="91"/>
              </w:rPr>
              <w:t>Derivatives</w:t>
            </w: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vMerge w:val="restart"/>
          </w:tcPr>
          <w:p>
            <w:pPr>
              <w:jc w:val="center"/>
              <w:ind w:right="343"/>
              <w:spacing w:after="0"/>
              <w:rPr>
                <w:sz w:val="20"/>
                <w:szCs w:val="20"/>
                <w:color w:val="auto"/>
              </w:rPr>
            </w:pPr>
            <w:r>
              <w:rPr>
                <w:rFonts w:ascii="Arial" w:cs="Arial" w:eastAsia="Arial" w:hAnsi="Arial"/>
                <w:sz w:val="11"/>
                <w:szCs w:val="11"/>
                <w:b w:val="1"/>
                <w:bCs w:val="1"/>
                <w:color w:val="auto"/>
                <w:w w:val="90"/>
              </w:rPr>
              <w:t>into Income</w:t>
            </w: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b w:val="1"/>
                <w:bCs w:val="1"/>
                <w:color w:val="auto"/>
                <w:w w:val="92"/>
              </w:rPr>
              <w:t>Operations</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460" w:type="dxa"/>
            <w:vAlign w:val="bottom"/>
          </w:tcPr>
          <w:p>
            <w:pPr>
              <w:jc w:val="center"/>
              <w:ind w:left="7"/>
              <w:spacing w:after="0" w:line="84" w:lineRule="exact"/>
              <w:rPr>
                <w:sz w:val="20"/>
                <w:szCs w:val="20"/>
                <w:color w:val="auto"/>
              </w:rPr>
            </w:pPr>
            <w:r>
              <w:rPr>
                <w:rFonts w:ascii="Arial" w:cs="Arial" w:eastAsia="Arial" w:hAnsi="Arial"/>
                <w:sz w:val="9"/>
                <w:szCs w:val="9"/>
                <w:b w:val="1"/>
                <w:bCs w:val="1"/>
                <w:color w:val="auto"/>
              </w:rPr>
              <w:t>Derivatives in Cash Flow</w:t>
            </w:r>
          </w:p>
        </w:tc>
        <w:tc>
          <w:tcPr>
            <w:tcW w:w="1700" w:type="dxa"/>
            <w:vAlign w:val="bottom"/>
          </w:tcPr>
          <w:p>
            <w:pPr>
              <w:jc w:val="center"/>
              <w:ind w:left="26"/>
              <w:spacing w:after="0" w:line="84" w:lineRule="exact"/>
              <w:rPr>
                <w:sz w:val="20"/>
                <w:szCs w:val="20"/>
                <w:color w:val="auto"/>
              </w:rPr>
            </w:pPr>
            <w:r>
              <w:rPr>
                <w:rFonts w:ascii="Arial" w:cs="Arial" w:eastAsia="Arial" w:hAnsi="Arial"/>
                <w:sz w:val="9"/>
                <w:szCs w:val="9"/>
                <w:b w:val="1"/>
                <w:bCs w:val="1"/>
                <w:color w:val="auto"/>
              </w:rPr>
              <w:t>Recognized in Income on</w:t>
            </w: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1460" w:type="dxa"/>
            <w:vAlign w:val="bottom"/>
            <w:tcBorders>
              <w:bottom w:val="single" w:sz="8" w:color="auto"/>
            </w:tcBorders>
          </w:tcPr>
          <w:p>
            <w:pPr>
              <w:jc w:val="center"/>
              <w:ind w:left="7"/>
              <w:spacing w:after="0"/>
              <w:rPr>
                <w:sz w:val="20"/>
                <w:szCs w:val="20"/>
                <w:color w:val="auto"/>
              </w:rPr>
            </w:pPr>
            <w:r>
              <w:rPr>
                <w:rFonts w:ascii="Arial" w:cs="Arial" w:eastAsia="Arial" w:hAnsi="Arial"/>
                <w:sz w:val="11"/>
                <w:szCs w:val="11"/>
                <w:b w:val="1"/>
                <w:bCs w:val="1"/>
                <w:color w:val="auto"/>
                <w:w w:val="90"/>
              </w:rPr>
              <w:t>Hedging Relationships</w:t>
            </w:r>
          </w:p>
        </w:tc>
        <w:tc>
          <w:tcPr>
            <w:tcW w:w="1700" w:type="dxa"/>
            <w:vAlign w:val="bottom"/>
            <w:tcBorders>
              <w:bottom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91"/>
              </w:rPr>
              <w:t>Derivatives</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2021</w:t>
            </w:r>
          </w:p>
        </w:tc>
        <w:tc>
          <w:tcPr>
            <w:tcW w:w="1040" w:type="dxa"/>
            <w:vAlign w:val="bottom"/>
            <w:tcBorders>
              <w:bottom w:val="single" w:sz="8" w:color="auto"/>
            </w:tcBorders>
          </w:tcPr>
          <w:p>
            <w:pPr>
              <w:jc w:val="center"/>
              <w:ind w:right="343"/>
              <w:spacing w:after="0"/>
              <w:rPr>
                <w:sz w:val="20"/>
                <w:szCs w:val="20"/>
                <w:color w:val="auto"/>
              </w:rPr>
            </w:pPr>
            <w:r>
              <w:rPr>
                <w:rFonts w:ascii="Arial" w:cs="Arial" w:eastAsia="Arial" w:hAnsi="Arial"/>
                <w:sz w:val="11"/>
                <w:szCs w:val="11"/>
                <w:b w:val="1"/>
                <w:bCs w:val="1"/>
                <w:color w:val="auto"/>
                <w:w w:val="97"/>
              </w:rPr>
              <w:t>2020</w:t>
            </w:r>
          </w:p>
        </w:tc>
        <w:tc>
          <w:tcPr>
            <w:tcW w:w="56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2021</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40"/>
        </w:trPr>
        <w:tc>
          <w:tcPr>
            <w:tcW w:w="1460" w:type="dxa"/>
            <w:vAlign w:val="bottom"/>
            <w:shd w:val="clear" w:color="auto" w:fill="CCEEFF"/>
          </w:tcPr>
          <w:p>
            <w:pPr>
              <w:spacing w:after="0"/>
              <w:rPr>
                <w:sz w:val="20"/>
                <w:szCs w:val="20"/>
                <w:color w:val="auto"/>
              </w:rPr>
            </w:pPr>
            <w:r>
              <w:rPr>
                <w:rFonts w:ascii="Arial" w:cs="Arial" w:eastAsia="Arial" w:hAnsi="Arial"/>
                <w:sz w:val="11"/>
                <w:szCs w:val="11"/>
                <w:color w:val="auto"/>
              </w:rPr>
              <w:t>Interest rate swaps</w:t>
            </w:r>
          </w:p>
        </w:tc>
        <w:tc>
          <w:tcPr>
            <w:tcW w:w="170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(55,871)</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(20,558) $</w:t>
            </w:r>
          </w:p>
        </w:tc>
        <w:tc>
          <w:tcPr>
            <w:tcW w:w="104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rPr>
              <w:t>(2,094) $</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(81,270)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(96,960)</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(89,517)</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LEASES</w:t>
      </w:r>
    </w:p>
    <w:p>
      <w:pPr>
        <w:spacing w:after="0" w:line="98" w:lineRule="exact"/>
        <w:rPr>
          <w:sz w:val="20"/>
          <w:szCs w:val="20"/>
          <w:color w:val="auto"/>
        </w:rPr>
      </w:pPr>
    </w:p>
    <w:p>
      <w:pPr>
        <w:ind w:right="500" w:firstLine="318"/>
        <w:spacing w:after="0" w:line="321" w:lineRule="auto"/>
        <w:rPr>
          <w:sz w:val="20"/>
          <w:szCs w:val="20"/>
          <w:color w:val="auto"/>
        </w:rPr>
      </w:pPr>
      <w:r>
        <w:rPr>
          <w:rFonts w:ascii="Arial" w:cs="Arial" w:eastAsia="Arial" w:hAnsi="Arial"/>
          <w:sz w:val="13"/>
          <w:szCs w:val="13"/>
          <w:color w:val="auto"/>
        </w:rPr>
        <w:t xml:space="preserve">The Company's leases are generally for facilities and office space. The Company adopted ASU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(Topic 842) on April 1, 2019 using the modified retrospective transition approach, and as a result did not recast comparative prior period information and presented prior period amounts and disclosures under ASC 840,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(Topic 840).</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Company’s total lease cost is recorded primarily within general and administrative expenses on the consolidated statement of operations and consisted of the following:</w:t>
      </w:r>
    </w:p>
    <w:p>
      <w:pPr>
        <w:spacing w:after="0" w:line="98" w:lineRule="exact"/>
        <w:rPr>
          <w:sz w:val="20"/>
          <w:szCs w:val="20"/>
          <w:color w:val="auto"/>
        </w:rPr>
      </w:pPr>
    </w:p>
    <w:tbl>
      <w:tblPr>
        <w:tblLayout w:type="fixed"/>
        <w:tblInd w:w="800" w:type="dxa"/>
        <w:tblCellMar>
          <w:top w:w="0" w:type="dxa"/>
          <w:left w:w="0" w:type="dxa"/>
          <w:bottom w:w="0" w:type="dxa"/>
          <w:right w:w="0" w:type="dxa"/>
        </w:tblCellMar>
      </w:tblPr>
      <w:tr>
        <w:trPr>
          <w:trHeight w:val="151"/>
        </w:trPr>
        <w:tc>
          <w:tcPr>
            <w:tcW w:w="6660" w:type="dxa"/>
            <w:vAlign w:val="bottom"/>
          </w:tcPr>
          <w:p>
            <w:pPr>
              <w:spacing w:after="0"/>
              <w:rPr>
                <w:sz w:val="13"/>
                <w:szCs w:val="13"/>
                <w:color w:val="auto"/>
              </w:rPr>
            </w:pPr>
          </w:p>
        </w:tc>
        <w:tc>
          <w:tcPr>
            <w:tcW w:w="25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Fiscal Year Ended March 31,</w:t>
            </w:r>
          </w:p>
        </w:tc>
        <w:tc>
          <w:tcPr>
            <w:tcW w:w="540" w:type="dxa"/>
            <w:vAlign w:val="bottom"/>
            <w:tcBorders>
              <w:bottom w:val="single" w:sz="8" w:color="auto"/>
            </w:tcBorders>
          </w:tcPr>
          <w:p>
            <w:pPr>
              <w:spacing w:after="0"/>
              <w:rPr>
                <w:sz w:val="13"/>
                <w:szCs w:val="13"/>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2"/>
                <w:szCs w:val="12"/>
                <w:color w:val="auto"/>
              </w:rPr>
            </w:pPr>
          </w:p>
        </w:tc>
      </w:tr>
      <w:tr>
        <w:trPr>
          <w:trHeight w:val="172"/>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cost</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68,702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71,067</w:t>
            </w:r>
          </w:p>
        </w:tc>
      </w:tr>
      <w:tr>
        <w:trPr>
          <w:trHeight w:val="180"/>
        </w:trPr>
        <w:tc>
          <w:tcPr>
            <w:tcW w:w="6660" w:type="dxa"/>
            <w:vAlign w:val="bottom"/>
          </w:tcPr>
          <w:p>
            <w:pPr>
              <w:spacing w:after="0"/>
              <w:rPr>
                <w:sz w:val="20"/>
                <w:szCs w:val="20"/>
                <w:color w:val="auto"/>
              </w:rPr>
            </w:pPr>
            <w:r>
              <w:rPr>
                <w:rFonts w:ascii="Arial" w:cs="Arial" w:eastAsia="Arial" w:hAnsi="Arial"/>
                <w:sz w:val="14"/>
                <w:szCs w:val="14"/>
                <w:color w:val="auto"/>
              </w:rPr>
              <w:t>Short-term lease cost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3,780</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9,657</w:t>
            </w:r>
          </w:p>
        </w:tc>
      </w:tr>
      <w:tr>
        <w:trPr>
          <w:trHeight w:val="180"/>
        </w:trPr>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Variable lease cost</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12,843</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11,657</w:t>
            </w:r>
          </w:p>
        </w:tc>
      </w:tr>
      <w:tr>
        <w:trPr>
          <w:trHeight w:val="171"/>
        </w:trPr>
        <w:tc>
          <w:tcPr>
            <w:tcW w:w="6660" w:type="dxa"/>
            <w:vAlign w:val="bottom"/>
          </w:tcPr>
          <w:p>
            <w:pPr>
              <w:ind w:left="100"/>
              <w:spacing w:after="0"/>
              <w:rPr>
                <w:sz w:val="20"/>
                <w:szCs w:val="20"/>
                <w:color w:val="auto"/>
              </w:rPr>
            </w:pPr>
            <w:r>
              <w:rPr>
                <w:rFonts w:ascii="Arial" w:cs="Arial" w:eastAsia="Arial" w:hAnsi="Arial"/>
                <w:sz w:val="14"/>
                <w:szCs w:val="14"/>
                <w:color w:val="auto"/>
              </w:rPr>
              <w:t>Total operating lease costs</w:t>
            </w:r>
          </w:p>
        </w:tc>
        <w:tc>
          <w:tcPr>
            <w:tcW w:w="9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85,325</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92,381</w:t>
            </w: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Rental expense for operating leases classified under Topic 840 for fiscal 2019 was approximately $82.7 million, net of $0.6 million of sublease income.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98" w:name="page99"/>
    <w:bookmarkEnd w:id="98"/>
    <w:tbl>
      <w:tblPr>
        <w:tblLayout w:type="fixed"/>
        <w:tblInd w:w="28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6660" w:type="dxa"/>
            <w:vAlign w:val="bottom"/>
          </w:tcPr>
          <w:p>
            <w:pPr>
              <w:jc w:val="center"/>
              <w:ind w:left="2969"/>
              <w:spacing w:after="0"/>
              <w:rPr>
                <w:sz w:val="20"/>
                <w:szCs w:val="20"/>
                <w:color w:val="auto"/>
              </w:rPr>
            </w:pPr>
            <w:r>
              <w:rPr>
                <w:rFonts w:ascii="Arial" w:cs="Arial" w:eastAsia="Arial" w:hAnsi="Arial"/>
                <w:sz w:val="14"/>
                <w:szCs w:val="14"/>
                <w:b w:val="1"/>
                <w:bCs w:val="1"/>
                <w:color w:val="auto"/>
              </w:rPr>
              <w:t>BOOZ ALLEN HAMILTON HOLDING CORPORATION</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0" w:type="dxa"/>
            <w:vAlign w:val="bottom"/>
          </w:tcPr>
          <w:p>
            <w:pPr>
              <w:spacing w:after="0"/>
              <w:rPr>
                <w:sz w:val="14"/>
                <w:szCs w:val="14"/>
                <w:color w:val="auto"/>
              </w:rPr>
            </w:pPr>
          </w:p>
        </w:tc>
        <w:tc>
          <w:tcPr>
            <w:tcW w:w="7660" w:type="dxa"/>
            <w:vAlign w:val="bottom"/>
            <w:gridSpan w:val="2"/>
          </w:tcPr>
          <w:p>
            <w:pPr>
              <w:jc w:val="center"/>
              <w:ind w:left="1969"/>
              <w:spacing w:after="0"/>
              <w:rPr>
                <w:sz w:val="20"/>
                <w:szCs w:val="20"/>
                <w:color w:val="auto"/>
              </w:rPr>
            </w:pPr>
            <w:r>
              <w:rPr>
                <w:rFonts w:ascii="Arial" w:cs="Arial" w:eastAsia="Arial" w:hAnsi="Arial"/>
                <w:sz w:val="14"/>
                <w:szCs w:val="14"/>
                <w:b w:val="1"/>
                <w:bCs w:val="1"/>
                <w:color w:val="auto"/>
              </w:rPr>
              <w:t>NOTES TO CONSOLIDATED FINANCIAL STATEMENTS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20" w:type="dxa"/>
            <w:vAlign w:val="bottom"/>
          </w:tcPr>
          <w:p>
            <w:pPr>
              <w:spacing w:after="0"/>
              <w:rPr>
                <w:sz w:val="16"/>
                <w:szCs w:val="16"/>
                <w:color w:val="auto"/>
              </w:rPr>
            </w:pPr>
          </w:p>
        </w:tc>
        <w:tc>
          <w:tcPr>
            <w:tcW w:w="7660" w:type="dxa"/>
            <w:vAlign w:val="bottom"/>
            <w:gridSpan w:val="2"/>
          </w:tcPr>
          <w:p>
            <w:pPr>
              <w:jc w:val="center"/>
              <w:ind w:left="1969"/>
              <w:spacing w:after="0"/>
              <w:rPr>
                <w:sz w:val="20"/>
                <w:szCs w:val="20"/>
                <w:color w:val="auto"/>
              </w:rPr>
            </w:pPr>
            <w:r>
              <w:rPr>
                <w:rFonts w:ascii="Arial" w:cs="Arial" w:eastAsia="Arial" w:hAnsi="Arial"/>
                <w:sz w:val="14"/>
                <w:szCs w:val="14"/>
                <w:b w:val="1"/>
                <w:bCs w:val="1"/>
                <w:color w:val="auto"/>
                <w:w w:val="89"/>
              </w:rPr>
              <w:t>(Amounts in tables in thousands, except share and per share data or unless otherwise noted)</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7180" w:type="dxa"/>
            <w:vAlign w:val="bottom"/>
            <w:gridSpan w:val="2"/>
          </w:tcPr>
          <w:p>
            <w:pPr>
              <w:ind w:left="40"/>
              <w:spacing w:after="0"/>
              <w:rPr>
                <w:sz w:val="20"/>
                <w:szCs w:val="20"/>
                <w:color w:val="auto"/>
              </w:rPr>
            </w:pPr>
            <w:r>
              <w:rPr>
                <w:rFonts w:ascii="Arial" w:cs="Arial" w:eastAsia="Arial" w:hAnsi="Arial"/>
                <w:sz w:val="14"/>
                <w:szCs w:val="14"/>
                <w:color w:val="auto"/>
                <w:w w:val="99"/>
              </w:rPr>
              <w:t>Future minimum operating lease payments for noncancelable operating leases as of March 31, 2021 are as follows: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For the Fiscal Year Ending March 31,</w:t>
            </w:r>
          </w:p>
        </w:tc>
        <w:tc>
          <w:tcPr>
            <w:tcW w:w="10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1"/>
                <w:szCs w:val="11"/>
                <w:b w:val="1"/>
                <w:bCs w:val="1"/>
                <w:color w:val="auto"/>
                <w:w w:val="92"/>
              </w:rPr>
              <w:t>Operating Lease Payments</w:t>
            </w:r>
          </w:p>
        </w:tc>
        <w:tc>
          <w:tcPr>
            <w:tcW w:w="0" w:type="dxa"/>
            <w:vAlign w:val="bottom"/>
          </w:tcPr>
          <w:p>
            <w:pPr>
              <w:spacing w:after="0"/>
              <w:rPr>
                <w:sz w:val="1"/>
                <w:szCs w:val="1"/>
                <w:color w:val="auto"/>
              </w:rPr>
            </w:pPr>
          </w:p>
        </w:tc>
      </w:tr>
      <w:tr>
        <w:trPr>
          <w:trHeight w:val="175"/>
        </w:trPr>
        <w:tc>
          <w:tcPr>
            <w:tcW w:w="52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66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jc w:val="center"/>
              <w:ind w:right="169"/>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68,498</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20"/>
                <w:szCs w:val="20"/>
                <w:color w:val="auto"/>
              </w:rPr>
            </w:pPr>
            <w:r>
              <w:rPr>
                <w:rFonts w:ascii="Arial" w:cs="Arial" w:eastAsia="Arial" w:hAnsi="Arial"/>
                <w:sz w:val="14"/>
                <w:szCs w:val="14"/>
                <w:color w:val="auto"/>
              </w:rPr>
              <w:t>2023</w:t>
            </w:r>
          </w:p>
        </w:tc>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71,553</w:t>
            </w:r>
          </w:p>
        </w:tc>
        <w:tc>
          <w:tcPr>
            <w:tcW w:w="0" w:type="dxa"/>
            <w:vAlign w:val="bottom"/>
          </w:tcPr>
          <w:p>
            <w:pPr>
              <w:spacing w:after="0"/>
              <w:rPr>
                <w:sz w:val="1"/>
                <w:szCs w:val="1"/>
                <w:color w:val="auto"/>
              </w:rPr>
            </w:pPr>
          </w:p>
        </w:tc>
      </w:tr>
      <w:tr>
        <w:trPr>
          <w:trHeight w:val="181"/>
        </w:trPr>
        <w:tc>
          <w:tcPr>
            <w:tcW w:w="520" w:type="dxa"/>
            <w:vAlign w:val="bottom"/>
            <w:shd w:val="clear" w:color="auto" w:fill="CCEEFF"/>
          </w:tcPr>
          <w:p>
            <w:pPr>
              <w:spacing w:after="0"/>
              <w:rPr>
                <w:sz w:val="20"/>
                <w:szCs w:val="20"/>
                <w:color w:val="auto"/>
              </w:rPr>
            </w:pPr>
            <w:r>
              <w:rPr>
                <w:rFonts w:ascii="Arial" w:cs="Arial" w:eastAsia="Arial" w:hAnsi="Arial"/>
                <w:sz w:val="14"/>
                <w:szCs w:val="14"/>
                <w:color w:val="auto"/>
              </w:rPr>
              <w:t>2024</w:t>
            </w:r>
          </w:p>
        </w:tc>
        <w:tc>
          <w:tcPr>
            <w:tcW w:w="66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62,235</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20"/>
                <w:szCs w:val="20"/>
                <w:color w:val="auto"/>
              </w:rPr>
            </w:pPr>
            <w:r>
              <w:rPr>
                <w:rFonts w:ascii="Arial" w:cs="Arial" w:eastAsia="Arial" w:hAnsi="Arial"/>
                <w:sz w:val="14"/>
                <w:szCs w:val="14"/>
                <w:color w:val="auto"/>
              </w:rPr>
              <w:t>2025</w:t>
            </w:r>
          </w:p>
        </w:tc>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4"/>
                <w:szCs w:val="14"/>
                <w:color w:val="auto"/>
              </w:rPr>
              <w:t>57,691</w:t>
            </w:r>
          </w:p>
        </w:tc>
        <w:tc>
          <w:tcPr>
            <w:tcW w:w="0" w:type="dxa"/>
            <w:vAlign w:val="bottom"/>
          </w:tcPr>
          <w:p>
            <w:pPr>
              <w:spacing w:after="0"/>
              <w:rPr>
                <w:sz w:val="1"/>
                <w:szCs w:val="1"/>
                <w:color w:val="auto"/>
              </w:rPr>
            </w:pPr>
          </w:p>
        </w:tc>
      </w:tr>
      <w:tr>
        <w:trPr>
          <w:trHeight w:val="181"/>
        </w:trPr>
        <w:tc>
          <w:tcPr>
            <w:tcW w:w="52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66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45,464</w:t>
            </w:r>
          </w:p>
        </w:tc>
        <w:tc>
          <w:tcPr>
            <w:tcW w:w="0" w:type="dxa"/>
            <w:vAlign w:val="bottom"/>
          </w:tcPr>
          <w:p>
            <w:pPr>
              <w:spacing w:after="0"/>
              <w:rPr>
                <w:sz w:val="1"/>
                <w:szCs w:val="1"/>
                <w:color w:val="auto"/>
              </w:rPr>
            </w:pPr>
          </w:p>
        </w:tc>
      </w:tr>
      <w:tr>
        <w:trPr>
          <w:trHeight w:val="180"/>
        </w:trPr>
        <w:tc>
          <w:tcPr>
            <w:tcW w:w="7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10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58,639</w:t>
            </w:r>
          </w:p>
        </w:tc>
        <w:tc>
          <w:tcPr>
            <w:tcW w:w="0" w:type="dxa"/>
            <w:vAlign w:val="bottom"/>
          </w:tcPr>
          <w:p>
            <w:pPr>
              <w:spacing w:after="0"/>
              <w:rPr>
                <w:sz w:val="1"/>
                <w:szCs w:val="1"/>
                <w:color w:val="auto"/>
              </w:rPr>
            </w:pPr>
          </w:p>
        </w:tc>
      </w:tr>
      <w:tr>
        <w:trPr>
          <w:trHeight w:val="171"/>
        </w:trPr>
        <w:tc>
          <w:tcPr>
            <w:tcW w:w="7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future lease payments</w:t>
            </w: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364,080</w:t>
            </w:r>
          </w:p>
        </w:tc>
        <w:tc>
          <w:tcPr>
            <w:tcW w:w="0" w:type="dxa"/>
            <w:vAlign w:val="bottom"/>
          </w:tcPr>
          <w:p>
            <w:pPr>
              <w:spacing w:after="0"/>
              <w:rPr>
                <w:sz w:val="1"/>
                <w:szCs w:val="1"/>
                <w:color w:val="auto"/>
              </w:rPr>
            </w:pPr>
          </w:p>
        </w:tc>
      </w:tr>
      <w:tr>
        <w:trPr>
          <w:trHeight w:val="180"/>
        </w:trPr>
        <w:tc>
          <w:tcPr>
            <w:tcW w:w="718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Less: imputed interest</w:t>
            </w:r>
          </w:p>
        </w:tc>
        <w:tc>
          <w:tcPr>
            <w:tcW w:w="10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(45,980)</w:t>
            </w:r>
          </w:p>
        </w:tc>
        <w:tc>
          <w:tcPr>
            <w:tcW w:w="0" w:type="dxa"/>
            <w:vAlign w:val="bottom"/>
          </w:tcPr>
          <w:p>
            <w:pPr>
              <w:spacing w:after="0"/>
              <w:rPr>
                <w:sz w:val="1"/>
                <w:szCs w:val="1"/>
                <w:color w:val="auto"/>
              </w:rPr>
            </w:pPr>
          </w:p>
        </w:tc>
      </w:tr>
      <w:tr>
        <w:trPr>
          <w:trHeight w:val="196"/>
        </w:trPr>
        <w:tc>
          <w:tcPr>
            <w:tcW w:w="71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center"/>
              <w:ind w:right="169"/>
              <w:spacing w:after="0"/>
              <w:rPr>
                <w:sz w:val="20"/>
                <w:szCs w:val="20"/>
                <w:color w:val="auto"/>
              </w:rPr>
            </w:pPr>
            <w:r>
              <w:rPr>
                <w:rFonts w:ascii="Arial" w:cs="Arial" w:eastAsia="Arial" w:hAnsi="Arial"/>
                <w:sz w:val="14"/>
                <w:szCs w:val="14"/>
                <w:color w:val="auto"/>
                <w:w w:val="76"/>
              </w:rPr>
              <w:t>$</w:t>
            </w:r>
          </w:p>
        </w:tc>
        <w:tc>
          <w:tcPr>
            <w:tcW w:w="18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318,100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Supplemental cash flow information related to leases was as follows:</w:t>
            </w: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3560" w:type="dxa"/>
            <w:vAlign w:val="bottom"/>
            <w:gridSpan w:val="6"/>
          </w:tcPr>
          <w:p>
            <w:pPr>
              <w:jc w:val="right"/>
              <w:ind w:right="1340"/>
              <w:spacing w:after="0"/>
              <w:rPr>
                <w:sz w:val="20"/>
                <w:szCs w:val="20"/>
                <w:color w:val="auto"/>
              </w:rPr>
            </w:pPr>
            <w:r>
              <w:rPr>
                <w:rFonts w:ascii="Arial" w:cs="Arial" w:eastAsia="Arial" w:hAnsi="Arial"/>
                <w:sz w:val="11"/>
                <w:szCs w:val="11"/>
                <w:b w:val="1"/>
                <w:bCs w:val="1"/>
                <w:color w:val="auto"/>
              </w:rPr>
              <w:t>Fiscal Year Ended March 31,</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000" w:type="dxa"/>
            <w:vAlign w:val="bottom"/>
            <w:shd w:val="clear" w:color="auto" w:fill="CCEEFF"/>
          </w:tcPr>
          <w:p>
            <w:pPr>
              <w:jc w:val="right"/>
              <w:ind w:right="859"/>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8"/>
              </w:rPr>
              <w:t>69,320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 xml:space="preserve">Operating lease liabilities arising from obtaining ROU assets </w:t>
            </w:r>
            <w:r>
              <w:rPr>
                <w:rFonts w:ascii="Arial" w:cs="Arial" w:eastAsia="Arial" w:hAnsi="Arial"/>
                <w:sz w:val="11"/>
                <w:szCs w:val="11"/>
                <w:color w:val="auto"/>
              </w:rPr>
              <w:t>(1)</w:t>
            </w:r>
          </w:p>
        </w:tc>
        <w:tc>
          <w:tcPr>
            <w:tcW w:w="1000" w:type="dxa"/>
            <w:vAlign w:val="bottom"/>
          </w:tcPr>
          <w:p>
            <w:pPr>
              <w:spacing w:after="0"/>
              <w:rPr>
                <w:sz w:val="15"/>
                <w:szCs w:val="15"/>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88"/>
              </w:rPr>
              <w:t>52,454</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26,378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20" w:right="4700" w:firstLine="3"/>
        <w:spacing w:after="0" w:line="46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Includes all noncash increases and decreases arising from new or remeasured operating lease arrangements Other information related to leases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rPr>
              <w:t>March 31,</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108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0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72"/>
              <w:spacing w:after="0"/>
              <w:rPr>
                <w:sz w:val="20"/>
                <w:szCs w:val="20"/>
                <w:color w:val="auto"/>
              </w:rPr>
            </w:pPr>
            <w:r>
              <w:rPr>
                <w:rFonts w:ascii="Arial" w:cs="Arial" w:eastAsia="Arial" w:hAnsi="Arial"/>
                <w:sz w:val="11"/>
                <w:szCs w:val="11"/>
                <w:b w:val="1"/>
                <w:bCs w:val="1"/>
                <w:color w:val="auto"/>
                <w:w w:val="97"/>
              </w:rPr>
              <w:t>2020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1080" w:type="dxa"/>
            <w:vAlign w:val="bottom"/>
          </w:tcPr>
          <w:p>
            <w:pPr>
              <w:spacing w:after="0"/>
              <w:rPr>
                <w:sz w:val="14"/>
                <w:szCs w:val="14"/>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1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413"/>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1080" w:type="dxa"/>
            <w:vAlign w:val="bottom"/>
          </w:tcPr>
          <w:p>
            <w:pPr>
              <w:spacing w:after="0"/>
              <w:rPr>
                <w:sz w:val="15"/>
                <w:szCs w:val="15"/>
                <w:color w:val="auto"/>
              </w:rPr>
            </w:pPr>
          </w:p>
        </w:tc>
        <w:tc>
          <w:tcPr>
            <w:tcW w:w="362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ind w:right="413"/>
              <w:spacing w:after="0"/>
              <w:rPr>
                <w:sz w:val="20"/>
                <w:szCs w:val="20"/>
                <w:color w:val="auto"/>
              </w:rPr>
            </w:pPr>
            <w:r>
              <w:rPr>
                <w:rFonts w:ascii="Arial" w:cs="Arial" w:eastAsia="Arial" w:hAnsi="Arial"/>
                <w:sz w:val="14"/>
                <w:szCs w:val="14"/>
                <w:color w:val="auto"/>
              </w:rPr>
              <w:t>4.64 %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4.69 %</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35"/>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13. INCOME TAXES</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5"/>
        </w:trPr>
        <w:tc>
          <w:tcPr>
            <w:tcW w:w="4700" w:type="dxa"/>
            <w:vAlign w:val="bottom"/>
            <w:gridSpan w:val="2"/>
          </w:tcPr>
          <w:p>
            <w:pPr>
              <w:ind w:left="320"/>
              <w:spacing w:after="0"/>
              <w:rPr>
                <w:sz w:val="20"/>
                <w:szCs w:val="20"/>
                <w:color w:val="auto"/>
              </w:rPr>
            </w:pPr>
            <w:r>
              <w:rPr>
                <w:rFonts w:ascii="Arial" w:cs="Arial" w:eastAsia="Arial" w:hAnsi="Arial"/>
                <w:sz w:val="14"/>
                <w:szCs w:val="14"/>
                <w:color w:val="auto"/>
              </w:rPr>
              <w:t>The components of income tax expense were as follows:</w:t>
            </w: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25"/>
        </w:trPr>
        <w:tc>
          <w:tcPr>
            <w:tcW w:w="1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1"/>
                <w:szCs w:val="11"/>
                <w:b w:val="1"/>
                <w:bCs w:val="1"/>
                <w:color w:val="auto"/>
                <w:w w:val="95"/>
              </w:rPr>
              <w:t>Fiscal Year Ended March 31,</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1080" w:type="dxa"/>
            <w:vAlign w:val="bottom"/>
            <w:tcBorders>
              <w:bottom w:val="single" w:sz="8" w:color="CCEEFF"/>
            </w:tcBorders>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67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4700" w:type="dxa"/>
            <w:vAlign w:val="bottom"/>
            <w:gridSpan w:val="2"/>
          </w:tcPr>
          <w:p>
            <w:pPr>
              <w:ind w:left="280"/>
              <w:spacing w:after="0"/>
              <w:rPr>
                <w:sz w:val="20"/>
                <w:szCs w:val="20"/>
                <w:color w:val="auto"/>
              </w:rPr>
            </w:pPr>
            <w:r>
              <w:rPr>
                <w:rFonts w:ascii="Arial" w:cs="Arial" w:eastAsia="Arial" w:hAnsi="Arial"/>
                <w:sz w:val="14"/>
                <w:szCs w:val="14"/>
                <w:color w:val="auto"/>
              </w:rPr>
              <w:t>U.S. Federal</w:t>
            </w:r>
          </w:p>
        </w:tc>
        <w:tc>
          <w:tcPr>
            <w:tcW w:w="2180" w:type="dxa"/>
            <w:vAlign w:val="bottom"/>
            <w:gridSpan w:val="2"/>
          </w:tcPr>
          <w:p>
            <w:pPr>
              <w:jc w:val="right"/>
              <w:ind w:right="936"/>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(227,309)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(2,638)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60"/>
              <w:spacing w:after="0"/>
              <w:rPr>
                <w:sz w:val="20"/>
                <w:szCs w:val="20"/>
                <w:color w:val="auto"/>
              </w:rPr>
            </w:pPr>
            <w:r>
              <w:rPr>
                <w:rFonts w:ascii="Arial" w:cs="Arial" w:eastAsia="Arial" w:hAnsi="Arial"/>
                <w:sz w:val="14"/>
                <w:szCs w:val="14"/>
                <w:color w:val="auto"/>
              </w:rPr>
              <w:t>34,019</w:t>
            </w:r>
          </w:p>
        </w:tc>
        <w:tc>
          <w:tcPr>
            <w:tcW w:w="40" w:type="dxa"/>
            <w:vAlign w:val="bottom"/>
          </w:tcPr>
          <w:p>
            <w:pPr>
              <w:spacing w:after="0"/>
              <w:rPr>
                <w:sz w:val="15"/>
                <w:szCs w:val="15"/>
                <w:color w:val="auto"/>
              </w:rPr>
            </w:pPr>
          </w:p>
        </w:tc>
      </w:tr>
      <w:tr>
        <w:trPr>
          <w:trHeight w:val="181"/>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local</w:t>
            </w:r>
          </w:p>
        </w:tc>
        <w:tc>
          <w:tcPr>
            <w:tcW w:w="1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39,542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26,232</w:t>
            </w:r>
          </w:p>
        </w:tc>
        <w:tc>
          <w:tcPr>
            <w:tcW w:w="40" w:type="dxa"/>
            <w:vAlign w:val="bottom"/>
          </w:tcPr>
          <w:p>
            <w:pPr>
              <w:spacing w:after="0"/>
              <w:rPr>
                <w:sz w:val="15"/>
                <w:szCs w:val="15"/>
                <w:color w:val="auto"/>
              </w:rPr>
            </w:pPr>
          </w:p>
        </w:tc>
      </w:tr>
      <w:tr>
        <w:trPr>
          <w:trHeight w:val="180"/>
        </w:trPr>
        <w:tc>
          <w:tcPr>
            <w:tcW w:w="470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Foreign</w:t>
            </w:r>
          </w:p>
        </w:tc>
        <w:tc>
          <w:tcPr>
            <w:tcW w:w="1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9,250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13,617</w:t>
            </w:r>
          </w:p>
        </w:tc>
        <w:tc>
          <w:tcPr>
            <w:tcW w:w="40" w:type="dxa"/>
            <w:vAlign w:val="bottom"/>
          </w:tcPr>
          <w:p>
            <w:pPr>
              <w:spacing w:after="0"/>
              <w:rPr>
                <w:sz w:val="15"/>
                <w:szCs w:val="15"/>
                <w:color w:val="auto"/>
              </w:rPr>
            </w:pPr>
          </w:p>
        </w:tc>
      </w:tr>
      <w:tr>
        <w:trPr>
          <w:trHeight w:val="171"/>
        </w:trPr>
        <w:tc>
          <w:tcPr>
            <w:tcW w:w="47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current</w:t>
            </w:r>
          </w:p>
        </w:tc>
        <w:tc>
          <w:tcPr>
            <w:tcW w:w="1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(178,517)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31,397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73,868</w:t>
            </w:r>
          </w:p>
        </w:tc>
        <w:tc>
          <w:tcPr>
            <w:tcW w:w="40" w:type="dxa"/>
            <w:vAlign w:val="bottom"/>
          </w:tcPr>
          <w:p>
            <w:pPr>
              <w:spacing w:after="0"/>
              <w:rPr>
                <w:sz w:val="14"/>
                <w:szCs w:val="14"/>
                <w:color w:val="auto"/>
              </w:rPr>
            </w:pPr>
          </w:p>
        </w:tc>
      </w:tr>
      <w:tr>
        <w:trPr>
          <w:trHeight w:val="160"/>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Deferred</w:t>
            </w: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1"/>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Federal</w:t>
            </w:r>
          </w:p>
        </w:tc>
        <w:tc>
          <w:tcPr>
            <w:tcW w:w="1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245,624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23,258</w:t>
            </w:r>
          </w:p>
        </w:tc>
        <w:tc>
          <w:tcPr>
            <w:tcW w:w="40" w:type="dxa"/>
            <w:vAlign w:val="bottom"/>
          </w:tcPr>
          <w:p>
            <w:pPr>
              <w:spacing w:after="0"/>
              <w:rPr>
                <w:sz w:val="15"/>
                <w:szCs w:val="15"/>
                <w:color w:val="auto"/>
              </w:rPr>
            </w:pPr>
          </w:p>
        </w:tc>
      </w:tr>
      <w:tr>
        <w:trPr>
          <w:trHeight w:val="180"/>
        </w:trPr>
        <w:tc>
          <w:tcPr>
            <w:tcW w:w="470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State and local</w:t>
            </w:r>
          </w:p>
        </w:tc>
        <w:tc>
          <w:tcPr>
            <w:tcW w:w="1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(13,626)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5,578</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(252)</w:t>
            </w:r>
          </w:p>
        </w:tc>
        <w:tc>
          <w:tcPr>
            <w:tcW w:w="40" w:type="dxa"/>
            <w:vAlign w:val="bottom"/>
          </w:tcPr>
          <w:p>
            <w:pPr>
              <w:spacing w:after="0"/>
              <w:rPr>
                <w:sz w:val="15"/>
                <w:szCs w:val="15"/>
                <w:color w:val="auto"/>
              </w:rPr>
            </w:pPr>
          </w:p>
        </w:tc>
      </w:tr>
      <w:tr>
        <w:trPr>
          <w:trHeight w:val="171"/>
        </w:trPr>
        <w:tc>
          <w:tcPr>
            <w:tcW w:w="47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Total deferred</w:t>
            </w:r>
          </w:p>
        </w:tc>
        <w:tc>
          <w:tcPr>
            <w:tcW w:w="110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231,998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65,434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23,006</w:t>
            </w:r>
          </w:p>
        </w:tc>
        <w:tc>
          <w:tcPr>
            <w:tcW w:w="40" w:type="dxa"/>
            <w:vAlign w:val="bottom"/>
          </w:tcPr>
          <w:p>
            <w:pPr>
              <w:spacing w:after="0"/>
              <w:rPr>
                <w:sz w:val="14"/>
                <w:szCs w:val="14"/>
                <w:color w:val="auto"/>
              </w:rPr>
            </w:pPr>
          </w:p>
        </w:tc>
      </w:tr>
      <w:tr>
        <w:trPr>
          <w:trHeight w:val="171"/>
        </w:trPr>
        <w:tc>
          <w:tcPr>
            <w:tcW w:w="4700" w:type="dxa"/>
            <w:vAlign w:val="bottom"/>
            <w:gridSpan w:val="2"/>
          </w:tcPr>
          <w:p>
            <w:pPr>
              <w:ind w:left="88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4"/>
                <w:szCs w:val="14"/>
                <w:color w:val="auto"/>
              </w:rPr>
            </w:pPr>
          </w:p>
        </w:tc>
        <w:tc>
          <w:tcPr>
            <w:tcW w:w="1080" w:type="dxa"/>
            <w:vAlign w:val="bottom"/>
            <w:tcBorders>
              <w:bottom w:val="single" w:sz="8" w:color="auto"/>
            </w:tcBorders>
          </w:tcPr>
          <w:p>
            <w:pPr>
              <w:jc w:val="right"/>
              <w:ind w:right="936"/>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53,481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96,831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96,874</w:t>
            </w:r>
          </w:p>
        </w:tc>
        <w:tc>
          <w:tcPr>
            <w:tcW w:w="4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2"/>
        </w:trPr>
        <w:tc>
          <w:tcPr>
            <w:tcW w:w="10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80" w:type="dxa"/>
            <w:vAlign w:val="bottom"/>
            <w:gridSpan w:val="2"/>
          </w:tcPr>
          <w:p>
            <w:pPr>
              <w:jc w:val="right"/>
              <w:ind w:right="1036"/>
              <w:spacing w:after="0"/>
              <w:rPr>
                <w:sz w:val="20"/>
                <w:szCs w:val="20"/>
                <w:color w:val="auto"/>
              </w:rPr>
            </w:pPr>
            <w:r>
              <w:rPr>
                <w:rFonts w:ascii="Arial" w:cs="Arial" w:eastAsia="Arial" w:hAnsi="Arial"/>
                <w:sz w:val="14"/>
                <w:szCs w:val="14"/>
                <w:color w:val="auto"/>
              </w:rPr>
              <w:t>F-28</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1080" w:type="dxa"/>
            <w:vAlign w:val="bottom"/>
            <w:tcBorders>
              <w:bottom w:val="single" w:sz="8" w:color="9A9A9A"/>
            </w:tcBorders>
          </w:tcPr>
          <w:p>
            <w:pPr>
              <w:spacing w:after="0"/>
              <w:rPr>
                <w:sz w:val="7"/>
                <w:szCs w:val="7"/>
                <w:color w:val="auto"/>
              </w:rPr>
            </w:pPr>
          </w:p>
        </w:tc>
        <w:tc>
          <w:tcPr>
            <w:tcW w:w="36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99" w:name="page100"/>
    <w:bookmarkEnd w:id="99"/>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2021</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70"/>
              <w:spacing w:after="0"/>
              <w:rPr>
                <w:sz w:val="20"/>
                <w:szCs w:val="20"/>
                <w:color w:val="auto"/>
              </w:rPr>
            </w:pPr>
            <w:r>
              <w:rPr>
                <w:rFonts w:ascii="Arial" w:cs="Arial" w:eastAsia="Arial" w:hAnsi="Arial"/>
                <w:sz w:val="11"/>
                <w:szCs w:val="11"/>
                <w:b w:val="1"/>
                <w:bCs w:val="1"/>
                <w:color w:val="auto"/>
              </w:rPr>
              <w:t>2019</w:t>
            </w:r>
          </w:p>
        </w:tc>
      </w:tr>
      <w:tr>
        <w:trPr>
          <w:trHeight w:val="17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computed at U.S. federal statutory rate</w:t>
            </w:r>
          </w:p>
        </w:tc>
        <w:tc>
          <w:tcPr>
            <w:tcW w:w="106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121,681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108,235</w:t>
            </w:r>
          </w:p>
        </w:tc>
      </w:tr>
      <w:tr>
        <w:trPr>
          <w:trHeight w:val="202"/>
        </w:trPr>
        <w:tc>
          <w:tcPr>
            <w:tcW w:w="5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80"/>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Increases (reductions) resulting from:</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80"/>
        </w:trPr>
        <w:tc>
          <w:tcPr>
            <w:tcW w:w="5720" w:type="dxa"/>
            <w:vAlign w:val="bottom"/>
          </w:tcPr>
          <w:p>
            <w:pPr>
              <w:ind w:left="520"/>
              <w:spacing w:after="0"/>
              <w:rPr>
                <w:sz w:val="20"/>
                <w:szCs w:val="20"/>
                <w:color w:val="auto"/>
              </w:rPr>
            </w:pPr>
            <w:r>
              <w:rPr>
                <w:rFonts w:ascii="Arial" w:cs="Arial" w:eastAsia="Arial" w:hAnsi="Arial"/>
                <w:sz w:val="14"/>
                <w:szCs w:val="14"/>
                <w:color w:val="auto"/>
              </w:rPr>
              <w:t>State and local income taxes, net of federal tax</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17,586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20,031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22,450</w:t>
            </w:r>
          </w:p>
        </w:tc>
      </w:tr>
      <w:tr>
        <w:trPr>
          <w:trHeight w:val="181"/>
        </w:trPr>
        <w:tc>
          <w:tcPr>
            <w:tcW w:w="5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Foreign income taxes, net of federal tax</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10,758</w:t>
            </w:r>
          </w:p>
        </w:tc>
      </w:tr>
      <w:tr>
        <w:trPr>
          <w:trHeight w:val="180"/>
        </w:trPr>
        <w:tc>
          <w:tcPr>
            <w:tcW w:w="5720" w:type="dxa"/>
            <w:vAlign w:val="bottom"/>
          </w:tcPr>
          <w:p>
            <w:pPr>
              <w:ind w:left="520"/>
              <w:spacing w:after="0"/>
              <w:rPr>
                <w:sz w:val="20"/>
                <w:szCs w:val="20"/>
                <w:color w:val="auto"/>
              </w:rPr>
            </w:pPr>
            <w:r>
              <w:rPr>
                <w:rFonts w:ascii="Arial" w:cs="Arial" w:eastAsia="Arial" w:hAnsi="Arial"/>
                <w:sz w:val="14"/>
                <w:szCs w:val="14"/>
                <w:color w:val="auto"/>
              </w:rPr>
              <w:t>Meals and entertainment</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1,761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1,771</w:t>
            </w:r>
          </w:p>
        </w:tc>
      </w:tr>
      <w:tr>
        <w:trPr>
          <w:trHeight w:val="181"/>
        </w:trPr>
        <w:tc>
          <w:tcPr>
            <w:tcW w:w="5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Re-measurement of deferred taxes</w:t>
            </w:r>
          </w:p>
        </w:tc>
        <w:tc>
          <w:tcPr>
            <w:tcW w:w="10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(27,908)</w:t>
            </w:r>
          </w:p>
        </w:tc>
      </w:tr>
      <w:tr>
        <w:trPr>
          <w:trHeight w:val="180"/>
        </w:trPr>
        <w:tc>
          <w:tcPr>
            <w:tcW w:w="5720" w:type="dxa"/>
            <w:vAlign w:val="bottom"/>
          </w:tcPr>
          <w:p>
            <w:pPr>
              <w:ind w:left="520"/>
              <w:spacing w:after="0"/>
              <w:rPr>
                <w:sz w:val="20"/>
                <w:szCs w:val="20"/>
                <w:color w:val="auto"/>
              </w:rPr>
            </w:pPr>
            <w:r>
              <w:rPr>
                <w:rFonts w:ascii="Arial" w:cs="Arial" w:eastAsia="Arial" w:hAnsi="Arial"/>
                <w:sz w:val="14"/>
                <w:szCs w:val="14"/>
                <w:color w:val="auto"/>
              </w:rPr>
              <w:t>Re-measurement of current year losses under CARES Act</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(76,767)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Excess tax benefits from stock-based compensation</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(10,777)</w:t>
            </w:r>
          </w:p>
        </w:tc>
      </w:tr>
      <w:tr>
        <w:trPr>
          <w:trHeight w:val="180"/>
        </w:trPr>
        <w:tc>
          <w:tcPr>
            <w:tcW w:w="5720" w:type="dxa"/>
            <w:vAlign w:val="bottom"/>
          </w:tcPr>
          <w:p>
            <w:pPr>
              <w:ind w:left="520"/>
              <w:spacing w:after="0"/>
              <w:rPr>
                <w:sz w:val="20"/>
                <w:szCs w:val="20"/>
                <w:color w:val="auto"/>
              </w:rPr>
            </w:pPr>
            <w:r>
              <w:rPr>
                <w:rFonts w:ascii="Arial" w:cs="Arial" w:eastAsia="Arial" w:hAnsi="Arial"/>
                <w:sz w:val="14"/>
                <w:szCs w:val="14"/>
                <w:color w:val="auto"/>
              </w:rPr>
              <w:t>Research and development and other federal credits</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(30,313)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(90,898)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(6,355)</w:t>
            </w:r>
          </w:p>
        </w:tc>
      </w:tr>
      <w:tr>
        <w:trPr>
          <w:trHeight w:val="181"/>
        </w:trPr>
        <w:tc>
          <w:tcPr>
            <w:tcW w:w="5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Executive compensation -162(M)</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w:t>
            </w:r>
          </w:p>
        </w:tc>
      </w:tr>
      <w:tr>
        <w:trPr>
          <w:trHeight w:val="180"/>
        </w:trPr>
        <w:tc>
          <w:tcPr>
            <w:tcW w:w="5720" w:type="dxa"/>
            <w:vAlign w:val="bottom"/>
          </w:tcPr>
          <w:p>
            <w:pPr>
              <w:ind w:left="520"/>
              <w:spacing w:after="0"/>
              <w:rPr>
                <w:sz w:val="20"/>
                <w:szCs w:val="20"/>
                <w:color w:val="auto"/>
              </w:rPr>
            </w:pPr>
            <w:r>
              <w:rPr>
                <w:rFonts w:ascii="Arial" w:cs="Arial" w:eastAsia="Arial" w:hAnsi="Arial"/>
                <w:sz w:val="14"/>
                <w:szCs w:val="14"/>
                <w:color w:val="auto"/>
              </w:rPr>
              <w:t>IRS audit settlement</w:t>
            </w:r>
          </w:p>
        </w:tc>
        <w:tc>
          <w:tcPr>
            <w:tcW w:w="10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(2,573)</w:t>
            </w:r>
          </w:p>
        </w:tc>
      </w:tr>
      <w:tr>
        <w:trPr>
          <w:trHeight w:val="181"/>
        </w:trPr>
        <w:tc>
          <w:tcPr>
            <w:tcW w:w="5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Foreign-Derived Intangible Income (FDII)</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(4,915)</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720" w:type="dxa"/>
            <w:vAlign w:val="bottom"/>
          </w:tcPr>
          <w:p>
            <w:pPr>
              <w:ind w:left="520"/>
              <w:spacing w:after="0"/>
              <w:rPr>
                <w:sz w:val="20"/>
                <w:szCs w:val="20"/>
                <w:color w:val="auto"/>
              </w:rPr>
            </w:pPr>
            <w:r>
              <w:rPr>
                <w:rFonts w:ascii="Arial" w:cs="Arial" w:eastAsia="Arial" w:hAnsi="Arial"/>
                <w:sz w:val="14"/>
                <w:szCs w:val="14"/>
                <w:color w:val="auto"/>
              </w:rPr>
              <w:t>Changes in uncertain tax positions</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6,793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44,621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181"/>
        </w:trPr>
        <w:tc>
          <w:tcPr>
            <w:tcW w:w="5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w:t>
            </w:r>
          </w:p>
        </w:tc>
      </w:tr>
      <w:tr>
        <w:trPr>
          <w:trHeight w:val="171"/>
        </w:trPr>
        <w:tc>
          <w:tcPr>
            <w:tcW w:w="5720" w:type="dxa"/>
            <w:vAlign w:val="bottom"/>
          </w:tcPr>
          <w:p>
            <w:pPr>
              <w:ind w:left="880"/>
              <w:spacing w:after="0"/>
              <w:rPr>
                <w:sz w:val="20"/>
                <w:szCs w:val="20"/>
                <w:color w:val="auto"/>
              </w:rPr>
            </w:pPr>
            <w:r>
              <w:rPr>
                <w:rFonts w:ascii="Arial" w:cs="Arial" w:eastAsia="Arial" w:hAnsi="Arial"/>
                <w:sz w:val="14"/>
                <w:szCs w:val="14"/>
                <w:color w:val="auto"/>
              </w:rPr>
              <w:t>Income tax expense from operations</w:t>
            </w:r>
          </w:p>
        </w:tc>
        <w:tc>
          <w:tcPr>
            <w:tcW w:w="1060" w:type="dxa"/>
            <w:vAlign w:val="bottom"/>
            <w:tcBorders>
              <w:bottom w:val="single" w:sz="8" w:color="auto"/>
            </w:tcBorders>
          </w:tcPr>
          <w:p>
            <w:pPr>
              <w:jc w:val="right"/>
              <w:ind w:right="91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53,481</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96,831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96,874</w:t>
            </w:r>
          </w:p>
        </w:tc>
      </w:tr>
      <w:tr>
        <w:trPr>
          <w:trHeight w:val="20"/>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00" w:firstLine="318"/>
        <w:spacing w:after="0" w:line="278" w:lineRule="auto"/>
        <w:rPr>
          <w:sz w:val="20"/>
          <w:szCs w:val="20"/>
          <w:color w:val="auto"/>
        </w:rPr>
      </w:pPr>
      <w:r>
        <w:rPr>
          <w:rFonts w:ascii="Arial" w:cs="Arial" w:eastAsia="Arial" w:hAnsi="Arial"/>
          <w:sz w:val="13"/>
          <w:szCs w:val="13"/>
          <w:color w:val="auto"/>
        </w:rPr>
        <w:t>The Company reported a change in its method of accounting for the capitalization of costs associated with property, plant and equipment on its 2020 U.S. federal tax return that was filed in the fourth quarter of fiscal 2021, and intends to file a permissible subsequent change in method of accounting (also related to property, plant and equipment) in its 2021 U.S. federal tax return to be filed in fiscal 2022. These method changes resulted in an increase in tax on the fiscal 2020 U.S. federal tax return over the prior year estimate as well as the generation of a net operating loss for fiscal 2021. As a result of a provision in the Coronavirus Aid, Relief and Economic Security Act ("CARES Act"), taxpayers are allowed to carry net operating losses generated in fiscal 2019, 2020 and 2021 back to the five prior tax years (fiscal years 2016 - 2020). Accordingly, the Company has recorded a long-term income tax receivable of $273.4 million related to the U.S. federal carry back of the fiscal 2021 loss. Additionally, the Company has recorded a $238.9 million U.S. federal deferred tax liability as a result of the fiscal 2020 change in method of accounting. This deferred tax liability is reflected within the property and equipment deferred in the Company's significant components of deferred income tax assets and liabilities. The corporate tax rate for the Company was 35% during fiscal 2016 and 2017, 31.5% during fiscal 2018, and 21% since fiscal 2019. As the Company intends to carry the U.S. federal net operating loss generated in fiscal 2021 back to fiscal 2016 and subsequent years, this resulted in an income tax benefit of $76.8 million related to the re-measurement of the current year loss in the applicable fiscal years.</w:t>
      </w:r>
    </w:p>
    <w:p>
      <w:pPr>
        <w:spacing w:after="0" w:line="54"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For state tax purposes, an incremental net operating loss carryforward of $89.6 million that was generated is expected to be utilized in fiscal 2022 and future years. Including the impact of these state carryforwards, this transaction resulted in an incremental state deferred tax asset of $11.8 million.</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has both income tax receivables and income tax payable on its consolidated balance sheet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1"/>
                <w:szCs w:val="11"/>
                <w:b w:val="1"/>
                <w:bCs w:val="1"/>
                <w:color w:val="auto"/>
              </w:rPr>
              <w:t>March 31,</w:t>
            </w:r>
          </w:p>
        </w:tc>
        <w:tc>
          <w:tcPr>
            <w:tcW w:w="130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r>
      <w:tr>
        <w:trPr>
          <w:trHeight w:val="142"/>
        </w:trPr>
        <w:tc>
          <w:tcPr>
            <w:tcW w:w="370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95"/>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13"/>
              <w:spacing w:after="0"/>
              <w:rPr>
                <w:sz w:val="20"/>
                <w:szCs w:val="20"/>
                <w:color w:val="auto"/>
              </w:rPr>
            </w:pPr>
            <w:r>
              <w:rPr>
                <w:rFonts w:ascii="Arial" w:cs="Arial" w:eastAsia="Arial" w:hAnsi="Arial"/>
                <w:sz w:val="11"/>
                <w:szCs w:val="11"/>
                <w:b w:val="1"/>
                <w:bCs w:val="1"/>
                <w:color w:val="auto"/>
              </w:rPr>
              <w:t>2020</w:t>
            </w:r>
          </w:p>
        </w:tc>
        <w:tc>
          <w:tcPr>
            <w:tcW w:w="520" w:type="dxa"/>
            <w:vAlign w:val="bottom"/>
          </w:tcPr>
          <w:p>
            <w:pPr>
              <w:spacing w:after="0"/>
              <w:rPr>
                <w:sz w:val="12"/>
                <w:szCs w:val="12"/>
                <w:color w:val="auto"/>
              </w:rPr>
            </w:pPr>
          </w:p>
        </w:tc>
      </w:tr>
      <w:tr>
        <w:trPr>
          <w:trHeight w:val="172"/>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receivable</w:t>
            </w:r>
          </w:p>
        </w:tc>
        <w:tc>
          <w:tcPr>
            <w:tcW w:w="34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175,541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69,734</w:t>
            </w:r>
          </w:p>
        </w:tc>
        <w:tc>
          <w:tcPr>
            <w:tcW w:w="520" w:type="dxa"/>
            <w:vAlign w:val="bottom"/>
          </w:tcPr>
          <w:p>
            <w:pPr>
              <w:spacing w:after="0"/>
              <w:rPr>
                <w:sz w:val="14"/>
                <w:szCs w:val="14"/>
                <w:color w:val="auto"/>
              </w:rPr>
            </w:pPr>
          </w:p>
        </w:tc>
      </w:tr>
      <w:tr>
        <w:trPr>
          <w:trHeight w:val="180"/>
        </w:trPr>
        <w:tc>
          <w:tcPr>
            <w:tcW w:w="3700" w:type="dxa"/>
            <w:vAlign w:val="bottom"/>
          </w:tcPr>
          <w:p>
            <w:pPr>
              <w:ind w:left="20"/>
              <w:spacing w:after="0"/>
              <w:rPr>
                <w:sz w:val="20"/>
                <w:szCs w:val="20"/>
                <w:color w:val="auto"/>
              </w:rPr>
            </w:pPr>
            <w:r>
              <w:rPr>
                <w:rFonts w:ascii="Arial" w:cs="Arial" w:eastAsia="Arial" w:hAnsi="Arial"/>
                <w:sz w:val="14"/>
                <w:szCs w:val="14"/>
                <w:color w:val="auto"/>
              </w:rPr>
              <w:t>Long term income tax receivable</w:t>
            </w:r>
          </w:p>
        </w:tc>
        <w:tc>
          <w:tcPr>
            <w:tcW w:w="3840" w:type="dxa"/>
            <w:vAlign w:val="bottom"/>
            <w:gridSpan w:val="2"/>
          </w:tcPr>
          <w:p>
            <w:pPr>
              <w:jc w:val="right"/>
              <w:ind w:right="269"/>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333,188</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53,848</w:t>
            </w:r>
          </w:p>
        </w:tc>
        <w:tc>
          <w:tcPr>
            <w:tcW w:w="520" w:type="dxa"/>
            <w:vAlign w:val="bottom"/>
          </w:tcPr>
          <w:p>
            <w:pPr>
              <w:spacing w:after="0"/>
              <w:rPr>
                <w:sz w:val="15"/>
                <w:szCs w:val="15"/>
                <w:color w:val="auto"/>
              </w:rPr>
            </w:pPr>
          </w:p>
        </w:tc>
      </w:tr>
      <w:tr>
        <w:trPr>
          <w:trHeight w:val="181"/>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payable</w:t>
            </w:r>
          </w:p>
        </w:tc>
        <w:tc>
          <w:tcPr>
            <w:tcW w:w="3840" w:type="dxa"/>
            <w:vAlign w:val="bottom"/>
            <w:gridSpan w:val="2"/>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30,694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c>
          <w:tcPr>
            <w:tcW w:w="520" w:type="dxa"/>
            <w:vAlign w:val="bottom"/>
          </w:tcPr>
          <w:p>
            <w:pPr>
              <w:spacing w:after="0"/>
              <w:rPr>
                <w:sz w:val="15"/>
                <w:szCs w:val="15"/>
                <w:color w:val="auto"/>
              </w:rPr>
            </w:pPr>
          </w:p>
        </w:tc>
      </w:tr>
      <w:tr>
        <w:trPr>
          <w:trHeight w:val="721"/>
        </w:trPr>
        <w:tc>
          <w:tcPr>
            <w:tcW w:w="3700" w:type="dxa"/>
            <w:vAlign w:val="bottom"/>
          </w:tcPr>
          <w:p>
            <w:pPr>
              <w:spacing w:after="0"/>
              <w:rPr>
                <w:sz w:val="24"/>
                <w:szCs w:val="24"/>
                <w:color w:val="auto"/>
              </w:rPr>
            </w:pPr>
          </w:p>
        </w:tc>
        <w:tc>
          <w:tcPr>
            <w:tcW w:w="3840" w:type="dxa"/>
            <w:vAlign w:val="bottom"/>
            <w:gridSpan w:val="2"/>
          </w:tcPr>
          <w:p>
            <w:pPr>
              <w:jc w:val="right"/>
              <w:ind w:right="1689"/>
              <w:spacing w:after="0"/>
              <w:rPr>
                <w:sz w:val="20"/>
                <w:szCs w:val="20"/>
                <w:color w:val="auto"/>
              </w:rPr>
            </w:pPr>
            <w:r>
              <w:rPr>
                <w:rFonts w:ascii="Arial" w:cs="Arial" w:eastAsia="Arial" w:hAnsi="Arial"/>
                <w:sz w:val="14"/>
                <w:szCs w:val="14"/>
                <w:color w:val="auto"/>
              </w:rPr>
              <w:t>F-29</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7"/>
        </w:trPr>
        <w:tc>
          <w:tcPr>
            <w:tcW w:w="3700" w:type="dxa"/>
            <w:vAlign w:val="bottom"/>
            <w:tcBorders>
              <w:bottom w:val="single" w:sz="8" w:color="9A9A9A"/>
            </w:tcBorders>
          </w:tcPr>
          <w:p>
            <w:pPr>
              <w:spacing w:after="0"/>
              <w:rPr>
                <w:sz w:val="7"/>
                <w:szCs w:val="7"/>
                <w:color w:val="auto"/>
              </w:rPr>
            </w:pPr>
          </w:p>
        </w:tc>
        <w:tc>
          <w:tcPr>
            <w:tcW w:w="34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The current income tax receivable as of March 31, 2021 represents estimated payments made in fiscal 2021 and prior periods that will be applied to the Company’s fiscal 2022 U.S. federal and state tax returns. This amount is classified as prepaid expenses and other current assets on the consolidated balance sheet. The current income tax payable as of March 31, 2021 represents current liabilities associated with the Company’s amended fiscal 2020 U.S. state returns that the Company intends to file in fiscal 2022. This amount is classified as other current liabilities on the consolidated balance sheet. The long-term income tax receivable as of March 31, 2021 represents the carryback claim for the fiscal 2021 net operating loss and the amended U.S. federal return refund claims for research and development tax credits. This amount is classified as other long-term assets on the consolidated balance sheet.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significant components of the Company’s deferred income tax assets and liabilities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1"/>
                <w:szCs w:val="11"/>
                <w:b w:val="1"/>
                <w:bCs w:val="1"/>
                <w:color w:val="auto"/>
              </w:rPr>
              <w:t>March 31,</w:t>
            </w:r>
          </w:p>
        </w:tc>
        <w:tc>
          <w:tcPr>
            <w:tcW w:w="1280" w:type="dxa"/>
            <w:vAlign w:val="bottom"/>
            <w:tcBorders>
              <w:bottom w:val="single" w:sz="8" w:color="auto"/>
            </w:tcBorders>
          </w:tcPr>
          <w:p>
            <w:pPr>
              <w:spacing w:after="0"/>
              <w:rPr>
                <w:sz w:val="13"/>
                <w:szCs w:val="13"/>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1"/>
                <w:szCs w:val="11"/>
                <w:b w:val="1"/>
                <w:bCs w:val="1"/>
                <w:color w:val="auto"/>
              </w:rPr>
              <w:t>2020</w:t>
            </w:r>
          </w:p>
        </w:tc>
      </w:tr>
      <w:tr>
        <w:trPr>
          <w:trHeight w:val="16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assets:</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1100" w:type="dxa"/>
            <w:vAlign w:val="bottom"/>
          </w:tcPr>
          <w:p>
            <w:pPr>
              <w:jc w:val="right"/>
              <w:ind w:right="954"/>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78,005</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67,230</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compensation</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52,191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36,448</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5,724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6,909</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and postretirement benefits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32,881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32,437</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Net operating loss carryforwards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98,471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5,741</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Extended disability benefits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Interest rate swaps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9,955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14,774</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 tax credits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State tax credits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27,243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19,214</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86,046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86,565</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w:t>
            </w:r>
          </w:p>
        </w:tc>
      </w:tr>
      <w:tr>
        <w:trPr>
          <w:trHeight w:val="17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gross deferred income tax assets</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409,314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273,664</w:t>
            </w:r>
          </w:p>
        </w:tc>
      </w:tr>
      <w:tr>
        <w:trPr>
          <w:trHeight w:val="180"/>
        </w:trPr>
        <w:tc>
          <w:tcPr>
            <w:tcW w:w="7120" w:type="dxa"/>
            <w:vAlign w:val="bottom"/>
            <w:tcBorders>
              <w:bottom w:val="single" w:sz="8" w:color="CCEEFF"/>
            </w:tcBorders>
          </w:tcPr>
          <w:p>
            <w:pPr>
              <w:ind w:left="880"/>
              <w:spacing w:after="0"/>
              <w:rPr>
                <w:sz w:val="20"/>
                <w:szCs w:val="20"/>
                <w:color w:val="auto"/>
              </w:rPr>
            </w:pPr>
            <w:r>
              <w:rPr>
                <w:rFonts w:ascii="Arial" w:cs="Arial" w:eastAsia="Arial" w:hAnsi="Arial"/>
                <w:sz w:val="14"/>
                <w:szCs w:val="14"/>
                <w:color w:val="auto"/>
              </w:rPr>
              <w:t>Less: Valuation allowance</w:t>
            </w:r>
          </w:p>
        </w:tc>
        <w:tc>
          <w:tcPr>
            <w:tcW w:w="1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(6,165)</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(4,296)</w:t>
            </w:r>
          </w:p>
        </w:tc>
      </w:tr>
      <w:tr>
        <w:trPr>
          <w:trHeight w:val="171"/>
        </w:trPr>
        <w:tc>
          <w:tcPr>
            <w:tcW w:w="71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net deferred income tax assets</w:t>
            </w:r>
          </w:p>
        </w:tc>
        <w:tc>
          <w:tcPr>
            <w:tcW w:w="1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403,149</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269,368</w:t>
            </w:r>
          </w:p>
        </w:tc>
      </w:tr>
      <w:tr>
        <w:trPr>
          <w:trHeight w:val="160"/>
        </w:trPr>
        <w:tc>
          <w:tcPr>
            <w:tcW w:w="7120" w:type="dxa"/>
            <w:vAlign w:val="bottom"/>
          </w:tcPr>
          <w:p>
            <w:pPr>
              <w:ind w:left="20"/>
              <w:spacing w:after="0"/>
              <w:rPr>
                <w:sz w:val="20"/>
                <w:szCs w:val="20"/>
                <w:color w:val="auto"/>
              </w:rPr>
            </w:pPr>
            <w:r>
              <w:rPr>
                <w:rFonts w:ascii="Arial" w:cs="Arial" w:eastAsia="Arial" w:hAnsi="Arial"/>
                <w:sz w:val="14"/>
                <w:szCs w:val="14"/>
                <w:color w:val="auto"/>
              </w:rPr>
              <w:t>Deferred income tax liabilities:</w:t>
            </w: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Unbilled receivables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(245,809)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(199,869)</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Intangible assets</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(69,519)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(64,530)</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issuance costs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Property and equipment</w:t>
            </w:r>
          </w:p>
        </w:tc>
        <w:tc>
          <w:tcPr>
            <w:tcW w:w="1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(336,321)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(12,820)</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right-of-use assets</w:t>
            </w: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(62,442)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(62,623)</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Internally developed software</w:t>
            </w:r>
          </w:p>
        </w:tc>
        <w:tc>
          <w:tcPr>
            <w:tcW w:w="1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(20,309)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(15,673)</w:t>
            </w:r>
          </w:p>
        </w:tc>
      </w:tr>
      <w:tr>
        <w:trPr>
          <w:trHeight w:val="17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deferred income tax liabilities</w:t>
            </w:r>
          </w:p>
        </w:tc>
        <w:tc>
          <w:tcPr>
            <w:tcW w:w="1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(735,888)</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(357,454)</w:t>
            </w:r>
          </w:p>
        </w:tc>
      </w:tr>
      <w:tr>
        <w:trPr>
          <w:trHeight w:val="171"/>
        </w:trPr>
        <w:tc>
          <w:tcPr>
            <w:tcW w:w="7120" w:type="dxa"/>
            <w:vAlign w:val="bottom"/>
          </w:tcPr>
          <w:p>
            <w:pPr>
              <w:ind w:left="880"/>
              <w:spacing w:after="0"/>
              <w:rPr>
                <w:sz w:val="20"/>
                <w:szCs w:val="20"/>
                <w:color w:val="auto"/>
              </w:rPr>
            </w:pPr>
            <w:r>
              <w:rPr>
                <w:rFonts w:ascii="Arial" w:cs="Arial" w:eastAsia="Arial" w:hAnsi="Arial"/>
                <w:sz w:val="14"/>
                <w:szCs w:val="14"/>
                <w:color w:val="auto"/>
              </w:rPr>
              <w:t>Net deferred income tax liability</w:t>
            </w:r>
          </w:p>
        </w:tc>
        <w:tc>
          <w:tcPr>
            <w:tcW w:w="110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(332,739)</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(88,086)</w:t>
            </w:r>
          </w:p>
        </w:tc>
      </w:tr>
      <w:tr>
        <w:trPr>
          <w:trHeight w:val="20"/>
        </w:trPr>
        <w:tc>
          <w:tcPr>
            <w:tcW w:w="7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financial reporting earnings, future reversals of existing taxable temporary differences, projected future taxable income, as well as any tax planning strategies.</w:t>
      </w:r>
    </w:p>
    <w:p>
      <w:pPr>
        <w:spacing w:after="0" w:line="61" w:lineRule="exact"/>
        <w:rPr>
          <w:sz w:val="20"/>
          <w:szCs w:val="20"/>
          <w:color w:val="auto"/>
        </w:rPr>
      </w:pPr>
    </w:p>
    <w:p>
      <w:pPr>
        <w:ind w:right="620" w:firstLine="318"/>
        <w:spacing w:after="0" w:line="281" w:lineRule="auto"/>
        <w:rPr>
          <w:sz w:val="20"/>
          <w:szCs w:val="20"/>
          <w:color w:val="auto"/>
        </w:rPr>
      </w:pPr>
      <w:r>
        <w:rPr>
          <w:rFonts w:ascii="Arial" w:cs="Arial" w:eastAsia="Arial" w:hAnsi="Arial"/>
          <w:sz w:val="14"/>
          <w:szCs w:val="14"/>
          <w:color w:val="auto"/>
        </w:rPr>
        <w:t>As discussed above, the increase in the property and equipment deferred tax liability relates to the Company's fiscal 2020 change in method of accounting and represents income to be recognized in fiscal 2022 and 2023.</w:t>
      </w:r>
    </w:p>
    <w:p>
      <w:pPr>
        <w:spacing w:after="0" w:line="47"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As of March 31, 2021, the Company has available federal, state, and foreign net operating loss ("NOL carryforwards") of $2.0 million, $91.9 million and $4.6 million, respectively, that may be applied against future taxable income. The federal net operating losses are primarily attributable to an acquisition and will begin to expire in fiscal 2037. The state net operating losses are primarily attributable to current year losses, with varying expiration or no expiration dates. For state tax purposes, the fiscal</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color w:val="auto"/>
        </w:rPr>
        <w:t>2021 loss generally cannot be carried back to prior tax years and as such, a net operating loss carryforward was recorded rather than an income tax receivable. We recorded a partial valuation allowance against those federal, state and foreign net operating losses that we believe will expire prior to utilization.</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Uncertain Tax Positions</w:t>
      </w:r>
    </w:p>
    <w:p>
      <w:pPr>
        <w:spacing w:after="0" w:line="94" w:lineRule="exact"/>
        <w:rPr>
          <w:sz w:val="20"/>
          <w:szCs w:val="20"/>
          <w:color w:val="auto"/>
        </w:rPr>
      </w:pPr>
    </w:p>
    <w:p>
      <w:pPr>
        <w:ind w:right="20" w:firstLine="318"/>
        <w:spacing w:after="0" w:line="258" w:lineRule="auto"/>
        <w:rPr>
          <w:sz w:val="20"/>
          <w:szCs w:val="20"/>
          <w:color w:val="auto"/>
        </w:rPr>
      </w:pPr>
      <w:r>
        <w:rPr>
          <w:rFonts w:ascii="Arial" w:cs="Arial" w:eastAsia="Arial" w:hAnsi="Arial"/>
          <w:sz w:val="14"/>
          <w:szCs w:val="14"/>
          <w:color w:val="auto"/>
        </w:rPr>
        <w:t>The Company maintains reserves for uncertain tax positions related to unrecognized income tax benefits. These reserves involve considerable judgment and estimation and are evaluated by management based on the best information available including changes in tax laws and other information. As of March 31, 2021, 2020, and 2019, the Company has recorded $62.9 million, $56.1 million, and $11.5 million, respectively, of reserves for uncertain tax positions which includes potential tax benefits of $62.7 million, $55.2 million, and $11.1 million, respectively, that, when recognized, impact the effective tax rate. As of March 31, 2021, $11.1 million of the reserve is reflected as a reduction to deferred taxes and the remaining balance is recorded as a component of other long-term liabilities in the consolidated balance sheet. As of March 31, 2020, the entire balance is reflected as a component of other long-term liabilities, having been reclassified from income tax reserves on the prior year consolidated balance sheet.</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 reconciliation of the beginning and ending amount of potential tax benefits for the periods presented is as follows:</w:t>
      </w:r>
    </w:p>
    <w:p>
      <w:pPr>
        <w:spacing w:after="0" w:line="193" w:lineRule="exact"/>
        <w:rPr>
          <w:sz w:val="20"/>
          <w:szCs w:val="20"/>
          <w:color w:val="auto"/>
        </w:rPr>
      </w:pPr>
    </w:p>
    <w:tbl>
      <w:tblPr>
        <w:tblLayout w:type="fixed"/>
        <w:tblInd w:w="680" w:type="dxa"/>
        <w:tblCellMar>
          <w:top w:w="0" w:type="dxa"/>
          <w:left w:w="0" w:type="dxa"/>
          <w:bottom w:w="0" w:type="dxa"/>
          <w:right w:w="0" w:type="dxa"/>
        </w:tblCellMar>
      </w:tblPr>
      <w:tr>
        <w:trPr>
          <w:trHeight w:val="151"/>
        </w:trPr>
        <w:tc>
          <w:tcPr>
            <w:tcW w:w="53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March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42"/>
        </w:trPr>
        <w:tc>
          <w:tcPr>
            <w:tcW w:w="53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2019</w:t>
            </w:r>
          </w:p>
        </w:tc>
      </w:tr>
      <w:tr>
        <w:trPr>
          <w:trHeight w:val="172"/>
        </w:trPr>
        <w:tc>
          <w:tcPr>
            <w:tcW w:w="5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11,608</w:t>
            </w:r>
          </w:p>
        </w:tc>
      </w:tr>
      <w:tr>
        <w:trPr>
          <w:trHeight w:val="180"/>
        </w:trPr>
        <w:tc>
          <w:tcPr>
            <w:tcW w:w="5380" w:type="dxa"/>
            <w:vAlign w:val="bottom"/>
          </w:tcPr>
          <w:p>
            <w:pPr>
              <w:ind w:left="280"/>
              <w:spacing w:after="0"/>
              <w:rPr>
                <w:sz w:val="20"/>
                <w:szCs w:val="20"/>
                <w:color w:val="auto"/>
              </w:rPr>
            </w:pPr>
            <w:r>
              <w:rPr>
                <w:rFonts w:ascii="Arial" w:cs="Arial" w:eastAsia="Arial" w:hAnsi="Arial"/>
                <w:sz w:val="14"/>
                <w:szCs w:val="14"/>
                <w:color w:val="auto"/>
              </w:rPr>
              <w:t>Increases in prior year position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34,001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81"/>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Increases in current year position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r>
      <w:tr>
        <w:trPr>
          <w:trHeight w:val="180"/>
        </w:trPr>
        <w:tc>
          <w:tcPr>
            <w:tcW w:w="5380" w:type="dxa"/>
            <w:vAlign w:val="bottom"/>
          </w:tcPr>
          <w:p>
            <w:pPr>
              <w:ind w:left="280"/>
              <w:spacing w:after="0"/>
              <w:rPr>
                <w:sz w:val="20"/>
                <w:szCs w:val="20"/>
                <w:color w:val="auto"/>
              </w:rPr>
            </w:pPr>
            <w:r>
              <w:rPr>
                <w:rFonts w:ascii="Arial" w:cs="Arial" w:eastAsia="Arial" w:hAnsi="Arial"/>
                <w:sz w:val="14"/>
                <w:szCs w:val="14"/>
                <w:color w:val="auto"/>
              </w:rPr>
              <w:t>Decreases in prior year position</w:t>
            </w:r>
          </w:p>
        </w:tc>
        <w:tc>
          <w:tcPr>
            <w:tcW w:w="88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Settlements with taxing authorities</w:t>
            </w:r>
          </w:p>
        </w:tc>
        <w:tc>
          <w:tcPr>
            <w:tcW w:w="8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r>
      <w:tr>
        <w:trPr>
          <w:trHeight w:val="180"/>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Lapse of statute of limitations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(10,250)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End of year</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62,742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55,221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100" w:firstLine="318"/>
        <w:spacing w:after="0" w:line="260" w:lineRule="auto"/>
        <w:rPr>
          <w:sz w:val="20"/>
          <w:szCs w:val="20"/>
          <w:color w:val="auto"/>
        </w:rPr>
      </w:pPr>
      <w:r>
        <w:rPr>
          <w:rFonts w:ascii="Arial" w:cs="Arial" w:eastAsia="Arial" w:hAnsi="Arial"/>
          <w:sz w:val="14"/>
          <w:szCs w:val="14"/>
          <w:color w:val="auto"/>
        </w:rPr>
        <w:t>During fiscal 2021, the Company recognized an increase in reserves for uncertain tax positions of approximately $5.0 million related to an increase in research and development tax credits available for fiscal years 2016 to 2020 and $12.8 million for fiscal 2021. This was partially offset by the release of $10.3 million in reserves for uncertain tax positions related to the expiration of the statute of limitations of acquired uncertain tax position liabilities. The Company recognized accrued interest and penalties of $0.3 million, $0.5 million and $0.2 million for fiscal 2021, 2020, and 2019, respectively, related to the reserves for uncertain tax positions in the income tax provision. Included in the total reserve for uncertain tax positions are accrued penalties and interest of approximately $1.2 million, $0.9 million and $0.4 million at March 31, 2021, 2020, and 2019, respectively.</w:t>
      </w:r>
    </w:p>
    <w:p>
      <w:pPr>
        <w:spacing w:after="0" w:line="62"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Company is subject to taxation in the United States and various state and foreign jurisdictions. As of March 31, 2021, the Company's tax years ended March 31, 2016 and forward are open and subject to examination by the federal tax authorities. The other jurisdictions' currently open or under examination are not considered to be material.</w:t>
      </w:r>
    </w:p>
    <w:p>
      <w:pPr>
        <w:spacing w:after="0" w:line="4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$11.7 million, net of associated federal tax benefits as of March 31, 2021. The Company has taken similar tax positions with respect to subsequent fiscal years, with approximately $38.6 million, net of federal tax benefits, of total potential future tax expense that would arise from an adverse final resolution. As of March 31, 2021, the Company does not maintain reserves for any uncertain tax positions related to the contested tax benefits or the similar tax positions taken in the subsequent fiscal years. Given the recoverable nature of the state tax expense, the Company does not believe that the resolution of these matters will have a material adverse effect on its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0" w:lineRule="exact"/>
        <w:rPr>
          <w:sz w:val="20"/>
          <w:szCs w:val="20"/>
          <w:color w:val="auto"/>
        </w:rPr>
      </w:pPr>
    </w:p>
    <w:p>
      <w:pPr>
        <w:ind w:left="260" w:right="9100" w:hanging="255"/>
        <w:spacing w:after="0" w:line="382" w:lineRule="auto"/>
        <w:tabs>
          <w:tab w:leader="none" w:pos="217"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EMPLOYEE BENEFIT PLANS </w:t>
      </w:r>
      <w:r>
        <w:rPr>
          <w:rFonts w:ascii="Arial" w:cs="Arial" w:eastAsia="Arial" w:hAnsi="Arial"/>
          <w:sz w:val="14"/>
          <w:szCs w:val="14"/>
          <w:b w:val="1"/>
          <w:bCs w:val="1"/>
          <w:i w:val="1"/>
          <w:iCs w:val="1"/>
          <w:color w:val="auto"/>
        </w:rPr>
        <w:t>Defined Contribution Plan</w:t>
      </w:r>
    </w:p>
    <w:p>
      <w:pPr>
        <w:spacing w:after="0" w:line="1"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 recognized under ECAP for fiscal 2021, 2020, and 2019 was $166.3 million, $151.0 million, and $136.3 million, respectively, and the Company-paid contributions were $163.0 million, $146.5 million, and $130.9 million, respectively.</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Defined Benefit Plan</w:t>
      </w:r>
    </w:p>
    <w:p>
      <w:pPr>
        <w:spacing w:after="0" w:line="94"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The Company provides postretirement healthcare benefits to former officers under a medical indemnity insurance plan, with premiums paid by the Company. This plan is referred to as the Officer Medical Plan.The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components of net postretirement medical expense for the Officer Medical Plan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2019</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5,952</w:t>
            </w: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4,237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5,130</w:t>
            </w:r>
          </w:p>
        </w:tc>
      </w:tr>
      <w:tr>
        <w:trPr>
          <w:trHeight w:val="18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actuarial loss</w:t>
            </w:r>
          </w:p>
        </w:tc>
        <w:tc>
          <w:tcPr>
            <w:tcW w:w="9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2,108</w:t>
            </w:r>
          </w:p>
        </w:tc>
      </w:tr>
      <w:tr>
        <w:trPr>
          <w:trHeight w:val="171"/>
        </w:trPr>
        <w:tc>
          <w:tcPr>
            <w:tcW w:w="6800" w:type="dxa"/>
            <w:vAlign w:val="bottom"/>
          </w:tcPr>
          <w:p>
            <w:pPr>
              <w:ind w:left="280"/>
              <w:spacing w:after="0"/>
              <w:rPr>
                <w:sz w:val="20"/>
                <w:szCs w:val="20"/>
                <w:color w:val="auto"/>
              </w:rPr>
            </w:pPr>
            <w:r>
              <w:rPr>
                <w:rFonts w:ascii="Arial" w:cs="Arial" w:eastAsia="Arial" w:hAnsi="Arial"/>
                <w:sz w:val="14"/>
                <w:szCs w:val="14"/>
                <w:color w:val="auto"/>
              </w:rPr>
              <w:t>Total postretirement medical expense</w:t>
            </w:r>
          </w:p>
        </w:tc>
        <w:tc>
          <w:tcPr>
            <w:tcW w:w="94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9,894</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9,814</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13,190</w:t>
            </w:r>
          </w:p>
        </w:tc>
      </w:tr>
      <w:tr>
        <w:trPr>
          <w:trHeight w:val="20"/>
        </w:trPr>
        <w:tc>
          <w:tcPr>
            <w:tcW w:w="6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right="100" w:firstLine="318"/>
        <w:spacing w:after="0" w:line="281" w:lineRule="auto"/>
        <w:rPr>
          <w:sz w:val="20"/>
          <w:szCs w:val="20"/>
          <w:color w:val="auto"/>
        </w:rPr>
      </w:pPr>
      <w:r>
        <w:rPr>
          <w:rFonts w:ascii="Arial" w:cs="Arial" w:eastAsia="Arial" w:hAnsi="Arial"/>
          <w:sz w:val="14"/>
          <w:szCs w:val="14"/>
          <w:color w:val="auto"/>
        </w:rPr>
        <w:t>The service cost component of net periodic benefit cost is included in cost of revenue and general and administrative expenses, and the non-service cost components of net periodic benefit cost (interest cost and net actuarial loss) are included as part of other income (expense), net in the accompanying consolidated statements of operations.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weighted-average discount rate used to determine the year-end benefit obligation for the Officer Medical Plan were 3.40%, 3.60% and 4.10% for fiscal 2021, 2020, and 2019, respectively.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Assumed healthcare cost trend rates for the Officer Medical Plan at March 31, 2021 and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80" w:type="dxa"/>
            <w:vAlign w:val="bottom"/>
          </w:tcPr>
          <w:p>
            <w:pPr>
              <w:ind w:left="20"/>
              <w:spacing w:after="0"/>
              <w:rPr>
                <w:sz w:val="20"/>
                <w:szCs w:val="20"/>
                <w:color w:val="auto"/>
              </w:rPr>
            </w:pPr>
            <w:r>
              <w:rPr>
                <w:rFonts w:ascii="Arial" w:cs="Arial" w:eastAsia="Arial" w:hAnsi="Arial"/>
                <w:sz w:val="11"/>
                <w:szCs w:val="11"/>
                <w:b w:val="1"/>
                <w:bCs w:val="1"/>
                <w:color w:val="auto"/>
              </w:rPr>
              <w:t>Pre-65 initial rate</w:t>
            </w:r>
          </w:p>
        </w:tc>
        <w:tc>
          <w:tcPr>
            <w:tcW w:w="4680" w:type="dxa"/>
            <w:vAlign w:val="bottom"/>
            <w:gridSpan w:val="2"/>
          </w:tcPr>
          <w:p>
            <w:pPr>
              <w:jc w:val="right"/>
              <w:ind w:right="589"/>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1520" w:type="dxa"/>
            <w:vAlign w:val="bottom"/>
          </w:tcPr>
          <w:p>
            <w:pPr>
              <w:jc w:val="right"/>
              <w:ind w:right="573"/>
              <w:spacing w:after="0"/>
              <w:rPr>
                <w:sz w:val="20"/>
                <w:szCs w:val="20"/>
                <w:color w:val="auto"/>
              </w:rPr>
            </w:pPr>
            <w:r>
              <w:rPr>
                <w:rFonts w:ascii="Arial" w:cs="Arial" w:eastAsia="Arial" w:hAnsi="Arial"/>
                <w:sz w:val="11"/>
                <w:szCs w:val="11"/>
                <w:b w:val="1"/>
                <w:bCs w:val="1"/>
                <w:color w:val="auto"/>
              </w:rPr>
              <w:t>2020</w:t>
            </w:r>
          </w:p>
        </w:tc>
      </w:tr>
      <w:tr>
        <w:trPr>
          <w:trHeight w:val="175"/>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Healthcare cost trend rate assumed for next year</w:t>
            </w:r>
          </w:p>
        </w:tc>
        <w:tc>
          <w:tcPr>
            <w:tcW w:w="316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6.80 %</w:t>
            </w: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color w:val="auto"/>
              </w:rPr>
              <w:t>Rate to which the cost trend rate is assumed to decline (the ultimate trend rate)</w:t>
            </w:r>
          </w:p>
        </w:tc>
        <w:tc>
          <w:tcPr>
            <w:tcW w:w="4680" w:type="dxa"/>
            <w:vAlign w:val="bottom"/>
            <w:gridSpan w:val="2"/>
          </w:tcPr>
          <w:p>
            <w:pPr>
              <w:jc w:val="right"/>
              <w:spacing w:after="0"/>
              <w:rPr>
                <w:sz w:val="20"/>
                <w:szCs w:val="20"/>
                <w:color w:val="auto"/>
              </w:rPr>
            </w:pPr>
            <w:r>
              <w:rPr>
                <w:rFonts w:ascii="Arial" w:cs="Arial" w:eastAsia="Arial" w:hAnsi="Arial"/>
                <w:sz w:val="14"/>
                <w:szCs w:val="14"/>
                <w:color w:val="auto"/>
              </w:rPr>
              <w:t>4.50 %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4.50 %</w:t>
            </w: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that the rate reaches the ultimate trend rate</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r>
      <w:tr>
        <w:trPr>
          <w:trHeight w:val="325"/>
        </w:trPr>
        <w:tc>
          <w:tcPr>
            <w:tcW w:w="4980" w:type="dxa"/>
            <w:vAlign w:val="bottom"/>
          </w:tcPr>
          <w:p>
            <w:pPr>
              <w:ind w:left="20"/>
              <w:spacing w:after="0"/>
              <w:rPr>
                <w:sz w:val="20"/>
                <w:szCs w:val="20"/>
                <w:color w:val="auto"/>
              </w:rPr>
            </w:pPr>
            <w:r>
              <w:rPr>
                <w:rFonts w:ascii="Arial" w:cs="Arial" w:eastAsia="Arial" w:hAnsi="Arial"/>
                <w:sz w:val="11"/>
                <w:szCs w:val="11"/>
                <w:b w:val="1"/>
                <w:bCs w:val="1"/>
                <w:color w:val="auto"/>
              </w:rPr>
              <w:t>Post-65 initial rate</w:t>
            </w:r>
          </w:p>
        </w:tc>
        <w:tc>
          <w:tcPr>
            <w:tcW w:w="4680" w:type="dxa"/>
            <w:vAlign w:val="bottom"/>
            <w:gridSpan w:val="2"/>
          </w:tcPr>
          <w:p>
            <w:pPr>
              <w:jc w:val="right"/>
              <w:ind w:right="589"/>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24"/>
                <w:szCs w:val="24"/>
                <w:color w:val="auto"/>
              </w:rPr>
            </w:pPr>
          </w:p>
        </w:tc>
        <w:tc>
          <w:tcPr>
            <w:tcW w:w="1520" w:type="dxa"/>
            <w:vAlign w:val="bottom"/>
          </w:tcPr>
          <w:p>
            <w:pPr>
              <w:jc w:val="right"/>
              <w:ind w:right="573"/>
              <w:spacing w:after="0"/>
              <w:rPr>
                <w:sz w:val="20"/>
                <w:szCs w:val="20"/>
                <w:color w:val="auto"/>
              </w:rPr>
            </w:pPr>
            <w:r>
              <w:rPr>
                <w:rFonts w:ascii="Arial" w:cs="Arial" w:eastAsia="Arial" w:hAnsi="Arial"/>
                <w:sz w:val="11"/>
                <w:szCs w:val="11"/>
                <w:b w:val="1"/>
                <w:bCs w:val="1"/>
                <w:color w:val="auto"/>
              </w:rPr>
              <w:t>2020</w:t>
            </w:r>
          </w:p>
        </w:tc>
      </w:tr>
      <w:tr>
        <w:trPr>
          <w:trHeight w:val="175"/>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Healthcare cost trend rate assumed for next year</w:t>
            </w:r>
          </w:p>
        </w:tc>
        <w:tc>
          <w:tcPr>
            <w:tcW w:w="316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6.75 %</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7.00 %</w:t>
            </w:r>
          </w:p>
        </w:tc>
      </w:tr>
      <w:tr>
        <w:trPr>
          <w:trHeight w:val="180"/>
        </w:trPr>
        <w:tc>
          <w:tcPr>
            <w:tcW w:w="4980" w:type="dxa"/>
            <w:vAlign w:val="bottom"/>
          </w:tcPr>
          <w:p>
            <w:pPr>
              <w:ind w:left="20"/>
              <w:spacing w:after="0"/>
              <w:rPr>
                <w:sz w:val="20"/>
                <w:szCs w:val="20"/>
                <w:color w:val="auto"/>
              </w:rPr>
            </w:pPr>
            <w:r>
              <w:rPr>
                <w:rFonts w:ascii="Arial" w:cs="Arial" w:eastAsia="Arial" w:hAnsi="Arial"/>
                <w:sz w:val="14"/>
                <w:szCs w:val="14"/>
                <w:color w:val="auto"/>
              </w:rPr>
              <w:t>Rate to which the cost trend rate is assumed to decline (the ultimate trend rate)</w:t>
            </w:r>
          </w:p>
        </w:tc>
        <w:tc>
          <w:tcPr>
            <w:tcW w:w="4680" w:type="dxa"/>
            <w:vAlign w:val="bottom"/>
            <w:gridSpan w:val="2"/>
          </w:tcPr>
          <w:p>
            <w:pPr>
              <w:jc w:val="right"/>
              <w:spacing w:after="0"/>
              <w:rPr>
                <w:sz w:val="20"/>
                <w:szCs w:val="20"/>
                <w:color w:val="auto"/>
              </w:rPr>
            </w:pPr>
            <w:r>
              <w:rPr>
                <w:rFonts w:ascii="Arial" w:cs="Arial" w:eastAsia="Arial" w:hAnsi="Arial"/>
                <w:sz w:val="14"/>
                <w:szCs w:val="14"/>
                <w:color w:val="auto"/>
              </w:rPr>
              <w:t>4.50 %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4.50 %</w:t>
            </w:r>
          </w:p>
        </w:tc>
      </w:tr>
      <w:tr>
        <w:trPr>
          <w:trHeight w:val="18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that the rate reaches the ultimate trend rate</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r>
      <w:tr>
        <w:trPr>
          <w:trHeight w:val="700"/>
        </w:trPr>
        <w:tc>
          <w:tcPr>
            <w:tcW w:w="4980" w:type="dxa"/>
            <w:vAlign w:val="bottom"/>
          </w:tcPr>
          <w:p>
            <w:pPr>
              <w:spacing w:after="0"/>
              <w:rPr>
                <w:sz w:val="24"/>
                <w:szCs w:val="24"/>
                <w:color w:val="auto"/>
              </w:rPr>
            </w:pPr>
          </w:p>
        </w:tc>
        <w:tc>
          <w:tcPr>
            <w:tcW w:w="4780" w:type="dxa"/>
            <w:vAlign w:val="bottom"/>
            <w:gridSpan w:val="3"/>
          </w:tcPr>
          <w:p>
            <w:pPr>
              <w:ind w:left="540"/>
              <w:spacing w:after="0"/>
              <w:rPr>
                <w:sz w:val="20"/>
                <w:szCs w:val="20"/>
                <w:color w:val="auto"/>
              </w:rPr>
            </w:pPr>
            <w:r>
              <w:rPr>
                <w:rFonts w:ascii="Arial" w:cs="Arial" w:eastAsia="Arial" w:hAnsi="Arial"/>
                <w:sz w:val="14"/>
                <w:szCs w:val="14"/>
                <w:color w:val="auto"/>
              </w:rPr>
              <w:t>F-32</w:t>
            </w:r>
          </w:p>
        </w:tc>
        <w:tc>
          <w:tcPr>
            <w:tcW w:w="1520" w:type="dxa"/>
            <w:vAlign w:val="bottom"/>
          </w:tcPr>
          <w:p>
            <w:pPr>
              <w:spacing w:after="0"/>
              <w:rPr>
                <w:sz w:val="24"/>
                <w:szCs w:val="24"/>
                <w:color w:val="auto"/>
              </w:rPr>
            </w:pPr>
          </w:p>
        </w:tc>
      </w:tr>
      <w:tr>
        <w:trPr>
          <w:trHeight w:val="87"/>
        </w:trPr>
        <w:tc>
          <w:tcPr>
            <w:tcW w:w="4980" w:type="dxa"/>
            <w:vAlign w:val="bottom"/>
            <w:tcBorders>
              <w:bottom w:val="single" w:sz="8" w:color="9A9A9A"/>
            </w:tcBorders>
          </w:tcPr>
          <w:p>
            <w:pPr>
              <w:spacing w:after="0"/>
              <w:rPr>
                <w:sz w:val="7"/>
                <w:szCs w:val="7"/>
                <w:color w:val="auto"/>
              </w:rPr>
            </w:pPr>
          </w:p>
        </w:tc>
        <w:tc>
          <w:tcPr>
            <w:tcW w:w="31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changes in the benefit obligation, plan assets, and funded status of the Officer Medical Plan were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60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65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2019</w:t>
            </w:r>
          </w:p>
        </w:tc>
      </w:tr>
      <w:tr>
        <w:trPr>
          <w:trHeight w:val="172"/>
        </w:trPr>
        <w:tc>
          <w:tcPr>
            <w:tcW w:w="6040" w:type="dxa"/>
            <w:vAlign w:val="bottom"/>
            <w:shd w:val="clear" w:color="auto" w:fill="CCEEFF"/>
          </w:tcPr>
          <w:p>
            <w:pPr>
              <w:spacing w:after="0"/>
              <w:rPr>
                <w:sz w:val="20"/>
                <w:szCs w:val="20"/>
                <w:color w:val="auto"/>
              </w:rPr>
            </w:pPr>
            <w:r>
              <w:rPr>
                <w:rFonts w:ascii="Arial" w:cs="Arial" w:eastAsia="Arial" w:hAnsi="Arial"/>
                <w:sz w:val="14"/>
                <w:szCs w:val="14"/>
                <w:color w:val="auto"/>
              </w:rPr>
              <w:t>Benefit obligation, beginning of the year</w:t>
            </w:r>
          </w:p>
        </w:tc>
        <w:tc>
          <w:tcPr>
            <w:tcW w:w="1040" w:type="dxa"/>
            <w:vAlign w:val="bottom"/>
            <w:shd w:val="clear" w:color="auto" w:fill="CCEEFF"/>
          </w:tcPr>
          <w:p>
            <w:pPr>
              <w:jc w:val="right"/>
              <w:ind w:right="894"/>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120,341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126,886</w:t>
            </w:r>
          </w:p>
        </w:tc>
      </w:tr>
      <w:tr>
        <w:trPr>
          <w:trHeight w:val="180"/>
        </w:trPr>
        <w:tc>
          <w:tcPr>
            <w:tcW w:w="6040" w:type="dxa"/>
            <w:vAlign w:val="bottom"/>
          </w:tcPr>
          <w:p>
            <w:pPr>
              <w:ind w:left="260"/>
              <w:spacing w:after="0"/>
              <w:rPr>
                <w:sz w:val="20"/>
                <w:szCs w:val="20"/>
                <w:color w:val="auto"/>
              </w:rPr>
            </w:pPr>
            <w:r>
              <w:rPr>
                <w:rFonts w:ascii="Arial" w:cs="Arial" w:eastAsia="Arial" w:hAnsi="Arial"/>
                <w:sz w:val="14"/>
                <w:szCs w:val="14"/>
                <w:color w:val="auto"/>
              </w:rPr>
              <w:t>Service cost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4,955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5,952</w:t>
            </w:r>
          </w:p>
        </w:tc>
      </w:tr>
      <w:tr>
        <w:trPr>
          <w:trHeight w:val="181"/>
        </w:trPr>
        <w:tc>
          <w:tcPr>
            <w:tcW w:w="60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cost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5,130</w:t>
            </w:r>
          </w:p>
        </w:tc>
      </w:tr>
      <w:tr>
        <w:trPr>
          <w:trHeight w:val="180"/>
        </w:trPr>
        <w:tc>
          <w:tcPr>
            <w:tcW w:w="6040" w:type="dxa"/>
            <w:vAlign w:val="bottom"/>
          </w:tcPr>
          <w:p>
            <w:pPr>
              <w:ind w:left="260"/>
              <w:spacing w:after="0"/>
              <w:rPr>
                <w:sz w:val="20"/>
                <w:szCs w:val="20"/>
                <w:color w:val="auto"/>
              </w:rPr>
            </w:pPr>
            <w:r>
              <w:rPr>
                <w:rFonts w:ascii="Arial" w:cs="Arial" w:eastAsia="Arial" w:hAnsi="Arial"/>
                <w:sz w:val="14"/>
                <w:szCs w:val="14"/>
                <w:color w:val="auto"/>
              </w:rPr>
              <w:t>Net actuarial (gain) loss</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(6,761)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(13,885)</w:t>
            </w:r>
          </w:p>
        </w:tc>
      </w:tr>
      <w:tr>
        <w:trPr>
          <w:trHeight w:val="181"/>
        </w:trPr>
        <w:tc>
          <w:tcPr>
            <w:tcW w:w="60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Benefits paid</w:t>
            </w:r>
          </w:p>
        </w:tc>
        <w:tc>
          <w:tcPr>
            <w:tcW w:w="10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w:t>
            </w:r>
          </w:p>
        </w:tc>
      </w:tr>
      <w:tr>
        <w:trPr>
          <w:trHeight w:val="171"/>
        </w:trPr>
        <w:tc>
          <w:tcPr>
            <w:tcW w:w="6040" w:type="dxa"/>
            <w:vAlign w:val="bottom"/>
          </w:tcPr>
          <w:p>
            <w:pPr>
              <w:ind w:left="520"/>
              <w:spacing w:after="0"/>
              <w:rPr>
                <w:sz w:val="20"/>
                <w:szCs w:val="20"/>
                <w:color w:val="auto"/>
              </w:rPr>
            </w:pPr>
            <w:r>
              <w:rPr>
                <w:rFonts w:ascii="Arial" w:cs="Arial" w:eastAsia="Arial" w:hAnsi="Arial"/>
                <w:sz w:val="14"/>
                <w:szCs w:val="14"/>
                <w:color w:val="auto"/>
              </w:rPr>
              <w:t>Benefit obligation, end of the year</w:t>
            </w:r>
          </w:p>
        </w:tc>
        <w:tc>
          <w:tcPr>
            <w:tcW w:w="10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121,518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119,609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120,341</w:t>
            </w:r>
          </w:p>
        </w:tc>
      </w:tr>
      <w:tr>
        <w:trPr>
          <w:trHeight w:val="20"/>
        </w:trPr>
        <w:tc>
          <w:tcPr>
            <w:tcW w:w="60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260" w:firstLine="318"/>
        <w:spacing w:after="0" w:line="288" w:lineRule="auto"/>
        <w:rPr>
          <w:sz w:val="20"/>
          <w:szCs w:val="20"/>
          <w:color w:val="auto"/>
        </w:rPr>
      </w:pPr>
      <w:r>
        <w:rPr>
          <w:rFonts w:ascii="Arial" w:cs="Arial" w:eastAsia="Arial" w:hAnsi="Arial"/>
          <w:sz w:val="13"/>
          <w:szCs w:val="13"/>
          <w:color w:val="auto"/>
        </w:rPr>
        <w:t>The net actuarial gain related to the benefit obligation in fiscal 2021 was primarily due to a favorable medical cost experience, partially offset by the unfavorable impact from declines in discount rates as of March 31, 2021. The net actuarial gain related to the benefit obligation in fiscal 2020 was due mainly to the repeal of excise tax on high cost health plans in December 2019, partially offset by the unfavorable impact from declines in discount rates and changes in estimated medical costs as of March 31, 2020. The net actuarial gain related to benefit obligation in fiscal 2019 was due mainly to the favorable medical cost experience in the past year as well as updates to demographic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0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r>
      <w:tr>
        <w:trPr>
          <w:trHeight w:val="16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Changes in plan assets</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2019</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plan assets, beginning of the year</w:t>
            </w: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040" w:type="dxa"/>
            <w:vAlign w:val="bottom"/>
          </w:tcPr>
          <w:p>
            <w:pPr>
              <w:ind w:left="280"/>
              <w:spacing w:after="0"/>
              <w:rPr>
                <w:sz w:val="20"/>
                <w:szCs w:val="20"/>
                <w:color w:val="auto"/>
              </w:rPr>
            </w:pPr>
            <w:r>
              <w:rPr>
                <w:rFonts w:ascii="Arial" w:cs="Arial" w:eastAsia="Arial" w:hAnsi="Arial"/>
                <w:sz w:val="14"/>
                <w:szCs w:val="14"/>
                <w:color w:val="auto"/>
              </w:rPr>
              <w:t>Employer contributions</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3,785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3,742</w:t>
            </w:r>
          </w:p>
        </w:tc>
      </w:tr>
      <w:tr>
        <w:trPr>
          <w:trHeight w:val="181"/>
        </w:trPr>
        <w:tc>
          <w:tcPr>
            <w:tcW w:w="6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Benefits paid</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(3,785)</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w:t>
            </w:r>
          </w:p>
        </w:tc>
      </w:tr>
      <w:tr>
        <w:trPr>
          <w:trHeight w:val="171"/>
        </w:trPr>
        <w:tc>
          <w:tcPr>
            <w:tcW w:w="6040" w:type="dxa"/>
            <w:vAlign w:val="bottom"/>
          </w:tcPr>
          <w:p>
            <w:pPr>
              <w:ind w:left="520"/>
              <w:spacing w:after="0"/>
              <w:rPr>
                <w:sz w:val="20"/>
                <w:szCs w:val="20"/>
                <w:color w:val="auto"/>
              </w:rPr>
            </w:pPr>
            <w:r>
              <w:rPr>
                <w:rFonts w:ascii="Arial" w:cs="Arial" w:eastAsia="Arial" w:hAnsi="Arial"/>
                <w:sz w:val="14"/>
                <w:szCs w:val="14"/>
                <w:color w:val="auto"/>
              </w:rPr>
              <w:t>Fair value of plan assets, end of the year</w:t>
            </w: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As of March 31, 2021 and 2020, the unfunded status of the Officer Medical Plan was $121.5 million and $119.6 million, respectively, which is included in other long-term liabilities in the accompanying consolidated balance sheets.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80" w:type="dxa"/>
            <w:vAlign w:val="bottom"/>
          </w:tcPr>
          <w:p>
            <w:pPr>
              <w:ind w:left="360"/>
              <w:spacing w:after="0"/>
              <w:rPr>
                <w:sz w:val="20"/>
                <w:szCs w:val="20"/>
                <w:color w:val="auto"/>
              </w:rPr>
            </w:pPr>
            <w:r>
              <w:rPr>
                <w:rFonts w:ascii="Arial" w:cs="Arial" w:eastAsia="Arial" w:hAnsi="Arial"/>
                <w:sz w:val="14"/>
                <w:szCs w:val="14"/>
                <w:color w:val="auto"/>
              </w:rPr>
              <w:t>The expected future medical benefit payments and related contributions are as follows:</w:t>
            </w:r>
          </w:p>
        </w:tc>
        <w:tc>
          <w:tcPr>
            <w:tcW w:w="28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36"/>
        </w:trPr>
        <w:tc>
          <w:tcPr>
            <w:tcW w:w="7480" w:type="dxa"/>
            <w:vAlign w:val="bottom"/>
          </w:tcPr>
          <w:p>
            <w:pPr>
              <w:ind w:left="20"/>
              <w:spacing w:after="0"/>
              <w:rPr>
                <w:sz w:val="20"/>
                <w:szCs w:val="20"/>
                <w:color w:val="auto"/>
              </w:rPr>
            </w:pPr>
            <w:r>
              <w:rPr>
                <w:rFonts w:ascii="Arial" w:cs="Arial" w:eastAsia="Arial" w:hAnsi="Arial"/>
                <w:sz w:val="11"/>
                <w:szCs w:val="11"/>
                <w:b w:val="1"/>
                <w:bCs w:val="1"/>
                <w:color w:val="auto"/>
              </w:rPr>
              <w:t>For the Fiscal Year Ending March 31,</w:t>
            </w:r>
          </w:p>
        </w:tc>
        <w:tc>
          <w:tcPr>
            <w:tcW w:w="28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8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w:t>
            </w:r>
          </w:p>
        </w:tc>
      </w:tr>
      <w:tr>
        <w:trPr>
          <w:trHeight w:val="180"/>
        </w:trPr>
        <w:tc>
          <w:tcPr>
            <w:tcW w:w="7480" w:type="dxa"/>
            <w:vAlign w:val="bottom"/>
          </w:tcPr>
          <w:p>
            <w:pPr>
              <w:ind w:left="20"/>
              <w:spacing w:after="0"/>
              <w:rPr>
                <w:sz w:val="20"/>
                <w:szCs w:val="20"/>
                <w:color w:val="auto"/>
              </w:rPr>
            </w:pPr>
            <w:r>
              <w:rPr>
                <w:rFonts w:ascii="Arial" w:cs="Arial" w:eastAsia="Arial" w:hAnsi="Arial"/>
                <w:sz w:val="14"/>
                <w:szCs w:val="14"/>
                <w:color w:val="auto"/>
              </w:rPr>
              <w:t>2023</w:t>
            </w:r>
          </w:p>
        </w:tc>
        <w:tc>
          <w:tcPr>
            <w:tcW w:w="282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4,434</w:t>
            </w:r>
          </w:p>
        </w:tc>
      </w:tr>
      <w:tr>
        <w:trPr>
          <w:trHeight w:val="181"/>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8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4,790</w:t>
            </w:r>
          </w:p>
        </w:tc>
      </w:tr>
      <w:tr>
        <w:trPr>
          <w:trHeight w:val="180"/>
        </w:trPr>
        <w:tc>
          <w:tcPr>
            <w:tcW w:w="7480" w:type="dxa"/>
            <w:vAlign w:val="bottom"/>
          </w:tcPr>
          <w:p>
            <w:pPr>
              <w:ind w:left="20"/>
              <w:spacing w:after="0"/>
              <w:rPr>
                <w:sz w:val="20"/>
                <w:szCs w:val="20"/>
                <w:color w:val="auto"/>
              </w:rPr>
            </w:pPr>
            <w:r>
              <w:rPr>
                <w:rFonts w:ascii="Arial" w:cs="Arial" w:eastAsia="Arial" w:hAnsi="Arial"/>
                <w:sz w:val="14"/>
                <w:szCs w:val="14"/>
                <w:color w:val="auto"/>
              </w:rPr>
              <w:t>2025</w:t>
            </w:r>
          </w:p>
        </w:tc>
        <w:tc>
          <w:tcPr>
            <w:tcW w:w="282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5,062</w:t>
            </w:r>
          </w:p>
        </w:tc>
      </w:tr>
      <w:tr>
        <w:trPr>
          <w:trHeight w:val="181"/>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8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5,485</w:t>
            </w:r>
          </w:p>
        </w:tc>
      </w:tr>
      <w:tr>
        <w:trPr>
          <w:trHeight w:val="180"/>
        </w:trPr>
        <w:tc>
          <w:tcPr>
            <w:tcW w:w="7480" w:type="dxa"/>
            <w:vAlign w:val="bottom"/>
          </w:tcPr>
          <w:p>
            <w:pPr>
              <w:ind w:left="20"/>
              <w:spacing w:after="0"/>
              <w:rPr>
                <w:sz w:val="20"/>
                <w:szCs w:val="20"/>
                <w:color w:val="auto"/>
              </w:rPr>
            </w:pPr>
            <w:r>
              <w:rPr>
                <w:rFonts w:ascii="Arial" w:cs="Arial" w:eastAsia="Arial" w:hAnsi="Arial"/>
                <w:sz w:val="14"/>
                <w:szCs w:val="14"/>
                <w:color w:val="auto"/>
              </w:rPr>
              <w:t>2027 - 2031</w:t>
            </w:r>
          </w:p>
        </w:tc>
        <w:tc>
          <w:tcPr>
            <w:tcW w:w="282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32,152</w:t>
            </w:r>
          </w:p>
        </w:tc>
      </w:tr>
    </w:tbl>
    <w:p>
      <w:pPr>
        <w:spacing w:after="0" w:line="159"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Postretirement Benefit Plans</w:t>
      </w:r>
    </w:p>
    <w:p>
      <w:pPr>
        <w:spacing w:after="0" w:line="94"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tax preparation, or other financial or wellness expenses. The Retired Officers' Bonus Plan is not salary related, but rather is based primarily on years of service. The Company also provides for a one-time lump sum retirement payment of one month’s salary when a vice-president retires from the Company. This is referred to as the Retired Vice-President Bonus Plan.</w:t>
      </w:r>
    </w:p>
    <w:p>
      <w:pPr>
        <w:spacing w:after="0" w:line="131" w:lineRule="exact"/>
        <w:rPr>
          <w:sz w:val="20"/>
          <w:szCs w:val="20"/>
          <w:color w:val="auto"/>
        </w:rPr>
      </w:pPr>
    </w:p>
    <w:p>
      <w:pPr>
        <w:jc w:val="both"/>
        <w:ind w:right="100" w:firstLine="318"/>
        <w:spacing w:after="0" w:line="262" w:lineRule="auto"/>
        <w:rPr>
          <w:sz w:val="20"/>
          <w:szCs w:val="20"/>
          <w:color w:val="auto"/>
        </w:rPr>
      </w:pPr>
      <w:r>
        <w:rPr>
          <w:rFonts w:ascii="Arial" w:cs="Arial" w:eastAsia="Arial" w:hAnsi="Arial"/>
          <w:sz w:val="14"/>
          <w:szCs w:val="14"/>
          <w:color w:val="auto"/>
        </w:rPr>
        <w:t>Total defined benefit plan expense, consisting of service and interest cost associated with the Retired Officers' Bonus Plan was $0.6 million, for both fiscal 2021 and 2020, and $0.7 million for fiscal 2019. Benefits paid associated with the Retired Officers’ Bonus Plan were $1.1 million, $0.6 million, and $0.8 million for fiscal 2021, 2020, and 2019, respectively. The end-of-period benefit obligation of $3.4 million and $3.8 million as of March 31, 2021 and 2020, respectively, is included in postretirement obligations within other long-term liabilities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240" w:firstLine="318"/>
        <w:spacing w:after="0" w:line="262" w:lineRule="auto"/>
        <w:rPr>
          <w:sz w:val="20"/>
          <w:szCs w:val="20"/>
          <w:color w:val="auto"/>
        </w:rPr>
      </w:pPr>
      <w:r>
        <w:rPr>
          <w:rFonts w:ascii="Arial" w:cs="Arial" w:eastAsia="Arial" w:hAnsi="Arial"/>
          <w:sz w:val="14"/>
          <w:szCs w:val="14"/>
          <w:color w:val="auto"/>
        </w:rPr>
        <w:t>Total defined benefit plan expense, consisting of service, interest, prior service cost, and net actuarial gain associated with the Retired Vice-President Bonus Plan was $0.2 million for fiscal 2021, 2020 and 2019. There were no benefits paid associated with the Retired Vice-President Bonus Plan for fiscal 2021 and 2019. Benefits paid associated with the Retired Vice-President Bonus Plan was $0.1 million for fiscal 2020. The end-of-period benefit obligation of $1.1 million and $1.0 million as of March 31, 2021 and 2020, respectively, is included in postretirement obligations within other long-term liabilities in the accompanying consolidated balance sheets.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weighted-average discount rate used to determine the year-end benefit obligations was as follows:</w:t>
      </w:r>
    </w:p>
    <w:p>
      <w:pPr>
        <w:spacing w:after="0" w:line="193" w:lineRule="exact"/>
        <w:rPr>
          <w:sz w:val="20"/>
          <w:szCs w:val="20"/>
          <w:color w:val="auto"/>
        </w:rPr>
      </w:pPr>
    </w:p>
    <w:p>
      <w:pPr>
        <w:ind w:left="8080"/>
        <w:spacing w:after="0"/>
        <w:rPr>
          <w:sz w:val="20"/>
          <w:szCs w:val="20"/>
          <w:color w:val="auto"/>
        </w:rPr>
      </w:pPr>
      <w:r>
        <w:rPr>
          <w:rFonts w:ascii="Arial" w:cs="Arial" w:eastAsia="Arial" w:hAnsi="Arial"/>
          <w:sz w:val="11"/>
          <w:szCs w:val="11"/>
          <w:b w:val="1"/>
          <w:bCs w:val="1"/>
          <w:color w:val="auto"/>
        </w:rPr>
        <w:t>Fiscal Year Ended March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2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1"/>
                <w:szCs w:val="11"/>
                <w:b w:val="1"/>
                <w:bCs w:val="1"/>
                <w:color w:val="auto"/>
              </w:rPr>
              <w:t>2019</w:t>
            </w:r>
          </w:p>
        </w:tc>
      </w:tr>
      <w:tr>
        <w:trPr>
          <w:trHeight w:val="172"/>
        </w:trPr>
        <w:tc>
          <w:tcPr>
            <w:tcW w:w="6280" w:type="dxa"/>
            <w:vAlign w:val="bottom"/>
          </w:tcPr>
          <w:p>
            <w:pPr>
              <w:ind w:left="20"/>
              <w:spacing w:after="0"/>
              <w:rPr>
                <w:sz w:val="20"/>
                <w:szCs w:val="20"/>
                <w:color w:val="auto"/>
              </w:rPr>
            </w:pPr>
            <w:r>
              <w:rPr>
                <w:rFonts w:ascii="Arial" w:cs="Arial" w:eastAsia="Arial" w:hAnsi="Arial"/>
                <w:sz w:val="14"/>
                <w:szCs w:val="14"/>
                <w:color w:val="auto"/>
              </w:rPr>
              <w:t>Retired Officers’ Bonus Plan</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3.40 %</w:t>
            </w:r>
          </w:p>
        </w:tc>
        <w:tc>
          <w:tcPr>
            <w:tcW w:w="1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3.60 %</w:t>
            </w:r>
          </w:p>
        </w:tc>
        <w:tc>
          <w:tcPr>
            <w:tcW w:w="1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4.10 %</w:t>
            </w:r>
          </w:p>
        </w:tc>
      </w:tr>
      <w:tr>
        <w:trPr>
          <w:trHeight w:val="181"/>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Retired Vice Presidents' Bonus Plan</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3.60 %</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4.10 %</w:t>
            </w:r>
          </w:p>
        </w:tc>
      </w:tr>
    </w:tbl>
    <w:p>
      <w:pPr>
        <w:spacing w:after="0" w:line="350"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Other comprehensive loss for fiscal 2021 includes unrecognized gross actuarial gain and prior service cost of $3.4 million, reduced by taxes of $0.9 million, that has not yet been recognized in net periodic pension cost for fiscal 2021 for the Retired Officers’ Bonus Plan, the Officer Medical Plan, and the Retired Vice-President Bonus Plan. Other comprehensive loss for fiscal 2020 includes unrecognized gross actuarial gain and prior service cost of $6.6 million, reduced by taxes of $1.7 million, that has not yet been recognized in net periodic pension cost for fiscal 2020 for the Retired Officers’ Bonus Plan, the Officer Medical Plan, and the Retired Vice-President Bonus Plan.</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Funded Status for Defined Benefit Plans</w:t>
      </w:r>
    </w:p>
    <w:p>
      <w:pPr>
        <w:spacing w:after="0" w:line="9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Generally, annual contributions are made at such times and in amounts as required by law and may, from time to time, exceed minimum funding requirements. The Retired Officers’ Bonus Plan and the Retired Vice-President Bonus Plan are unfunded plans and contributions are made as benefits are paid. As of March 31, 2021 and 2020, there were no plan assets for either the Retired Officers’ Bonus Plan or the Retired Vice-President Bonus Plan and therefore, the accumulated liability of $4.5 million and $4.8 million, respectively, is unfunded. The liability will be distributed in a lump-sum payment as each officer or vice-president retires.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Long-term Disability Benefits</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$10.9 million and $10.7 million at March 31, 2021 and 2020, respectively, and are presented in other long-term liabilities in the accompanying consolidated balance sheets.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During fiscal 2019, the long-term disability plan was amended to make Medicare the first payer of eligible medical benefits, with any excess benefits becoming the obligation of the Company.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amendment caused a re-measurement of the plan liability during the period resulting in a reduction of $11.2 million recorded in general and administrative expenses.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Deferred Compensation Plan</w:t>
      </w:r>
    </w:p>
    <w:p>
      <w:pPr>
        <w:spacing w:after="0" w:line="94"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Company established a non-qualified deferred compensation plan (the "Plan") for certain executives and other highly compensated employees that was effective in fiscal 2018.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61"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As of March 31, 2021 and 2020, $14.1 million and $5.9 million of plan investments and obligations were recorded in other long term assets and in other long term liabilities, respectively, in the consolidated balance sheets, representing the fair value related to the deferred compensation plan. Adjustments to the fair value of the plan investments and obligations are recorded in operating expenses.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ACCUMULATED OTHER COMPREHENSIVE LOSS</w:t>
      </w:r>
    </w:p>
    <w:p>
      <w:pPr>
        <w:spacing w:after="0" w:line="98"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w w:val="91"/>
              </w:rPr>
              <w:t>Fiscal Year Ended March 31, 2021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Post-retirement plans</w:t>
            </w:r>
          </w:p>
        </w:tc>
        <w:tc>
          <w:tcPr>
            <w:tcW w:w="1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Derivatives designated as cash</w:t>
            </w:r>
          </w:p>
        </w:tc>
        <w:tc>
          <w:tcPr>
            <w:tcW w:w="320" w:type="dxa"/>
            <w:vAlign w:val="bottom"/>
          </w:tcPr>
          <w:p>
            <w:pPr>
              <w:spacing w:after="0"/>
              <w:rPr>
                <w:sz w:val="11"/>
                <w:szCs w:val="11"/>
                <w:color w:val="auto"/>
              </w:rPr>
            </w:pPr>
          </w:p>
        </w:tc>
        <w:tc>
          <w:tcPr>
            <w:tcW w:w="1140" w:type="dxa"/>
            <w:vAlign w:val="bottom"/>
            <w:vMerge w:val="restart"/>
          </w:tcPr>
          <w:p>
            <w:pPr>
              <w:jc w:val="right"/>
              <w:ind w:right="46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0"/>
        </w:trPr>
        <w:tc>
          <w:tcPr>
            <w:tcW w:w="64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flow hedges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(4,127)</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(41,874)</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(46,001)</w:t>
            </w:r>
          </w:p>
        </w:tc>
        <w:tc>
          <w:tcPr>
            <w:tcW w:w="0" w:type="dxa"/>
            <w:vAlign w:val="bottom"/>
          </w:tcPr>
          <w:p>
            <w:pPr>
              <w:spacing w:after="0"/>
              <w:rPr>
                <w:sz w:val="1"/>
                <w:szCs w:val="1"/>
                <w:color w:val="auto"/>
              </w:rPr>
            </w:pPr>
          </w:p>
        </w:tc>
      </w:tr>
      <w:tr>
        <w:trPr>
          <w:trHeight w:val="180"/>
        </w:trPr>
        <w:tc>
          <w:tcPr>
            <w:tcW w:w="6480" w:type="dxa"/>
            <w:vAlign w:val="bottom"/>
          </w:tcPr>
          <w:p>
            <w:pPr>
              <w:ind w:left="120"/>
              <w:spacing w:after="0"/>
              <w:rPr>
                <w:sz w:val="20"/>
                <w:szCs w:val="20"/>
                <w:color w:val="auto"/>
              </w:rPr>
            </w:pPr>
            <w:r>
              <w:rPr>
                <w:rFonts w:ascii="Arial" w:cs="Arial" w:eastAsia="Arial" w:hAnsi="Arial"/>
                <w:sz w:val="14"/>
                <w:szCs w:val="14"/>
                <w:color w:val="auto"/>
              </w:rPr>
              <w:t xml:space="preserve">Other comprehensive income (loss) before reclassifications </w:t>
            </w:r>
            <w:r>
              <w:rPr>
                <w:rFonts w:ascii="Arial" w:cs="Arial" w:eastAsia="Arial" w:hAnsi="Arial"/>
                <w:sz w:val="11"/>
                <w:szCs w:val="11"/>
                <w:color w:val="auto"/>
              </w:rPr>
              <w:t>(1)</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2,481</w:t>
            </w:r>
          </w:p>
        </w:tc>
        <w:tc>
          <w:tcPr>
            <w:tcW w:w="3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(1,529)</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81"/>
        </w:trPr>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 comprehensive loss</w:t>
            </w: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3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15,194</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15,278</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current-period other comprehensive income</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w:t>
            </w: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13,665</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16,230</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year</w:t>
            </w:r>
          </w:p>
        </w:tc>
        <w:tc>
          <w:tcPr>
            <w:tcW w:w="5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(1,562)</w:t>
            </w:r>
          </w:p>
        </w:tc>
        <w:tc>
          <w:tcPr>
            <w:tcW w:w="3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(28,209)</w:t>
            </w:r>
          </w:p>
        </w:tc>
        <w:tc>
          <w:tcPr>
            <w:tcW w:w="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(29,771)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400" w:firstLine="5"/>
        <w:spacing w:after="0" w:line="281" w:lineRule="auto"/>
        <w:tabs>
          <w:tab w:leader="none" w:pos="2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Changes in other comprehensive income (loss) before reclassification for derivatives designated as cash flow hedges are recorded net of tax benefits of $0.5 million for the fiscal year ended March 31, 2021.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4"/>
                <w:szCs w:val="14"/>
                <w:b w:val="1"/>
                <w:bCs w:val="1"/>
                <w:color w:val="auto"/>
                <w:w w:val="91"/>
              </w:rPr>
              <w:t>Fiscal Year Ended March 31, 2020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8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Post-retirement plans</w:t>
            </w:r>
          </w:p>
        </w:tc>
        <w:tc>
          <w:tcPr>
            <w:tcW w:w="1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Derivatives designated as cash</w:t>
            </w:r>
          </w:p>
        </w:tc>
        <w:tc>
          <w:tcPr>
            <w:tcW w:w="320" w:type="dxa"/>
            <w:vAlign w:val="bottom"/>
          </w:tcPr>
          <w:p>
            <w:pPr>
              <w:spacing w:after="0"/>
              <w:rPr>
                <w:sz w:val="11"/>
                <w:szCs w:val="11"/>
                <w:color w:val="auto"/>
              </w:rPr>
            </w:pPr>
          </w:p>
        </w:tc>
        <w:tc>
          <w:tcPr>
            <w:tcW w:w="1140" w:type="dxa"/>
            <w:vAlign w:val="bottom"/>
            <w:vMerge w:val="restart"/>
          </w:tcPr>
          <w:p>
            <w:pPr>
              <w:jc w:val="right"/>
              <w:ind w:right="46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0"/>
        </w:trPr>
        <w:tc>
          <w:tcPr>
            <w:tcW w:w="64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flow hedges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(9,068)</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(11,190)</w:t>
            </w:r>
          </w:p>
        </w:tc>
        <w:tc>
          <w:tcPr>
            <w:tcW w:w="0" w:type="dxa"/>
            <w:vAlign w:val="bottom"/>
          </w:tcPr>
          <w:p>
            <w:pPr>
              <w:spacing w:after="0"/>
              <w:rPr>
                <w:sz w:val="1"/>
                <w:szCs w:val="1"/>
                <w:color w:val="auto"/>
              </w:rPr>
            </w:pPr>
          </w:p>
        </w:tc>
      </w:tr>
      <w:tr>
        <w:trPr>
          <w:trHeight w:val="180"/>
        </w:trPr>
        <w:tc>
          <w:tcPr>
            <w:tcW w:w="6480" w:type="dxa"/>
            <w:vAlign w:val="bottom"/>
          </w:tcPr>
          <w:p>
            <w:pPr>
              <w:ind w:left="120"/>
              <w:spacing w:after="0"/>
              <w:rPr>
                <w:sz w:val="20"/>
                <w:szCs w:val="20"/>
                <w:color w:val="auto"/>
              </w:rPr>
            </w:pPr>
            <w:r>
              <w:rPr>
                <w:rFonts w:ascii="Arial" w:cs="Arial" w:eastAsia="Arial" w:hAnsi="Arial"/>
                <w:sz w:val="14"/>
                <w:szCs w:val="14"/>
                <w:color w:val="auto"/>
              </w:rPr>
              <w:t xml:space="preserve">Other comprehensive income (loss) before reclassifications </w:t>
            </w:r>
            <w:r>
              <w:rPr>
                <w:rFonts w:ascii="Arial" w:cs="Arial" w:eastAsia="Arial" w:hAnsi="Arial"/>
                <w:sz w:val="11"/>
                <w:szCs w:val="11"/>
                <w:color w:val="auto"/>
              </w:rPr>
              <w:t>(2)</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4,860</w:t>
            </w:r>
          </w:p>
        </w:tc>
        <w:tc>
          <w:tcPr>
            <w:tcW w:w="3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(41,300)</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(36,440)</w:t>
            </w:r>
          </w:p>
        </w:tc>
        <w:tc>
          <w:tcPr>
            <w:tcW w:w="0" w:type="dxa"/>
            <w:vAlign w:val="bottom"/>
          </w:tcPr>
          <w:p>
            <w:pPr>
              <w:spacing w:after="0"/>
              <w:rPr>
                <w:sz w:val="1"/>
                <w:szCs w:val="1"/>
                <w:color w:val="auto"/>
              </w:rPr>
            </w:pPr>
          </w:p>
        </w:tc>
      </w:tr>
      <w:tr>
        <w:trPr>
          <w:trHeight w:val="181"/>
        </w:trPr>
        <w:tc>
          <w:tcPr>
            <w:tcW w:w="6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 comprehensive loss</w:t>
            </w: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3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1,548</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current-period other comprehensive income (loss)</w:t>
            </w: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4,941</w:t>
            </w: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(39,752)</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(34,811)</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year</w:t>
            </w: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(4,127)</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(41,874)</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(46,001)</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340" w:firstLine="5"/>
        <w:spacing w:after="0" w:line="281" w:lineRule="auto"/>
        <w:tabs>
          <w:tab w:leader="none" w:pos="2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Changes in other comprehensive income (loss) before reclassification for derivatives designated as cash flow hedges are recorded net of tax benefits of $14.6 million for the fiscal year ended March 31, 2020.</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 Ended March 31, 2019</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440" w:type="dxa"/>
            <w:vAlign w:val="bottom"/>
          </w:tcPr>
          <w:p>
            <w:pPr>
              <w:spacing w:after="0"/>
              <w:rPr>
                <w:sz w:val="11"/>
                <w:szCs w:val="11"/>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Post-retirement plans</w:t>
            </w:r>
          </w:p>
        </w:tc>
        <w:tc>
          <w:tcPr>
            <w:tcW w:w="1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Derivatives designated as cash</w:t>
            </w:r>
          </w:p>
        </w:tc>
        <w:tc>
          <w:tcPr>
            <w:tcW w:w="360" w:type="dxa"/>
            <w:vAlign w:val="bottom"/>
          </w:tcPr>
          <w:p>
            <w:pPr>
              <w:spacing w:after="0"/>
              <w:rPr>
                <w:sz w:val="11"/>
                <w:szCs w:val="11"/>
                <w:color w:val="auto"/>
              </w:rPr>
            </w:pPr>
          </w:p>
        </w:tc>
        <w:tc>
          <w:tcPr>
            <w:tcW w:w="1160" w:type="dxa"/>
            <w:vAlign w:val="bottom"/>
            <w:vMerge w:val="restart"/>
          </w:tcPr>
          <w:p>
            <w:pPr>
              <w:jc w:val="right"/>
              <w:ind w:right="50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80"/>
        </w:trPr>
        <w:tc>
          <w:tcPr>
            <w:tcW w:w="64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flow hedges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of year</w:t>
            </w: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(20,955)</w:t>
            </w: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(15,106)</w:t>
            </w:r>
          </w:p>
        </w:tc>
        <w:tc>
          <w:tcPr>
            <w:tcW w:w="0" w:type="dxa"/>
            <w:vAlign w:val="bottom"/>
          </w:tcPr>
          <w:p>
            <w:pPr>
              <w:spacing w:after="0"/>
              <w:rPr>
                <w:sz w:val="1"/>
                <w:szCs w:val="1"/>
                <w:color w:val="auto"/>
              </w:rPr>
            </w:pPr>
          </w:p>
        </w:tc>
      </w:tr>
      <w:tr>
        <w:trPr>
          <w:trHeight w:val="180"/>
        </w:trPr>
        <w:tc>
          <w:tcPr>
            <w:tcW w:w="6440" w:type="dxa"/>
            <w:vAlign w:val="bottom"/>
          </w:tcPr>
          <w:p>
            <w:pPr>
              <w:ind w:left="120"/>
              <w:spacing w:after="0"/>
              <w:rPr>
                <w:sz w:val="20"/>
                <w:szCs w:val="20"/>
                <w:color w:val="auto"/>
              </w:rPr>
            </w:pPr>
            <w:r>
              <w:rPr>
                <w:rFonts w:ascii="Arial" w:cs="Arial" w:eastAsia="Arial" w:hAnsi="Arial"/>
                <w:sz w:val="14"/>
                <w:szCs w:val="14"/>
                <w:color w:val="auto"/>
              </w:rPr>
              <w:t xml:space="preserve">Other comprehensive income (loss) before reclassifications </w:t>
            </w:r>
            <w:r>
              <w:rPr>
                <w:rFonts w:ascii="Arial" w:cs="Arial" w:eastAsia="Arial" w:hAnsi="Arial"/>
                <w:sz w:val="11"/>
                <w:szCs w:val="11"/>
                <w:color w:val="auto"/>
              </w:rPr>
              <w:t>(3)</w:t>
            </w: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10,262</w:t>
            </w:r>
          </w:p>
        </w:tc>
        <w:tc>
          <w:tcPr>
            <w:tcW w:w="3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(7,214)</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181"/>
        </w:trPr>
        <w:tc>
          <w:tcPr>
            <w:tcW w:w="6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accumulated other comprehensive loss</w:t>
            </w:r>
          </w:p>
        </w:tc>
        <w:tc>
          <w:tcPr>
            <w:tcW w:w="4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34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71"/>
        </w:trPr>
        <w:tc>
          <w:tcPr>
            <w:tcW w:w="6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current-period other comprehensive income (loss)</w:t>
            </w: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11,887</w:t>
            </w: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3,916</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 of year</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(9,068)</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340" w:firstLine="5"/>
        <w:spacing w:after="0" w:line="281" w:lineRule="auto"/>
        <w:tabs>
          <w:tab w:leader="none" w:pos="2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Changes in other comprehensive income (loss) before reclassification for derivatives designated as cash flow hedges are recorded net of tax expenses of $2.6 million for the fiscal year ended March 31, 2019</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reclassifications out of accumulated other comprehensive loss to net income: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6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jc w:val="right"/>
              <w:ind w:right="9"/>
              <w:spacing w:after="0"/>
              <w:rPr>
                <w:sz w:val="20"/>
                <w:szCs w:val="20"/>
                <w:color w:val="auto"/>
              </w:rPr>
            </w:pPr>
            <w:r>
              <w:rPr>
                <w:rFonts w:ascii="Arial" w:cs="Arial" w:eastAsia="Arial" w:hAnsi="Arial"/>
                <w:sz w:val="14"/>
                <w:szCs w:val="14"/>
                <w:b w:val="1"/>
                <w:bCs w:val="1"/>
                <w:color w:val="auto"/>
              </w:rPr>
              <w:t>Fiscal Year Ended March 31,</w:t>
            </w: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800" w:type="dxa"/>
            <w:vAlign w:val="bottom"/>
            <w:gridSpan w:val="2"/>
          </w:tcPr>
          <w:p>
            <w:pPr>
              <w:ind w:left="20"/>
              <w:spacing w:after="0"/>
              <w:rPr>
                <w:sz w:val="20"/>
                <w:szCs w:val="20"/>
                <w:color w:val="auto"/>
              </w:rPr>
            </w:pPr>
            <w:r>
              <w:rPr>
                <w:rFonts w:ascii="Arial" w:cs="Arial" w:eastAsia="Arial" w:hAnsi="Arial"/>
                <w:sz w:val="14"/>
                <w:szCs w:val="14"/>
                <w:color w:val="auto"/>
              </w:rPr>
              <w:t>Amounts reclassified from accumulated other comprehensive loss:</w:t>
            </w: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8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Post-retirement plans (Note 14):</w:t>
            </w: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0" w:type="dxa"/>
            <w:vAlign w:val="bottom"/>
            <w:gridSpan w:val="2"/>
          </w:tcPr>
          <w:p>
            <w:pPr>
              <w:ind w:left="280"/>
              <w:spacing w:after="0"/>
              <w:rPr>
                <w:sz w:val="20"/>
                <w:szCs w:val="20"/>
                <w:color w:val="auto"/>
              </w:rPr>
            </w:pPr>
            <w:r>
              <w:rPr>
                <w:rFonts w:ascii="Arial" w:cs="Arial" w:eastAsia="Arial" w:hAnsi="Arial"/>
                <w:sz w:val="14"/>
                <w:szCs w:val="14"/>
                <w:color w:val="auto"/>
              </w:rPr>
              <w:t>Amortization of net actuarial loss included in net periodic benefit cost</w:t>
            </w: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180"/>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Tax benefit (expense)</w:t>
            </w:r>
          </w:p>
        </w:tc>
        <w:tc>
          <w:tcPr>
            <w:tcW w:w="9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460" w:type="dxa"/>
            <w:vAlign w:val="bottom"/>
          </w:tcPr>
          <w:p>
            <w:pPr>
              <w:ind w:left="20"/>
              <w:spacing w:after="0"/>
              <w:rPr>
                <w:sz w:val="20"/>
                <w:szCs w:val="20"/>
                <w:color w:val="auto"/>
              </w:rPr>
            </w:pPr>
            <w:r>
              <w:rPr>
                <w:rFonts w:ascii="Arial" w:cs="Arial" w:eastAsia="Arial" w:hAnsi="Arial"/>
                <w:sz w:val="14"/>
                <w:szCs w:val="14"/>
                <w:color w:val="auto"/>
              </w:rPr>
              <w:t>Net of tax</w:t>
            </w:r>
          </w:p>
        </w:tc>
        <w:tc>
          <w:tcPr>
            <w:tcW w:w="98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Derivatives designated as cash flow hedges (Note 11):</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800" w:type="dxa"/>
            <w:vAlign w:val="bottom"/>
            <w:gridSpan w:val="2"/>
          </w:tcPr>
          <w:p>
            <w:pPr>
              <w:ind w:left="280"/>
              <w:spacing w:after="0"/>
              <w:rPr>
                <w:sz w:val="20"/>
                <w:szCs w:val="20"/>
                <w:color w:val="auto"/>
              </w:rPr>
            </w:pPr>
            <w:r>
              <w:rPr>
                <w:rFonts w:ascii="Arial" w:cs="Arial" w:eastAsia="Arial" w:hAnsi="Arial"/>
                <w:sz w:val="14"/>
                <w:szCs w:val="14"/>
                <w:color w:val="auto"/>
              </w:rPr>
              <w:t>Reclassification of hedge (loss) gain</w:t>
            </w:r>
          </w:p>
        </w:tc>
        <w:tc>
          <w:tcPr>
            <w:tcW w:w="980" w:type="dxa"/>
            <w:vAlign w:val="bottom"/>
          </w:tcPr>
          <w:p>
            <w:pPr>
              <w:jc w:val="right"/>
              <w:ind w:right="829"/>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8"/>
              </w:rPr>
              <w:t>20,558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2,094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80"/>
        </w:trPr>
        <w:tc>
          <w:tcPr>
            <w:tcW w:w="6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Tax benefit (expense)</w:t>
            </w:r>
          </w:p>
        </w:tc>
        <w:tc>
          <w:tcPr>
            <w:tcW w:w="9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0"/>
              </w:rPr>
              <w:t>(5,364)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w w:val="97"/>
              </w:rPr>
              <w:t>(546)</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460" w:type="dxa"/>
            <w:vAlign w:val="bottom"/>
          </w:tcPr>
          <w:p>
            <w:pPr>
              <w:ind w:left="20"/>
              <w:spacing w:after="0"/>
              <w:rPr>
                <w:sz w:val="20"/>
                <w:szCs w:val="20"/>
                <w:color w:val="auto"/>
              </w:rPr>
            </w:pPr>
            <w:r>
              <w:rPr>
                <w:rFonts w:ascii="Arial" w:cs="Arial" w:eastAsia="Arial" w:hAnsi="Arial"/>
                <w:sz w:val="14"/>
                <w:szCs w:val="14"/>
                <w:color w:val="auto"/>
              </w:rPr>
              <w:t>Net of tax</w:t>
            </w:r>
          </w:p>
        </w:tc>
        <w:tc>
          <w:tcPr>
            <w:tcW w:w="98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15,194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16. OTHER LONG-TERM LIABILITIES</w:t>
            </w: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68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2"/>
                <w:szCs w:val="22"/>
                <w:color w:val="auto"/>
              </w:rPr>
            </w:pPr>
          </w:p>
        </w:tc>
        <w:tc>
          <w:tcPr>
            <w:tcW w:w="6460" w:type="dxa"/>
            <w:vAlign w:val="bottom"/>
          </w:tcPr>
          <w:p>
            <w:pPr>
              <w:ind w:left="20"/>
              <w:spacing w:after="0"/>
              <w:rPr>
                <w:sz w:val="20"/>
                <w:szCs w:val="20"/>
                <w:color w:val="auto"/>
              </w:rPr>
            </w:pPr>
            <w:r>
              <w:rPr>
                <w:rFonts w:ascii="Arial" w:cs="Arial" w:eastAsia="Arial" w:hAnsi="Arial"/>
                <w:sz w:val="14"/>
                <w:szCs w:val="14"/>
                <w:color w:val="auto"/>
              </w:rPr>
              <w:t>Other long-term liabilities consisted of the following:</w:t>
            </w: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3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700"/>
              <w:spacing w:after="0"/>
              <w:rPr>
                <w:sz w:val="20"/>
                <w:szCs w:val="20"/>
                <w:color w:val="auto"/>
              </w:rPr>
            </w:pPr>
            <w:r>
              <w:rPr>
                <w:rFonts w:ascii="Arial" w:cs="Arial" w:eastAsia="Arial" w:hAnsi="Arial"/>
                <w:sz w:val="11"/>
                <w:szCs w:val="11"/>
                <w:b w:val="1"/>
                <w:bCs w:val="1"/>
                <w:color w:val="auto"/>
              </w:rPr>
              <w:t>March 31,</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40" w:type="dxa"/>
            <w:vAlign w:val="bottom"/>
          </w:tcPr>
          <w:p>
            <w:pPr>
              <w:spacing w:after="0"/>
              <w:rPr>
                <w:sz w:val="14"/>
                <w:szCs w:val="14"/>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Postretirement benefit obligations</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126,054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124,375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6460" w:type="dxa"/>
            <w:vAlign w:val="bottom"/>
          </w:tcPr>
          <w:p>
            <w:pPr>
              <w:ind w:left="20"/>
              <w:spacing w:after="0"/>
              <w:rPr>
                <w:sz w:val="20"/>
                <w:szCs w:val="20"/>
                <w:color w:val="auto"/>
              </w:rPr>
            </w:pPr>
            <w:r>
              <w:rPr>
                <w:rFonts w:ascii="Arial" w:cs="Arial" w:eastAsia="Arial" w:hAnsi="Arial"/>
                <w:sz w:val="14"/>
                <w:szCs w:val="14"/>
                <w:color w:val="auto"/>
              </w:rPr>
              <w:t>Reserves for uncertain tax positions</w:t>
            </w:r>
          </w:p>
        </w:tc>
        <w:tc>
          <w:tcPr>
            <w:tcW w:w="98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53,203</w:t>
            </w: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56,130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0" w:type="dxa"/>
            <w:vAlign w:val="bottom"/>
          </w:tcPr>
          <w:p>
            <w:pPr>
              <w:spacing w:after="0"/>
              <w:rPr>
                <w:sz w:val="15"/>
                <w:szCs w:val="15"/>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(1)</w:t>
            </w:r>
          </w:p>
        </w:tc>
        <w:tc>
          <w:tcPr>
            <w:tcW w:w="9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51,727</w:t>
            </w:r>
          </w:p>
        </w:tc>
        <w:tc>
          <w:tcPr>
            <w:tcW w:w="100" w:type="dxa"/>
            <w:vAlign w:val="bottom"/>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63,096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6460" w:type="dxa"/>
            <w:vAlign w:val="bottom"/>
          </w:tcPr>
          <w:p>
            <w:pPr>
              <w:ind w:left="260"/>
              <w:spacing w:after="0"/>
              <w:rPr>
                <w:sz w:val="20"/>
                <w:szCs w:val="20"/>
                <w:color w:val="auto"/>
              </w:rPr>
            </w:pPr>
            <w:r>
              <w:rPr>
                <w:rFonts w:ascii="Arial" w:cs="Arial" w:eastAsia="Arial" w:hAnsi="Arial"/>
                <w:sz w:val="14"/>
                <w:szCs w:val="14"/>
                <w:color w:val="auto"/>
              </w:rPr>
              <w:t>Total other long-term liabilities</w:t>
            </w:r>
          </w:p>
        </w:tc>
        <w:tc>
          <w:tcPr>
            <w:tcW w:w="98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230,984</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243,601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firstLine="5"/>
        <w:spacing w:after="0" w:line="267" w:lineRule="auto"/>
        <w:tabs>
          <w:tab w:leader="none" w:pos="2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Balances at March 31, 2021 and March 31, 2020 primarily include the long-term liability portion of the Company's derivative instruments of $21.0 million and $37.8 million, respectively, the long term deferred compensation plan liability of $14.1 million and $5.9 million, respectively, and the Company's long term disability obligation of $10.9 million and $10.7 million, respectively. See Note 11 and Note 14 to our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STOCKHOLDERS’ EQUITY</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Common Stock</w:t>
      </w:r>
    </w:p>
    <w:p>
      <w:pPr>
        <w:spacing w:after="0" w:line="94"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Holders of Class A Common Stock are entitled to one vote for each share. Each share of Class A Common is entitled to participate equally in all dividends and other distributions declared on and payable with respect to the Class A Common Stock, subject to the preferences and rights of any preferred stock and General Corporation Law of the State of Delaware. The Company’s ability to pay dividends to stockholders is limited as a practical matter by restrictions in the agreements governing the Company's indebtedness.</w:t>
      </w:r>
    </w:p>
    <w:p>
      <w:pPr>
        <w:spacing w:after="0" w:line="57"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The authorized and unissued shares of Class A Common Stock are available for future issuance upon stock option exercises and vesting of restricted stock units without additional stockholder approval.</w:t>
      </w:r>
    </w:p>
    <w:p>
      <w:pPr>
        <w:spacing w:after="0" w:line="4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Share Repurchase Program</w:t>
      </w:r>
    </w:p>
    <w:p>
      <w:pPr>
        <w:spacing w:after="0" w:line="94"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On December 21, 2011, the Board of Directors adopted a share repurchase program, which was most recently increased on January 27, 2021 to authorize the repurchase of up to $1,710.0 million in shares of Class A Common Stock. A special committee of the Board of Directors evaluates market conditions and other relevant factors and initiates repurchases under the program from time to time. The share repurchase program may be suspended, modified or discontinued at any time at the Company’s discretion without prior notice. During fiscal 2021, the Company purchased 3.8 million shares of Class A Common Stock in a series of open market transactions for $293.4 million. During fiscal 2020, the Company purchased 2.5 million shares of Class A Common Stock in a series of open market transactions for $173.4 million. As of March 31, 2021, the Company had $591.5 million remaining under the share repurchase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Dividends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cash distributions recognized in the consolidated statement of cash flows: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2019</w:t>
            </w:r>
          </w:p>
        </w:tc>
      </w:tr>
      <w:tr>
        <w:trPr>
          <w:trHeight w:val="17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Recurring dividends (1)</w:t>
            </w:r>
          </w:p>
        </w:tc>
        <w:tc>
          <w:tcPr>
            <w:tcW w:w="860" w:type="dxa"/>
            <w:vAlign w:val="bottom"/>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181,066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114,234</w:t>
            </w: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Dividend equivalents (2)</w:t>
            </w:r>
          </w:p>
        </w:tc>
        <w:tc>
          <w:tcPr>
            <w:tcW w:w="8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196"/>
        </w:trPr>
        <w:tc>
          <w:tcPr>
            <w:tcW w:w="6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distributions</w:t>
            </w:r>
          </w:p>
        </w:tc>
        <w:tc>
          <w:tcPr>
            <w:tcW w:w="86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181,066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114,514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200" w:hanging="195"/>
        <w:spacing w:after="0"/>
        <w:tabs>
          <w:tab w:leader="none" w:pos="2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Amounts represent recurring quarterly dividends that were declared and paid for during each quarter of fiscal 2021, 2020, and 2019.</w:t>
      </w:r>
    </w:p>
    <w:p>
      <w:pPr>
        <w:spacing w:after="0" w:line="93" w:lineRule="exact"/>
        <w:rPr>
          <w:rFonts w:ascii="Arial" w:cs="Arial" w:eastAsia="Arial" w:hAnsi="Arial"/>
          <w:sz w:val="14"/>
          <w:szCs w:val="14"/>
          <w:color w:val="auto"/>
        </w:rPr>
      </w:pPr>
    </w:p>
    <w:p>
      <w:pPr>
        <w:ind w:left="200" w:hanging="195"/>
        <w:spacing w:after="0"/>
        <w:tabs>
          <w:tab w:leader="none" w:pos="2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Dividend equivalents are distributions made to option holders equal to the special dividends declared and paid.</w:t>
      </w: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STOCK-BASED COMPENSATION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stock-based compensation expense recognized in the consolidated statements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89"/>
              <w:spacing w:after="0"/>
              <w:rPr>
                <w:sz w:val="20"/>
                <w:szCs w:val="20"/>
                <w:color w:val="auto"/>
              </w:rPr>
            </w:pPr>
            <w:r>
              <w:rPr>
                <w:rFonts w:ascii="Arial" w:cs="Arial" w:eastAsia="Arial" w:hAnsi="Arial"/>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2019</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 expenses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32,162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22,285</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59,844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43,290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31,275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the total stock-based compensation expense recognized in the consolidated statements of operations by the following types of equity awards: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89"/>
              <w:spacing w:after="0"/>
              <w:rPr>
                <w:sz w:val="20"/>
                <w:szCs w:val="20"/>
                <w:color w:val="auto"/>
              </w:rPr>
            </w:pPr>
            <w:r>
              <w:rPr>
                <w:rFonts w:ascii="Arial" w:cs="Arial" w:eastAsia="Arial" w:hAnsi="Arial"/>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2019</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Incentive Plan Options</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Awards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40,549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28,901</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59,844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43,290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31,275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As of March 31, 2021 and 2020, there was $43.3 million and $33.5 million, respectively, of total unrecognized compensation cost related to unvested stock-based compensation agreements. The unrecognized compensation cost as of March 31, 2021 is expected to be fully amortized over the next 5 years. Absent the effect of forfeiture or acceleration of stock compensation cost for any departures of employees, the following tables summarize the unrecognized compensation cost, the weighted average period the cost is expected to be amortized, and the estimated annual compensation cost for the future periods indicated below (excludes any future award):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vMerge w:val="restart"/>
          </w:tcPr>
          <w:p>
            <w:pPr>
              <w:jc w:val="right"/>
              <w:ind w:right="189"/>
              <w:spacing w:after="0"/>
              <w:rPr>
                <w:sz w:val="20"/>
                <w:szCs w:val="20"/>
                <w:color w:val="auto"/>
              </w:rPr>
            </w:pPr>
            <w:r>
              <w:rPr>
                <w:rFonts w:ascii="Arial" w:cs="Arial" w:eastAsia="Arial" w:hAnsi="Arial"/>
                <w:sz w:val="14"/>
                <w:szCs w:val="14"/>
                <w:b w:val="1"/>
                <w:bCs w:val="1"/>
                <w:color w:val="auto"/>
                <w:w w:val="93"/>
              </w:rPr>
              <w:t>Unrecognized Compensation Cost</w:t>
            </w:r>
          </w:p>
        </w:tc>
        <w:tc>
          <w:tcPr>
            <w:tcW w:w="100" w:type="dxa"/>
            <w:vAlign w:val="bottom"/>
          </w:tcPr>
          <w:p>
            <w:pPr>
              <w:spacing w:after="0"/>
              <w:rPr>
                <w:sz w:val="14"/>
                <w:szCs w:val="14"/>
                <w:color w:val="auto"/>
              </w:rPr>
            </w:pPr>
          </w:p>
        </w:tc>
        <w:tc>
          <w:tcPr>
            <w:tcW w:w="26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Weighted Average Remaining Period to be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0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86"/>
              </w:rPr>
              <w:t>Recognized</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March 31,</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249"/>
              <w:spacing w:after="0" w:line="12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940" w:type="dxa"/>
            <w:vAlign w:val="bottom"/>
            <w:tcBorders>
              <w:top w:val="single" w:sz="8" w:color="auto"/>
            </w:tcBorders>
          </w:tcPr>
          <w:p>
            <w:pPr>
              <w:ind w:left="320"/>
              <w:spacing w:after="0" w:line="129" w:lineRule="exact"/>
              <w:rPr>
                <w:sz w:val="20"/>
                <w:szCs w:val="20"/>
                <w:color w:val="auto"/>
              </w:rPr>
            </w:pPr>
            <w:r>
              <w:rPr>
                <w:rFonts w:ascii="Arial" w:cs="Arial" w:eastAsia="Arial" w:hAnsi="Arial"/>
                <w:sz w:val="14"/>
                <w:szCs w:val="14"/>
                <w:b w:val="1"/>
                <w:bCs w:val="1"/>
                <w:color w:val="auto"/>
                <w:w w:val="92"/>
              </w:rPr>
              <w:t>March 31,</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ind w:left="320"/>
              <w:spacing w:after="0" w:line="129"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1040" w:type="dxa"/>
            <w:vAlign w:val="bottom"/>
            <w:gridSpan w:val="2"/>
          </w:tcPr>
          <w:p>
            <w:pPr>
              <w:jc w:val="center"/>
              <w:ind w:left="329"/>
              <w:spacing w:after="0"/>
              <w:rPr>
                <w:sz w:val="20"/>
                <w:szCs w:val="20"/>
                <w:color w:val="auto"/>
              </w:rPr>
            </w:pPr>
            <w:r>
              <w:rPr>
                <w:rFonts w:ascii="Arial" w:cs="Arial" w:eastAsia="Arial" w:hAnsi="Arial"/>
                <w:sz w:val="14"/>
                <w:szCs w:val="14"/>
                <w:b w:val="1"/>
                <w:bCs w:val="1"/>
                <w:color w:val="auto"/>
                <w:w w:val="89"/>
              </w:rPr>
              <w:t>2021</w:t>
            </w:r>
          </w:p>
        </w:tc>
        <w:tc>
          <w:tcPr>
            <w:tcW w:w="1660" w:type="dxa"/>
            <w:vAlign w:val="bottom"/>
            <w:gridSpan w:val="3"/>
          </w:tcPr>
          <w:p>
            <w:pPr>
              <w:jc w:val="center"/>
              <w:ind w:left="349"/>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Incentive Plan Options</w:t>
            </w:r>
          </w:p>
        </w:tc>
        <w:tc>
          <w:tcPr>
            <w:tcW w:w="2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center"/>
              <w:ind w:left="249"/>
              <w:spacing w:after="0"/>
              <w:rPr>
                <w:sz w:val="20"/>
                <w:szCs w:val="20"/>
                <w:color w:val="auto"/>
              </w:rPr>
            </w:pPr>
            <w:r>
              <w:rPr>
                <w:rFonts w:ascii="Arial" w:cs="Arial" w:eastAsia="Arial" w:hAnsi="Arial"/>
                <w:sz w:val="14"/>
                <w:szCs w:val="14"/>
                <w:color w:val="auto"/>
                <w:w w:val="95"/>
              </w:rPr>
              <w:t>3.45</w:t>
            </w: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7"/>
              </w:rPr>
              <w:t>3.57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Stock Awards</w:t>
            </w:r>
          </w:p>
        </w:tc>
        <w:tc>
          <w:tcPr>
            <w:tcW w:w="2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39,881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29,738</w:t>
            </w:r>
          </w:p>
        </w:tc>
        <w:tc>
          <w:tcPr>
            <w:tcW w:w="1040" w:type="dxa"/>
            <w:vAlign w:val="bottom"/>
            <w:tcBorders>
              <w:bottom w:val="single" w:sz="8" w:color="CCEEFF"/>
            </w:tcBorders>
            <w:gridSpan w:val="2"/>
          </w:tcPr>
          <w:p>
            <w:pPr>
              <w:jc w:val="center"/>
              <w:ind w:left="349"/>
              <w:spacing w:after="0"/>
              <w:rPr>
                <w:sz w:val="20"/>
                <w:szCs w:val="20"/>
                <w:color w:val="auto"/>
              </w:rPr>
            </w:pPr>
            <w:r>
              <w:rPr>
                <w:rFonts w:ascii="Arial" w:cs="Arial" w:eastAsia="Arial" w:hAnsi="Arial"/>
                <w:sz w:val="14"/>
                <w:szCs w:val="14"/>
                <w:color w:val="auto"/>
                <w:w w:val="95"/>
              </w:rPr>
              <w:t>1.87</w:t>
            </w:r>
          </w:p>
        </w:tc>
        <w:tc>
          <w:tcPr>
            <w:tcW w:w="1660" w:type="dxa"/>
            <w:vAlign w:val="bottom"/>
            <w:tcBorders>
              <w:bottom w:val="single" w:sz="8" w:color="CCEEFF"/>
            </w:tcBorders>
            <w:gridSpan w:val="3"/>
          </w:tcPr>
          <w:p>
            <w:pPr>
              <w:jc w:val="center"/>
              <w:ind w:left="349"/>
              <w:spacing w:after="0"/>
              <w:rPr>
                <w:sz w:val="20"/>
                <w:szCs w:val="20"/>
                <w:color w:val="auto"/>
              </w:rPr>
            </w:pPr>
            <w:r>
              <w:rPr>
                <w:rFonts w:ascii="Arial" w:cs="Arial" w:eastAsia="Arial" w:hAnsi="Arial"/>
                <w:sz w:val="14"/>
                <w:szCs w:val="14"/>
                <w:color w:val="auto"/>
                <w:w w:val="87"/>
              </w:rPr>
              <w:t>1.78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33,459</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80" w:type="dxa"/>
            <w:vAlign w:val="bottom"/>
            <w:gridSpan w:val="2"/>
          </w:tcPr>
          <w:p>
            <w:pPr>
              <w:jc w:val="right"/>
              <w:ind w:right="269"/>
              <w:spacing w:after="0"/>
              <w:rPr>
                <w:sz w:val="20"/>
                <w:szCs w:val="20"/>
                <w:color w:val="auto"/>
              </w:rPr>
            </w:pPr>
            <w:r>
              <w:rPr>
                <w:rFonts w:ascii="Arial" w:cs="Arial" w:eastAsia="Arial" w:hAnsi="Arial"/>
                <w:sz w:val="14"/>
                <w:szCs w:val="14"/>
                <w:color w:val="auto"/>
              </w:rPr>
              <w:t>F-37</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7" w:right="3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0"/>
              </w:rPr>
              <w:t>Total Unrecognized Compensation Cost</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71"/>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29"/>
              <w:spacing w:after="0"/>
              <w:rPr>
                <w:sz w:val="20"/>
                <w:szCs w:val="20"/>
                <w:color w:val="auto"/>
              </w:rPr>
            </w:pPr>
            <w:r>
              <w:rPr>
                <w:rFonts w:ascii="Arial" w:cs="Arial" w:eastAsia="Arial" w:hAnsi="Arial"/>
                <w:sz w:val="14"/>
                <w:szCs w:val="14"/>
                <w:b w:val="1"/>
                <w:bCs w:val="1"/>
                <w:color w:val="auto"/>
              </w:rPr>
              <w:t>2026</w:t>
            </w:r>
          </w:p>
        </w:tc>
      </w:tr>
      <w:tr>
        <w:trPr>
          <w:trHeight w:val="171"/>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Incentive Plan Options</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4180" w:type="dxa"/>
            <w:vAlign w:val="bottom"/>
          </w:tcPr>
          <w:p>
            <w:pPr>
              <w:ind w:left="20"/>
              <w:spacing w:after="0"/>
              <w:rPr>
                <w:sz w:val="20"/>
                <w:szCs w:val="20"/>
                <w:color w:val="auto"/>
              </w:rPr>
            </w:pPr>
            <w:r>
              <w:rPr>
                <w:rFonts w:ascii="Arial" w:cs="Arial" w:eastAsia="Arial" w:hAnsi="Arial"/>
                <w:sz w:val="14"/>
                <w:szCs w:val="14"/>
                <w:color w:val="auto"/>
              </w:rPr>
              <w:t>Restricted Stock Awards</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39,881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25,925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1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Equity Incentive Plan</w:t>
      </w:r>
    </w:p>
    <w:p>
      <w:pPr>
        <w:spacing w:after="0" w:line="94" w:lineRule="exact"/>
        <w:rPr>
          <w:sz w:val="20"/>
          <w:szCs w:val="20"/>
          <w:color w:val="auto"/>
        </w:rPr>
      </w:pPr>
    </w:p>
    <w:p>
      <w:pPr>
        <w:ind w:right="140" w:firstLine="191"/>
        <w:spacing w:after="0" w:line="262" w:lineRule="auto"/>
        <w:rPr>
          <w:sz w:val="20"/>
          <w:szCs w:val="20"/>
          <w:color w:val="auto"/>
        </w:rPr>
      </w:pPr>
      <w:r>
        <w:rPr>
          <w:rFonts w:ascii="Arial" w:cs="Arial" w:eastAsia="Arial" w:hAnsi="Arial"/>
          <w:sz w:val="14"/>
          <w:szCs w:val="14"/>
          <w:color w:val="auto"/>
        </w:rPr>
        <w:t>The Company's Equity Incentive Plan, or EIP, was adopted in connection with the Merger Agreement for employees and directors of Holding. The EIP was amended and restated in 2010 in connection with the Company’s initial public offering, and on May 22, 2014 and January 28, 2020. Awards under the EIP may be made in the form of stock options; stock purchase rights; restricted stock; restricted stock units; performance shares; performance units; stock appreciation rights; deferred share units; dividend equivalents; and other stock-based awards. As of March 31, 2021 and 2020, there were 9.3 million and 10.1 million shares, respectively, available for future grant under the EIP.</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Stock Options</w:t>
      </w:r>
    </w:p>
    <w:p>
      <w:pPr>
        <w:spacing w:after="0" w:line="9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Stock options under the EIP are granted at the discretion of the Board of Directors or its Compensation Committee and expire ten years from the grant date. Stock options generally vest in equal installments over a five-year period subject to the grantee’s continued service on each applicable vesting. All options under the EIP are exercisable, upon vesting, for shares of Class A Common Stock of Holding. During fiscal 2021, 270,930 options were granted under the EIP.</w:t>
      </w:r>
    </w:p>
    <w:p>
      <w:pPr>
        <w:spacing w:after="0" w:line="57" w:lineRule="exact"/>
        <w:rPr>
          <w:sz w:val="20"/>
          <w:szCs w:val="20"/>
          <w:color w:val="auto"/>
        </w:rPr>
      </w:pPr>
    </w:p>
    <w:p>
      <w:pPr>
        <w:jc w:val="both"/>
        <w:ind w:right="240" w:firstLine="318"/>
        <w:spacing w:after="0" w:line="267" w:lineRule="auto"/>
        <w:rPr>
          <w:sz w:val="20"/>
          <w:szCs w:val="20"/>
          <w:color w:val="auto"/>
        </w:rPr>
      </w:pPr>
      <w:r>
        <w:rPr>
          <w:rFonts w:ascii="Arial" w:cs="Arial" w:eastAsia="Arial" w:hAnsi="Arial"/>
          <w:sz w:val="14"/>
          <w:szCs w:val="14"/>
          <w:color w:val="auto"/>
        </w:rPr>
        <w:t>The aggregate grant date fair value of the EIP options issued during fiscal 2021 and 2020, was $3.6 million and $3.7 million, respectively, and is recorded as expense over the vesting period. The total fair value of EIP options vested during both fiscal 2021 and 2020 was $2.4 million. The total intrinsic value of EIP options exercised during fiscal 2021 and 2020 was $28.9 million and $30.6 million, respectively.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Annual Incentive Plans</w:t>
      </w:r>
    </w:p>
    <w:p>
      <w:pPr>
        <w:spacing w:after="0" w:line="94" w:lineRule="exact"/>
        <w:rPr>
          <w:sz w:val="20"/>
          <w:szCs w:val="20"/>
          <w:color w:val="auto"/>
        </w:rPr>
      </w:pPr>
    </w:p>
    <w:p>
      <w:pPr>
        <w:ind w:right="140" w:firstLine="318"/>
        <w:spacing w:after="0" w:line="288" w:lineRule="auto"/>
        <w:rPr>
          <w:sz w:val="20"/>
          <w:szCs w:val="20"/>
          <w:color w:val="auto"/>
        </w:rPr>
      </w:pPr>
      <w:r>
        <w:rPr>
          <w:rFonts w:ascii="Arial" w:cs="Arial" w:eastAsia="Arial" w:hAnsi="Arial"/>
          <w:sz w:val="13"/>
          <w:szCs w:val="13"/>
          <w:color w:val="auto"/>
        </w:rPr>
        <w:t>On October 1, 2010, the Board of Directors adopted an Annual Incentive Plan, or AIP, in connection with the initial public offering to more appropriately align the Company’s compensation programs with those of similarly situated companies. The amount of the annual incentive payment is determined based on performance targets established by the Board of Directors and a portion of the bonus may be paid in the form of equity (including stock and other awards under the EIP). Such equity awards vest over a three-year period subject to the employee’s continued service to the Company. The related expense is recognized in the accompanying consolidated statements of operations based on grant date fair value over the vesting period of three years.</w:t>
      </w:r>
    </w:p>
    <w:p>
      <w:pPr>
        <w:spacing w:after="0" w:line="46" w:lineRule="exact"/>
        <w:rPr>
          <w:sz w:val="20"/>
          <w:szCs w:val="20"/>
          <w:color w:val="auto"/>
        </w:rPr>
      </w:pPr>
    </w:p>
    <w:p>
      <w:pPr>
        <w:ind w:right="40" w:firstLine="318"/>
        <w:spacing w:after="0" w:line="280" w:lineRule="auto"/>
        <w:rPr>
          <w:sz w:val="20"/>
          <w:szCs w:val="20"/>
          <w:color w:val="auto"/>
        </w:rPr>
      </w:pPr>
      <w:r>
        <w:rPr>
          <w:rFonts w:ascii="Arial" w:cs="Arial" w:eastAsia="Arial" w:hAnsi="Arial"/>
          <w:sz w:val="13"/>
          <w:szCs w:val="13"/>
          <w:color w:val="auto"/>
        </w:rPr>
        <w:t>The Company maintains annual incentive programs for officers and key employees. The equity compensation would be issued in the form of restricted stock units of which a portion would vest based on the passage of time, and the other portion would vest based on specified performance conditions to be achieved over a specified time period. A restricted stock unit represents a contingent right to receive one share of Class A Common Stock upon vesting. Service-based restricted stock units vest in equal installments over a three-year period subject to the grantee's continued service on each applicable vesting date and are settled for shares of Class A Common Stock. Dividend equivalents are paid in respect of the service-based restricted stock units when dividends are paid on the Company's Class A Common Stock. Performance-based awards vest at the end of a three-year period subject to certain specified financial performance criteria and the grantee's continued service through the period. These awards are settled for Class A Common Stock and dividend equivalents. Compensation expense for performance-based awards during the performance period is estimated at each reporting date using management's expectation of the probable achievement of the specified performance criteria.</w:t>
      </w:r>
    </w:p>
    <w:p>
      <w:pPr>
        <w:spacing w:after="0" w:line="52"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The Company also maintains a program whereby certain non-officer employees would be eligible to receive a portion of their annual bonus in equity. The equity compensation would be issued in the form of restricted stock units that would vest immediately after issuance or over an applicable vesting period subject to the employee's continued service for the Company. The associated expense will be recognized in the accompanying consolidated statements of operations based on grant date fair value.</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Grants of Class A Restricted Common Stock and Restricted Stock Units</w:t>
      </w:r>
    </w:p>
    <w:p>
      <w:pPr>
        <w:spacing w:after="0" w:line="94" w:lineRule="exact"/>
        <w:rPr>
          <w:sz w:val="20"/>
          <w:szCs w:val="20"/>
          <w:color w:val="auto"/>
        </w:rPr>
      </w:pPr>
    </w:p>
    <w:p>
      <w:pPr>
        <w:ind w:right="480" w:firstLine="318"/>
        <w:spacing w:after="0" w:line="281" w:lineRule="auto"/>
        <w:rPr>
          <w:sz w:val="20"/>
          <w:szCs w:val="20"/>
          <w:color w:val="auto"/>
        </w:rPr>
      </w:pPr>
      <w:r>
        <w:rPr>
          <w:rFonts w:ascii="Arial" w:cs="Arial" w:eastAsia="Arial" w:hAnsi="Arial"/>
          <w:sz w:val="14"/>
          <w:szCs w:val="14"/>
          <w:color w:val="auto"/>
        </w:rPr>
        <w:t>During fiscal 2021, the Board of Directors granted an aggregate of 968,903 Restricted Stock Units with service-based and performance-based vesting conditions to existing officers, vice presidents, and other employees and non-employees of the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Company, as well as to newly promoted and hired partners and vice presidents. The awards will vest based on the applicable vesting period for the specific award subject to the employees' continued employment with the Company.</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Board of Directors also granted 20,829 shares of Class A Restricted Common Stock to members of the Board of Directors during fiscal 2021. These awards generally vest over one year.</w:t>
      </w:r>
    </w:p>
    <w:p>
      <w:pPr>
        <w:spacing w:after="0" w:line="202" w:lineRule="exact"/>
        <w:rPr>
          <w:sz w:val="20"/>
          <w:szCs w:val="20"/>
          <w:color w:val="auto"/>
        </w:rPr>
      </w:pPr>
    </w:p>
    <w:p>
      <w:pPr>
        <w:ind w:right="420" w:firstLine="318"/>
        <w:spacing w:after="0" w:line="281" w:lineRule="auto"/>
        <w:rPr>
          <w:sz w:val="20"/>
          <w:szCs w:val="20"/>
          <w:color w:val="auto"/>
        </w:rPr>
      </w:pPr>
      <w:r>
        <w:rPr>
          <w:rFonts w:ascii="Arial" w:cs="Arial" w:eastAsia="Arial" w:hAnsi="Arial"/>
          <w:sz w:val="14"/>
          <w:szCs w:val="14"/>
          <w:color w:val="auto"/>
        </w:rPr>
        <w:t>The aggregate fair value of all awards issued during fiscal 2021 was $69.0 million and was based on the grant date stock price, which ranged from $34.02 to $97.84. This amount will be recognized in the accompanying consolidated statements of operations over the applicable vesting period of the awards.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total fair value of restricted stock shares vested during fiscal 2021 and 2020 was $49.8 million and $27.9 million, respectively.</w:t>
      </w:r>
    </w:p>
    <w:p>
      <w:pPr>
        <w:spacing w:after="0" w:line="94" w:lineRule="exact"/>
        <w:rPr>
          <w:sz w:val="20"/>
          <w:szCs w:val="20"/>
          <w:color w:val="auto"/>
        </w:rPr>
      </w:pPr>
    </w:p>
    <w:p>
      <w:pPr>
        <w:ind w:right="160" w:firstLine="350"/>
        <w:spacing w:after="0" w:line="267" w:lineRule="auto"/>
        <w:rPr>
          <w:sz w:val="20"/>
          <w:szCs w:val="20"/>
          <w:color w:val="auto"/>
        </w:rPr>
      </w:pPr>
      <w:r>
        <w:rPr>
          <w:rFonts w:ascii="Arial" w:cs="Arial" w:eastAsia="Arial" w:hAnsi="Arial"/>
          <w:sz w:val="14"/>
          <w:szCs w:val="14"/>
          <w:color w:val="auto"/>
        </w:rPr>
        <w:t>As permitted under the terms of the EIP, the Compensation Committee, as Administrator of the Plan, authorized the withholding of taxes not to exceed the minimum statutory withholding amount, through the surrender of shares of Class A Common Stock issuable upon the vesting or accelerated vesting of Restricted Stock. As a result of these transactions, the Company repurchased 314,956 shares and recorded them as treasury shares at a total cost of $24.6 million in fiscal 2021.</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Methodology</w:t>
      </w:r>
    </w:p>
    <w:p>
      <w:pPr>
        <w:spacing w:after="0" w:line="94"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The Company uses the Black-Scholes option-pricing model to determine the estimated fair value for stock option awards. The fair value of the Company’s stock is based on the closing price on the New York Stock Exchange on the date of grant.</w:t>
      </w:r>
    </w:p>
    <w:p>
      <w:pPr>
        <w:spacing w:after="0" w:line="47"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During fiscal 2021, the Company’s Board of Directors authorized and declared four quarterly cash dividends: $0.31 per share in the first, second and third quarters and $0.37 per share in the fourth quarter. Therefore, an annualized dividend yield between 2.32% and 2.86% was used in the Black-Scholes option-pricing model for all grants issued during the fiscal year. The Company plans to continue paying recurring dividends in the near term and assessing its excess cash resources to determine the best way to utilize its excess cash flow to meet its objectives. One way the Company may utilize excess cash includes the payment of special dividends. The Company does not anticipate or forecast the payment of special dividends and therefore does not include special dividends in the annual dividend yield that the company uses to calculate the fair value of stock options, as the Company does not pay these special dividends on a regular basis.</w:t>
      </w:r>
    </w:p>
    <w:p>
      <w:pPr>
        <w:spacing w:after="0" w:line="49"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The risk-free interest rate is determined by reference to the U.S. Treasury yield curve rates with the remaining term equal to the expected life assumed at the date of grant. The average expected life is calculated based on the Company's historical experience with respect to its stock plan activity in combination with an estimate of when vested and unexercised option shares will be exercised. Forfeitures were estimated based on the Company’s historical analysis of officer and vice-president attrition levels and actual forfeiture rates by grant date. Implied volatility is calculated as of each grant date based on our historical volatility. Other than the expected life of the option, volatility is the most sensitive input to our option grants.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weighted average assumptions used in the Black-Scholes option-pricing model for stock option awards were as follows:</w:t>
      </w:r>
    </w:p>
    <w:p>
      <w:pPr>
        <w:spacing w:after="0" w:line="196"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ind w:right="209"/>
              <w:spacing w:after="0"/>
              <w:rPr>
                <w:sz w:val="20"/>
                <w:szCs w:val="20"/>
                <w:color w:val="auto"/>
              </w:rPr>
            </w:pPr>
            <w:r>
              <w:rPr>
                <w:rFonts w:ascii="Arial" w:cs="Arial" w:eastAsia="Arial" w:hAnsi="Arial"/>
                <w:sz w:val="14"/>
                <w:szCs w:val="14"/>
                <w:b w:val="1"/>
                <w:bCs w:val="1"/>
                <w:color w:val="auto"/>
              </w:rPr>
              <w:t>For The Fiscal Year Ended March 31,</w:t>
            </w:r>
          </w:p>
        </w:tc>
        <w:tc>
          <w:tcPr>
            <w:tcW w:w="1280" w:type="dxa"/>
            <w:vAlign w:val="bottom"/>
            <w:tcBorders>
              <w:bottom w:val="single" w:sz="8" w:color="auto"/>
            </w:tcBorders>
          </w:tcPr>
          <w:p>
            <w:pPr>
              <w:spacing w:after="0"/>
              <w:rPr>
                <w:sz w:val="16"/>
                <w:szCs w:val="16"/>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2019</w:t>
            </w:r>
          </w:p>
        </w:tc>
      </w:tr>
      <w:tr>
        <w:trPr>
          <w:trHeight w:val="171"/>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Dividend yield</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2.17 %</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2.01 %</w:t>
            </w:r>
          </w:p>
        </w:tc>
      </w:tr>
      <w:tr>
        <w:trPr>
          <w:trHeight w:val="180"/>
        </w:trPr>
        <w:tc>
          <w:tcPr>
            <w:tcW w:w="5400" w:type="dxa"/>
            <w:vAlign w:val="bottom"/>
          </w:tcPr>
          <w:p>
            <w:pPr>
              <w:spacing w:after="0"/>
              <w:rPr>
                <w:sz w:val="20"/>
                <w:szCs w:val="20"/>
                <w:color w:val="auto"/>
              </w:rPr>
            </w:pPr>
            <w:r>
              <w:rPr>
                <w:rFonts w:ascii="Arial" w:cs="Arial" w:eastAsia="Arial" w:hAnsi="Arial"/>
                <w:sz w:val="14"/>
                <w:szCs w:val="14"/>
                <w:color w:val="auto"/>
              </w:rPr>
              <w:t>Expected volatility</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27.41 %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24.74 %</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25.83 %</w:t>
            </w:r>
          </w:p>
        </w:tc>
      </w:t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0.35 %</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2.11 %</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2.81 %</w:t>
            </w:r>
          </w:p>
        </w:tc>
      </w:tr>
      <w:tr>
        <w:trPr>
          <w:trHeight w:val="180"/>
        </w:trPr>
        <w:tc>
          <w:tcPr>
            <w:tcW w:w="5400" w:type="dxa"/>
            <w:vAlign w:val="bottom"/>
          </w:tcPr>
          <w:p>
            <w:pPr>
              <w:spacing w:after="0"/>
              <w:rPr>
                <w:sz w:val="20"/>
                <w:szCs w:val="20"/>
                <w:color w:val="auto"/>
              </w:rPr>
            </w:pPr>
            <w:r>
              <w:rPr>
                <w:rFonts w:ascii="Arial" w:cs="Arial" w:eastAsia="Arial" w:hAnsi="Arial"/>
                <w:sz w:val="14"/>
                <w:szCs w:val="14"/>
                <w:color w:val="auto"/>
              </w:rPr>
              <w:t>Expected life (in years)</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81"/>
        </w:trPr>
        <w:tc>
          <w:tcPr>
            <w:tcW w:w="540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grant date fair value</w:t>
            </w:r>
          </w:p>
        </w:tc>
        <w:tc>
          <w:tcPr>
            <w:tcW w:w="1100" w:type="dxa"/>
            <w:vAlign w:val="bottom"/>
            <w:shd w:val="clear" w:color="auto" w:fill="CCEEFF"/>
          </w:tcPr>
          <w:p>
            <w:pPr>
              <w:jc w:val="right"/>
              <w:ind w:right="94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12.39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9.67</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unvested restricted stock activity for the periods presented:</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698" w:right="379" w:bottom="1440" w:gutter="0" w:footer="0" w:header="0"/>
        </w:sectPr>
      </w:pPr>
    </w:p>
    <w:bookmarkStart w:id="110" w:name="page111"/>
    <w:bookmarkEnd w:id="110"/>
    <w:p>
      <w:pPr>
        <w:jc w:val="center"/>
        <w:ind w:right="-7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7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4"/>
          </w:tcPr>
          <w:p>
            <w:pPr>
              <w:ind w:left="20"/>
              <w:spacing w:after="0" w:line="138" w:lineRule="exact"/>
              <w:rPr>
                <w:sz w:val="20"/>
                <w:szCs w:val="20"/>
                <w:color w:val="auto"/>
              </w:rPr>
            </w:pPr>
            <w:r>
              <w:rPr>
                <w:rFonts w:ascii="Arial" w:cs="Arial" w:eastAsia="Arial" w:hAnsi="Arial"/>
                <w:sz w:val="14"/>
                <w:szCs w:val="14"/>
                <w:b w:val="1"/>
                <w:bCs w:val="1"/>
                <w:color w:val="auto"/>
                <w:w w:val="93"/>
              </w:rPr>
              <w:t>Average Grant Date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Unvested Restricted Stock Awards</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Unvested at March 31, 2020</w:t>
            </w:r>
          </w:p>
        </w:tc>
        <w:tc>
          <w:tcPr>
            <w:tcW w:w="1580" w:type="dxa"/>
            <w:vAlign w:val="bottom"/>
            <w:gridSpan w:val="4"/>
          </w:tcPr>
          <w:p>
            <w:pPr>
              <w:jc w:val="right"/>
              <w:ind w:right="60"/>
              <w:spacing w:after="0"/>
              <w:rPr>
                <w:sz w:val="20"/>
                <w:szCs w:val="20"/>
                <w:color w:val="auto"/>
              </w:rPr>
            </w:pPr>
            <w:r>
              <w:rPr>
                <w:rFonts w:ascii="Arial" w:cs="Arial" w:eastAsia="Arial" w:hAnsi="Arial"/>
                <w:sz w:val="14"/>
                <w:szCs w:val="14"/>
                <w:color w:val="auto"/>
              </w:rPr>
              <w:t>887,436</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50.72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5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989,732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69.75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Vested</w:t>
            </w:r>
          </w:p>
        </w:tc>
        <w:tc>
          <w:tcPr>
            <w:tcW w:w="1580" w:type="dxa"/>
            <w:vAlign w:val="bottom"/>
            <w:gridSpan w:val="4"/>
          </w:tcPr>
          <w:p>
            <w:pPr>
              <w:jc w:val="right"/>
              <w:ind w:right="60"/>
              <w:spacing w:after="0"/>
              <w:rPr>
                <w:sz w:val="20"/>
                <w:szCs w:val="20"/>
                <w:color w:val="auto"/>
              </w:rPr>
            </w:pPr>
            <w:r>
              <w:rPr>
                <w:rFonts w:ascii="Arial" w:cs="Arial" w:eastAsia="Arial" w:hAnsi="Arial"/>
                <w:sz w:val="14"/>
                <w:szCs w:val="14"/>
                <w:color w:val="auto"/>
              </w:rPr>
              <w:t>895,521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55.65</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8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61,147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65.94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Unvested at March 31, 2021</w:t>
            </w: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rPr>
              <w:t>920,500</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65.37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ind w:left="320"/>
              <w:spacing w:after="0"/>
              <w:rPr>
                <w:sz w:val="20"/>
                <w:szCs w:val="20"/>
                <w:color w:val="auto"/>
              </w:rPr>
            </w:pPr>
            <w:r>
              <w:rPr>
                <w:rFonts w:ascii="Arial" w:cs="Arial" w:eastAsia="Arial" w:hAnsi="Arial"/>
                <w:sz w:val="14"/>
                <w:szCs w:val="14"/>
                <w:color w:val="auto"/>
              </w:rPr>
              <w:t>The following table summarizes stock option activity for the periods presented:</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798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460"/>
              <w:spacing w:after="0" w:line="138"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460"/>
              <w:spacing w:after="0" w:line="138" w:lineRule="exact"/>
              <w:rPr>
                <w:sz w:val="20"/>
                <w:szCs w:val="20"/>
                <w:color w:val="auto"/>
              </w:rPr>
            </w:pPr>
            <w:r>
              <w:rPr>
                <w:rFonts w:ascii="Arial" w:cs="Arial" w:eastAsia="Arial" w:hAnsi="Arial"/>
                <w:sz w:val="14"/>
                <w:szCs w:val="14"/>
                <w:b w:val="1"/>
                <w:bCs w:val="1"/>
                <w:color w:val="auto"/>
                <w:w w:val="86"/>
              </w:rPr>
              <w:t>Exercise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249"/>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Equity Incentive Plan Options</w:t>
            </w: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Options outstanding at March 31, 2020</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1,753,139</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34.91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270,930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75.55</w:t>
            </w: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106,712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61.36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Expired</w:t>
            </w:r>
          </w:p>
        </w:tc>
        <w:tc>
          <w:tcPr>
            <w:tcW w:w="1260" w:type="dxa"/>
            <w:vAlign w:val="bottom"/>
            <w:shd w:val="clear" w:color="auto" w:fill="CCEEFF"/>
          </w:tcPr>
          <w:p>
            <w:pPr>
              <w:spacing w:after="0"/>
              <w:rPr>
                <w:sz w:val="15"/>
                <w:szCs w:val="15"/>
                <w:color w:val="auto"/>
              </w:rPr>
            </w:pPr>
          </w:p>
        </w:tc>
        <w:tc>
          <w:tcPr>
            <w:tcW w:w="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Exercised</w:t>
            </w: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504,450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23.29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outstanding at March 31, 2021</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1,412,907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44.86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7980" w:type="dxa"/>
            <w:vAlign w:val="bottom"/>
            <w:gridSpan w:val="2"/>
          </w:tcPr>
          <w:p>
            <w:pPr>
              <w:ind w:left="320"/>
              <w:spacing w:after="0"/>
              <w:rPr>
                <w:sz w:val="20"/>
                <w:szCs w:val="20"/>
                <w:color w:val="auto"/>
              </w:rPr>
            </w:pPr>
            <w:r>
              <w:rPr>
                <w:rFonts w:ascii="Arial" w:cs="Arial" w:eastAsia="Arial" w:hAnsi="Arial"/>
                <w:sz w:val="14"/>
                <w:szCs w:val="14"/>
                <w:color w:val="auto"/>
              </w:rPr>
              <w:t>The following table summarizes unvested stock options for the periods presented: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7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7"/>
          </w:tcPr>
          <w:p>
            <w:pPr>
              <w:spacing w:after="0" w:line="138" w:lineRule="exact"/>
              <w:rPr>
                <w:sz w:val="20"/>
                <w:szCs w:val="20"/>
                <w:color w:val="auto"/>
              </w:rPr>
            </w:pPr>
            <w:r>
              <w:rPr>
                <w:rFonts w:ascii="Arial" w:cs="Arial" w:eastAsia="Arial" w:hAnsi="Arial"/>
                <w:sz w:val="14"/>
                <w:szCs w:val="14"/>
                <w:b w:val="1"/>
                <w:bCs w:val="1"/>
                <w:color w:val="auto"/>
              </w:rPr>
              <w:t>Average Grant Date</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329"/>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Equity Incentive Plan Options</w:t>
            </w: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Unvested at March 31, 2020</w:t>
            </w:r>
          </w:p>
        </w:tc>
        <w:tc>
          <w:tcPr>
            <w:tcW w:w="1260" w:type="dxa"/>
            <w:vAlign w:val="bottom"/>
          </w:tcPr>
          <w:p>
            <w:pPr>
              <w:jc w:val="right"/>
              <w:spacing w:after="0"/>
              <w:rPr>
                <w:sz w:val="20"/>
                <w:szCs w:val="20"/>
                <w:color w:val="auto"/>
              </w:rPr>
            </w:pPr>
            <w:r>
              <w:rPr>
                <w:rFonts w:ascii="Arial" w:cs="Arial" w:eastAsia="Arial" w:hAnsi="Arial"/>
                <w:sz w:val="14"/>
                <w:szCs w:val="14"/>
                <w:color w:val="auto"/>
              </w:rPr>
              <w:t>580,317</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270,930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Vested</w:t>
            </w:r>
          </w:p>
        </w:tc>
        <w:tc>
          <w:tcPr>
            <w:tcW w:w="1260" w:type="dxa"/>
            <w:vAlign w:val="bottom"/>
          </w:tcPr>
          <w:p>
            <w:pPr>
              <w:jc w:val="right"/>
              <w:spacing w:after="0"/>
              <w:rPr>
                <w:sz w:val="20"/>
                <w:szCs w:val="20"/>
                <w:color w:val="auto"/>
              </w:rPr>
            </w:pPr>
            <w:r>
              <w:rPr>
                <w:rFonts w:ascii="Arial" w:cs="Arial" w:eastAsia="Arial" w:hAnsi="Arial"/>
                <w:sz w:val="14"/>
                <w:szCs w:val="14"/>
                <w:color w:val="auto"/>
              </w:rPr>
              <w:t>229,823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Unvested at March 31, 2021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514,712</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698" w:right="39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stock options outstanding at March 31,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60" w:type="dxa"/>
            <w:vAlign w:val="bottom"/>
          </w:tcPr>
          <w:p>
            <w:pPr>
              <w:spacing w:after="0"/>
              <w:rPr>
                <w:sz w:val="10"/>
                <w:szCs w:val="10"/>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1"/>
                <w:szCs w:val="11"/>
                <w:b w:val="1"/>
                <w:bCs w:val="1"/>
                <w:color w:val="auto"/>
                <w:w w:val="92"/>
              </w:rPr>
              <w:t>Weighted</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Weighted</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2"/>
              </w:rPr>
              <w:t>Weighted</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2"/>
              </w:rPr>
              <w:t>Weighted</w:t>
            </w: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14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2"/>
              </w:rPr>
              <w:t>Average</w:t>
            </w: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0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Average</w:t>
            </w: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 xml:space="preserve">Range of exercise prices </w:t>
            </w:r>
            <w:r>
              <w:rPr>
                <w:rFonts w:ascii="Arial" w:cs="Arial" w:eastAsia="Arial" w:hAnsi="Arial"/>
                <w:sz w:val="14"/>
                <w:szCs w:val="14"/>
                <w:b w:val="1"/>
                <w:bCs w:val="1"/>
                <w:color w:val="auto"/>
                <w:vertAlign w:val="superscript"/>
              </w:rPr>
              <w:t>(1)</w:t>
            </w:r>
          </w:p>
        </w:tc>
        <w:tc>
          <w:tcPr>
            <w:tcW w:w="120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1"/>
              </w:rPr>
              <w:t>Options</w:t>
            </w:r>
          </w:p>
        </w:tc>
        <w:tc>
          <w:tcPr>
            <w:tcW w:w="1300" w:type="dxa"/>
            <w:vAlign w:val="bottom"/>
            <w:gridSpan w:val="2"/>
          </w:tcPr>
          <w:p>
            <w:pPr>
              <w:jc w:val="center"/>
              <w:ind w:right="440"/>
              <w:spacing w:after="0" w:line="106" w:lineRule="exact"/>
              <w:rPr>
                <w:sz w:val="20"/>
                <w:szCs w:val="20"/>
                <w:color w:val="auto"/>
              </w:rPr>
            </w:pPr>
            <w:r>
              <w:rPr>
                <w:rFonts w:ascii="Arial" w:cs="Arial" w:eastAsia="Arial" w:hAnsi="Arial"/>
                <w:sz w:val="11"/>
                <w:szCs w:val="11"/>
                <w:b w:val="1"/>
                <w:bCs w:val="1"/>
                <w:color w:val="auto"/>
                <w:w w:val="87"/>
              </w:rPr>
              <w:t>Average</w:t>
            </w:r>
          </w:p>
        </w:tc>
        <w:tc>
          <w:tcPr>
            <w:tcW w:w="114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92"/>
              </w:rPr>
              <w:t>Remaining</w:t>
            </w:r>
          </w:p>
        </w:tc>
        <w:tc>
          <w:tcPr>
            <w:tcW w:w="120" w:type="dxa"/>
            <w:vAlign w:val="bottom"/>
          </w:tcPr>
          <w:p>
            <w:pPr>
              <w:spacing w:after="0"/>
              <w:rPr>
                <w:sz w:val="9"/>
                <w:szCs w:val="9"/>
                <w:color w:val="auto"/>
              </w:rPr>
            </w:pPr>
          </w:p>
        </w:tc>
        <w:tc>
          <w:tcPr>
            <w:tcW w:w="1060" w:type="dxa"/>
            <w:vAlign w:val="bottom"/>
            <w:vMerge w:val="restart"/>
          </w:tcPr>
          <w:p>
            <w:pPr>
              <w:jc w:val="right"/>
              <w:ind w:right="236"/>
              <w:spacing w:after="0"/>
              <w:rPr>
                <w:sz w:val="20"/>
                <w:szCs w:val="20"/>
                <w:color w:val="auto"/>
              </w:rPr>
            </w:pPr>
            <w:r>
              <w:rPr>
                <w:rFonts w:ascii="Arial" w:cs="Arial" w:eastAsia="Arial" w:hAnsi="Arial"/>
                <w:sz w:val="11"/>
                <w:szCs w:val="11"/>
                <w:b w:val="1"/>
                <w:bCs w:val="1"/>
                <w:color w:val="auto"/>
                <w:w w:val="98"/>
              </w:rPr>
              <w:t>Intrinsic Value</w:t>
            </w:r>
          </w:p>
        </w:tc>
        <w:tc>
          <w:tcPr>
            <w:tcW w:w="114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1"/>
              </w:rPr>
              <w:t>Options</w:t>
            </w:r>
          </w:p>
        </w:tc>
        <w:tc>
          <w:tcPr>
            <w:tcW w:w="960" w:type="dxa"/>
            <w:vAlign w:val="bottom"/>
            <w:gridSpan w:val="2"/>
          </w:tcPr>
          <w:p>
            <w:pPr>
              <w:jc w:val="center"/>
              <w:ind w:right="100"/>
              <w:spacing w:after="0" w:line="106" w:lineRule="exact"/>
              <w:rPr>
                <w:sz w:val="20"/>
                <w:szCs w:val="20"/>
                <w:color w:val="auto"/>
              </w:rPr>
            </w:pPr>
            <w:r>
              <w:rPr>
                <w:rFonts w:ascii="Arial" w:cs="Arial" w:eastAsia="Arial" w:hAnsi="Arial"/>
                <w:sz w:val="11"/>
                <w:szCs w:val="11"/>
                <w:b w:val="1"/>
                <w:bCs w:val="1"/>
                <w:color w:val="auto"/>
                <w:w w:val="87"/>
              </w:rPr>
              <w:t>Average</w:t>
            </w:r>
          </w:p>
        </w:tc>
        <w:tc>
          <w:tcPr>
            <w:tcW w:w="10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Remaining</w:t>
            </w:r>
          </w:p>
        </w:tc>
        <w:tc>
          <w:tcPr>
            <w:tcW w:w="10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Intrinsic Value</w:t>
            </w:r>
          </w:p>
        </w:tc>
        <w:tc>
          <w:tcPr>
            <w:tcW w:w="0" w:type="dxa"/>
            <w:vAlign w:val="bottom"/>
          </w:tcPr>
          <w:p>
            <w:pPr>
              <w:spacing w:after="0"/>
              <w:rPr>
                <w:sz w:val="1"/>
                <w:szCs w:val="1"/>
                <w:color w:val="auto"/>
              </w:rPr>
            </w:pPr>
          </w:p>
        </w:tc>
      </w:tr>
      <w:tr>
        <w:trPr>
          <w:trHeight w:val="149"/>
        </w:trPr>
        <w:tc>
          <w:tcPr>
            <w:tcW w:w="2160" w:type="dxa"/>
            <w:vAlign w:val="bottom"/>
            <w:vMerge w:val="continue"/>
          </w:tcPr>
          <w:p>
            <w:pPr>
              <w:spacing w:after="0"/>
              <w:rPr>
                <w:sz w:val="12"/>
                <w:szCs w:val="12"/>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Outstanding</w:t>
            </w:r>
          </w:p>
        </w:tc>
        <w:tc>
          <w:tcPr>
            <w:tcW w:w="1300" w:type="dxa"/>
            <w:vAlign w:val="bottom"/>
            <w:gridSpan w:val="2"/>
          </w:tcPr>
          <w:p>
            <w:pPr>
              <w:jc w:val="center"/>
              <w:ind w:right="440"/>
              <w:spacing w:after="0"/>
              <w:rPr>
                <w:sz w:val="20"/>
                <w:szCs w:val="20"/>
                <w:color w:val="auto"/>
              </w:rPr>
            </w:pPr>
            <w:r>
              <w:rPr>
                <w:rFonts w:ascii="Arial" w:cs="Arial" w:eastAsia="Arial" w:hAnsi="Arial"/>
                <w:sz w:val="11"/>
                <w:szCs w:val="11"/>
                <w:b w:val="1"/>
                <w:bCs w:val="1"/>
                <w:color w:val="auto"/>
                <w:w w:val="92"/>
              </w:rPr>
              <w:t>Exercise Price</w:t>
            </w:r>
          </w:p>
        </w:tc>
        <w:tc>
          <w:tcPr>
            <w:tcW w:w="11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Contractual Life</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Exercisable</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Exercise Price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5"/>
              </w:rPr>
              <w:t>Contractual Life</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(In years)</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(In years)</w:t>
            </w: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Equity Incentive Plan</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160" w:type="dxa"/>
            <w:vAlign w:val="bottom"/>
          </w:tcPr>
          <w:p>
            <w:pPr>
              <w:jc w:val="right"/>
              <w:ind w:right="654"/>
              <w:spacing w:after="0"/>
              <w:rPr>
                <w:sz w:val="20"/>
                <w:szCs w:val="20"/>
                <w:color w:val="auto"/>
              </w:rPr>
            </w:pPr>
            <w:r>
              <w:rPr>
                <w:rFonts w:ascii="Arial" w:cs="Arial" w:eastAsia="Arial" w:hAnsi="Arial"/>
                <w:sz w:val="14"/>
                <w:szCs w:val="14"/>
                <w:color w:val="auto"/>
              </w:rPr>
              <w:t>$9.94 - $97.84</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1,412,907</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$44.86</w:t>
            </w:r>
          </w:p>
        </w:tc>
        <w:tc>
          <w:tcPr>
            <w:tcW w:w="4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6.34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36"/>
              <w:spacing w:after="0"/>
              <w:rPr>
                <w:sz w:val="20"/>
                <w:szCs w:val="20"/>
                <w:color w:val="auto"/>
              </w:rPr>
            </w:pPr>
            <w:r>
              <w:rPr>
                <w:rFonts w:ascii="Arial" w:cs="Arial" w:eastAsia="Arial" w:hAnsi="Arial"/>
                <w:sz w:val="14"/>
                <w:szCs w:val="14"/>
                <w:color w:val="auto"/>
              </w:rPr>
              <w:t>50,399</w:t>
            </w: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898,195</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$36.10</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81"/>
              </w:rPr>
              <w:t>5.3</w:t>
            </w:r>
          </w:p>
        </w:tc>
        <w:tc>
          <w:tcPr>
            <w:tcW w:w="1080" w:type="dxa"/>
            <w:vAlign w:val="bottom"/>
          </w:tcPr>
          <w:p>
            <w:pPr>
              <w:jc w:val="right"/>
              <w:ind w:right="256"/>
              <w:spacing w:after="0"/>
              <w:rPr>
                <w:sz w:val="20"/>
                <w:szCs w:val="20"/>
                <w:color w:val="auto"/>
              </w:rPr>
            </w:pPr>
            <w:r>
              <w:rPr>
                <w:rFonts w:ascii="Arial" w:cs="Arial" w:eastAsia="Arial" w:hAnsi="Arial"/>
                <w:sz w:val="14"/>
                <w:szCs w:val="14"/>
                <w:color w:val="auto"/>
              </w:rPr>
              <w:t>$39,905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94" w:lineRule="exact"/>
        <w:rPr>
          <w:sz w:val="20"/>
          <w:szCs w:val="20"/>
          <w:color w:val="auto"/>
        </w:rPr>
      </w:pPr>
    </w:p>
    <w:p>
      <w:pPr>
        <w:jc w:val="both"/>
        <w:ind w:right="20" w:firstLine="318"/>
        <w:spacing w:after="0" w:line="297" w:lineRule="auto"/>
        <w:rPr>
          <w:sz w:val="20"/>
          <w:szCs w:val="20"/>
          <w:color w:val="auto"/>
        </w:rPr>
      </w:pPr>
      <w:r>
        <w:rPr>
          <w:rFonts w:ascii="Arial" w:cs="Arial" w:eastAsia="Arial" w:hAnsi="Arial"/>
          <w:sz w:val="13"/>
          <w:szCs w:val="13"/>
          <w:color w:val="auto"/>
        </w:rPr>
        <w:t>The Company offers a tax qualified Employee Stock Purchase Plan, or ESPP, which is designed to enable eligible employees to periodically purchase shares of the Class A Common Stock up to an aggregate of 10 million shares at a five percent discount from the fair market value of the Class A Common Stock. The ESPP provides for quarterly offering periods. For the year ended March 31, 2021, 249,095 shares of Class A Common Stock were purchased by employees under the ESPP. Since the program's inception, 2,908,898 shares have been purchased by employees.</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FAIR VALUE MEASUREMENTS</w:t>
      </w:r>
    </w:p>
    <w:p>
      <w:pPr>
        <w:spacing w:after="0" w:line="98"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57"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Recurring Fair Value Measurements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as of March 31, 2021</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0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Long term deferred compensation plan asset (1)</w:t>
            </w: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14,142</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0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Liabilities:</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Contingent consideration liability (2)</w:t>
            </w:r>
          </w:p>
        </w:tc>
        <w:tc>
          <w:tcPr>
            <w:tcW w:w="228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Current derivative instruments (3)</w:t>
            </w: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17,163</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derivative instruments (3)</w:t>
            </w:r>
          </w:p>
        </w:tc>
        <w:tc>
          <w:tcPr>
            <w:tcW w:w="2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20,999</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240" w:type="dxa"/>
            <w:vAlign w:val="bottom"/>
          </w:tcPr>
          <w:p>
            <w:pPr>
              <w:ind w:left="100"/>
              <w:spacing w:after="0"/>
              <w:rPr>
                <w:sz w:val="20"/>
                <w:szCs w:val="20"/>
                <w:color w:val="auto"/>
              </w:rPr>
            </w:pPr>
            <w:r>
              <w:rPr>
                <w:rFonts w:ascii="Arial" w:cs="Arial" w:eastAsia="Arial" w:hAnsi="Arial"/>
                <w:sz w:val="14"/>
                <w:szCs w:val="14"/>
                <w:color w:val="auto"/>
              </w:rPr>
              <w:t>Long term deferred compensation plan liability (1)</w:t>
            </w: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14,142</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0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38,162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53,527</w:t>
            </w:r>
          </w:p>
        </w:tc>
        <w:tc>
          <w:tcPr>
            <w:tcW w:w="20" w:type="dxa"/>
            <w:vAlign w:val="bottom"/>
          </w:tcPr>
          <w:p>
            <w:pPr>
              <w:spacing w:after="0"/>
              <w:rPr>
                <w:sz w:val="14"/>
                <w:szCs w:val="14"/>
                <w:color w:val="auto"/>
              </w:rPr>
            </w:pPr>
          </w:p>
        </w:tc>
      </w:tr>
      <w:tr>
        <w:trPr>
          <w:trHeight w:val="70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80" w:type="dxa"/>
            <w:vAlign w:val="bottom"/>
            <w:gridSpan w:val="2"/>
          </w:tcPr>
          <w:p>
            <w:pPr>
              <w:jc w:val="right"/>
              <w:ind w:right="689"/>
              <w:spacing w:after="0"/>
              <w:rPr>
                <w:sz w:val="20"/>
                <w:szCs w:val="20"/>
                <w:color w:val="auto"/>
              </w:rPr>
            </w:pPr>
            <w:r>
              <w:rPr>
                <w:rFonts w:ascii="Arial" w:cs="Arial" w:eastAsia="Arial" w:hAnsi="Arial"/>
                <w:sz w:val="14"/>
                <w:szCs w:val="14"/>
                <w:color w:val="auto"/>
              </w:rPr>
              <w:t>F-41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Recurring Fair Value Measurements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6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as of March 31, 2020</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71"/>
        </w:trPr>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920" w:type="dxa"/>
            <w:vAlign w:val="bottom"/>
          </w:tcPr>
          <w:p>
            <w:pPr>
              <w:jc w:val="right"/>
              <w:ind w:right="369"/>
              <w:spacing w:after="0"/>
              <w:rPr>
                <w:sz w:val="20"/>
                <w:szCs w:val="20"/>
                <w:color w:val="auto"/>
              </w:rPr>
            </w:pPr>
            <w:r>
              <w:rPr>
                <w:rFonts w:ascii="Arial" w:cs="Arial" w:eastAsia="Arial" w:hAnsi="Arial"/>
                <w:sz w:val="14"/>
                <w:szCs w:val="14"/>
                <w:b w:val="1"/>
                <w:bCs w:val="1"/>
                <w:color w:val="auto"/>
              </w:rPr>
              <w:t>Total</w:t>
            </w:r>
          </w:p>
        </w:tc>
      </w:tr>
      <w:tr>
        <w:trPr>
          <w:trHeight w:val="16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80"/>
        </w:trPr>
        <w:tc>
          <w:tcPr>
            <w:tcW w:w="6300" w:type="dxa"/>
            <w:vAlign w:val="bottom"/>
          </w:tcPr>
          <w:p>
            <w:pPr>
              <w:ind w:left="100"/>
              <w:spacing w:after="0"/>
              <w:rPr>
                <w:sz w:val="20"/>
                <w:szCs w:val="20"/>
                <w:color w:val="auto"/>
              </w:rPr>
            </w:pPr>
            <w:r>
              <w:rPr>
                <w:rFonts w:ascii="Arial" w:cs="Arial" w:eastAsia="Arial" w:hAnsi="Arial"/>
                <w:sz w:val="14"/>
                <w:szCs w:val="14"/>
                <w:color w:val="auto"/>
              </w:rPr>
              <w:t>Long term deferred compensation plan asset (1)</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5,879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5,879</w:t>
            </w:r>
          </w:p>
        </w:tc>
      </w:tr>
      <w:tr>
        <w:trPr>
          <w:trHeight w:val="171"/>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5,879</w:t>
            </w:r>
          </w:p>
        </w:tc>
      </w:tr>
      <w:tr>
        <w:trPr>
          <w:trHeight w:val="160"/>
        </w:trPr>
        <w:tc>
          <w:tcPr>
            <w:tcW w:w="6300" w:type="dxa"/>
            <w:vAlign w:val="bottom"/>
          </w:tcPr>
          <w:p>
            <w:pPr>
              <w:spacing w:after="0"/>
              <w:rPr>
                <w:sz w:val="20"/>
                <w:szCs w:val="20"/>
                <w:color w:val="auto"/>
              </w:rPr>
            </w:pPr>
            <w:r>
              <w:rPr>
                <w:rFonts w:ascii="Arial" w:cs="Arial" w:eastAsia="Arial" w:hAnsi="Arial"/>
                <w:sz w:val="14"/>
                <w:szCs w:val="14"/>
                <w:color w:val="auto"/>
              </w:rPr>
              <w:t>Liabilities: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1"/>
        </w:trPr>
        <w:tc>
          <w:tcPr>
            <w:tcW w:w="6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Contingent consideration liability (2)</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w:t>
            </w:r>
          </w:p>
        </w:tc>
      </w:tr>
      <w:tr>
        <w:trPr>
          <w:trHeight w:val="180"/>
        </w:trPr>
        <w:tc>
          <w:tcPr>
            <w:tcW w:w="6300" w:type="dxa"/>
            <w:vAlign w:val="bottom"/>
          </w:tcPr>
          <w:p>
            <w:pPr>
              <w:ind w:left="100"/>
              <w:spacing w:after="0"/>
              <w:rPr>
                <w:sz w:val="20"/>
                <w:szCs w:val="20"/>
                <w:color w:val="auto"/>
              </w:rPr>
            </w:pPr>
            <w:r>
              <w:rPr>
                <w:rFonts w:ascii="Arial" w:cs="Arial" w:eastAsia="Arial" w:hAnsi="Arial"/>
                <w:sz w:val="14"/>
                <w:szCs w:val="14"/>
                <w:color w:val="auto"/>
              </w:rPr>
              <w:t>Current derivative instruments (3)</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18,831</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18,831</w:t>
            </w:r>
          </w:p>
        </w:tc>
      </w:tr>
      <w:tr>
        <w:trPr>
          <w:trHeight w:val="181"/>
        </w:trPr>
        <w:tc>
          <w:tcPr>
            <w:tcW w:w="6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derivative instruments (3)</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37,819</w:t>
            </w:r>
          </w:p>
        </w:tc>
      </w:tr>
      <w:tr>
        <w:trPr>
          <w:trHeight w:val="180"/>
        </w:trPr>
        <w:tc>
          <w:tcPr>
            <w:tcW w:w="6300" w:type="dxa"/>
            <w:vAlign w:val="bottom"/>
          </w:tcPr>
          <w:p>
            <w:pPr>
              <w:ind w:left="100"/>
              <w:spacing w:after="0"/>
              <w:rPr>
                <w:sz w:val="20"/>
                <w:szCs w:val="20"/>
                <w:color w:val="auto"/>
              </w:rPr>
            </w:pPr>
            <w:r>
              <w:rPr>
                <w:rFonts w:ascii="Arial" w:cs="Arial" w:eastAsia="Arial" w:hAnsi="Arial"/>
                <w:sz w:val="14"/>
                <w:szCs w:val="14"/>
                <w:color w:val="auto"/>
              </w:rPr>
              <w:t>Long term deferred compensation plan liability (1)</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5,879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5,879</w:t>
            </w:r>
          </w:p>
        </w:tc>
      </w:tr>
      <w:tr>
        <w:trPr>
          <w:trHeight w:val="171"/>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56,650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63,753</w:t>
            </w:r>
          </w:p>
        </w:tc>
      </w:tr>
    </w:tbl>
    <w:p>
      <w:pPr>
        <w:spacing w:after="0" w:line="244" w:lineRule="exact"/>
        <w:rPr>
          <w:sz w:val="20"/>
          <w:szCs w:val="20"/>
          <w:color w:val="auto"/>
        </w:rPr>
      </w:pPr>
    </w:p>
    <w:p>
      <w:pPr>
        <w:ind w:right="40" w:firstLine="5"/>
        <w:spacing w:after="0" w:line="267" w:lineRule="auto"/>
        <w:tabs>
          <w:tab w:leader="none" w:pos="2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Investments in this category consist of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consolidated balance sheets.</w:t>
      </w:r>
    </w:p>
    <w:p>
      <w:pPr>
        <w:spacing w:after="0" w:line="162" w:lineRule="exact"/>
        <w:rPr>
          <w:rFonts w:ascii="Arial" w:cs="Arial" w:eastAsia="Arial" w:hAnsi="Arial"/>
          <w:sz w:val="14"/>
          <w:szCs w:val="14"/>
          <w:color w:val="auto"/>
        </w:rPr>
      </w:pPr>
    </w:p>
    <w:p>
      <w:pPr>
        <w:ind w:right="80" w:firstLine="5"/>
        <w:spacing w:after="0" w:line="321" w:lineRule="auto"/>
        <w:tabs>
          <w:tab w:leader="none" w:pos="200"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Company recognized a contingent consideration liability of $3.6 million in connection with the acquisition of Aquilent in fiscal 2017. As of both March 31, 2021 and 2020, the estimated fair value of the contingent consideration liability was $1.2 million, and was valued using probability-weighted cash flows, which is based on the use of Level 3 fair value measurement inputs.</w:t>
      </w:r>
    </w:p>
    <w:p>
      <w:pPr>
        <w:spacing w:after="0" w:line="130" w:lineRule="exact"/>
        <w:rPr>
          <w:rFonts w:ascii="Arial" w:cs="Arial" w:eastAsia="Arial" w:hAnsi="Arial"/>
          <w:sz w:val="13"/>
          <w:szCs w:val="13"/>
          <w:color w:val="auto"/>
        </w:rPr>
      </w:pPr>
    </w:p>
    <w:p>
      <w:pPr>
        <w:ind w:right="20" w:firstLine="5"/>
        <w:spacing w:after="0" w:line="267" w:lineRule="auto"/>
        <w:tabs>
          <w:tab w:leader="none" w:pos="2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11 to the consolidated financial statements for further discussion on the Company’s derivative instruments designated as cash flow hedges.</w:t>
      </w:r>
    </w:p>
    <w:p>
      <w:pPr>
        <w:spacing w:after="0" w:line="163" w:lineRule="exact"/>
        <w:rPr>
          <w:sz w:val="20"/>
          <w:szCs w:val="20"/>
          <w:color w:val="auto"/>
        </w:rPr>
      </w:pPr>
    </w:p>
    <w:p>
      <w:pPr>
        <w:ind w:right="20" w:firstLine="318"/>
        <w:spacing w:after="0" w:line="260" w:lineRule="auto"/>
        <w:rPr>
          <w:sz w:val="20"/>
          <w:szCs w:val="20"/>
          <w:color w:val="auto"/>
        </w:rPr>
      </w:pPr>
      <w:r>
        <w:rPr>
          <w:rFonts w:ascii="Arial" w:cs="Arial" w:eastAsia="Arial" w:hAnsi="Arial"/>
          <w:sz w:val="14"/>
          <w:szCs w:val="14"/>
          <w:color w:val="auto"/>
        </w:rPr>
        <w:t>The fair value of the Company's cash and cash equivalents, which are Level 1 inputs, approximated its carrying values at March 31, 2021 and 2020. The fair value of the Company's debt instruments approximated its carrying value at March 31, 2021 and 2020.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Senior Notes is determined using quoted prices or other market information from recent trading activity in the high-yield bond market (Level 2 inputs).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 RELATED-PARTY TRANSACTIONS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Two of our directors currently serve on the board of directors of a subcontractor to which the Company subcontracted $85.9 million, $79.7 million and $55.3 million of services for fiscal 2021,</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2020 and 2019,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COMMITMENTS AND CONTINGENCIES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Letters of Credit and Third-Party Guarantees</w:t>
      </w:r>
    </w:p>
    <w:p>
      <w:pPr>
        <w:spacing w:after="0" w:line="94" w:lineRule="exact"/>
        <w:rPr>
          <w:sz w:val="20"/>
          <w:szCs w:val="20"/>
          <w:color w:val="auto"/>
        </w:rPr>
      </w:pPr>
    </w:p>
    <w:p>
      <w:pPr>
        <w:ind w:right="80" w:firstLine="318"/>
        <w:spacing w:after="0" w:line="319" w:lineRule="auto"/>
        <w:rPr>
          <w:sz w:val="20"/>
          <w:szCs w:val="20"/>
          <w:color w:val="auto"/>
        </w:rPr>
      </w:pPr>
      <w:r>
        <w:rPr>
          <w:rFonts w:ascii="Arial" w:cs="Arial" w:eastAsia="Arial" w:hAnsi="Arial"/>
          <w:sz w:val="12"/>
          <w:szCs w:val="12"/>
          <w:color w:val="auto"/>
        </w:rPr>
        <w:t>As of March 31, 2021 and 2020, the Company was contingently liable under open standby letters of credit and bank guarantees issued by our banks in favor of third parties that totaled $9.8 million and $9.7 million, respectively. These letters of credit and bank guarantees primarily support insurance and bid and performance obligations. At both March 31, 2021 and 2020, approximately $0.9 million of these instruments reduce the available borrowings under the Revolving Credit Facility. The remainder is guaranteed under a separate $20.0 million facility, originally established in fiscal 2015 and most recently increased to $20.0 million in fiscal 2021, of which $11.1 million and $6.2 million, respectively, was available to the Company at March 31, 2021 and 2020.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Government Contracting Matters - Provision for Claimed Indirect Costs</w:t>
      </w:r>
    </w:p>
    <w:p>
      <w:pPr>
        <w:spacing w:after="0" w:line="94"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For fiscal 2021, 2020, and 2019, approximately 97%, 96%, and 96%, respectively,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claimed indirect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(DCAA), routinely audit our claimed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claimed indirect costs for any audit, inquiry, or investigation of which it is aware that may be subject to any reductions and/or penalties. As of March 31, 2021 and 2020, the Company had recorded liabilities of approximately $263.2 million and $224.6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Litigation</w:t>
      </w:r>
    </w:p>
    <w:p>
      <w:pPr>
        <w:spacing w:after="0" w:line="94" w:lineRule="exact"/>
        <w:rPr>
          <w:sz w:val="20"/>
          <w:szCs w:val="20"/>
          <w:color w:val="auto"/>
        </w:rPr>
      </w:pPr>
    </w:p>
    <w:p>
      <w:pPr>
        <w:ind w:right="20" w:firstLine="318"/>
        <w:spacing w:after="0" w:line="304" w:lineRule="auto"/>
        <w:rPr>
          <w:sz w:val="20"/>
          <w:szCs w:val="20"/>
          <w:color w:val="auto"/>
        </w:rPr>
      </w:pPr>
      <w:r>
        <w:rPr>
          <w:rFonts w:ascii="Arial" w:cs="Arial" w:eastAsia="Arial" w:hAnsi="Arial"/>
          <w:sz w:val="12"/>
          <w:szCs w:val="12"/>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2021 and 2020, there were no material amounts accrued in the consolidated financial statements related to these proceedings.</w:t>
      </w:r>
    </w:p>
    <w:p>
      <w:pPr>
        <w:spacing w:after="0" w:line="40" w:lineRule="exact"/>
        <w:rPr>
          <w:sz w:val="20"/>
          <w:szCs w:val="20"/>
          <w:color w:val="auto"/>
        </w:rPr>
      </w:pPr>
    </w:p>
    <w:p>
      <w:pPr>
        <w:ind w:right="4080" w:firstLine="318"/>
        <w:spacing w:after="0" w:line="297" w:lineRule="auto"/>
        <w:rPr>
          <w:sz w:val="20"/>
          <w:szCs w:val="20"/>
          <w:color w:val="auto"/>
        </w:rPr>
      </w:pPr>
      <w:r>
        <w:rPr>
          <w:rFonts w:ascii="Arial" w:cs="Arial" w:eastAsia="Arial" w:hAnsi="Arial"/>
          <w:sz w:val="12"/>
          <w:szCs w:val="12"/>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relevant government parties. On May 12, 2021, the Company was informed that the DOJ has closed its criminal investigation.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63" w:lineRule="exact"/>
        <w:rPr>
          <w:sz w:val="20"/>
          <w:szCs w:val="20"/>
          <w:color w:val="auto"/>
        </w:rPr>
      </w:pPr>
    </w:p>
    <w:p>
      <w:pPr>
        <w:ind w:right="300" w:firstLine="318"/>
        <w:spacing w:after="0" w:line="281" w:lineRule="auto"/>
        <w:rPr>
          <w:sz w:val="20"/>
          <w:szCs w:val="20"/>
          <w:color w:val="auto"/>
        </w:rPr>
      </w:pPr>
      <w:r>
        <w:rPr>
          <w:rFonts w:ascii="Arial" w:cs="Arial" w:eastAsia="Arial" w:hAnsi="Arial"/>
          <w:sz w:val="14"/>
          <w:szCs w:val="14"/>
          <w:color w:val="auto"/>
        </w:rPr>
        <w:t>On June 19, 2017, a purported stockholder of the Company filed a putative class action lawsuit in the United States District Court for the Eastern District of Virginia styled Langley v. Booz Allen Hamilton Holding Corp., No. 17-cv-00696</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74"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color w:val="auto"/>
        </w:rPr>
        <w:t>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49"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and November 23, 2020,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 BUSINESS SEGMENT INFORMATION</w:t>
      </w:r>
    </w:p>
    <w:p>
      <w:pPr>
        <w:spacing w:after="0" w:line="87" w:lineRule="exact"/>
        <w:rPr>
          <w:sz w:val="20"/>
          <w:szCs w:val="20"/>
          <w:color w:val="auto"/>
        </w:rPr>
      </w:pPr>
    </w:p>
    <w:p>
      <w:pPr>
        <w:ind w:right="320" w:firstLine="350"/>
        <w:spacing w:after="0" w:line="262" w:lineRule="auto"/>
        <w:rPr>
          <w:sz w:val="20"/>
          <w:szCs w:val="20"/>
          <w:color w:val="auto"/>
        </w:rPr>
      </w:pPr>
      <w:r>
        <w:rPr>
          <w:rFonts w:ascii="Arial" w:cs="Arial" w:eastAsia="Arial" w:hAnsi="Arial"/>
          <w:sz w:val="14"/>
          <w:szCs w:val="14"/>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23. UNAUDITED QUARTERLY FINANCIAL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1"/>
                <w:szCs w:val="11"/>
                <w:b w:val="1"/>
                <w:bCs w:val="1"/>
                <w:color w:val="auto"/>
              </w:rPr>
              <w:t>Fiscal 2021 Quarters</w:t>
            </w:r>
          </w:p>
        </w:tc>
        <w:tc>
          <w:tcPr>
            <w:tcW w:w="10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42"/>
        </w:trPr>
        <w:tc>
          <w:tcPr>
            <w:tcW w:w="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First</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tcPr>
          <w:p>
            <w:pPr>
              <w:ind w:left="260"/>
              <w:spacing w:after="0"/>
              <w:rPr>
                <w:sz w:val="20"/>
                <w:szCs w:val="20"/>
                <w:color w:val="auto"/>
              </w:rPr>
            </w:pPr>
            <w:r>
              <w:rPr>
                <w:rFonts w:ascii="Arial" w:cs="Arial" w:eastAsia="Arial" w:hAnsi="Arial"/>
                <w:sz w:val="11"/>
                <w:szCs w:val="11"/>
                <w:b w:val="1"/>
                <w:bCs w:val="1"/>
                <w:color w:val="auto"/>
              </w:rPr>
              <w:t>Second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tcPr>
          <w:p>
            <w:pPr>
              <w:ind w:left="100"/>
              <w:spacing w:after="0"/>
              <w:rPr>
                <w:sz w:val="20"/>
                <w:szCs w:val="20"/>
                <w:color w:val="auto"/>
              </w:rPr>
            </w:pPr>
            <w:r>
              <w:rPr>
                <w:rFonts w:ascii="Arial" w:cs="Arial" w:eastAsia="Arial" w:hAnsi="Arial"/>
                <w:sz w:val="11"/>
                <w:szCs w:val="11"/>
                <w:b w:val="1"/>
                <w:bCs w:val="1"/>
                <w:color w:val="auto"/>
              </w:rPr>
              <w:t>Third</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ind w:right="591"/>
              <w:spacing w:after="0"/>
              <w:rPr>
                <w:sz w:val="20"/>
                <w:szCs w:val="20"/>
                <w:color w:val="auto"/>
              </w:rPr>
            </w:pPr>
            <w:r>
              <w:rPr>
                <w:rFonts w:ascii="Arial" w:cs="Arial" w:eastAsia="Arial" w:hAnsi="Arial"/>
                <w:sz w:val="11"/>
                <w:szCs w:val="11"/>
                <w:b w:val="1"/>
                <w:bCs w:val="1"/>
                <w:color w:val="auto"/>
              </w:rPr>
              <w:t>Fourth</w:t>
            </w:r>
          </w:p>
        </w:tc>
        <w:tc>
          <w:tcPr>
            <w:tcW w:w="60" w:type="dxa"/>
            <w:vAlign w:val="bottom"/>
          </w:tcPr>
          <w:p>
            <w:pPr>
              <w:spacing w:after="0"/>
              <w:rPr>
                <w:sz w:val="12"/>
                <w:szCs w:val="12"/>
                <w:color w:val="auto"/>
              </w:rPr>
            </w:pPr>
          </w:p>
        </w:tc>
      </w:tr>
      <w:tr>
        <w:trPr>
          <w:trHeight w:val="172"/>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00" w:type="dxa"/>
            <w:vAlign w:val="bottom"/>
            <w:tcBorders>
              <w:top w:val="single" w:sz="8" w:color="auto"/>
            </w:tcBorders>
            <w:gridSpan w:val="2"/>
            <w:shd w:val="clear" w:color="auto" w:fill="CCEEFF"/>
          </w:tcPr>
          <w:p>
            <w:pPr>
              <w:jc w:val="right"/>
              <w:ind w:right="85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1,956,453</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gridSpan w:val="2"/>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2,019,185</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gridSpan w:val="2"/>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1,904,020</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gridSpan w:val="2"/>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1,979,280</w:t>
            </w:r>
          </w:p>
        </w:tc>
        <w:tc>
          <w:tcPr>
            <w:tcW w:w="60" w:type="dxa"/>
            <w:vAlign w:val="bottom"/>
          </w:tcPr>
          <w:p>
            <w:pPr>
              <w:spacing w:after="0"/>
              <w:rPr>
                <w:sz w:val="14"/>
                <w:szCs w:val="14"/>
                <w:color w:val="auto"/>
              </w:rPr>
            </w:pPr>
          </w:p>
        </w:tc>
      </w:tr>
      <w:tr>
        <w:trPr>
          <w:trHeight w:val="180"/>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Operating income</w:t>
            </w: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191,887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207,221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184,257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171,006</w:t>
            </w:r>
          </w:p>
        </w:tc>
        <w:tc>
          <w:tcPr>
            <w:tcW w:w="60" w:type="dxa"/>
            <w:vAlign w:val="bottom"/>
          </w:tcPr>
          <w:p>
            <w:pPr>
              <w:spacing w:after="0"/>
              <w:rPr>
                <w:sz w:val="15"/>
                <w:szCs w:val="15"/>
                <w:color w:val="auto"/>
              </w:rPr>
            </w:pPr>
          </w:p>
        </w:tc>
      </w:tr>
      <w:tr>
        <w:trPr>
          <w:trHeight w:val="181"/>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170,816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175,400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165,983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150,240</w:t>
            </w:r>
          </w:p>
        </w:tc>
        <w:tc>
          <w:tcPr>
            <w:tcW w:w="60" w:type="dxa"/>
            <w:vAlign w:val="bottom"/>
          </w:tcPr>
          <w:p>
            <w:pPr>
              <w:spacing w:after="0"/>
              <w:rPr>
                <w:sz w:val="15"/>
                <w:szCs w:val="15"/>
                <w:color w:val="auto"/>
              </w:rPr>
            </w:pPr>
          </w:p>
        </w:tc>
      </w:tr>
      <w:tr>
        <w:trPr>
          <w:trHeight w:val="180"/>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129,329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136,081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144,371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199,177</w:t>
            </w:r>
          </w:p>
        </w:tc>
        <w:tc>
          <w:tcPr>
            <w:tcW w:w="60" w:type="dxa"/>
            <w:vAlign w:val="bottom"/>
          </w:tcPr>
          <w:p>
            <w:pPr>
              <w:spacing w:after="0"/>
              <w:rPr>
                <w:sz w:val="15"/>
                <w:szCs w:val="15"/>
                <w:color w:val="auto"/>
              </w:rPr>
            </w:pPr>
          </w:p>
        </w:tc>
      </w:tr>
      <w:tr>
        <w:trPr>
          <w:trHeight w:val="181"/>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Earnings per common share:</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240" w:type="dxa"/>
            <w:vAlign w:val="bottom"/>
          </w:tcPr>
          <w:p>
            <w:pPr>
              <w:ind w:left="240"/>
              <w:spacing w:after="0"/>
              <w:rPr>
                <w:sz w:val="20"/>
                <w:szCs w:val="20"/>
                <w:color w:val="auto"/>
              </w:rPr>
            </w:pPr>
            <w:r>
              <w:rPr>
                <w:rFonts w:ascii="Arial" w:cs="Arial" w:eastAsia="Arial" w:hAnsi="Arial"/>
                <w:sz w:val="14"/>
                <w:szCs w:val="14"/>
                <w:color w:val="auto"/>
              </w:rPr>
              <w:t>Basic (1)</w:t>
            </w:r>
          </w:p>
        </w:tc>
        <w:tc>
          <w:tcPr>
            <w:tcW w:w="1000" w:type="dxa"/>
            <w:vAlign w:val="bottom"/>
            <w:gridSpan w:val="2"/>
          </w:tcPr>
          <w:p>
            <w:pPr>
              <w:jc w:val="right"/>
              <w:ind w:right="85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0.93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0.98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4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2"/>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1.45</w:t>
            </w:r>
          </w:p>
        </w:tc>
        <w:tc>
          <w:tcPr>
            <w:tcW w:w="60" w:type="dxa"/>
            <w:vAlign w:val="bottom"/>
          </w:tcPr>
          <w:p>
            <w:pPr>
              <w:spacing w:after="0"/>
              <w:rPr>
                <w:sz w:val="15"/>
                <w:szCs w:val="15"/>
                <w:color w:val="auto"/>
              </w:rPr>
            </w:pPr>
          </w:p>
        </w:tc>
      </w:tr>
      <w:tr>
        <w:trPr>
          <w:trHeight w:val="181"/>
        </w:trPr>
        <w:tc>
          <w:tcPr>
            <w:tcW w:w="40" w:type="dxa"/>
            <w:vAlign w:val="bottom"/>
            <w:shd w:val="clear" w:color="auto" w:fill="CCEEFF"/>
          </w:tcPr>
          <w:p>
            <w:pPr>
              <w:spacing w:after="0"/>
              <w:rPr>
                <w:sz w:val="15"/>
                <w:szCs w:val="15"/>
                <w:color w:val="auto"/>
              </w:rPr>
            </w:pPr>
          </w:p>
        </w:tc>
        <w:tc>
          <w:tcPr>
            <w:tcW w:w="4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Diluted (1)</w:t>
            </w:r>
          </w:p>
        </w:tc>
        <w:tc>
          <w:tcPr>
            <w:tcW w:w="1000" w:type="dxa"/>
            <w:vAlign w:val="bottom"/>
            <w:gridSpan w:val="2"/>
            <w:shd w:val="clear" w:color="auto" w:fill="CCEEFF"/>
          </w:tcPr>
          <w:p>
            <w:pPr>
              <w:jc w:val="right"/>
              <w:ind w:right="85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60" w:type="dxa"/>
            <w:vAlign w:val="bottom"/>
          </w:tcPr>
          <w:p>
            <w:pPr>
              <w:spacing w:after="0"/>
              <w:rPr>
                <w:sz w:val="15"/>
                <w:szCs w:val="15"/>
                <w:color w:val="auto"/>
              </w:rPr>
            </w:pPr>
          </w:p>
        </w:tc>
      </w:tr>
      <w:tr>
        <w:trPr>
          <w:trHeight w:val="357"/>
        </w:trPr>
        <w:tc>
          <w:tcPr>
            <w:tcW w:w="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1"/>
                <w:szCs w:val="11"/>
                <w:b w:val="1"/>
                <w:bCs w:val="1"/>
                <w:color w:val="auto"/>
              </w:rPr>
              <w:t>Fiscal 2020 Quarters</w:t>
            </w: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42"/>
        </w:trPr>
        <w:tc>
          <w:tcPr>
            <w:tcW w:w="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First</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3"/>
          </w:tcPr>
          <w:p>
            <w:pPr>
              <w:ind w:left="300"/>
              <w:spacing w:after="0"/>
              <w:rPr>
                <w:sz w:val="20"/>
                <w:szCs w:val="20"/>
                <w:color w:val="auto"/>
              </w:rPr>
            </w:pPr>
            <w:r>
              <w:rPr>
                <w:rFonts w:ascii="Arial" w:cs="Arial" w:eastAsia="Arial" w:hAnsi="Arial"/>
                <w:sz w:val="11"/>
                <w:szCs w:val="11"/>
                <w:b w:val="1"/>
                <w:bCs w:val="1"/>
                <w:color w:val="auto"/>
              </w:rPr>
              <w:t>Second</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tcPr>
          <w:p>
            <w:pPr>
              <w:ind w:left="140"/>
              <w:spacing w:after="0"/>
              <w:rPr>
                <w:sz w:val="20"/>
                <w:szCs w:val="20"/>
                <w:color w:val="auto"/>
              </w:rPr>
            </w:pPr>
            <w:r>
              <w:rPr>
                <w:rFonts w:ascii="Arial" w:cs="Arial" w:eastAsia="Arial" w:hAnsi="Arial"/>
                <w:sz w:val="11"/>
                <w:szCs w:val="11"/>
                <w:b w:val="1"/>
                <w:bCs w:val="1"/>
                <w:color w:val="auto"/>
              </w:rPr>
              <w:t>Third</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jc w:val="right"/>
              <w:ind w:right="551"/>
              <w:spacing w:after="0"/>
              <w:rPr>
                <w:sz w:val="20"/>
                <w:szCs w:val="20"/>
                <w:color w:val="auto"/>
              </w:rPr>
            </w:pPr>
            <w:r>
              <w:rPr>
                <w:rFonts w:ascii="Arial" w:cs="Arial" w:eastAsia="Arial" w:hAnsi="Arial"/>
                <w:sz w:val="11"/>
                <w:szCs w:val="11"/>
                <w:b w:val="1"/>
                <w:bCs w:val="1"/>
                <w:color w:val="auto"/>
              </w:rPr>
              <w:t>Fourth</w:t>
            </w:r>
          </w:p>
        </w:tc>
        <w:tc>
          <w:tcPr>
            <w:tcW w:w="60" w:type="dxa"/>
            <w:vAlign w:val="bottom"/>
          </w:tcPr>
          <w:p>
            <w:pPr>
              <w:spacing w:after="0"/>
              <w:rPr>
                <w:sz w:val="12"/>
                <w:szCs w:val="12"/>
                <w:color w:val="auto"/>
              </w:rPr>
            </w:pPr>
          </w:p>
        </w:tc>
      </w:tr>
      <w:tr>
        <w:trPr>
          <w:trHeight w:val="172"/>
        </w:trPr>
        <w:tc>
          <w:tcPr>
            <w:tcW w:w="40" w:type="dxa"/>
            <w:vAlign w:val="bottom"/>
          </w:tcPr>
          <w:p>
            <w:pPr>
              <w:spacing w:after="0"/>
              <w:rPr>
                <w:sz w:val="14"/>
                <w:szCs w:val="14"/>
                <w:color w:val="auto"/>
              </w:rPr>
            </w:pPr>
          </w:p>
        </w:tc>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1,825,176</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1,819,577</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1,849,441</w:t>
            </w: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1,969,647</w:t>
            </w:r>
          </w:p>
        </w:tc>
        <w:tc>
          <w:tcPr>
            <w:tcW w:w="60" w:type="dxa"/>
            <w:vAlign w:val="bottom"/>
            <w:tcBorders>
              <w:top w:val="single" w:sz="8" w:color="auto"/>
            </w:tcBorders>
            <w:shd w:val="clear" w:color="auto" w:fill="CCEEFF"/>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179,046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172,035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169,045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149,076</w:t>
            </w:r>
          </w:p>
        </w:tc>
        <w:tc>
          <w:tcPr>
            <w:tcW w:w="6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155,830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148,177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146,723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128,704</w:t>
            </w:r>
          </w:p>
        </w:tc>
        <w:tc>
          <w:tcPr>
            <w:tcW w:w="60" w:type="dxa"/>
            <w:vAlign w:val="bottom"/>
            <w:shd w:val="clear" w:color="auto" w:fill="CCEEFF"/>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117,386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114,325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112,026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138,866</w:t>
            </w:r>
          </w:p>
        </w:tc>
        <w:tc>
          <w:tcPr>
            <w:tcW w:w="6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common share:</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Basic (1)</w:t>
            </w:r>
          </w:p>
        </w:tc>
        <w:tc>
          <w:tcPr>
            <w:tcW w:w="1000" w:type="dxa"/>
            <w:vAlign w:val="bottom"/>
            <w:gridSpan w:val="2"/>
          </w:tcPr>
          <w:p>
            <w:pPr>
              <w:jc w:val="right"/>
              <w:ind w:right="81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0.81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40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0.79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0.99</w:t>
            </w:r>
          </w:p>
        </w:tc>
        <w:tc>
          <w:tcPr>
            <w:tcW w:w="6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 (1)</w:t>
            </w:r>
          </w:p>
        </w:tc>
        <w:tc>
          <w:tcPr>
            <w:tcW w:w="1000" w:type="dxa"/>
            <w:vAlign w:val="bottom"/>
            <w:gridSpan w:val="2"/>
            <w:shd w:val="clear" w:color="auto" w:fill="CCEEFF"/>
          </w:tcPr>
          <w:p>
            <w:pPr>
              <w:jc w:val="right"/>
              <w:ind w:right="81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0.98</w:t>
            </w:r>
          </w:p>
        </w:tc>
        <w:tc>
          <w:tcPr>
            <w:tcW w:w="60" w:type="dxa"/>
            <w:vAlign w:val="bottom"/>
            <w:shd w:val="clear" w:color="auto" w:fill="CCEEFF"/>
          </w:tcPr>
          <w:p>
            <w:pPr>
              <w:spacing w:after="0"/>
              <w:rPr>
                <w:sz w:val="15"/>
                <w:szCs w:val="15"/>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(1) Earnings per share are computed independently for each of the quarters presented and therefore may not sum to the total for the fiscal year.</w:t>
      </w: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 SUPPLEMENTAL FINANCIAL INFORMATION</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schedule summarizes valuation and qualifying accounts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Fiscal Year Ended March 31,</w:t>
            </w: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61"/>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80" w:type="dxa"/>
            <w:vAlign w:val="bottom"/>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gridSpan w:val="2"/>
          </w:tcPr>
          <w:p>
            <w:pPr>
              <w:jc w:val="right"/>
              <w:ind w:right="874"/>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3,985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10,679</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1"/>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Cumulative effect of accounting changes </w:t>
            </w:r>
            <w:r>
              <w:rPr>
                <w:rFonts w:ascii="Arial" w:cs="Arial" w:eastAsia="Arial" w:hAnsi="Arial"/>
                <w:sz w:val="11"/>
                <w:szCs w:val="11"/>
                <w:color w:val="auto"/>
              </w:rPr>
              <w:t>(1)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180" w:type="dxa"/>
            <w:vAlign w:val="bottom"/>
          </w:tcPr>
          <w:p>
            <w:pPr>
              <w:ind w:left="280"/>
              <w:spacing w:after="0"/>
              <w:rPr>
                <w:sz w:val="20"/>
                <w:szCs w:val="20"/>
                <w:color w:val="auto"/>
              </w:rPr>
            </w:pPr>
            <w:r>
              <w:rPr>
                <w:rFonts w:ascii="Arial" w:cs="Arial" w:eastAsia="Arial" w:hAnsi="Arial"/>
                <w:sz w:val="14"/>
                <w:szCs w:val="14"/>
                <w:color w:val="auto"/>
              </w:rPr>
              <w:t>(Benefit) provision for doubtful accounts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(6,454)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11,882</w:t>
            </w:r>
          </w:p>
        </w:tc>
        <w:tc>
          <w:tcPr>
            <w:tcW w:w="0" w:type="dxa"/>
            <w:vAlign w:val="bottom"/>
          </w:tcPr>
          <w:p>
            <w:pPr>
              <w:spacing w:after="0"/>
              <w:rPr>
                <w:sz w:val="1"/>
                <w:szCs w:val="1"/>
                <w:color w:val="auto"/>
              </w:rPr>
            </w:pPr>
          </w:p>
        </w:tc>
      </w:tr>
      <w:tr>
        <w:trPr>
          <w:trHeight w:val="181"/>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Charges against allowance</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71"/>
        </w:trPr>
        <w:tc>
          <w:tcPr>
            <w:tcW w:w="6180" w:type="dxa"/>
            <w:vAlign w:val="bottom"/>
          </w:tcPr>
          <w:p>
            <w:pPr>
              <w:ind w:left="520"/>
              <w:spacing w:after="0"/>
              <w:rPr>
                <w:sz w:val="20"/>
                <w:szCs w:val="20"/>
                <w:color w:val="auto"/>
              </w:rPr>
            </w:pPr>
            <w:r>
              <w:rPr>
                <w:rFonts w:ascii="Arial" w:cs="Arial" w:eastAsia="Arial" w:hAnsi="Arial"/>
                <w:sz w:val="14"/>
                <w:szCs w:val="14"/>
                <w:color w:val="auto"/>
              </w:rPr>
              <w:t>Ending balance</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10,679</w:t>
            </w:r>
          </w:p>
        </w:tc>
        <w:tc>
          <w:tcPr>
            <w:tcW w:w="0" w:type="dxa"/>
            <w:vAlign w:val="bottom"/>
          </w:tcPr>
          <w:p>
            <w:pPr>
              <w:spacing w:after="0"/>
              <w:rPr>
                <w:sz w:val="1"/>
                <w:szCs w:val="1"/>
                <w:color w:val="auto"/>
              </w:rPr>
            </w:pPr>
          </w:p>
        </w:tc>
      </w:tr>
      <w:tr>
        <w:trPr>
          <w:trHeight w:val="20"/>
        </w:trPr>
        <w:tc>
          <w:tcPr>
            <w:tcW w:w="6180" w:type="dxa"/>
            <w:vAlign w:val="bottom"/>
            <w:vMerge w:val="restart"/>
          </w:tcPr>
          <w:p>
            <w:pPr>
              <w:ind w:left="20"/>
              <w:spacing w:after="0"/>
              <w:rPr>
                <w:sz w:val="20"/>
                <w:szCs w:val="20"/>
                <w:color w:val="auto"/>
              </w:rPr>
            </w:pPr>
            <w:r>
              <w:rPr>
                <w:rFonts w:ascii="Arial" w:cs="Arial" w:eastAsia="Arial" w:hAnsi="Arial"/>
                <w:sz w:val="14"/>
                <w:szCs w:val="14"/>
                <w:color w:val="auto"/>
              </w:rPr>
              <w:t>Tax valuation allowance</w:t>
            </w: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80" w:type="dxa"/>
            <w:vAlign w:val="bottom"/>
            <w:vMerge w:val="continue"/>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80"/>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00" w:type="dxa"/>
            <w:vAlign w:val="bottom"/>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adjustments</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w:t>
            </w:r>
          </w:p>
        </w:tc>
        <w:tc>
          <w:tcPr>
            <w:tcW w:w="0" w:type="dxa"/>
            <w:vAlign w:val="bottom"/>
          </w:tcPr>
          <w:p>
            <w:pPr>
              <w:spacing w:after="0"/>
              <w:rPr>
                <w:sz w:val="1"/>
                <w:szCs w:val="1"/>
                <w:color w:val="auto"/>
              </w:rPr>
            </w:pPr>
          </w:p>
        </w:tc>
      </w:tr>
      <w:tr>
        <w:trPr>
          <w:trHeight w:val="196"/>
        </w:trPr>
        <w:tc>
          <w:tcPr>
            <w:tcW w:w="61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Ending balance</w:t>
            </w:r>
          </w:p>
        </w:tc>
        <w:tc>
          <w:tcPr>
            <w:tcW w:w="100" w:type="dxa"/>
            <w:vAlign w:val="bottom"/>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w:t>
            </w:r>
          </w:p>
        </w:tc>
        <w:tc>
          <w:tcPr>
            <w:tcW w:w="100" w:type="dxa"/>
            <w:vAlign w:val="bottom"/>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20" w:hanging="197"/>
        <w:spacing w:after="0"/>
        <w:tabs>
          <w:tab w:leader="none" w:pos="520" w:val="left"/>
        </w:tabs>
        <w:numPr>
          <w:ilvl w:val="1"/>
          <w:numId w:val="72"/>
        </w:numPr>
        <w:rPr>
          <w:rFonts w:ascii="Arial" w:cs="Arial" w:eastAsia="Arial" w:hAnsi="Arial"/>
          <w:sz w:val="14"/>
          <w:szCs w:val="14"/>
          <w:color w:val="auto"/>
        </w:rPr>
      </w:pPr>
      <w:r>
        <w:rPr>
          <w:rFonts w:ascii="Arial" w:cs="Arial" w:eastAsia="Arial" w:hAnsi="Arial"/>
          <w:sz w:val="14"/>
          <w:szCs w:val="14"/>
          <w:color w:val="auto"/>
        </w:rPr>
        <w:t>Represents the adjustments to the allowance for expected credit losses for the adoption of Topic 326 in Fiscal 2021</w:t>
      </w:r>
    </w:p>
    <w:p>
      <w:pPr>
        <w:spacing w:after="0" w:line="195" w:lineRule="exact"/>
        <w:rPr>
          <w:rFonts w:ascii="Arial" w:cs="Arial" w:eastAsia="Arial" w:hAnsi="Arial"/>
          <w:sz w:val="14"/>
          <w:szCs w:val="14"/>
          <w:color w:val="auto"/>
        </w:rPr>
      </w:pPr>
    </w:p>
    <w:p>
      <w:pPr>
        <w:ind w:left="220" w:hanging="215"/>
        <w:spacing w:after="0"/>
        <w:tabs>
          <w:tab w:leader="none" w:pos="22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Shares repurchased and withheld to cover taxes</w:t>
      </w:r>
    </w:p>
    <w:p>
      <w:pPr>
        <w:spacing w:after="0" w:line="83" w:lineRule="exact"/>
        <w:rPr>
          <w:sz w:val="20"/>
          <w:szCs w:val="20"/>
          <w:color w:val="auto"/>
        </w:rPr>
      </w:pPr>
    </w:p>
    <w:p>
      <w:pPr>
        <w:ind w:right="360" w:firstLine="318"/>
        <w:spacing w:after="0" w:line="281" w:lineRule="auto"/>
        <w:rPr>
          <w:sz w:val="20"/>
          <w:szCs w:val="20"/>
          <w:color w:val="auto"/>
        </w:rPr>
      </w:pPr>
      <w:r>
        <w:rPr>
          <w:rFonts w:ascii="Arial" w:cs="Arial" w:eastAsia="Arial" w:hAnsi="Arial"/>
          <w:sz w:val="14"/>
          <w:szCs w:val="14"/>
          <w:color w:val="auto"/>
        </w:rPr>
        <w:t>The Company paid $15.4 million during the first quarter of fiscal 2022 for 191,327 shares of Class A Common Stock withheld to cover taxes related to Restricted Stock vesting during the fourth quarter of fiscal 2021 that had not settled in cash by March 31, 2021.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 Declared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98"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4"/>
          <w:szCs w:val="14"/>
          <w:b w:val="1"/>
          <w:bCs w:val="1"/>
          <w:color w:val="auto"/>
        </w:rPr>
        <w:t>BOOZ ALLEN HAMILTON HOLDING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(Amounts in tables in thousands, except share and per share data or unless otherwise noted)</w:t>
      </w:r>
    </w:p>
    <w:p>
      <w:pPr>
        <w:spacing w:after="0" w:line="232"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color w:val="auto"/>
        </w:rPr>
        <w:t>On May 21, 2021, the Company announced that its Board of Directors had declared a quarterly cash dividend of $0.37 per share. Payment of the dividend will be made on June 30, 2021 to stockholders of record at the close of business on June 15, 2021.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w:t>
      </w:r>
    </w:p>
    <w:p>
      <w:pPr>
        <w:spacing w:after="0" w:line="51" w:lineRule="exact"/>
        <w:rPr>
          <w:sz w:val="20"/>
          <w:szCs w:val="20"/>
          <w:color w:val="auto"/>
        </w:rPr>
      </w:pPr>
    </w:p>
    <w:p>
      <w:pPr>
        <w:jc w:val="both"/>
        <w:ind w:firstLine="318"/>
        <w:spacing w:after="0" w:line="368" w:lineRule="auto"/>
        <w:rPr>
          <w:sz w:val="20"/>
          <w:szCs w:val="20"/>
          <w:color w:val="auto"/>
        </w:rPr>
      </w:pPr>
      <w:r>
        <w:rPr>
          <w:rFonts w:ascii="Arial" w:cs="Arial" w:eastAsia="Arial" w:hAnsi="Arial"/>
          <w:sz w:val="12"/>
          <w:szCs w:val="12"/>
          <w:color w:val="auto"/>
        </w:rPr>
        <w:t>On May 3, 2021, the Company entered into a membership interest purchase agreement with Liberty IT Solutions, LLC ("Liberty"), pursuant to which the Company has agreed to purchase 100% of the outstanding ownership interests of Liberty for $725 million, subject to certain adjustments. The transaction is expected to close in the first quarter of fiscal 2022, subject to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8" w:right="319" w:bottom="1440" w:gutter="0" w:footer="0" w:header="0"/>
        </w:sectPr>
      </w:pPr>
    </w:p>
    <w:bookmarkStart w:id="117" w:name="page118"/>
    <w:bookmarkEnd w:id="117"/>
    <w:p>
      <w:pPr>
        <w:spacing w:after="0"/>
        <w:tabs>
          <w:tab w:leader="none" w:pos="560" w:val="left"/>
        </w:tabs>
        <w:rPr>
          <w:sz w:val="20"/>
          <w:szCs w:val="20"/>
          <w:color w:val="auto"/>
        </w:rPr>
      </w:pPr>
      <w:r>
        <w:rPr>
          <w:rFonts w:ascii="Arial" w:cs="Arial" w:eastAsia="Arial" w:hAnsi="Arial"/>
          <w:sz w:val="14"/>
          <w:szCs w:val="14"/>
          <w:b w:val="1"/>
          <w:bCs w:val="1"/>
          <w:color w:val="auto"/>
        </w:rPr>
        <w:t>Item 9</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9A. </w:t>
      </w:r>
      <w:r>
        <w:rPr>
          <w:rFonts w:ascii="Arial" w:cs="Arial" w:eastAsia="Arial" w:hAnsi="Arial"/>
          <w:sz w:val="14"/>
          <w:szCs w:val="14"/>
          <w:b w:val="1"/>
          <w:bCs w:val="1"/>
          <w:i w:val="1"/>
          <w:iCs w:val="1"/>
          <w:color w:val="auto"/>
        </w:rPr>
        <w:t>Controls and Procedures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87" w:lineRule="exact"/>
        <w:rPr>
          <w:sz w:val="20"/>
          <w:szCs w:val="20"/>
          <w:color w:val="auto"/>
        </w:rPr>
      </w:pPr>
    </w:p>
    <w:p>
      <w:pPr>
        <w:ind w:firstLine="350"/>
        <w:spacing w:after="0" w:line="297" w:lineRule="auto"/>
        <w:rPr>
          <w:sz w:val="20"/>
          <w:szCs w:val="20"/>
          <w:color w:val="auto"/>
        </w:rPr>
      </w:pPr>
      <w:r>
        <w:rPr>
          <w:rFonts w:ascii="Arial" w:cs="Arial" w:eastAsia="Arial" w:hAnsi="Arial"/>
          <w:sz w:val="13"/>
          <w:szCs w:val="13"/>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2021.</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 and Attestation Report of the Registered Public Accounting Firm</w:t>
      </w:r>
    </w:p>
    <w:p>
      <w:pPr>
        <w:spacing w:after="0" w:line="76"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Our internal control system was designed to provide reasonable assurance to our management and the Board regarding the reliability of financial reporting and the preparation of consolidated financial statements for external purposes.</w:t>
      </w:r>
    </w:p>
    <w:p>
      <w:pPr>
        <w:spacing w:after="0" w:line="90" w:lineRule="exact"/>
        <w:rPr>
          <w:sz w:val="20"/>
          <w:szCs w:val="20"/>
          <w:color w:val="auto"/>
        </w:rPr>
      </w:pPr>
    </w:p>
    <w:p>
      <w:pPr>
        <w:ind w:right="60" w:firstLine="350"/>
        <w:spacing w:after="0" w:line="267" w:lineRule="auto"/>
        <w:rPr>
          <w:sz w:val="20"/>
          <w:szCs w:val="20"/>
          <w:color w:val="auto"/>
        </w:rPr>
      </w:pPr>
      <w:r>
        <w:rPr>
          <w:rFonts w:ascii="Arial" w:cs="Arial" w:eastAsia="Arial" w:hAnsi="Arial"/>
          <w:sz w:val="14"/>
          <w:szCs w:val="14"/>
          <w:color w:val="auto"/>
        </w:rPr>
        <w:t xml:space="preserve">Our management conducted an assessment of the effectiveness of our internal control over financial reporting as of March 31, 2021. This assessment was based on the criteria set forth by the Committee of Sponsoring Organizations of the Treadway Commission in </w:t>
      </w:r>
      <w:r>
        <w:rPr>
          <w:rFonts w:ascii="Arial" w:cs="Arial" w:eastAsia="Arial" w:hAnsi="Arial"/>
          <w:sz w:val="14"/>
          <w:szCs w:val="14"/>
          <w:i w:val="1"/>
          <w:iCs w:val="1"/>
          <w:color w:val="auto"/>
        </w:rPr>
        <w:t>Internal Control — Integrated Framework (2013 framework)</w:t>
      </w:r>
      <w:r>
        <w:rPr>
          <w:rFonts w:ascii="Arial" w:cs="Arial" w:eastAsia="Arial" w:hAnsi="Arial"/>
          <w:sz w:val="14"/>
          <w:szCs w:val="14"/>
          <w:color w:val="auto"/>
        </w:rPr>
        <w:t>. Based on this assessment, management has concluded that, as of March 31, 2021, our internal control over financial reporting was effective.</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Our independent registered public accounting firm has issued a report on the effectiveness of our internal control over financial reporting, which is below.</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87" w:lineRule="exact"/>
        <w:rPr>
          <w:sz w:val="20"/>
          <w:szCs w:val="20"/>
          <w:color w:val="auto"/>
        </w:rPr>
      </w:pPr>
    </w:p>
    <w:p>
      <w:pPr>
        <w:ind w:firstLine="350"/>
        <w:spacing w:after="0" w:line="281"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Board of Directors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Booz Allen Hamilton Holding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204"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We have audited Booz Allen Hamilton Holding Corporation’s internal control over financial reporting as of March 31, 2021, based on criteria established in Internal Control-Integrated Framework issued by the Committee of Sponsoring Organizations of the Treadway Commission (2013 framework) (the COSO criteria). In our opinion, Booz Allen Hamilton Holding Corporation (the Company) maintained, in all material respects, effective internal control over financial reporting as of March 31, 2021, based on the COSO criteria.</w:t>
      </w:r>
    </w:p>
    <w:p>
      <w:pPr>
        <w:spacing w:after="0" w:line="163"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March 31, 2021 and 2020, the related consolidated statements of operations, comprehensive income, stockholders’ equity, and cash flows for each of the three years in the period ended March 31, 2021, and the related notes and our report dated May 21, 2021 expressed an unqualified opinion thereon.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3"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204" w:lineRule="exact"/>
        <w:rPr>
          <w:sz w:val="20"/>
          <w:szCs w:val="20"/>
          <w:color w:val="auto"/>
        </w:rPr>
      </w:pPr>
    </w:p>
    <w:p>
      <w:pPr>
        <w:ind w:right="80"/>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6" w:lineRule="exact"/>
        <w:rPr>
          <w:sz w:val="20"/>
          <w:szCs w:val="20"/>
          <w:color w:val="auto"/>
        </w:rPr>
      </w:pPr>
    </w:p>
    <w:p>
      <w:pPr>
        <w:ind w:right="10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Tysons, Virginia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May 21, 2021</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0" w:right="339" w:bottom="1440" w:gutter="0" w:footer="0" w:header="0"/>
        </w:sectPr>
      </w:pPr>
    </w:p>
    <w:bookmarkStart w:id="119" w:name="page120"/>
    <w:bookmarkEnd w:id="119"/>
    <w:p>
      <w:pPr>
        <w:spacing w:after="0"/>
        <w:tabs>
          <w:tab w:leader="none" w:pos="640" w:val="left"/>
        </w:tabs>
        <w:rPr>
          <w:sz w:val="20"/>
          <w:szCs w:val="20"/>
          <w:color w:val="auto"/>
        </w:rPr>
      </w:pPr>
      <w:r>
        <w:rPr>
          <w:rFonts w:ascii="Arial" w:cs="Arial" w:eastAsia="Arial" w:hAnsi="Arial"/>
          <w:sz w:val="14"/>
          <w:szCs w:val="14"/>
          <w:b w:val="1"/>
          <w:bCs w:val="1"/>
          <w:color w:val="auto"/>
        </w:rPr>
        <w:t>Item 9B</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Other Information.</w:t>
      </w:r>
    </w:p>
    <w:p>
      <w:pPr>
        <w:spacing w:after="0" w:line="76" w:lineRule="exact"/>
        <w:rPr>
          <w:sz w:val="20"/>
          <w:szCs w:val="20"/>
          <w:color w:val="auto"/>
        </w:rPr>
      </w:pPr>
    </w:p>
    <w:p>
      <w:pPr>
        <w:ind w:right="40" w:firstLine="350"/>
        <w:spacing w:after="0" w:line="254" w:lineRule="auto"/>
        <w:rPr>
          <w:sz w:val="20"/>
          <w:szCs w:val="20"/>
          <w:color w:val="auto"/>
        </w:rPr>
      </w:pPr>
      <w:r>
        <w:rPr>
          <w:rFonts w:ascii="Arial" w:cs="Arial" w:eastAsia="Arial" w:hAnsi="Arial"/>
          <w:sz w:val="13"/>
          <w:szCs w:val="13"/>
          <w:color w:val="auto"/>
        </w:rPr>
        <w:t>On May 18, 2021, the Company’s compensation committee approved for fiscal 2022 increases in (and changes in the composition of) the compensation of Horacio D. Rozanski, the Company’s President and Chief Executive Officer. Mr. Rozanski’s pay mix for fiscal 2022 reflects an increase in the portion of his target total direct compensation provided in the form of equity to 74%. In addition, 72% of the fiscal 2022 equity granted to Mr. Rozanski will be in the form of long-term performance equity awards. As a result of these changes, effective for fiscal 2022, Mr. Rozanski’s base salary, target annual cash bonus, and target annual equity grant value will equal $1.5 million, $1.5 million, and $8.5 million, respectively.</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spacing w:after="0" w:line="265"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10</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87" w:lineRule="exact"/>
        <w:rPr>
          <w:sz w:val="20"/>
          <w:szCs w:val="20"/>
          <w:color w:val="auto"/>
        </w:rPr>
      </w:pPr>
    </w:p>
    <w:p>
      <w:pPr>
        <w:ind w:right="40" w:firstLine="350"/>
        <w:spacing w:after="0" w:line="281" w:lineRule="auto"/>
        <w:rPr>
          <w:sz w:val="20"/>
          <w:szCs w:val="20"/>
          <w:color w:val="auto"/>
        </w:rPr>
      </w:pPr>
      <w:r>
        <w:rPr>
          <w:rFonts w:ascii="Arial" w:cs="Arial" w:eastAsia="Arial" w:hAnsi="Arial"/>
          <w:sz w:val="14"/>
          <w:szCs w:val="14"/>
          <w:color w:val="auto"/>
        </w:rPr>
        <w:t>Information related to our directors is set forth under the caption “Election of Directors” of our Proxy Statement for our Annual Meeting of Stockholders scheduled for July 28, 2021 (the "2021 Proxy Statement"). Such information is incorporated herein by reference.</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Information relating to our Executive Officers is included in Part I of this Annual Report under the caption “Information about our Executive Officers.”</w:t>
      </w:r>
    </w:p>
    <w:p>
      <w:pPr>
        <w:spacing w:after="0" w:line="136" w:lineRule="exact"/>
        <w:rPr>
          <w:sz w:val="20"/>
          <w:szCs w:val="20"/>
          <w:color w:val="auto"/>
        </w:rPr>
      </w:pPr>
    </w:p>
    <w:p>
      <w:pPr>
        <w:ind w:right="580" w:firstLine="350"/>
        <w:spacing w:after="0" w:line="281" w:lineRule="auto"/>
        <w:rPr>
          <w:sz w:val="20"/>
          <w:szCs w:val="20"/>
          <w:color w:val="auto"/>
        </w:rPr>
      </w:pPr>
      <w:r>
        <w:rPr>
          <w:rFonts w:ascii="Arial" w:cs="Arial" w:eastAsia="Arial" w:hAnsi="Arial"/>
          <w:sz w:val="14"/>
          <w:szCs w:val="14"/>
          <w:color w:val="auto"/>
        </w:rPr>
        <w:t>Information relating to compliance with Section 16(a) of the Exchange Act, to the extent required, is set forth under the caption “Delinquent Section 16(a) Reports” of our 2021 Proxy Statement. Such information is incorporated herein by reference.</w:t>
      </w:r>
    </w:p>
    <w:p>
      <w:pPr>
        <w:spacing w:after="0" w:line="90" w:lineRule="exact"/>
        <w:rPr>
          <w:sz w:val="20"/>
          <w:szCs w:val="20"/>
          <w:color w:val="auto"/>
        </w:rPr>
      </w:pPr>
    </w:p>
    <w:p>
      <w:pPr>
        <w:ind w:right="300" w:firstLine="350"/>
        <w:spacing w:after="0" w:line="281" w:lineRule="auto"/>
        <w:rPr>
          <w:sz w:val="20"/>
          <w:szCs w:val="20"/>
          <w:color w:val="auto"/>
        </w:rPr>
      </w:pPr>
      <w:r>
        <w:rPr>
          <w:rFonts w:ascii="Arial" w:cs="Arial" w:eastAsia="Arial" w:hAnsi="Arial"/>
          <w:sz w:val="14"/>
          <w:szCs w:val="14"/>
          <w:color w:val="auto"/>
        </w:rPr>
        <w:t>Information related to our code of ethics is set forth under the caption “Corporate Governance and General Information Concerning the Board of Directors and its Committees” of our 2021 Proxy Statement. Such information is incorporated herein by reference.</w:t>
      </w:r>
    </w:p>
    <w:p>
      <w:pPr>
        <w:spacing w:after="0" w:line="90" w:lineRule="exact"/>
        <w:rPr>
          <w:sz w:val="20"/>
          <w:szCs w:val="20"/>
          <w:color w:val="auto"/>
        </w:rPr>
      </w:pPr>
    </w:p>
    <w:p>
      <w:pPr>
        <w:ind w:firstLine="350"/>
        <w:spacing w:after="0" w:line="267" w:lineRule="auto"/>
        <w:rPr>
          <w:sz w:val="20"/>
          <w:szCs w:val="20"/>
          <w:color w:val="auto"/>
        </w:rPr>
      </w:pPr>
      <w:r>
        <w:rPr>
          <w:rFonts w:ascii="Arial" w:cs="Arial" w:eastAsia="Arial" w:hAnsi="Arial"/>
          <w:sz w:val="14"/>
          <w:szCs w:val="14"/>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2021 Proxy Statement. Such information is incorporated herein by reference.</w:t>
      </w:r>
    </w:p>
    <w:p>
      <w:pPr>
        <w:spacing w:after="0" w:line="35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11</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Executive Compensation.</w:t>
      </w:r>
    </w:p>
    <w:p>
      <w:pPr>
        <w:spacing w:after="0" w:line="76" w:lineRule="exact"/>
        <w:rPr>
          <w:sz w:val="20"/>
          <w:szCs w:val="20"/>
          <w:color w:val="auto"/>
        </w:rPr>
      </w:pPr>
    </w:p>
    <w:p>
      <w:pPr>
        <w:ind w:right="600" w:firstLine="350"/>
        <w:spacing w:after="0" w:line="321" w:lineRule="auto"/>
        <w:rPr>
          <w:sz w:val="20"/>
          <w:szCs w:val="20"/>
          <w:color w:val="auto"/>
        </w:rPr>
      </w:pPr>
      <w:r>
        <w:rPr>
          <w:rFonts w:ascii="Arial" w:cs="Arial" w:eastAsia="Arial" w:hAnsi="Arial"/>
          <w:sz w:val="13"/>
          <w:szCs w:val="13"/>
          <w:color w:val="auto"/>
        </w:rPr>
        <w:t>Information relating to this item is set forth under the captions “Compensation Discussion and Analysis,” “Director Compensation,” “Compensation Committee Interlocks and Insider Participation” and “Compensation Committee Report on Executive Compensation” of our 2021 Proxy Statement. Such information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20" w:name="page121"/>
    <w:bookmarkEnd w:id="120"/>
    <w:p>
      <w:pPr>
        <w:spacing w:after="0"/>
        <w:tabs>
          <w:tab w:leader="none" w:pos="620" w:val="left"/>
        </w:tabs>
        <w:rPr>
          <w:sz w:val="20"/>
          <w:szCs w:val="20"/>
          <w:color w:val="auto"/>
        </w:rPr>
      </w:pPr>
      <w:r>
        <w:rPr>
          <w:rFonts w:ascii="Arial" w:cs="Arial" w:eastAsia="Arial" w:hAnsi="Arial"/>
          <w:sz w:val="14"/>
          <w:szCs w:val="14"/>
          <w:b w:val="1"/>
          <w:bCs w:val="1"/>
          <w:color w:val="auto"/>
        </w:rPr>
        <w:t>Item 12</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presents information concerning the securities authorized for issuance pursuant to our equity compensation plans as of March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Securities</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Remaining</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88"/>
              </w:rPr>
              <w:t>Weighted</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3"/>
              </w:rPr>
              <w:t>Available for</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Securities to Be</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0"/>
              </w:rPr>
              <w:t>Future Issuance</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0"/>
              </w:rPr>
              <w:t>Issued Upon</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2"/>
              </w:rPr>
              <w:t>Average</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Under Equity</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8"/>
              </w:rPr>
              <w:t>Exercise of</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8"/>
              </w:rPr>
              <w:t>Exercise</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Compensation</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Outstanding</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9"/>
              </w:rPr>
              <w:t>Price of</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Plans (Excluding</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9"/>
              </w:rPr>
              <w:t>Options,</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2"/>
              </w:rPr>
              <w:t>Outstanding</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1"/>
              </w:rPr>
              <w:t>Securities</w:t>
            </w:r>
          </w:p>
        </w:tc>
        <w:tc>
          <w:tcPr>
            <w:tcW w:w="0" w:type="dxa"/>
            <w:vAlign w:val="bottom"/>
          </w:tcPr>
          <w:p>
            <w:pPr>
              <w:spacing w:after="0"/>
              <w:rPr>
                <w:sz w:val="1"/>
                <w:szCs w:val="1"/>
                <w:color w:val="auto"/>
              </w:rPr>
            </w:pPr>
          </w:p>
        </w:tc>
      </w:tr>
      <w:tr>
        <w:trPr>
          <w:trHeight w:val="106"/>
        </w:trPr>
        <w:tc>
          <w:tcPr>
            <w:tcW w:w="4940" w:type="dxa"/>
            <w:vAlign w:val="bottom"/>
          </w:tcPr>
          <w:p>
            <w:pPr>
              <w:spacing w:after="0"/>
              <w:rPr>
                <w:sz w:val="9"/>
                <w:szCs w:val="9"/>
                <w:color w:val="auto"/>
              </w:rPr>
            </w:pP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Warrants and</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89"/>
              </w:rPr>
              <w:t>Options,</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89"/>
              </w:rPr>
              <w:t>Reflected in</w:t>
            </w:r>
          </w:p>
        </w:tc>
        <w:tc>
          <w:tcPr>
            <w:tcW w:w="0" w:type="dxa"/>
            <w:vAlign w:val="bottom"/>
          </w:tcPr>
          <w:p>
            <w:pPr>
              <w:spacing w:after="0"/>
              <w:rPr>
                <w:sz w:val="1"/>
                <w:szCs w:val="1"/>
                <w:color w:val="auto"/>
              </w:rPr>
            </w:pPr>
          </w:p>
        </w:tc>
      </w:tr>
      <w:tr>
        <w:trPr>
          <w:trHeight w:val="106"/>
        </w:trPr>
        <w:tc>
          <w:tcPr>
            <w:tcW w:w="49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Plan Category</w:t>
            </w:r>
          </w:p>
        </w:tc>
        <w:tc>
          <w:tcPr>
            <w:tcW w:w="150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3"/>
              </w:rPr>
              <w:t>Rights</w:t>
            </w: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6"/>
              </w:rPr>
              <w:t>Warrants and</w:t>
            </w:r>
          </w:p>
        </w:tc>
        <w:tc>
          <w:tcPr>
            <w:tcW w:w="15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8"/>
              </w:rPr>
              <w:t>Column (a))</w:t>
            </w:r>
          </w:p>
        </w:tc>
        <w:tc>
          <w:tcPr>
            <w:tcW w:w="0" w:type="dxa"/>
            <w:vAlign w:val="bottom"/>
          </w:tcPr>
          <w:p>
            <w:pPr>
              <w:spacing w:after="0"/>
              <w:rPr>
                <w:sz w:val="1"/>
                <w:szCs w:val="1"/>
                <w:color w:val="auto"/>
              </w:rPr>
            </w:pPr>
          </w:p>
        </w:tc>
      </w:tr>
      <w:tr>
        <w:trPr>
          <w:trHeight w:val="148"/>
        </w:trPr>
        <w:tc>
          <w:tcPr>
            <w:tcW w:w="4940" w:type="dxa"/>
            <w:vAlign w:val="bottom"/>
            <w:vMerge w:val="continue"/>
          </w:tcPr>
          <w:p>
            <w:pPr>
              <w:spacing w:after="0"/>
              <w:rPr>
                <w:sz w:val="12"/>
                <w:szCs w:val="12"/>
                <w:color w:val="auto"/>
              </w:rPr>
            </w:pPr>
          </w:p>
        </w:tc>
        <w:tc>
          <w:tcPr>
            <w:tcW w:w="1500" w:type="dxa"/>
            <w:vAlign w:val="bottom"/>
          </w:tcPr>
          <w:p>
            <w:pPr>
              <w:jc w:val="center"/>
              <w:spacing w:after="0"/>
              <w:rPr>
                <w:sz w:val="20"/>
                <w:szCs w:val="20"/>
                <w:color w:val="auto"/>
              </w:rPr>
            </w:pPr>
            <w:r>
              <w:rPr>
                <w:rFonts w:ascii="Arial" w:cs="Arial" w:eastAsia="Arial" w:hAnsi="Arial"/>
                <w:sz w:val="11"/>
                <w:szCs w:val="11"/>
                <w:b w:val="1"/>
                <w:bCs w:val="1"/>
                <w:color w:val="auto"/>
                <w:w w:val="88"/>
              </w:rPr>
              <w:t>(a)</w:t>
            </w:r>
          </w:p>
        </w:tc>
        <w:tc>
          <w:tcPr>
            <w:tcW w:w="1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3"/>
              </w:rPr>
              <w:t>Rights (b)</w:t>
            </w: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88"/>
              </w:rPr>
              <w:t>(c)</w:t>
            </w:r>
          </w:p>
        </w:tc>
        <w:tc>
          <w:tcPr>
            <w:tcW w:w="0" w:type="dxa"/>
            <w:vAlign w:val="bottom"/>
          </w:tcPr>
          <w:p>
            <w:pPr>
              <w:spacing w:after="0"/>
              <w:rPr>
                <w:sz w:val="1"/>
                <w:szCs w:val="1"/>
                <w:color w:val="auto"/>
              </w:rPr>
            </w:pPr>
          </w:p>
        </w:tc>
      </w:tr>
      <w:tr>
        <w:trPr>
          <w:trHeight w:val="172"/>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securityholders</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2,318,359</w:t>
            </w:r>
          </w:p>
        </w:tc>
        <w:tc>
          <w:tcPr>
            <w:tcW w:w="1700" w:type="dxa"/>
            <w:vAlign w:val="bottom"/>
            <w:tcBorders>
              <w:top w:val="single" w:sz="8" w:color="CCEEFF"/>
            </w:tcBorders>
            <w:shd w:val="clear" w:color="auto" w:fill="CCEEFF"/>
          </w:tcPr>
          <w:p>
            <w:pPr>
              <w:jc w:val="right"/>
              <w:ind w:right="1349"/>
              <w:spacing w:after="0"/>
              <w:rPr>
                <w:sz w:val="20"/>
                <w:szCs w:val="20"/>
                <w:color w:val="auto"/>
              </w:rPr>
            </w:pPr>
            <w:r>
              <w:rPr>
                <w:rFonts w:ascii="Arial" w:cs="Arial" w:eastAsia="Arial" w:hAnsi="Arial"/>
                <w:sz w:val="14"/>
                <w:szCs w:val="14"/>
                <w:color w:val="auto"/>
              </w:rPr>
              <w:t>(1)</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44.86</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4"/>
                <w:szCs w:val="14"/>
                <w:color w:val="auto"/>
              </w:rPr>
              <w:t>9,349,207</w:t>
            </w:r>
          </w:p>
        </w:tc>
        <w:tc>
          <w:tcPr>
            <w:tcW w:w="0" w:type="dxa"/>
            <w:vAlign w:val="bottom"/>
          </w:tcPr>
          <w:p>
            <w:pPr>
              <w:spacing w:after="0"/>
              <w:rPr>
                <w:sz w:val="1"/>
                <w:szCs w:val="1"/>
                <w:color w:val="auto"/>
              </w:rPr>
            </w:pP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Equity compensation plans not approved by securityholders</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ind w:left="1000"/>
              <w:spacing w:after="0"/>
              <w:rPr>
                <w:sz w:val="20"/>
                <w:szCs w:val="20"/>
                <w:color w:val="auto"/>
              </w:rPr>
            </w:pPr>
            <w:r>
              <w:rPr>
                <w:rFonts w:ascii="Arial" w:cs="Arial" w:eastAsia="Arial" w:hAnsi="Arial"/>
                <w:sz w:val="14"/>
                <w:szCs w:val="14"/>
                <w:color w:val="auto"/>
              </w:rPr>
              <w:t>N/A</w:t>
            </w:r>
          </w:p>
        </w:tc>
        <w:tc>
          <w:tcPr>
            <w:tcW w:w="1520" w:type="dxa"/>
            <w:vAlign w:val="bottom"/>
          </w:tcPr>
          <w:p>
            <w:pPr>
              <w:jc w:val="right"/>
              <w:ind w:right="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2,318,359</w:t>
            </w:r>
          </w:p>
        </w:tc>
        <w:tc>
          <w:tcPr>
            <w:tcW w:w="1700" w:type="dxa"/>
            <w:vAlign w:val="bottom"/>
            <w:tcBorders>
              <w:top w:val="single" w:sz="8" w:color="CCEEFF"/>
              <w:bottom w:val="single" w:sz="8" w:color="CCEEFF"/>
            </w:tcBorders>
            <w:shd w:val="clear" w:color="auto" w:fill="CCEEFF"/>
          </w:tcPr>
          <w:p>
            <w:pPr>
              <w:jc w:val="right"/>
              <w:ind w:right="1349"/>
              <w:spacing w:after="0"/>
              <w:rPr>
                <w:sz w:val="20"/>
                <w:szCs w:val="20"/>
                <w:color w:val="auto"/>
              </w:rPr>
            </w:pPr>
            <w:r>
              <w:rPr>
                <w:rFonts w:ascii="Arial" w:cs="Arial" w:eastAsia="Arial" w:hAnsi="Arial"/>
                <w:sz w:val="14"/>
                <w:szCs w:val="14"/>
                <w:color w:val="auto"/>
              </w:rPr>
              <w:t>(1)</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4"/>
                <w:szCs w:val="14"/>
                <w:color w:val="auto"/>
              </w:rPr>
              <w:t>9,349,207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460" w:right="320" w:hanging="264"/>
        <w:spacing w:after="0" w:line="281" w:lineRule="auto"/>
        <w:tabs>
          <w:tab w:leader="none" w:pos="455"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Column (a) includes: 905,452 shares that have been granted as restricted stock units (RSUs) and 1,412,907 shares granted as options under our equity compensation plans. The weighted average price in column (b) does not take into account shares issued pursuant to RSUs.</w:t>
      </w:r>
    </w:p>
    <w:p>
      <w:pPr>
        <w:spacing w:after="0" w:line="217" w:lineRule="exact"/>
        <w:rPr>
          <w:sz w:val="20"/>
          <w:szCs w:val="20"/>
          <w:color w:val="auto"/>
        </w:rPr>
      </w:pPr>
    </w:p>
    <w:p>
      <w:pPr>
        <w:ind w:right="520" w:firstLine="350"/>
        <w:spacing w:after="0" w:line="281" w:lineRule="auto"/>
        <w:rPr>
          <w:sz w:val="20"/>
          <w:szCs w:val="20"/>
          <w:color w:val="auto"/>
        </w:rPr>
      </w:pPr>
      <w:r>
        <w:rPr>
          <w:rFonts w:ascii="Arial" w:cs="Arial" w:eastAsia="Arial" w:hAnsi="Arial"/>
          <w:sz w:val="14"/>
          <w:szCs w:val="14"/>
          <w:color w:val="auto"/>
        </w:rPr>
        <w:t>Information relating to the security ownership of certain beneficial owners and management is included in our 2021 Proxy Statement under the caption “Security Ownership of Certain Beneficial Owners and Management” and is incorporated herein by reference.</w:t>
      </w:r>
    </w:p>
    <w:p>
      <w:pPr>
        <w:spacing w:after="0" w:line="340"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13</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87"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color w:val="auto"/>
        </w:rPr>
        <w:t>Information relating to this item is set forth under the captions “Certain Relationships and Related Party Transactions” and “Corporate Governance and General Information Concerning the Board of Directors and its Committees” of our 2021 Proxy Statement. Such information is incorporated herein by reference.</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14</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87" w:lineRule="exact"/>
        <w:rPr>
          <w:sz w:val="20"/>
          <w:szCs w:val="20"/>
          <w:color w:val="auto"/>
        </w:rPr>
      </w:pPr>
    </w:p>
    <w:p>
      <w:pPr>
        <w:ind w:right="60" w:firstLine="350"/>
        <w:spacing w:after="0" w:line="281" w:lineRule="auto"/>
        <w:rPr>
          <w:sz w:val="20"/>
          <w:szCs w:val="20"/>
          <w:color w:val="auto"/>
        </w:rPr>
      </w:pPr>
      <w:r>
        <w:rPr>
          <w:rFonts w:ascii="Arial" w:cs="Arial" w:eastAsia="Arial" w:hAnsi="Arial"/>
          <w:sz w:val="14"/>
          <w:szCs w:val="14"/>
          <w:color w:val="auto"/>
        </w:rPr>
        <w:t>Information relating to this item is set forth under the caption “Independent Registered Public Accounting Firm Fees” of our 2021 Proxy Statement. Such information is incorporated herein by reference.</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15</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Exhibits, Financial Statement Schedules.</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 The following documents are filed as part of this Annual Report:</w:t>
      </w:r>
    </w:p>
    <w:p>
      <w:pPr>
        <w:spacing w:after="0" w:line="94"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color w:val="auto"/>
        </w:rPr>
        <w:t>(1)</w:t>
        <w:tab/>
        <w:t>Financial Statements</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Our consolidated financial statements filed herewith are set forth in Item 8 of this Annual Report.</w:t>
      </w:r>
    </w:p>
    <w:p>
      <w:pPr>
        <w:spacing w:after="0" w:line="94"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color w:val="auto"/>
        </w:rPr>
        <w:t>(2)</w:t>
        <w:tab/>
        <w:t>Financial Statement Schedules</w:t>
      </w:r>
    </w:p>
    <w:p>
      <w:pPr>
        <w:spacing w:after="0" w:line="94" w:lineRule="exact"/>
        <w:rPr>
          <w:sz w:val="20"/>
          <w:szCs w:val="20"/>
          <w:color w:val="auto"/>
        </w:rPr>
      </w:pPr>
    </w:p>
    <w:p>
      <w:pPr>
        <w:ind w:left="1160" w:right="20" w:hanging="240"/>
        <w:spacing w:after="0" w:line="281" w:lineRule="auto"/>
        <w:rPr>
          <w:sz w:val="20"/>
          <w:szCs w:val="20"/>
          <w:color w:val="auto"/>
        </w:rPr>
      </w:pPr>
      <w:r>
        <w:rPr>
          <w:rFonts w:ascii="Arial" w:cs="Arial" w:eastAsia="Arial" w:hAnsi="Arial"/>
          <w:sz w:val="14"/>
          <w:szCs w:val="14"/>
          <w:color w:val="auto"/>
        </w:rPr>
        <w:t>Consolidated financial statement schedules have been omitted because either they are not applicable or the required information is included in the consolidated financial statements or the notes thereto.</w:t>
      </w:r>
    </w:p>
    <w:p>
      <w:pPr>
        <w:spacing w:after="0" w:line="47" w:lineRule="exact"/>
        <w:rPr>
          <w:sz w:val="20"/>
          <w:szCs w:val="20"/>
          <w:color w:val="auto"/>
        </w:rPr>
      </w:pPr>
    </w:p>
    <w:p>
      <w:pPr>
        <w:ind w:left="760"/>
        <w:spacing w:after="0"/>
        <w:tabs>
          <w:tab w:leader="none" w:pos="1060" w:val="left"/>
        </w:tabs>
        <w:rPr>
          <w:sz w:val="20"/>
          <w:szCs w:val="20"/>
          <w:color w:val="auto"/>
        </w:rPr>
      </w:pPr>
      <w:r>
        <w:rPr>
          <w:rFonts w:ascii="Arial" w:cs="Arial" w:eastAsia="Arial" w:hAnsi="Arial"/>
          <w:sz w:val="14"/>
          <w:szCs w:val="14"/>
          <w:color w:val="auto"/>
        </w:rPr>
        <w:t>(3)</w:t>
        <w:tab/>
        <w:t>Exhibits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29" w:right="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20" w:type="dxa"/>
            <w:vAlign w:val="bottom"/>
            <w:gridSpan w:val="27"/>
          </w:tcPr>
          <w:p>
            <w:pPr>
              <w:ind w:left="56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213"/>
        </w:trPr>
        <w:tc>
          <w:tcPr>
            <w:tcW w:w="22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1"/>
                <w:szCs w:val="11"/>
                <w:color w:val="auto"/>
              </w:rPr>
              <w:t>Exhibit</w:t>
            </w:r>
          </w:p>
        </w:tc>
        <w:tc>
          <w:tcPr>
            <w:tcW w:w="10420" w:type="dxa"/>
            <w:vAlign w:val="bottom"/>
            <w:gridSpan w:val="33"/>
            <w:vMerge w:val="restart"/>
          </w:tcPr>
          <w:p>
            <w:pPr>
              <w:spacing w:after="0"/>
              <w:rPr>
                <w:sz w:val="20"/>
                <w:szCs w:val="20"/>
                <w:color w:val="auto"/>
              </w:rPr>
            </w:pPr>
            <w:r>
              <w:rPr>
                <w:rFonts w:ascii="Arial" w:cs="Arial" w:eastAsia="Arial" w:hAnsi="Arial"/>
                <w:sz w:val="11"/>
                <w:szCs w:val="11"/>
                <w:color w:val="auto"/>
              </w:rPr>
              <w:t>Description</w:t>
            </w: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360" w:type="dxa"/>
            <w:vAlign w:val="bottom"/>
            <w:tcBorders>
              <w:top w:val="single" w:sz="8" w:color="auto"/>
            </w:tcBorders>
          </w:tcPr>
          <w:p>
            <w:pPr>
              <w:spacing w:after="0" w:line="86" w:lineRule="exact"/>
              <w:rPr>
                <w:sz w:val="20"/>
                <w:szCs w:val="20"/>
                <w:color w:val="auto"/>
              </w:rPr>
            </w:pPr>
            <w:r>
              <w:rPr>
                <w:rFonts w:ascii="Arial" w:cs="Arial" w:eastAsia="Arial" w:hAnsi="Arial"/>
                <w:sz w:val="9"/>
                <w:szCs w:val="9"/>
                <w:color w:val="auto"/>
                <w:w w:val="99"/>
              </w:rPr>
              <w:t>Number</w:t>
            </w:r>
          </w:p>
        </w:tc>
        <w:tc>
          <w:tcPr>
            <w:tcW w:w="300" w:type="dxa"/>
            <w:vAlign w:val="bottom"/>
          </w:tcPr>
          <w:p>
            <w:pPr>
              <w:spacing w:after="0"/>
              <w:rPr>
                <w:sz w:val="7"/>
                <w:szCs w:val="7"/>
                <w:color w:val="auto"/>
              </w:rPr>
            </w:pPr>
          </w:p>
        </w:tc>
        <w:tc>
          <w:tcPr>
            <w:tcW w:w="10420" w:type="dxa"/>
            <w:vAlign w:val="bottom"/>
            <w:gridSpan w:val="3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2.1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20" w:type="dxa"/>
            <w:vAlign w:val="bottom"/>
            <w:gridSpan w:val="33"/>
          </w:tcPr>
          <w:p>
            <w:pPr>
              <w:spacing w:after="0"/>
              <w:rPr>
                <w:rFonts w:ascii="Arial" w:cs="Arial" w:eastAsia="Arial" w:hAnsi="Arial"/>
                <w:sz w:val="14"/>
                <w:szCs w:val="14"/>
                <w:color w:val="0000FF"/>
                <w:w w:val="94"/>
              </w:rPr>
            </w:pPr>
            <w:hyperlink r:id="rId145">
              <w:r>
                <w:rPr>
                  <w:rFonts w:ascii="Arial" w:cs="Arial" w:eastAsia="Arial" w:hAnsi="Arial"/>
                  <w:sz w:val="14"/>
                  <w:szCs w:val="14"/>
                  <w:color w:val="0000FF"/>
                  <w:w w:val="94"/>
                </w:rPr>
                <w:t>Agreement and Plan of Merger, dated as of May 15, 2008, by and among Booz Allen Hamilton Inc., Booz Allen Hamilton Holding Corporation (formerly known as Explorer Holding</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34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45">
              <w:r>
                <w:rPr>
                  <w:rFonts w:ascii="Arial" w:cs="Arial" w:eastAsia="Arial" w:hAnsi="Arial"/>
                  <w:sz w:val="13"/>
                  <w:szCs w:val="13"/>
                  <w:color w:val="0000FF"/>
                </w:rPr>
                <w:t>Corporation), Booz Allen Hamilton Investor Corporation (formerly known as Explorer Investor Corporation), Explorer Merger Sub Corporation and Booz &amp; Company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72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45">
              <w:r>
                <w:rPr>
                  <w:rFonts w:ascii="Arial" w:cs="Arial" w:eastAsia="Arial" w:hAnsi="Arial"/>
                  <w:sz w:val="13"/>
                  <w:szCs w:val="13"/>
                  <w:color w:val="0000FF"/>
                </w:rPr>
                <w:t>(Incorporated by reference to Exhibit 2.1 to the Company’s Registration Statement on Form S-1 (File No. 333-167645))</w:t>
              </w:r>
            </w:hyperlink>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2.2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20" w:type="dxa"/>
            <w:vAlign w:val="bottom"/>
            <w:gridSpan w:val="33"/>
          </w:tcPr>
          <w:p>
            <w:pPr>
              <w:spacing w:after="0"/>
              <w:rPr>
                <w:rFonts w:ascii="Arial" w:cs="Arial" w:eastAsia="Arial" w:hAnsi="Arial"/>
                <w:sz w:val="14"/>
                <w:szCs w:val="14"/>
                <w:color w:val="0000FF"/>
                <w:w w:val="94"/>
              </w:rPr>
            </w:pPr>
            <w:hyperlink r:id="rId146">
              <w:r>
                <w:rPr>
                  <w:rFonts w:ascii="Arial" w:cs="Arial" w:eastAsia="Arial" w:hAnsi="Arial"/>
                  <w:sz w:val="14"/>
                  <w:szCs w:val="14"/>
                  <w:color w:val="0000FF"/>
                  <w:w w:val="94"/>
                </w:rPr>
                <w:t>Spin Off Agreement, dated as of May 15, 2008, by and among Booz Allen Hamilton Inc., Booz &amp; Company Holdings, LLC, Booz &amp; Company Inc., Booz &amp; Company Intermediate I</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80" w:type="dxa"/>
            <w:vAlign w:val="bottom"/>
            <w:tcBorders>
              <w:top w:val="single" w:sz="8" w:color="0000FF"/>
              <w:bottom w:val="single" w:sz="8" w:color="0000FF"/>
            </w:tcBorders>
            <w:gridSpan w:val="16"/>
          </w:tcPr>
          <w:p>
            <w:pPr>
              <w:spacing w:after="0" w:line="118" w:lineRule="exact"/>
              <w:rPr>
                <w:rFonts w:ascii="Arial" w:cs="Arial" w:eastAsia="Arial" w:hAnsi="Arial"/>
                <w:sz w:val="13"/>
                <w:szCs w:val="13"/>
                <w:color w:val="0000FF"/>
                <w:w w:val="99"/>
              </w:rPr>
            </w:pPr>
            <w:hyperlink r:id="rId146">
              <w:r>
                <w:rPr>
                  <w:rFonts w:ascii="Arial" w:cs="Arial" w:eastAsia="Arial" w:hAnsi="Arial"/>
                  <w:sz w:val="13"/>
                  <w:szCs w:val="13"/>
                  <w:color w:val="0000FF"/>
                  <w:w w:val="99"/>
                </w:rPr>
                <w:t>Inc. and Booz &amp; Company Intermediate II Inc. (Incorporated by reference to Exhibit 2.2 to the Company’s Registration Statement on Form S-1 (File No. 333-167645))</w:t>
              </w:r>
            </w:hyperlink>
          </w:p>
        </w:tc>
        <w:tc>
          <w:tcPr>
            <w:tcW w:w="840" w:type="dxa"/>
            <w:vAlign w:val="bottom"/>
            <w:tcBorders>
              <w:top w:val="single" w:sz="8" w:color="0000FF"/>
            </w:tcBorders>
            <w:gridSpan w:val="1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2.3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20" w:type="dxa"/>
            <w:vAlign w:val="bottom"/>
            <w:gridSpan w:val="33"/>
          </w:tcPr>
          <w:p>
            <w:pPr>
              <w:spacing w:after="0"/>
              <w:rPr>
                <w:rFonts w:ascii="Arial" w:cs="Arial" w:eastAsia="Arial" w:hAnsi="Arial"/>
                <w:sz w:val="14"/>
                <w:szCs w:val="14"/>
                <w:color w:val="0000FF"/>
                <w:w w:val="95"/>
              </w:rPr>
            </w:pPr>
            <w:hyperlink r:id="rId147">
              <w:r>
                <w:rPr>
                  <w:rFonts w:ascii="Arial" w:cs="Arial" w:eastAsia="Arial" w:hAnsi="Arial"/>
                  <w:sz w:val="14"/>
                  <w:szCs w:val="14"/>
                  <w:color w:val="0000FF"/>
                  <w:w w:val="95"/>
                </w:rPr>
                <w:t>Amendment to the Agreement and Plan of Merger and the Spin Off Agreement, dated as of July 30, 2008, by and among Booz Allen Hamilton Inc., Booz Allen Hamilton Holding</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12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47">
              <w:r>
                <w:rPr>
                  <w:rFonts w:ascii="Arial" w:cs="Arial" w:eastAsia="Arial" w:hAnsi="Arial"/>
                  <w:sz w:val="13"/>
                  <w:szCs w:val="13"/>
                  <w:color w:val="0000FF"/>
                </w:rPr>
                <w:t>Corporation (formerly known as Explorer Holding Corporation), Booz Allen Hamilton Investor Corporation (formerly known as Explorer Investor Corporation), Explorer Merger</w:t>
              </w:r>
            </w:hyperlink>
          </w:p>
        </w:tc>
        <w:tc>
          <w:tcPr>
            <w:tcW w:w="300" w:type="dxa"/>
            <w:vAlign w:val="bottom"/>
            <w:gridSpan w:val="12"/>
          </w:tcPr>
          <w:p>
            <w:pPr>
              <w:spacing w:after="0" w:line="118" w:lineRule="exact"/>
              <w:rPr>
                <w:rFonts w:ascii="Arial" w:cs="Arial" w:eastAsia="Arial" w:hAnsi="Arial"/>
                <w:sz w:val="13"/>
                <w:szCs w:val="13"/>
                <w:color w:val="0000FF"/>
              </w:rPr>
            </w:pPr>
            <w:hyperlink r:id="rId147">
              <w:r>
                <w:rPr>
                  <w:rFonts w:ascii="Arial" w:cs="Arial" w:eastAsia="Arial" w:hAnsi="Arial"/>
                  <w:sz w:val="13"/>
                  <w:szCs w:val="13"/>
                  <w:color w:val="0000FF"/>
                </w:rPr>
                <w:t>Sub</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0" w:type="dxa"/>
            <w:vAlign w:val="bottom"/>
            <w:tcBorders>
              <w:top w:val="single" w:sz="8" w:color="0000FF"/>
            </w:tcBorders>
            <w:gridSpan w:val="32"/>
          </w:tcPr>
          <w:p>
            <w:pPr>
              <w:spacing w:after="0" w:line="118" w:lineRule="exact"/>
              <w:rPr>
                <w:rFonts w:ascii="Arial" w:cs="Arial" w:eastAsia="Arial" w:hAnsi="Arial"/>
                <w:sz w:val="13"/>
                <w:szCs w:val="13"/>
                <w:color w:val="0000FF"/>
              </w:rPr>
            </w:pPr>
            <w:hyperlink r:id="rId147">
              <w:r>
                <w:rPr>
                  <w:rFonts w:ascii="Arial" w:cs="Arial" w:eastAsia="Arial" w:hAnsi="Arial"/>
                  <w:sz w:val="13"/>
                  <w:szCs w:val="13"/>
                  <w:color w:val="0000FF"/>
                </w:rPr>
                <w:t>Corporation, Booz &amp; Company Holdings, LLC, Booz &amp; Company Inc., Booz &amp; Company Intermediate I Inc. and Booz &amp; Company Intermediate II Inc. (Incorporated by reference to</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10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47">
              <w:r>
                <w:rPr>
                  <w:rFonts w:ascii="Arial" w:cs="Arial" w:eastAsia="Arial" w:hAnsi="Arial"/>
                  <w:sz w:val="13"/>
                  <w:szCs w:val="13"/>
                  <w:color w:val="0000FF"/>
                  <w:w w:val="99"/>
                </w:rPr>
                <w:t>Exhibit 2.3 to the Company’s Registration Statement on Form S-1 (File No. 333-167645))</w:t>
              </w:r>
            </w:hyperlink>
          </w:p>
        </w:tc>
        <w:tc>
          <w:tcPr>
            <w:tcW w:w="526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2.4</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20" w:type="dxa"/>
            <w:vAlign w:val="bottom"/>
            <w:gridSpan w:val="33"/>
          </w:tcPr>
          <w:p>
            <w:pPr>
              <w:spacing w:after="0"/>
              <w:rPr>
                <w:rFonts w:ascii="Arial" w:cs="Arial" w:eastAsia="Arial" w:hAnsi="Arial"/>
                <w:sz w:val="14"/>
                <w:szCs w:val="14"/>
                <w:color w:val="0000FF"/>
                <w:w w:val="94"/>
              </w:rPr>
            </w:pPr>
            <w:hyperlink r:id="rId148">
              <w:r>
                <w:rPr>
                  <w:rFonts w:ascii="Arial" w:cs="Arial" w:eastAsia="Arial" w:hAnsi="Arial"/>
                  <w:sz w:val="14"/>
                  <w:szCs w:val="14"/>
                  <w:color w:val="0000FF"/>
                  <w:w w:val="94"/>
                </w:rPr>
                <w:t>Membership Interest Purchase Agreement, dated May 3, 2021, among (i) Booz Allen Hamilton Inc., (ii) Liberty IT Solutions, LLC, (iii) William Greene, Christopher Bickell, and Jeff</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380" w:type="dxa"/>
            <w:vAlign w:val="bottom"/>
            <w:tcBorders>
              <w:top w:val="single" w:sz="8" w:color="0000FF"/>
            </w:tcBorders>
            <w:gridSpan w:val="31"/>
          </w:tcPr>
          <w:p>
            <w:pPr>
              <w:spacing w:after="0" w:line="118" w:lineRule="exact"/>
              <w:rPr>
                <w:rFonts w:ascii="Arial" w:cs="Arial" w:eastAsia="Arial" w:hAnsi="Arial"/>
                <w:sz w:val="13"/>
                <w:szCs w:val="13"/>
                <w:color w:val="0000FF"/>
              </w:rPr>
            </w:pPr>
            <w:hyperlink r:id="rId148">
              <w:r>
                <w:rPr>
                  <w:rFonts w:ascii="Arial" w:cs="Arial" w:eastAsia="Arial" w:hAnsi="Arial"/>
                  <w:sz w:val="13"/>
                  <w:szCs w:val="13"/>
                  <w:color w:val="0000FF"/>
                </w:rPr>
                <w:t>Denniston, and (iv) Southpaw Representative, LLC, in its capacity as Members' Representative (Incorporated by reference to Exhibit 2.1 to the Company's Form 8-K filed on May 4,</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6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48">
              <w:r>
                <w:rPr>
                  <w:rFonts w:ascii="Arial" w:cs="Arial" w:eastAsia="Arial" w:hAnsi="Arial"/>
                  <w:sz w:val="13"/>
                  <w:szCs w:val="13"/>
                  <w:color w:val="0000FF"/>
                </w:rPr>
                <w:t>2021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20" w:type="dxa"/>
            <w:vAlign w:val="bottom"/>
          </w:tcPr>
          <w:p>
            <w:pPr>
              <w:ind w:left="20"/>
              <w:spacing w:after="0"/>
              <w:rPr>
                <w:sz w:val="20"/>
                <w:szCs w:val="20"/>
                <w:color w:val="auto"/>
              </w:rPr>
            </w:pPr>
            <w:r>
              <w:rPr>
                <w:rFonts w:ascii="Arial" w:cs="Arial" w:eastAsia="Arial" w:hAnsi="Arial"/>
                <w:sz w:val="14"/>
                <w:szCs w:val="14"/>
                <w:color w:val="auto"/>
                <w:w w:val="81"/>
              </w:rPr>
              <w:t>3.1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20" w:type="dxa"/>
            <w:vAlign w:val="bottom"/>
            <w:gridSpan w:val="33"/>
          </w:tcPr>
          <w:p>
            <w:pPr>
              <w:spacing w:after="0"/>
              <w:rPr>
                <w:rFonts w:ascii="Arial" w:cs="Arial" w:eastAsia="Arial" w:hAnsi="Arial"/>
                <w:sz w:val="14"/>
                <w:szCs w:val="14"/>
                <w:color w:val="0000FF"/>
                <w:w w:val="94"/>
              </w:rPr>
            </w:pPr>
            <w:hyperlink r:id="rId149">
              <w:r>
                <w:rPr>
                  <w:rFonts w:ascii="Arial" w:cs="Arial" w:eastAsia="Arial" w:hAnsi="Arial"/>
                  <w:sz w:val="14"/>
                  <w:szCs w:val="14"/>
                  <w:color w:val="0000FF"/>
                  <w:w w:val="94"/>
                </w:rPr>
                <w:t>Fifth Amended and Restated Certificate of Incorporation of Booz Allen Hamilton Holding Corporation (Incorporated by reference to Exhibit 3.1 to the Company’s Current Report on</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30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Form 8-K filed on August 5, 2020 (File No. 001-34972))</w:t>
              </w:r>
            </w:hyperlink>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3.2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20" w:type="dxa"/>
            <w:vAlign w:val="bottom"/>
            <w:gridSpan w:val="33"/>
          </w:tcPr>
          <w:p>
            <w:pPr>
              <w:spacing w:after="0"/>
              <w:rPr>
                <w:rFonts w:ascii="Arial" w:cs="Arial" w:eastAsia="Arial" w:hAnsi="Arial"/>
                <w:sz w:val="14"/>
                <w:szCs w:val="14"/>
                <w:color w:val="0000FF"/>
                <w:w w:val="94"/>
              </w:rPr>
            </w:pPr>
            <w:hyperlink r:id="rId150">
              <w:r>
                <w:rPr>
                  <w:rFonts w:ascii="Arial" w:cs="Arial" w:eastAsia="Arial" w:hAnsi="Arial"/>
                  <w:sz w:val="14"/>
                  <w:szCs w:val="14"/>
                  <w:color w:val="0000FF"/>
                  <w:w w:val="94"/>
                </w:rPr>
                <w:t>Fifth Amended and Restated Bylaws of Booz Allen Hamilton Holding Corporation (Incorporated by reference to Exhibit 3.2 to the Company’s Quarterly Report for the period ended</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8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50">
              <w:r>
                <w:rPr>
                  <w:rFonts w:ascii="Arial" w:cs="Arial" w:eastAsia="Arial" w:hAnsi="Arial"/>
                  <w:sz w:val="13"/>
                  <w:szCs w:val="13"/>
                  <w:color w:val="0000FF"/>
                </w:rPr>
                <w:t>December 31, 2020 on Form 10-Q (File No. 001-34972))</w:t>
              </w:r>
            </w:hyperlink>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4.1</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20" w:type="dxa"/>
            <w:vAlign w:val="bottom"/>
            <w:gridSpan w:val="33"/>
          </w:tcPr>
          <w:p>
            <w:pPr>
              <w:spacing w:after="0"/>
              <w:rPr>
                <w:rFonts w:ascii="Arial" w:cs="Arial" w:eastAsia="Arial" w:hAnsi="Arial"/>
                <w:sz w:val="14"/>
                <w:szCs w:val="14"/>
                <w:color w:val="0000FF"/>
              </w:rPr>
            </w:pPr>
            <w:hyperlink r:id="rId151">
              <w:r>
                <w:rPr>
                  <w:rFonts w:ascii="Arial" w:cs="Arial" w:eastAsia="Arial" w:hAnsi="Arial"/>
                  <w:sz w:val="14"/>
                  <w:szCs w:val="14"/>
                  <w:color w:val="0000FF"/>
                </w:rPr>
                <w:t>Form of Stock Certificate (Incorporated by reference to Exhibit 4.5 to the Company’s Registration Statement on Form S-1 (File No. 333-167645))</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4.2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20" w:type="dxa"/>
            <w:vAlign w:val="bottom"/>
            <w:gridSpan w:val="33"/>
          </w:tcPr>
          <w:p>
            <w:pPr>
              <w:spacing w:after="0"/>
              <w:rPr>
                <w:rFonts w:ascii="Arial" w:cs="Arial" w:eastAsia="Arial" w:hAnsi="Arial"/>
                <w:sz w:val="14"/>
                <w:szCs w:val="14"/>
                <w:color w:val="0000FF"/>
                <w:w w:val="93"/>
              </w:rPr>
            </w:pPr>
            <w:hyperlink r:id="rId152">
              <w:r>
                <w:rPr>
                  <w:rFonts w:ascii="Arial" w:cs="Arial" w:eastAsia="Arial" w:hAnsi="Arial"/>
                  <w:sz w:val="14"/>
                  <w:szCs w:val="14"/>
                  <w:color w:val="0000FF"/>
                  <w:w w:val="93"/>
                </w:rPr>
                <w:t>Indenture, dated August 24, 2020, among Booz Allen Hamilton Inc., the Subsidiary Guarantors party thereto and Wilmington Trust, National Association (Incorporated by reference</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rPr>
            </w:pPr>
            <w:hyperlink r:id="rId152">
              <w:r>
                <w:rPr>
                  <w:rFonts w:ascii="Arial" w:cs="Arial" w:eastAsia="Arial" w:hAnsi="Arial"/>
                  <w:sz w:val="13"/>
                  <w:szCs w:val="13"/>
                  <w:color w:val="0000FF"/>
                </w:rPr>
                <w:t>to Exhibit 4.1 to the Company’s Current Report on Form 8-K filed on August 24, 2020 (File No. 001-34972))</w:t>
              </w:r>
            </w:hyperlink>
          </w:p>
        </w:tc>
        <w:tc>
          <w:tcPr>
            <w:tcW w:w="4040" w:type="dxa"/>
            <w:vAlign w:val="bottom"/>
            <w:tcBorders>
              <w:top w:val="single" w:sz="8" w:color="0000FF"/>
            </w:tcBorders>
            <w:gridSpan w:val="13"/>
          </w:tcPr>
          <w:p>
            <w:pPr>
              <w:spacing w:after="0"/>
              <w:rPr>
                <w:sz w:val="10"/>
                <w:szCs w:val="10"/>
                <w:color w:val="auto"/>
              </w:rPr>
            </w:pPr>
          </w:p>
        </w:tc>
        <w:tc>
          <w:tcPr>
            <w:tcW w:w="18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4.3</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20" w:type="dxa"/>
            <w:vAlign w:val="bottom"/>
            <w:gridSpan w:val="33"/>
          </w:tcPr>
          <w:p>
            <w:pPr>
              <w:spacing w:after="0"/>
              <w:rPr>
                <w:rFonts w:ascii="Arial" w:cs="Arial" w:eastAsia="Arial" w:hAnsi="Arial"/>
                <w:sz w:val="14"/>
                <w:szCs w:val="14"/>
                <w:color w:val="0000FF"/>
                <w:w w:val="98"/>
              </w:rPr>
            </w:pPr>
            <w:hyperlink r:id="rId153">
              <w:r>
                <w:rPr>
                  <w:rFonts w:ascii="Arial" w:cs="Arial" w:eastAsia="Arial" w:hAnsi="Arial"/>
                  <w:sz w:val="14"/>
                  <w:szCs w:val="14"/>
                  <w:color w:val="0000FF"/>
                  <w:w w:val="98"/>
                </w:rPr>
                <w:t>First Supplemental Indenture, dated August 24, 2020, among Booz Allen Hamilton Inc., the Subsidiary Guarantors party thereto and Wilmington Trust, National Association</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53">
              <w:r>
                <w:rPr>
                  <w:rFonts w:ascii="Arial" w:cs="Arial" w:eastAsia="Arial" w:hAnsi="Arial"/>
                  <w:sz w:val="13"/>
                  <w:szCs w:val="13"/>
                  <w:color w:val="0000FF"/>
                </w:rPr>
                <w:t>(Incorporated by reference to Exhibit 4.2 to the Company’s Current Report on Form 8-K filed on August 24, 2020 (File No. 001-34972))</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20" w:type="dxa"/>
            <w:vAlign w:val="bottom"/>
          </w:tcPr>
          <w:p>
            <w:pPr>
              <w:ind w:left="20"/>
              <w:spacing w:after="0"/>
              <w:rPr>
                <w:sz w:val="20"/>
                <w:szCs w:val="20"/>
                <w:color w:val="auto"/>
              </w:rPr>
            </w:pPr>
            <w:r>
              <w:rPr>
                <w:rFonts w:ascii="Arial" w:cs="Arial" w:eastAsia="Arial" w:hAnsi="Arial"/>
                <w:sz w:val="14"/>
                <w:szCs w:val="14"/>
                <w:color w:val="auto"/>
                <w:w w:val="81"/>
              </w:rPr>
              <w:t>4.4</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740" w:type="dxa"/>
            <w:vAlign w:val="bottom"/>
            <w:tcBorders>
              <w:top w:val="single" w:sz="8" w:color="0000FF"/>
            </w:tcBorders>
            <w:gridSpan w:val="13"/>
          </w:tcPr>
          <w:p>
            <w:pPr>
              <w:spacing w:after="0"/>
              <w:rPr>
                <w:rFonts w:ascii="Arial" w:cs="Arial" w:eastAsia="Arial" w:hAnsi="Arial"/>
                <w:sz w:val="14"/>
                <w:szCs w:val="14"/>
                <w:color w:val="0000FF"/>
              </w:rPr>
            </w:pPr>
            <w:hyperlink r:id="rId152">
              <w:r>
                <w:rPr>
                  <w:rFonts w:ascii="Arial" w:cs="Arial" w:eastAsia="Arial" w:hAnsi="Arial"/>
                  <w:sz w:val="14"/>
                  <w:szCs w:val="14"/>
                  <w:color w:val="0000FF"/>
                </w:rPr>
                <w:t xml:space="preserve">Form of </w:t>
              </w:r>
            </w:hyperlink>
            <w:r>
              <w:rPr>
                <w:rFonts w:ascii="Arial" w:cs="Arial" w:eastAsia="Arial" w:hAnsi="Arial"/>
                <w:sz w:val="14"/>
                <w:szCs w:val="14"/>
                <w:color w:val="0000FF"/>
              </w:rPr>
              <w:t xml:space="preserve">3.875% </w:t>
            </w:r>
            <w:hyperlink r:id="rId152">
              <w:r>
                <w:rPr>
                  <w:rFonts w:ascii="Arial" w:cs="Arial" w:eastAsia="Arial" w:hAnsi="Arial"/>
                  <w:sz w:val="14"/>
                  <w:szCs w:val="14"/>
                  <w:color w:val="0000FF"/>
                </w:rPr>
                <w:t xml:space="preserve">Senior Note due </w:t>
              </w:r>
            </w:hyperlink>
            <w:r>
              <w:rPr>
                <w:rFonts w:ascii="Arial" w:cs="Arial" w:eastAsia="Arial" w:hAnsi="Arial"/>
                <w:sz w:val="14"/>
                <w:szCs w:val="14"/>
                <w:color w:val="0000FF"/>
              </w:rPr>
              <w:t xml:space="preserve">2028 </w:t>
            </w:r>
            <w:hyperlink r:id="rId152">
              <w:r>
                <w:rPr>
                  <w:rFonts w:ascii="Arial" w:cs="Arial" w:eastAsia="Arial" w:hAnsi="Arial"/>
                  <w:sz w:val="14"/>
                  <w:szCs w:val="14"/>
                  <w:color w:val="0000FF"/>
                </w:rPr>
                <w:t xml:space="preserve">(included as Exhibit A to Exhibit </w:t>
              </w:r>
            </w:hyperlink>
            <w:r>
              <w:rPr>
                <w:rFonts w:ascii="Arial" w:cs="Arial" w:eastAsia="Arial" w:hAnsi="Arial"/>
                <w:sz w:val="14"/>
                <w:szCs w:val="14"/>
                <w:color w:val="0000FF"/>
              </w:rPr>
              <w:t xml:space="preserve">4.2 </w:t>
            </w:r>
            <w:hyperlink r:id="rId152">
              <w:r>
                <w:rPr>
                  <w:rFonts w:ascii="Arial" w:cs="Arial" w:eastAsia="Arial" w:hAnsi="Arial"/>
                  <w:sz w:val="14"/>
                  <w:szCs w:val="14"/>
                  <w:color w:val="0000FF"/>
                </w:rPr>
                <w:t>hereof)</w:t>
              </w:r>
            </w:hyperlink>
          </w:p>
        </w:tc>
        <w:tc>
          <w:tcPr>
            <w:tcW w:w="26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4.5*</w:t>
            </w:r>
          </w:p>
        </w:tc>
        <w:tc>
          <w:tcPr>
            <w:tcW w:w="300" w:type="dxa"/>
            <w:vAlign w:val="bottom"/>
          </w:tcPr>
          <w:p>
            <w:pPr>
              <w:spacing w:after="0"/>
              <w:rPr>
                <w:sz w:val="17"/>
                <w:szCs w:val="17"/>
                <w:color w:val="auto"/>
              </w:rPr>
            </w:pPr>
          </w:p>
        </w:tc>
        <w:tc>
          <w:tcPr>
            <w:tcW w:w="4760" w:type="dxa"/>
            <w:vAlign w:val="bottom"/>
            <w:tcBorders>
              <w:top w:val="single" w:sz="8" w:color="0000FF"/>
            </w:tcBorders>
            <w:gridSpan w:val="9"/>
          </w:tcPr>
          <w:p>
            <w:pPr>
              <w:spacing w:after="0"/>
              <w:rPr>
                <w:rFonts w:ascii="Arial" w:cs="Arial" w:eastAsia="Arial" w:hAnsi="Arial"/>
                <w:sz w:val="14"/>
                <w:szCs w:val="14"/>
                <w:color w:val="0000FF"/>
              </w:rPr>
            </w:pPr>
            <w:hyperlink w:anchor="page130">
              <w:r>
                <w:rPr>
                  <w:rFonts w:ascii="Arial" w:cs="Arial" w:eastAsia="Arial" w:hAnsi="Arial"/>
                  <w:sz w:val="14"/>
                  <w:szCs w:val="14"/>
                  <w:color w:val="0000FF"/>
                </w:rPr>
                <w:t>Description of Capital Stock*</w:t>
              </w:r>
            </w:hyperlink>
          </w:p>
        </w:tc>
        <w:tc>
          <w:tcPr>
            <w:tcW w:w="56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gridSpan w:val="3"/>
          </w:tcPr>
          <w:p>
            <w:pPr>
              <w:ind w:left="20"/>
              <w:spacing w:after="0"/>
              <w:rPr>
                <w:sz w:val="20"/>
                <w:szCs w:val="20"/>
                <w:color w:val="auto"/>
              </w:rPr>
            </w:pPr>
            <w:r>
              <w:rPr>
                <w:rFonts w:ascii="Arial" w:cs="Arial" w:eastAsia="Arial" w:hAnsi="Arial"/>
                <w:sz w:val="14"/>
                <w:szCs w:val="14"/>
                <w:color w:val="auto"/>
              </w:rPr>
              <w:t>10.1†</w:t>
            </w:r>
          </w:p>
        </w:tc>
        <w:tc>
          <w:tcPr>
            <w:tcW w:w="10420" w:type="dxa"/>
            <w:vAlign w:val="bottom"/>
            <w:gridSpan w:val="33"/>
          </w:tcPr>
          <w:p>
            <w:pPr>
              <w:spacing w:after="0"/>
              <w:rPr>
                <w:rFonts w:ascii="Arial" w:cs="Arial" w:eastAsia="Arial" w:hAnsi="Arial"/>
                <w:sz w:val="14"/>
                <w:szCs w:val="14"/>
                <w:color w:val="0000FF"/>
                <w:w w:val="95"/>
              </w:rPr>
            </w:pPr>
            <w:hyperlink r:id="rId154">
              <w:r>
                <w:rPr>
                  <w:rFonts w:ascii="Arial" w:cs="Arial" w:eastAsia="Arial" w:hAnsi="Arial"/>
                  <w:sz w:val="14"/>
                  <w:szCs w:val="14"/>
                  <w:color w:val="0000FF"/>
                  <w:w w:val="95"/>
                </w:rPr>
                <w:t>Third Amended and Restated Equity Incentive Plan of Booz Allen Hamilton Holding Corporation (Incorporated by reference to Exhibit 10.2 to the Company’s Quarterly Report for</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4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8"/>
              </w:rPr>
            </w:pPr>
            <w:hyperlink r:id="rId154">
              <w:r>
                <w:rPr>
                  <w:rFonts w:ascii="Arial" w:cs="Arial" w:eastAsia="Arial" w:hAnsi="Arial"/>
                  <w:sz w:val="13"/>
                  <w:szCs w:val="13"/>
                  <w:color w:val="0000FF"/>
                  <w:w w:val="98"/>
                </w:rPr>
                <w:t>the period ended December 31, 2019 on Form 10-Q (File No. 001-34972))</w:t>
              </w:r>
            </w:hyperlink>
          </w:p>
        </w:tc>
        <w:tc>
          <w:tcPr>
            <w:tcW w:w="5960" w:type="dxa"/>
            <w:vAlign w:val="bottom"/>
            <w:tcBorders>
              <w:top w:val="single" w:sz="8" w:color="0000FF"/>
            </w:tcBorders>
            <w:gridSpan w:val="15"/>
          </w:tcPr>
          <w:p>
            <w:pPr>
              <w:spacing w:after="0"/>
              <w:rPr>
                <w:sz w:val="10"/>
                <w:szCs w:val="10"/>
                <w:color w:val="auto"/>
              </w:rPr>
            </w:pPr>
          </w:p>
        </w:tc>
        <w:tc>
          <w:tcPr>
            <w:tcW w:w="22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gridSpan w:val="3"/>
          </w:tcPr>
          <w:p>
            <w:pPr>
              <w:ind w:left="20"/>
              <w:spacing w:after="0"/>
              <w:rPr>
                <w:sz w:val="20"/>
                <w:szCs w:val="20"/>
                <w:color w:val="auto"/>
              </w:rPr>
            </w:pPr>
            <w:r>
              <w:rPr>
                <w:rFonts w:ascii="Arial" w:cs="Arial" w:eastAsia="Arial" w:hAnsi="Arial"/>
                <w:sz w:val="14"/>
                <w:szCs w:val="14"/>
                <w:color w:val="auto"/>
              </w:rPr>
              <w:t>10.2†</w:t>
            </w:r>
          </w:p>
        </w:tc>
        <w:tc>
          <w:tcPr>
            <w:tcW w:w="10420" w:type="dxa"/>
            <w:vAlign w:val="bottom"/>
            <w:gridSpan w:val="33"/>
          </w:tcPr>
          <w:p>
            <w:pPr>
              <w:spacing w:after="0"/>
              <w:rPr>
                <w:rFonts w:ascii="Arial" w:cs="Arial" w:eastAsia="Arial" w:hAnsi="Arial"/>
                <w:sz w:val="14"/>
                <w:szCs w:val="14"/>
                <w:color w:val="0000FF"/>
                <w:w w:val="98"/>
              </w:rPr>
            </w:pPr>
            <w:hyperlink r:id="rId155">
              <w:r>
                <w:rPr>
                  <w:rFonts w:ascii="Arial" w:cs="Arial" w:eastAsia="Arial" w:hAnsi="Arial"/>
                  <w:sz w:val="14"/>
                  <w:szCs w:val="14"/>
                  <w:color w:val="0000FF"/>
                  <w:w w:val="98"/>
                </w:rPr>
                <w:t>Form of Stock Option Agreement under the Equity Incentive Plan of Booz Allen Hamilton Holding Corporation (Incorporated by reference to Exhibit 10.10 to the Company’s</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8"/>
              </w:rPr>
            </w:pPr>
            <w:hyperlink r:id="rId155">
              <w:r>
                <w:rPr>
                  <w:rFonts w:ascii="Arial" w:cs="Arial" w:eastAsia="Arial" w:hAnsi="Arial"/>
                  <w:sz w:val="13"/>
                  <w:szCs w:val="13"/>
                  <w:color w:val="0000FF"/>
                  <w:w w:val="98"/>
                </w:rPr>
                <w:t>Registration Statement on Form S-1 (File No. 333-167645))</w:t>
              </w:r>
            </w:hyperlink>
          </w:p>
        </w:tc>
        <w:tc>
          <w:tcPr>
            <w:tcW w:w="6500" w:type="dxa"/>
            <w:vAlign w:val="bottom"/>
            <w:tcBorders>
              <w:top w:val="single" w:sz="8" w:color="0000FF"/>
            </w:tcBorders>
            <w:gridSpan w:val="14"/>
          </w:tcPr>
          <w:p>
            <w:pPr>
              <w:spacing w:after="0"/>
              <w:rPr>
                <w:sz w:val="10"/>
                <w:szCs w:val="10"/>
                <w:color w:val="auto"/>
              </w:rPr>
            </w:pPr>
          </w:p>
        </w:tc>
        <w:tc>
          <w:tcPr>
            <w:tcW w:w="280" w:type="dxa"/>
            <w:vAlign w:val="bottom"/>
            <w:gridSpan w:val="2"/>
          </w:tcPr>
          <w:p>
            <w:pPr>
              <w:spacing w:after="0"/>
              <w:rPr>
                <w:sz w:val="10"/>
                <w:szCs w:val="10"/>
                <w:color w:val="auto"/>
              </w:rPr>
            </w:pPr>
          </w:p>
        </w:tc>
        <w:tc>
          <w:tcPr>
            <w:tcW w:w="2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gridSpan w:val="3"/>
          </w:tcPr>
          <w:p>
            <w:pPr>
              <w:ind w:left="20"/>
              <w:spacing w:after="0"/>
              <w:rPr>
                <w:sz w:val="20"/>
                <w:szCs w:val="20"/>
                <w:color w:val="auto"/>
              </w:rPr>
            </w:pPr>
            <w:r>
              <w:rPr>
                <w:rFonts w:ascii="Arial" w:cs="Arial" w:eastAsia="Arial" w:hAnsi="Arial"/>
                <w:sz w:val="14"/>
                <w:szCs w:val="14"/>
                <w:color w:val="auto"/>
              </w:rPr>
              <w:t>10.3†</w:t>
            </w:r>
          </w:p>
        </w:tc>
        <w:tc>
          <w:tcPr>
            <w:tcW w:w="10420" w:type="dxa"/>
            <w:vAlign w:val="bottom"/>
            <w:gridSpan w:val="33"/>
          </w:tcPr>
          <w:p>
            <w:pPr>
              <w:spacing w:after="0"/>
              <w:rPr>
                <w:rFonts w:ascii="Arial" w:cs="Arial" w:eastAsia="Arial" w:hAnsi="Arial"/>
                <w:sz w:val="14"/>
                <w:szCs w:val="14"/>
                <w:color w:val="0000FF"/>
                <w:w w:val="98"/>
              </w:rPr>
            </w:pPr>
            <w:hyperlink r:id="rId156">
              <w:r>
                <w:rPr>
                  <w:rFonts w:ascii="Arial" w:cs="Arial" w:eastAsia="Arial" w:hAnsi="Arial"/>
                  <w:sz w:val="14"/>
                  <w:szCs w:val="14"/>
                  <w:color w:val="0000FF"/>
                  <w:w w:val="98"/>
                </w:rPr>
                <w:t>Form of Stock Option Agreement under the Equity Incentive Plan of Booz Allen Hamilton Holding Corporation (Incorporated by reference to Exhibit 10.11 to the Company’s</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8"/>
              </w:rPr>
            </w:pPr>
            <w:hyperlink r:id="rId156">
              <w:r>
                <w:rPr>
                  <w:rFonts w:ascii="Arial" w:cs="Arial" w:eastAsia="Arial" w:hAnsi="Arial"/>
                  <w:sz w:val="13"/>
                  <w:szCs w:val="13"/>
                  <w:color w:val="0000FF"/>
                  <w:w w:val="98"/>
                </w:rPr>
                <w:t>Registration Statement on Form S-1 (File No. 333-167645))</w:t>
              </w:r>
            </w:hyperlink>
          </w:p>
        </w:tc>
        <w:tc>
          <w:tcPr>
            <w:tcW w:w="6480" w:type="dxa"/>
            <w:vAlign w:val="bottom"/>
            <w:tcBorders>
              <w:top w:val="single" w:sz="8" w:color="0000FF"/>
            </w:tcBorders>
            <w:gridSpan w:val="13"/>
          </w:tcPr>
          <w:p>
            <w:pPr>
              <w:spacing w:after="0"/>
              <w:rPr>
                <w:sz w:val="10"/>
                <w:szCs w:val="10"/>
                <w:color w:val="auto"/>
              </w:rPr>
            </w:pPr>
          </w:p>
        </w:tc>
        <w:tc>
          <w:tcPr>
            <w:tcW w:w="300" w:type="dxa"/>
            <w:vAlign w:val="bottom"/>
            <w:gridSpan w:val="3"/>
          </w:tcPr>
          <w:p>
            <w:pPr>
              <w:spacing w:after="0"/>
              <w:rPr>
                <w:sz w:val="10"/>
                <w:szCs w:val="10"/>
                <w:color w:val="auto"/>
              </w:rPr>
            </w:pPr>
          </w:p>
        </w:tc>
        <w:tc>
          <w:tcPr>
            <w:tcW w:w="2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gridSpan w:val="3"/>
          </w:tcPr>
          <w:p>
            <w:pPr>
              <w:ind w:left="20"/>
              <w:spacing w:after="0"/>
              <w:rPr>
                <w:sz w:val="20"/>
                <w:szCs w:val="20"/>
                <w:color w:val="auto"/>
              </w:rPr>
            </w:pPr>
            <w:r>
              <w:rPr>
                <w:rFonts w:ascii="Arial" w:cs="Arial" w:eastAsia="Arial" w:hAnsi="Arial"/>
                <w:sz w:val="14"/>
                <w:szCs w:val="14"/>
                <w:color w:val="auto"/>
              </w:rPr>
              <w:t>10.4†</w:t>
            </w:r>
          </w:p>
        </w:tc>
        <w:tc>
          <w:tcPr>
            <w:tcW w:w="8840" w:type="dxa"/>
            <w:vAlign w:val="bottom"/>
            <w:tcBorders>
              <w:bottom w:val="single" w:sz="8" w:color="0000FF"/>
            </w:tcBorders>
            <w:gridSpan w:val="15"/>
          </w:tcPr>
          <w:p>
            <w:pPr>
              <w:spacing w:after="0"/>
              <w:rPr>
                <w:rFonts w:ascii="Arial" w:cs="Arial" w:eastAsia="Arial" w:hAnsi="Arial"/>
                <w:sz w:val="14"/>
                <w:szCs w:val="14"/>
                <w:color w:val="0000FF"/>
                <w:w w:val="92"/>
              </w:rPr>
            </w:pPr>
            <w:hyperlink r:id="rId157">
              <w:r>
                <w:rPr>
                  <w:rFonts w:ascii="Arial" w:cs="Arial" w:eastAsia="Arial" w:hAnsi="Arial"/>
                  <w:sz w:val="14"/>
                  <w:szCs w:val="14"/>
                  <w:color w:val="0000FF"/>
                  <w:w w:val="92"/>
                </w:rPr>
                <w:t>Form of Subscription Agreement (Incorporated by reference to Exhibit 10.12 to the Company’s Registration Statement on Form S-1 (File No. 333-167645))</w:t>
              </w:r>
            </w:hyperlink>
          </w:p>
        </w:tc>
        <w:tc>
          <w:tcPr>
            <w:tcW w:w="15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gridSpan w:val="3"/>
          </w:tcPr>
          <w:p>
            <w:pPr>
              <w:ind w:left="20"/>
              <w:spacing w:after="0"/>
              <w:rPr>
                <w:sz w:val="20"/>
                <w:szCs w:val="20"/>
                <w:color w:val="auto"/>
              </w:rPr>
            </w:pPr>
            <w:r>
              <w:rPr>
                <w:rFonts w:ascii="Arial" w:cs="Arial" w:eastAsia="Arial" w:hAnsi="Arial"/>
                <w:sz w:val="14"/>
                <w:szCs w:val="14"/>
                <w:color w:val="auto"/>
              </w:rPr>
              <w:t>10.5†</w:t>
            </w:r>
          </w:p>
        </w:tc>
        <w:tc>
          <w:tcPr>
            <w:tcW w:w="10420" w:type="dxa"/>
            <w:vAlign w:val="bottom"/>
            <w:gridSpan w:val="33"/>
          </w:tcPr>
          <w:p>
            <w:pPr>
              <w:spacing w:after="0"/>
              <w:rPr>
                <w:rFonts w:ascii="Arial" w:cs="Arial" w:eastAsia="Arial" w:hAnsi="Arial"/>
                <w:sz w:val="14"/>
                <w:szCs w:val="14"/>
                <w:color w:val="0000FF"/>
                <w:w w:val="94"/>
              </w:rPr>
            </w:pPr>
            <w:hyperlink r:id="rId158">
              <w:r>
                <w:rPr>
                  <w:rFonts w:ascii="Arial" w:cs="Arial" w:eastAsia="Arial" w:hAnsi="Arial"/>
                  <w:sz w:val="14"/>
                  <w:szCs w:val="14"/>
                  <w:color w:val="0000FF"/>
                  <w:w w:val="94"/>
                </w:rPr>
                <w:t>Second Amended and Restated Booz Allen Hamilton Holding Corporation Annual Incentive Plan (Incorporated by reference to Exhibit 10.3 to the Company’s Quarterly Report for</w:t>
              </w:r>
            </w:hyperlink>
          </w:p>
        </w:tc>
        <w:tc>
          <w:tcPr>
            <w:tcW w:w="0" w:type="dxa"/>
            <w:vAlign w:val="bottom"/>
          </w:tcPr>
          <w:p>
            <w:pPr>
              <w:spacing w:after="0"/>
              <w:rPr>
                <w:sz w:val="1"/>
                <w:szCs w:val="1"/>
                <w:color w:val="auto"/>
              </w:rPr>
            </w:pPr>
          </w:p>
        </w:tc>
      </w:tr>
      <w:tr>
        <w:trPr>
          <w:trHeight w:val="118"/>
        </w:trPr>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2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8"/>
              </w:rPr>
            </w:pPr>
            <w:hyperlink r:id="rId158">
              <w:r>
                <w:rPr>
                  <w:rFonts w:ascii="Arial" w:cs="Arial" w:eastAsia="Arial" w:hAnsi="Arial"/>
                  <w:sz w:val="13"/>
                  <w:szCs w:val="13"/>
                  <w:color w:val="0000FF"/>
                  <w:w w:val="98"/>
                </w:rPr>
                <w:t>the period ended December 31, 2019 on Form 10-Q (File No. 001-34972))</w:t>
              </w:r>
            </w:hyperlink>
          </w:p>
        </w:tc>
        <w:tc>
          <w:tcPr>
            <w:tcW w:w="5960" w:type="dxa"/>
            <w:vAlign w:val="bottom"/>
            <w:tcBorders>
              <w:top w:val="single" w:sz="8" w:color="0000FF"/>
            </w:tcBorders>
            <w:gridSpan w:val="15"/>
          </w:tcPr>
          <w:p>
            <w:pPr>
              <w:spacing w:after="0"/>
              <w:rPr>
                <w:sz w:val="10"/>
                <w:szCs w:val="10"/>
                <w:color w:val="auto"/>
              </w:rPr>
            </w:pPr>
          </w:p>
        </w:tc>
        <w:tc>
          <w:tcPr>
            <w:tcW w:w="2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722"/>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gridSpan w:val="10"/>
          </w:tcPr>
          <w:p>
            <w:pPr>
              <w:ind w:left="4700"/>
              <w:spacing w:after="0"/>
              <w:rPr>
                <w:sz w:val="20"/>
                <w:szCs w:val="20"/>
                <w:color w:val="auto"/>
              </w:rPr>
            </w:pPr>
            <w:r>
              <w:rPr>
                <w:rFonts w:ascii="Arial" w:cs="Arial" w:eastAsia="Arial" w:hAnsi="Arial"/>
                <w:sz w:val="14"/>
                <w:szCs w:val="14"/>
                <w:color w:val="auto"/>
              </w:rPr>
              <w:t>73</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Arial" w:cs="Arial" w:eastAsia="Arial" w:hAnsi="Arial"/>
                <w:sz w:val="14"/>
                <w:szCs w:val="14"/>
                <w:color w:val="auto"/>
              </w:rPr>
              <w:t>10.6†</w:t>
            </w:r>
          </w:p>
        </w:tc>
        <w:tc>
          <w:tcPr>
            <w:tcW w:w="10460" w:type="dxa"/>
            <w:vAlign w:val="bottom"/>
            <w:gridSpan w:val="35"/>
          </w:tcPr>
          <w:p>
            <w:pPr>
              <w:spacing w:after="0"/>
              <w:rPr>
                <w:rFonts w:ascii="Arial" w:cs="Arial" w:eastAsia="Arial" w:hAnsi="Arial"/>
                <w:sz w:val="14"/>
                <w:szCs w:val="14"/>
                <w:color w:val="0000FF"/>
                <w:w w:val="94"/>
              </w:rPr>
            </w:pPr>
            <w:hyperlink r:id="rId161">
              <w:r>
                <w:rPr>
                  <w:rFonts w:ascii="Arial" w:cs="Arial" w:eastAsia="Arial" w:hAnsi="Arial"/>
                  <w:sz w:val="14"/>
                  <w:szCs w:val="14"/>
                  <w:color w:val="0000FF"/>
                  <w:w w:val="94"/>
                </w:rPr>
                <w:t>Booz Allen Hamilton Holding Corporation Officers’ Retirement Plan (Incorporated by reference to Exhibit 10.6 to the Company’s Annual Report for the year ended March 31, 2018</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210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161">
              <w:r>
                <w:rPr>
                  <w:rFonts w:ascii="Arial" w:cs="Arial" w:eastAsia="Arial" w:hAnsi="Arial"/>
                  <w:sz w:val="13"/>
                  <w:szCs w:val="13"/>
                  <w:color w:val="0000FF"/>
                </w:rPr>
                <w:t>on Form 10-K (File No. 001-34972))</w:t>
              </w:r>
            </w:hyperlink>
          </w:p>
        </w:tc>
        <w:tc>
          <w:tcPr>
            <w:tcW w:w="8140" w:type="dxa"/>
            <w:vAlign w:val="bottom"/>
            <w:tcBorders>
              <w:top w:val="single" w:sz="8" w:color="0000FF"/>
            </w:tcBorders>
            <w:gridSpan w:val="20"/>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10.7†</w:t>
            </w:r>
          </w:p>
        </w:tc>
        <w:tc>
          <w:tcPr>
            <w:tcW w:w="10460" w:type="dxa"/>
            <w:vAlign w:val="bottom"/>
            <w:gridSpan w:val="35"/>
          </w:tcPr>
          <w:p>
            <w:pPr>
              <w:spacing w:after="0"/>
              <w:rPr>
                <w:rFonts w:ascii="Arial" w:cs="Arial" w:eastAsia="Arial" w:hAnsi="Arial"/>
                <w:sz w:val="14"/>
                <w:szCs w:val="14"/>
                <w:color w:val="0000FF"/>
                <w:w w:val="94"/>
              </w:rPr>
            </w:pPr>
            <w:hyperlink r:id="rId162">
              <w:r>
                <w:rPr>
                  <w:rFonts w:ascii="Arial" w:cs="Arial" w:eastAsia="Arial" w:hAnsi="Arial"/>
                  <w:sz w:val="14"/>
                  <w:szCs w:val="14"/>
                  <w:color w:val="0000FF"/>
                  <w:w w:val="94"/>
                </w:rPr>
                <w:t>Officer’s Comprehensive Medical and Dental Choice Plans (Incorporated by reference to Exhibit 10.7 to the Company’s Annual Report for the year ended March 31, 2018 on Form</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5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162">
              <w:r>
                <w:rPr>
                  <w:rFonts w:ascii="Arial" w:cs="Arial" w:eastAsia="Arial" w:hAnsi="Arial"/>
                  <w:sz w:val="13"/>
                  <w:szCs w:val="13"/>
                  <w:color w:val="0000FF"/>
                </w:rPr>
                <w:t>10-K (File No. 001-34972))</w:t>
              </w:r>
            </w:hyperlink>
          </w:p>
        </w:tc>
        <w:tc>
          <w:tcPr>
            <w:tcW w:w="862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10.8†</w:t>
            </w:r>
          </w:p>
        </w:tc>
        <w:tc>
          <w:tcPr>
            <w:tcW w:w="10460" w:type="dxa"/>
            <w:vAlign w:val="bottom"/>
            <w:gridSpan w:val="35"/>
          </w:tcPr>
          <w:p>
            <w:pPr>
              <w:spacing w:after="0"/>
              <w:rPr>
                <w:rFonts w:ascii="Arial" w:cs="Arial" w:eastAsia="Arial" w:hAnsi="Arial"/>
                <w:sz w:val="14"/>
                <w:szCs w:val="14"/>
                <w:color w:val="0000FF"/>
                <w:w w:val="93"/>
              </w:rPr>
            </w:pPr>
            <w:hyperlink r:id="rId163">
              <w:r>
                <w:rPr>
                  <w:rFonts w:ascii="Arial" w:cs="Arial" w:eastAsia="Arial" w:hAnsi="Arial"/>
                  <w:sz w:val="14"/>
                  <w:szCs w:val="14"/>
                  <w:color w:val="0000FF"/>
                  <w:w w:val="93"/>
                </w:rPr>
                <w:t>Retired Officer’s Comprehensive Medical and Dental Choice Plans (Incorporated by reference to Exhibit 10.8 to the Company’s Annual Report for the year ended March 31, 2018 on</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92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63">
              <w:r>
                <w:rPr>
                  <w:rFonts w:ascii="Arial" w:cs="Arial" w:eastAsia="Arial" w:hAnsi="Arial"/>
                  <w:sz w:val="13"/>
                  <w:szCs w:val="13"/>
                  <w:color w:val="0000FF"/>
                </w:rPr>
                <w:t>Form 10-K (File No. 001-34972))</w:t>
              </w:r>
            </w:hyperlink>
          </w:p>
        </w:tc>
        <w:tc>
          <w:tcPr>
            <w:tcW w:w="842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10.9†</w:t>
            </w:r>
          </w:p>
        </w:tc>
        <w:tc>
          <w:tcPr>
            <w:tcW w:w="10460" w:type="dxa"/>
            <w:vAlign w:val="bottom"/>
            <w:gridSpan w:val="35"/>
          </w:tcPr>
          <w:p>
            <w:pPr>
              <w:spacing w:after="0"/>
              <w:rPr>
                <w:rFonts w:ascii="Arial" w:cs="Arial" w:eastAsia="Arial" w:hAnsi="Arial"/>
                <w:sz w:val="14"/>
                <w:szCs w:val="14"/>
                <w:color w:val="0000FF"/>
                <w:w w:val="95"/>
              </w:rPr>
            </w:pPr>
            <w:hyperlink r:id="rId164">
              <w:r>
                <w:rPr>
                  <w:rFonts w:ascii="Arial" w:cs="Arial" w:eastAsia="Arial" w:hAnsi="Arial"/>
                  <w:sz w:val="14"/>
                  <w:szCs w:val="14"/>
                  <w:color w:val="0000FF"/>
                  <w:w w:val="95"/>
                </w:rPr>
                <w:t>Group Variable Universal Life Insurance (Incorporated by reference to Exhibit 10.14 to the Company’s Annual Report for the year ended March 31, 2015 on Form 10-K (File No.</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70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5"/>
              </w:rPr>
            </w:pPr>
            <w:hyperlink r:id="rId164">
              <w:r>
                <w:rPr>
                  <w:rFonts w:ascii="Arial" w:cs="Arial" w:eastAsia="Arial" w:hAnsi="Arial"/>
                  <w:sz w:val="13"/>
                  <w:szCs w:val="13"/>
                  <w:color w:val="0000FF"/>
                  <w:w w:val="95"/>
                </w:rPr>
                <w:t>001-34972))</w:t>
              </w:r>
            </w:hyperlink>
          </w:p>
        </w:tc>
        <w:tc>
          <w:tcPr>
            <w:tcW w:w="8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08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14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10.10†</w:t>
            </w:r>
          </w:p>
        </w:tc>
        <w:tc>
          <w:tcPr>
            <w:tcW w:w="10460" w:type="dxa"/>
            <w:vAlign w:val="bottom"/>
            <w:gridSpan w:val="35"/>
          </w:tcPr>
          <w:p>
            <w:pPr>
              <w:spacing w:after="0"/>
              <w:rPr>
                <w:rFonts w:ascii="Arial" w:cs="Arial" w:eastAsia="Arial" w:hAnsi="Arial"/>
                <w:sz w:val="14"/>
                <w:szCs w:val="14"/>
                <w:color w:val="0000FF"/>
              </w:rPr>
            </w:pPr>
            <w:hyperlink w:anchor="page134">
              <w:r>
                <w:rPr>
                  <w:rFonts w:ascii="Arial" w:cs="Arial" w:eastAsia="Arial" w:hAnsi="Arial"/>
                  <w:sz w:val="14"/>
                  <w:szCs w:val="14"/>
                  <w:color w:val="0000FF"/>
                </w:rPr>
                <w:t>Group Personal Excess Liability Insurance*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10.11†</w:t>
            </w:r>
          </w:p>
        </w:tc>
        <w:tc>
          <w:tcPr>
            <w:tcW w:w="10460" w:type="dxa"/>
            <w:vAlign w:val="bottom"/>
            <w:gridSpan w:val="35"/>
          </w:tcPr>
          <w:p>
            <w:pPr>
              <w:spacing w:after="0"/>
              <w:rPr>
                <w:rFonts w:ascii="Arial" w:cs="Arial" w:eastAsia="Arial" w:hAnsi="Arial"/>
                <w:sz w:val="14"/>
                <w:szCs w:val="14"/>
                <w:color w:val="0000FF"/>
                <w:w w:val="95"/>
              </w:rPr>
            </w:pPr>
            <w:hyperlink r:id="rId165">
              <w:r>
                <w:rPr>
                  <w:rFonts w:ascii="Arial" w:cs="Arial" w:eastAsia="Arial" w:hAnsi="Arial"/>
                  <w:sz w:val="14"/>
                  <w:szCs w:val="14"/>
                  <w:color w:val="0000FF"/>
                  <w:w w:val="95"/>
                </w:rPr>
                <w:t>Officer Annual Performance Bonus Policy (Incorporated by reference to Exhibit 10.11 to the Company’s Annual Report for the year ended March 31, 2018 on Form 10-K (File No.</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70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5"/>
              </w:rPr>
            </w:pPr>
            <w:hyperlink r:id="rId165">
              <w:r>
                <w:rPr>
                  <w:rFonts w:ascii="Arial" w:cs="Arial" w:eastAsia="Arial" w:hAnsi="Arial"/>
                  <w:sz w:val="13"/>
                  <w:szCs w:val="13"/>
                  <w:color w:val="0000FF"/>
                  <w:w w:val="95"/>
                </w:rPr>
                <w:t>001-34972))</w:t>
              </w:r>
            </w:hyperlink>
          </w:p>
        </w:tc>
        <w:tc>
          <w:tcPr>
            <w:tcW w:w="8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08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14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10.12†</w:t>
            </w:r>
          </w:p>
        </w:tc>
        <w:tc>
          <w:tcPr>
            <w:tcW w:w="10460" w:type="dxa"/>
            <w:vAlign w:val="bottom"/>
            <w:gridSpan w:val="35"/>
          </w:tcPr>
          <w:p>
            <w:pPr>
              <w:spacing w:after="0"/>
              <w:rPr>
                <w:rFonts w:ascii="Arial" w:cs="Arial" w:eastAsia="Arial" w:hAnsi="Arial"/>
                <w:sz w:val="14"/>
                <w:szCs w:val="14"/>
                <w:color w:val="0000FF"/>
                <w:w w:val="98"/>
              </w:rPr>
            </w:pPr>
            <w:hyperlink r:id="rId166">
              <w:r>
                <w:rPr>
                  <w:rFonts w:ascii="Arial" w:cs="Arial" w:eastAsia="Arial" w:hAnsi="Arial"/>
                  <w:sz w:val="14"/>
                  <w:szCs w:val="14"/>
                  <w:color w:val="0000FF"/>
                  <w:w w:val="98"/>
                </w:rPr>
                <w:t>Form of Booz Allen Hamilton Holding Corporation Director and Officer Indemnification Agreement (Incorporated by reference to Exhibit 10.23 to the Company’s Registration</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8"/>
              </w:rPr>
            </w:pPr>
            <w:hyperlink r:id="rId166">
              <w:r>
                <w:rPr>
                  <w:rFonts w:ascii="Arial" w:cs="Arial" w:eastAsia="Arial" w:hAnsi="Arial"/>
                  <w:sz w:val="13"/>
                  <w:szCs w:val="13"/>
                  <w:color w:val="0000FF"/>
                  <w:w w:val="98"/>
                </w:rPr>
                <w:t>Statement on Form S-1 (File No. 333-167645))</w:t>
              </w:r>
            </w:hyperlink>
          </w:p>
        </w:tc>
        <w:tc>
          <w:tcPr>
            <w:tcW w:w="7300" w:type="dxa"/>
            <w:vAlign w:val="bottom"/>
            <w:tcBorders>
              <w:top w:val="single" w:sz="8" w:color="0000FF"/>
            </w:tcBorders>
            <w:gridSpan w:val="10"/>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10.13†</w:t>
            </w:r>
          </w:p>
        </w:tc>
        <w:tc>
          <w:tcPr>
            <w:tcW w:w="10460" w:type="dxa"/>
            <w:vAlign w:val="bottom"/>
            <w:gridSpan w:val="35"/>
          </w:tcPr>
          <w:p>
            <w:pPr>
              <w:spacing w:after="0"/>
              <w:rPr>
                <w:rFonts w:ascii="Arial" w:cs="Arial" w:eastAsia="Arial" w:hAnsi="Arial"/>
                <w:sz w:val="14"/>
                <w:szCs w:val="14"/>
                <w:color w:val="0000FF"/>
                <w:w w:val="93"/>
              </w:rPr>
            </w:pPr>
            <w:hyperlink r:id="rId167">
              <w:r>
                <w:rPr>
                  <w:rFonts w:ascii="Arial" w:cs="Arial" w:eastAsia="Arial" w:hAnsi="Arial"/>
                  <w:sz w:val="14"/>
                  <w:szCs w:val="14"/>
                  <w:color w:val="0000FF"/>
                  <w:w w:val="93"/>
                </w:rPr>
                <w:t>Form of Stock Option Agreement under the Amended and Restated Equity Incentive Plan of Booz Allen Hamilton Holding Corporation (Incorporated by reference to Exhibit 10.23 to</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20" w:type="dxa"/>
            <w:vAlign w:val="bottom"/>
            <w:tcBorders>
              <w:top w:val="single" w:sz="8" w:color="0000FF"/>
            </w:tcBorders>
            <w:gridSpan w:val="33"/>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the Company’s Annual Report for the year ended March 31, 2011 on Form 10-K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10.14†</w:t>
            </w:r>
          </w:p>
        </w:tc>
        <w:tc>
          <w:tcPr>
            <w:tcW w:w="9940" w:type="dxa"/>
            <w:vAlign w:val="bottom"/>
            <w:tcBorders>
              <w:bottom w:val="single" w:sz="8" w:color="0000FF"/>
            </w:tcBorders>
            <w:gridSpan w:val="16"/>
          </w:tcPr>
          <w:p>
            <w:pPr>
              <w:spacing w:after="0"/>
              <w:rPr>
                <w:rFonts w:ascii="Arial" w:cs="Arial" w:eastAsia="Arial" w:hAnsi="Arial"/>
                <w:sz w:val="14"/>
                <w:szCs w:val="14"/>
                <w:color w:val="0000FF"/>
                <w:w w:val="92"/>
              </w:rPr>
            </w:pPr>
            <w:hyperlink r:id="rId168">
              <w:r>
                <w:rPr>
                  <w:rFonts w:ascii="Arial" w:cs="Arial" w:eastAsia="Arial" w:hAnsi="Arial"/>
                  <w:sz w:val="14"/>
                  <w:szCs w:val="14"/>
                  <w:color w:val="0000FF"/>
                  <w:w w:val="92"/>
                </w:rPr>
                <w:t>Officer Transition Policy (Incorporated by reference to Exhibit 10.14 to the Company’s Annual Report for the year ended March 31, 2018 on Form 10-K (File No. 001-34972))</w:t>
              </w:r>
            </w:hyperlink>
          </w:p>
        </w:tc>
        <w:tc>
          <w:tcPr>
            <w:tcW w:w="5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10.15†</w:t>
            </w:r>
          </w:p>
        </w:tc>
        <w:tc>
          <w:tcPr>
            <w:tcW w:w="10460" w:type="dxa"/>
            <w:vAlign w:val="bottom"/>
            <w:gridSpan w:val="35"/>
          </w:tcPr>
          <w:p>
            <w:pPr>
              <w:spacing w:after="0"/>
              <w:rPr>
                <w:rFonts w:ascii="Arial" w:cs="Arial" w:eastAsia="Arial" w:hAnsi="Arial"/>
                <w:sz w:val="14"/>
                <w:szCs w:val="14"/>
                <w:color w:val="0000FF"/>
                <w:w w:val="93"/>
              </w:rPr>
            </w:pPr>
            <w:hyperlink r:id="rId169">
              <w:r>
                <w:rPr>
                  <w:rFonts w:ascii="Arial" w:cs="Arial" w:eastAsia="Arial" w:hAnsi="Arial"/>
                  <w:sz w:val="14"/>
                  <w:szCs w:val="14"/>
                  <w:color w:val="0000FF"/>
                  <w:w w:val="93"/>
                </w:rPr>
                <w:t>Form of Stock Option Agreement under the Amended and Restated Equity Incentive Plan of Booz Allen Hamilton Holding Corporation (Incorporated by reference to Exhibit 10.25 to</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20" w:type="dxa"/>
            <w:vAlign w:val="bottom"/>
            <w:tcBorders>
              <w:top w:val="single" w:sz="8" w:color="0000FF"/>
            </w:tcBorders>
            <w:gridSpan w:val="33"/>
          </w:tcPr>
          <w:p>
            <w:pPr>
              <w:spacing w:after="0" w:line="118" w:lineRule="exact"/>
              <w:rPr>
                <w:rFonts w:ascii="Arial" w:cs="Arial" w:eastAsia="Arial" w:hAnsi="Arial"/>
                <w:sz w:val="13"/>
                <w:szCs w:val="13"/>
                <w:color w:val="0000FF"/>
              </w:rPr>
            </w:pPr>
            <w:hyperlink r:id="rId169">
              <w:r>
                <w:rPr>
                  <w:rFonts w:ascii="Arial" w:cs="Arial" w:eastAsia="Arial" w:hAnsi="Arial"/>
                  <w:sz w:val="13"/>
                  <w:szCs w:val="13"/>
                  <w:color w:val="0000FF"/>
                </w:rPr>
                <w:t>the Company’s Quarterly Report for the period ended December 31, 2011 on Form 10-Q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10.16</w:t>
            </w:r>
          </w:p>
        </w:tc>
        <w:tc>
          <w:tcPr>
            <w:tcW w:w="10460" w:type="dxa"/>
            <w:vAlign w:val="bottom"/>
            <w:gridSpan w:val="35"/>
          </w:tcPr>
          <w:p>
            <w:pPr>
              <w:spacing w:after="0"/>
              <w:rPr>
                <w:rFonts w:ascii="Arial" w:cs="Arial" w:eastAsia="Arial" w:hAnsi="Arial"/>
                <w:sz w:val="14"/>
                <w:szCs w:val="14"/>
                <w:color w:val="0000FF"/>
                <w:w w:val="99"/>
              </w:rPr>
            </w:pPr>
            <w:hyperlink r:id="rId170">
              <w:r>
                <w:rPr>
                  <w:rFonts w:ascii="Arial" w:cs="Arial" w:eastAsia="Arial" w:hAnsi="Arial"/>
                  <w:sz w:val="14"/>
                  <w:szCs w:val="14"/>
                  <w:color w:val="0000FF"/>
                  <w:w w:val="99"/>
                </w:rPr>
                <w:t>Credit Agreement among Booz Allen Hamilton Inc., as the Borrower, the several lenders from time to time parties thereto, Bank of America, N.A., as Administrative Agent,</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978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Collateral Agent and Issuing Lender, Merrill Lynch, Pierce, Fenner &amp; Smith Incorporated and Credit Suisse Securities (USA) LLC, as Joint Lead Arrangers, Merrill Lynch,</w:t>
              </w:r>
            </w:hyperlink>
          </w:p>
        </w:tc>
        <w:tc>
          <w:tcPr>
            <w:tcW w:w="680" w:type="dxa"/>
            <w:vAlign w:val="bottom"/>
            <w:gridSpan w:val="20"/>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Pierce,</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16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Fenner &amp; Smith Incorporated, Credit Suisse Securities (USA) LLC, Barclays Bank PLC, Citigroup Global Markets Inc., HSBC Securities (USA) Inc., J.P. Morgan Securities LLC,</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140" w:type="dxa"/>
            <w:vAlign w:val="bottom"/>
            <w:tcBorders>
              <w:top w:val="single" w:sz="8" w:color="0000FF"/>
              <w:bottom w:val="single" w:sz="8" w:color="0000FF"/>
            </w:tcBorders>
            <w:gridSpan w:val="21"/>
          </w:tcPr>
          <w:p>
            <w:pPr>
              <w:spacing w:after="0" w:line="118" w:lineRule="exact"/>
              <w:rPr>
                <w:rFonts w:ascii="Arial" w:cs="Arial" w:eastAsia="Arial" w:hAnsi="Arial"/>
                <w:sz w:val="13"/>
                <w:szCs w:val="13"/>
                <w:color w:val="0000FF"/>
                <w:w w:val="99"/>
              </w:rPr>
            </w:pPr>
            <w:hyperlink r:id="rId170">
              <w:r>
                <w:rPr>
                  <w:rFonts w:ascii="Arial" w:cs="Arial" w:eastAsia="Arial" w:hAnsi="Arial"/>
                  <w:sz w:val="13"/>
                  <w:szCs w:val="13"/>
                  <w:color w:val="0000FF"/>
                  <w:w w:val="99"/>
                </w:rPr>
                <w:t>Morgan Stanley Senior Funding, Inc. and Sumimoto Mitsui Banking Corporation, as Joint Bookrunners, Credit Suisse Securities (USA) LLC, as Syndication Agent, Barclays Bank</w:t>
              </w:r>
            </w:hyperlink>
          </w:p>
        </w:tc>
        <w:tc>
          <w:tcPr>
            <w:tcW w:w="40" w:type="dxa"/>
            <w:vAlign w:val="bottom"/>
            <w:tcBorders>
              <w:bottom w:val="single" w:sz="8" w:color="0000FF"/>
            </w:tcBorders>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60" w:type="dxa"/>
            <w:vAlign w:val="bottom"/>
            <w:gridSpan w:val="35"/>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PLC, Citigroup Global Markets Inc., HSBC Securities (USA) Inc., J.P. Morgan Securities LLC, Morgan Stanley Senior Funding, Inc., Sumimoto Mitsui Banking Corporation and The</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00" w:type="dxa"/>
            <w:vAlign w:val="bottom"/>
            <w:tcBorders>
              <w:top w:val="single" w:sz="8" w:color="0000FF"/>
            </w:tcBorders>
            <w:gridSpan w:val="32"/>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Bank of Tokyo-Mitsubishi UFJ, Ltd., as Co-Documentation Agents, dated as of July 31, 2012 (Incorporated by reference to Exhibit 10.1 to the Company’s Current Report on Form 8-</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36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K filed on August 1, 2012 (File No. 001-34972))</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10.17</w:t>
            </w:r>
          </w:p>
        </w:tc>
        <w:tc>
          <w:tcPr>
            <w:tcW w:w="10220" w:type="dxa"/>
            <w:vAlign w:val="bottom"/>
            <w:tcBorders>
              <w:bottom w:val="single" w:sz="8" w:color="0000FF"/>
            </w:tcBorders>
            <w:gridSpan w:val="25"/>
          </w:tcPr>
          <w:p>
            <w:pPr>
              <w:spacing w:after="0"/>
              <w:rPr>
                <w:rFonts w:ascii="Arial" w:cs="Arial" w:eastAsia="Arial" w:hAnsi="Arial"/>
                <w:sz w:val="14"/>
                <w:szCs w:val="14"/>
                <w:color w:val="0000FF"/>
                <w:w w:val="93"/>
              </w:rPr>
            </w:pPr>
            <w:hyperlink r:id="rId171">
              <w:r>
                <w:rPr>
                  <w:rFonts w:ascii="Arial" w:cs="Arial" w:eastAsia="Arial" w:hAnsi="Arial"/>
                  <w:sz w:val="14"/>
                  <w:szCs w:val="14"/>
                  <w:color w:val="0000FF"/>
                  <w:w w:val="93"/>
                </w:rPr>
                <w:t>Guarantee and Collateral Agreement, among Booz Allen Hamilton Investor Corporation, Booz Allen Hamilton Inc., ASE, Inc. and Booz Allen Hamilton International, Inc., in favor</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60" w:type="dxa"/>
            <w:vAlign w:val="bottom"/>
            <w:gridSpan w:val="35"/>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of Bank of America, N.A., as Collateral Agent, dated as of July 31, 2012 (Incorporated by reference to Exhibit 10.2 to the Company’s Current Report on Form 8-K filed on August 1,</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30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2012 (File No. 001-34972))</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Arial" w:cs="Arial" w:eastAsia="Arial" w:hAnsi="Arial"/>
                <w:sz w:val="14"/>
                <w:szCs w:val="14"/>
                <w:color w:val="auto"/>
              </w:rPr>
              <w:t>10.18</w:t>
            </w: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80" w:type="dxa"/>
            <w:vAlign w:val="bottom"/>
            <w:vMerge w:val="continue"/>
          </w:tcPr>
          <w:p>
            <w:pPr>
              <w:spacing w:after="0"/>
              <w:rPr>
                <w:sz w:val="20"/>
                <w:szCs w:val="20"/>
                <w:color w:val="auto"/>
              </w:rPr>
            </w:pPr>
          </w:p>
        </w:tc>
        <w:tc>
          <w:tcPr>
            <w:tcW w:w="10460" w:type="dxa"/>
            <w:vAlign w:val="bottom"/>
            <w:gridSpan w:val="35"/>
            <w:vMerge w:val="restart"/>
          </w:tcPr>
          <w:p>
            <w:pPr>
              <w:spacing w:after="0"/>
              <w:rPr>
                <w:rFonts w:ascii="Arial" w:cs="Arial" w:eastAsia="Arial" w:hAnsi="Arial"/>
                <w:sz w:val="14"/>
                <w:szCs w:val="14"/>
                <w:color w:val="0000FF"/>
                <w:w w:val="94"/>
              </w:rPr>
            </w:pPr>
            <w:hyperlink r:id="rId172">
              <w:r>
                <w:rPr>
                  <w:rFonts w:ascii="Arial" w:cs="Arial" w:eastAsia="Arial" w:hAnsi="Arial"/>
                  <w:sz w:val="14"/>
                  <w:szCs w:val="14"/>
                  <w:color w:val="0000FF"/>
                  <w:w w:val="94"/>
                </w:rPr>
                <w:t>First Amendment to Credit Agreement, dated as of August 16, 2013, among Booz Allen Hamilton Inc., as Borrower, Booz Allen Hamilton Investor Corporation, Booz Allen Hamilton</w:t>
              </w:r>
            </w:hyperlink>
          </w:p>
        </w:tc>
        <w:tc>
          <w:tcPr>
            <w:tcW w:w="0" w:type="dxa"/>
            <w:vAlign w:val="bottom"/>
          </w:tcPr>
          <w:p>
            <w:pPr>
              <w:spacing w:after="0"/>
              <w:rPr>
                <w:sz w:val="1"/>
                <w:szCs w:val="1"/>
                <w:color w:val="auto"/>
              </w:rPr>
            </w:pPr>
          </w:p>
        </w:tc>
      </w:tr>
      <w:tr>
        <w:trPr>
          <w:trHeight w:val="32"/>
        </w:trPr>
        <w:tc>
          <w:tcPr>
            <w:tcW w:w="880" w:type="dxa"/>
            <w:vAlign w:val="bottom"/>
          </w:tcPr>
          <w:p>
            <w:pPr>
              <w:spacing w:after="0"/>
              <w:rPr>
                <w:sz w:val="2"/>
                <w:szCs w:val="2"/>
                <w:color w:val="auto"/>
              </w:rPr>
            </w:pPr>
          </w:p>
        </w:tc>
        <w:tc>
          <w:tcPr>
            <w:tcW w:w="10460" w:type="dxa"/>
            <w:vAlign w:val="bottom"/>
            <w:gridSpan w:val="3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440" w:type="dxa"/>
            <w:vAlign w:val="bottom"/>
            <w:tcBorders>
              <w:top w:val="single" w:sz="8" w:color="0000FF"/>
            </w:tcBorders>
            <w:gridSpan w:val="34"/>
          </w:tcPr>
          <w:p>
            <w:pPr>
              <w:spacing w:after="0" w:line="118" w:lineRule="exact"/>
              <w:rPr>
                <w:rFonts w:ascii="Arial" w:cs="Arial" w:eastAsia="Arial" w:hAnsi="Arial"/>
                <w:sz w:val="13"/>
                <w:szCs w:val="13"/>
                <w:color w:val="0000FF"/>
              </w:rPr>
            </w:pPr>
            <w:hyperlink r:id="rId172">
              <w:r>
                <w:rPr>
                  <w:rFonts w:ascii="Arial" w:cs="Arial" w:eastAsia="Arial" w:hAnsi="Arial"/>
                  <w:sz w:val="13"/>
                  <w:szCs w:val="13"/>
                  <w:color w:val="0000FF"/>
                </w:rPr>
                <w:t>Engineering Holding Co., LLC, Booz Allen Hamilton Engineering Services, LLC, SDI Technology Corporation, and Booz Allen Hamilton International, Inc., as Guarantors,, Bank of</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31"/>
          </w:tcPr>
          <w:p>
            <w:pPr>
              <w:spacing w:after="0" w:line="118" w:lineRule="exact"/>
              <w:rPr>
                <w:rFonts w:ascii="Arial" w:cs="Arial" w:eastAsia="Arial" w:hAnsi="Arial"/>
                <w:sz w:val="13"/>
                <w:szCs w:val="13"/>
                <w:color w:val="0000FF"/>
              </w:rPr>
            </w:pPr>
            <w:hyperlink r:id="rId172">
              <w:r>
                <w:rPr>
                  <w:rFonts w:ascii="Arial" w:cs="Arial" w:eastAsia="Arial" w:hAnsi="Arial"/>
                  <w:sz w:val="13"/>
                  <w:szCs w:val="13"/>
                  <w:color w:val="0000FF"/>
                </w:rPr>
                <w:t>America, N.A., as Administrative Agent, Collateral Agent and New Refinancing Tranche B Term Lender, and the other Lenders and financial institutions from time to time party</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828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w w:val="99"/>
              </w:rPr>
            </w:pPr>
            <w:hyperlink r:id="rId172">
              <w:r>
                <w:rPr>
                  <w:rFonts w:ascii="Arial" w:cs="Arial" w:eastAsia="Arial" w:hAnsi="Arial"/>
                  <w:sz w:val="13"/>
                  <w:szCs w:val="13"/>
                  <w:color w:val="0000FF"/>
                  <w:w w:val="99"/>
                </w:rPr>
                <w:t>thereto. (Incorporated by reference to Exhibit 10.1 to the Company’s Current Report on Form 8-K filed on August 20, 2013 (File No. 001-34972))</w:t>
              </w:r>
            </w:hyperlink>
          </w:p>
        </w:tc>
        <w:tc>
          <w:tcPr>
            <w:tcW w:w="1760" w:type="dxa"/>
            <w:vAlign w:val="bottom"/>
            <w:tcBorders>
              <w:top w:val="single" w:sz="8" w:color="0000FF"/>
            </w:tcBorders>
            <w:gridSpan w:val="6"/>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gridSpan w:val="8"/>
          </w:tcPr>
          <w:p>
            <w:pPr>
              <w:spacing w:after="0"/>
              <w:rPr>
                <w:sz w:val="10"/>
                <w:szCs w:val="10"/>
                <w:color w:val="auto"/>
              </w:rPr>
            </w:pPr>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Arial" w:cs="Arial" w:eastAsia="Arial" w:hAnsi="Arial"/>
                <w:sz w:val="14"/>
                <w:szCs w:val="14"/>
                <w:color w:val="auto"/>
              </w:rPr>
              <w:t>10.19†</w:t>
            </w:r>
          </w:p>
        </w:tc>
        <w:tc>
          <w:tcPr>
            <w:tcW w:w="10460" w:type="dxa"/>
            <w:vAlign w:val="bottom"/>
            <w:gridSpan w:val="35"/>
          </w:tcPr>
          <w:p>
            <w:pPr>
              <w:spacing w:after="0"/>
              <w:rPr>
                <w:rFonts w:ascii="Arial" w:cs="Arial" w:eastAsia="Arial" w:hAnsi="Arial"/>
                <w:sz w:val="14"/>
                <w:szCs w:val="14"/>
                <w:color w:val="0000FF"/>
                <w:w w:val="97"/>
              </w:rPr>
            </w:pPr>
            <w:hyperlink r:id="rId173">
              <w:r>
                <w:rPr>
                  <w:rFonts w:ascii="Arial" w:cs="Arial" w:eastAsia="Arial" w:hAnsi="Arial"/>
                  <w:sz w:val="14"/>
                  <w:szCs w:val="14"/>
                  <w:color w:val="0000FF"/>
                  <w:w w:val="97"/>
                </w:rPr>
                <w:t>Form of Employment Agreement (Incorporated by reference to Exhibit 10.27 to the Company’s Annual Report for the year ended March 31, 2014 on Form 10-K (File No. 001-</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700" w:type="dxa"/>
            <w:vAlign w:val="bottom"/>
            <w:tcBorders>
              <w:top w:val="single" w:sz="8" w:color="0000FF"/>
            </w:tcBorders>
            <w:gridSpan w:val="2"/>
          </w:tcPr>
          <w:p>
            <w:pPr>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34972)</w:t>
              </w:r>
              <w:r>
                <w:rPr>
                  <w:rFonts w:ascii="Arial" w:cs="Arial" w:eastAsia="Arial" w:hAnsi="Arial"/>
                  <w:sz w:val="13"/>
                  <w:szCs w:val="13"/>
                  <w:u w:val="single" w:color="auto"/>
                  <w:color w:val="0000FF"/>
                </w:rPr>
                <w:t>)</w:t>
              </w:r>
            </w:hyperlink>
          </w:p>
        </w:tc>
        <w:tc>
          <w:tcPr>
            <w:tcW w:w="8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08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3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14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20" w:type="dxa"/>
            <w:vAlign w:val="bottom"/>
            <w:gridSpan w:val="11"/>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80" w:type="dxa"/>
            <w:vAlign w:val="bottom"/>
          </w:tcPr>
          <w:p>
            <w:pPr>
              <w:ind w:left="20"/>
              <w:spacing w:after="0"/>
              <w:rPr>
                <w:sz w:val="20"/>
                <w:szCs w:val="20"/>
                <w:color w:val="auto"/>
              </w:rPr>
            </w:pPr>
            <w:r>
              <w:rPr>
                <w:rFonts w:ascii="Arial" w:cs="Arial" w:eastAsia="Arial" w:hAnsi="Arial"/>
                <w:sz w:val="14"/>
                <w:szCs w:val="14"/>
                <w:color w:val="auto"/>
              </w:rPr>
              <w:t>10.20</w:t>
            </w:r>
          </w:p>
        </w:tc>
        <w:tc>
          <w:tcPr>
            <w:tcW w:w="10460" w:type="dxa"/>
            <w:vAlign w:val="bottom"/>
            <w:gridSpan w:val="35"/>
          </w:tcPr>
          <w:p>
            <w:pPr>
              <w:spacing w:after="0"/>
              <w:rPr>
                <w:rFonts w:ascii="Arial" w:cs="Arial" w:eastAsia="Arial" w:hAnsi="Arial"/>
                <w:sz w:val="14"/>
                <w:szCs w:val="14"/>
                <w:color w:val="0000FF"/>
                <w:w w:val="94"/>
              </w:rPr>
            </w:pPr>
            <w:hyperlink r:id="rId174">
              <w:r>
                <w:rPr>
                  <w:rFonts w:ascii="Arial" w:cs="Arial" w:eastAsia="Arial" w:hAnsi="Arial"/>
                  <w:sz w:val="14"/>
                  <w:szCs w:val="14"/>
                  <w:color w:val="0000FF"/>
                  <w:w w:val="94"/>
                </w:rPr>
                <w:t>Second Amendment to Credit Agreement, dated as of May 7, 2014, among Booz Allen Hamilton Inc., as Borrower, Booz Allen Hamilton Investor Corporation, Booz Allen Hamilton</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32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Engineering Holding Co., LLC, Booz Allen Hamilton Engineering Services, LLC, SDI Technology Corporation, ASE, Inc. and Booz Allen Hamilton International, Inc., as</w:t>
              </w:r>
            </w:hyperlink>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970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Guarantors, Bank of America, N.A., as Administrative Agent, Collateral Agent and Issuing Lender, and the other Lenders and financial institutions from time to time party</w:t>
              </w:r>
            </w:hyperlink>
          </w:p>
        </w:tc>
        <w:tc>
          <w:tcPr>
            <w:tcW w:w="760" w:type="dxa"/>
            <w:vAlign w:val="bottom"/>
            <w:gridSpan w:val="21"/>
          </w:tcPr>
          <w:p>
            <w:pPr>
              <w:ind w:left="20"/>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thereto</w:t>
              </w:r>
            </w:hyperlink>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1010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(Incorporated by reference to Exhibit 10.1 to the Company’s Current Report on Form 8-K filed on May 13, 2014 (File No. 001-34972))</w:t>
              </w:r>
            </w:hyperlink>
          </w:p>
        </w:tc>
        <w:tc>
          <w:tcPr>
            <w:tcW w:w="36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722"/>
        </w:trPr>
        <w:tc>
          <w:tcPr>
            <w:tcW w:w="880" w:type="dxa"/>
            <w:vAlign w:val="bottom"/>
          </w:tcPr>
          <w:p>
            <w:pPr>
              <w:spacing w:after="0"/>
              <w:rPr>
                <w:sz w:val="24"/>
                <w:szCs w:val="24"/>
                <w:color w:val="auto"/>
              </w:rPr>
            </w:pPr>
          </w:p>
        </w:tc>
        <w:tc>
          <w:tcPr>
            <w:tcW w:w="5840" w:type="dxa"/>
            <w:vAlign w:val="bottom"/>
            <w:tcBorders>
              <w:top w:val="single" w:sz="8" w:color="0000FF"/>
            </w:tcBorders>
            <w:gridSpan w:val="10"/>
          </w:tcPr>
          <w:p>
            <w:pPr>
              <w:ind w:left="4700"/>
              <w:spacing w:after="0"/>
              <w:rPr>
                <w:sz w:val="20"/>
                <w:szCs w:val="20"/>
                <w:color w:val="auto"/>
              </w:rPr>
            </w:pPr>
            <w:r>
              <w:rPr>
                <w:rFonts w:ascii="Arial" w:cs="Arial" w:eastAsia="Arial" w:hAnsi="Arial"/>
                <w:sz w:val="14"/>
                <w:szCs w:val="14"/>
                <w:color w:val="auto"/>
              </w:rPr>
              <w:t>74</w:t>
            </w:r>
          </w:p>
        </w:tc>
        <w:tc>
          <w:tcPr>
            <w:tcW w:w="46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10.21</w:t>
            </w:r>
          </w:p>
        </w:tc>
        <w:tc>
          <w:tcPr>
            <w:tcW w:w="10400" w:type="dxa"/>
            <w:vAlign w:val="bottom"/>
            <w:gridSpan w:val="36"/>
          </w:tcPr>
          <w:p>
            <w:pPr>
              <w:spacing w:after="0"/>
              <w:rPr>
                <w:rFonts w:ascii="Arial" w:cs="Arial" w:eastAsia="Arial" w:hAnsi="Arial"/>
                <w:sz w:val="14"/>
                <w:szCs w:val="14"/>
                <w:color w:val="0000FF"/>
                <w:w w:val="94"/>
              </w:rPr>
            </w:pPr>
            <w:hyperlink r:id="rId177">
              <w:r>
                <w:rPr>
                  <w:rFonts w:ascii="Arial" w:cs="Arial" w:eastAsia="Arial" w:hAnsi="Arial"/>
                  <w:sz w:val="14"/>
                  <w:szCs w:val="14"/>
                  <w:color w:val="0000FF"/>
                  <w:w w:val="94"/>
                </w:rPr>
                <w:t>Third Amendment to Credit Agreement, dated as of July 13, 2016, among Booz Allen Hamilton Inc., as Borrower, Booz Allen Hamilton Investor Corporation, Booz Allen Hamilton</w:t>
              </w:r>
            </w:hyperlink>
          </w:p>
        </w:tc>
      </w:tr>
      <w:tr>
        <w:trPr>
          <w:trHeight w:val="118"/>
        </w:trPr>
        <w:tc>
          <w:tcPr>
            <w:tcW w:w="880" w:type="dxa"/>
            <w:vAlign w:val="bottom"/>
          </w:tcPr>
          <w:p>
            <w:pPr>
              <w:spacing w:after="0"/>
              <w:rPr>
                <w:sz w:val="10"/>
                <w:szCs w:val="10"/>
                <w:color w:val="auto"/>
              </w:rPr>
            </w:pPr>
          </w:p>
        </w:tc>
        <w:tc>
          <w:tcPr>
            <w:tcW w:w="970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rPr>
            </w:pPr>
            <w:hyperlink r:id="rId177">
              <w:r>
                <w:rPr>
                  <w:rFonts w:ascii="Arial" w:cs="Arial" w:eastAsia="Arial" w:hAnsi="Arial"/>
                  <w:sz w:val="13"/>
                  <w:szCs w:val="13"/>
                  <w:color w:val="0000FF"/>
                </w:rPr>
                <w:t>Engineering Holding Co., LLC, Booz Allen Hamilton Engineering Services, LLC, SDI Technology Corporation, ASE, Inc. and Booz Allen Hamilton International, Inc., as</w:t>
              </w:r>
            </w:hyperlink>
          </w:p>
        </w:tc>
        <w:tc>
          <w:tcPr>
            <w:tcW w:w="54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10400" w:type="dxa"/>
            <w:vAlign w:val="bottom"/>
            <w:gridSpan w:val="36"/>
          </w:tcPr>
          <w:p>
            <w:pPr>
              <w:spacing w:after="0" w:line="118" w:lineRule="exact"/>
              <w:rPr>
                <w:rFonts w:ascii="Arial" w:cs="Arial" w:eastAsia="Arial" w:hAnsi="Arial"/>
                <w:sz w:val="13"/>
                <w:szCs w:val="13"/>
                <w:color w:val="0000FF"/>
              </w:rPr>
            </w:pPr>
            <w:hyperlink r:id="rId177">
              <w:r>
                <w:rPr>
                  <w:rFonts w:ascii="Arial" w:cs="Arial" w:eastAsia="Arial" w:hAnsi="Arial"/>
                  <w:sz w:val="13"/>
                  <w:szCs w:val="13"/>
                  <w:color w:val="0000FF"/>
                </w:rPr>
                <w:t>Guarantors, Bank of America, N.A., as Administrative Agent, Collateral Agent and New Refinancing Tranche B Term Lender, and the other Lenders and financial institutions from</w:t>
              </w:r>
            </w:hyperlink>
          </w:p>
        </w:tc>
      </w:tr>
      <w:tr>
        <w:trPr>
          <w:trHeight w:val="118"/>
        </w:trPr>
        <w:tc>
          <w:tcPr>
            <w:tcW w:w="880" w:type="dxa"/>
            <w:vAlign w:val="bottom"/>
          </w:tcPr>
          <w:p>
            <w:pPr>
              <w:spacing w:after="0"/>
              <w:rPr>
                <w:sz w:val="10"/>
                <w:szCs w:val="10"/>
                <w:color w:val="auto"/>
              </w:rPr>
            </w:pPr>
          </w:p>
        </w:tc>
        <w:tc>
          <w:tcPr>
            <w:tcW w:w="912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9"/>
              </w:rPr>
            </w:pPr>
            <w:hyperlink r:id="rId177">
              <w:r>
                <w:rPr>
                  <w:rFonts w:ascii="Arial" w:cs="Arial" w:eastAsia="Arial" w:hAnsi="Arial"/>
                  <w:sz w:val="13"/>
                  <w:szCs w:val="13"/>
                  <w:color w:val="0000FF"/>
                  <w:w w:val="99"/>
                </w:rPr>
                <w:t>time to time party thereto (Incorporated by reference to Exhibit 10.1 to the Company’s Current Report on Form 8-K filed on July 18, 2016 (File No. 001-34972))</w:t>
              </w:r>
            </w:hyperlink>
          </w:p>
        </w:tc>
        <w:tc>
          <w:tcPr>
            <w:tcW w:w="108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10.22</w:t>
            </w:r>
          </w:p>
        </w:tc>
        <w:tc>
          <w:tcPr>
            <w:tcW w:w="10400" w:type="dxa"/>
            <w:vAlign w:val="bottom"/>
            <w:gridSpan w:val="36"/>
          </w:tcPr>
          <w:p>
            <w:pPr>
              <w:spacing w:after="0"/>
              <w:rPr>
                <w:rFonts w:ascii="Arial" w:cs="Arial" w:eastAsia="Arial" w:hAnsi="Arial"/>
                <w:sz w:val="14"/>
                <w:szCs w:val="14"/>
                <w:color w:val="0000FF"/>
                <w:w w:val="97"/>
              </w:rPr>
            </w:pPr>
            <w:hyperlink r:id="rId178">
              <w:r>
                <w:rPr>
                  <w:rFonts w:ascii="Arial" w:cs="Arial" w:eastAsia="Arial" w:hAnsi="Arial"/>
                  <w:sz w:val="14"/>
                  <w:szCs w:val="14"/>
                  <w:color w:val="0000FF"/>
                  <w:w w:val="97"/>
                </w:rPr>
                <w:t>Fourth Amendment to Credit Agreement, dated as of February 6, 2017, among Booz Allen Hamilton Inc., as Borrower, Booz Allen Hamilton Investor Corporation, Booz Allen</w:t>
              </w:r>
            </w:hyperlink>
          </w:p>
        </w:tc>
      </w:tr>
      <w:tr>
        <w:trPr>
          <w:trHeight w:val="118"/>
        </w:trPr>
        <w:tc>
          <w:tcPr>
            <w:tcW w:w="880" w:type="dxa"/>
            <w:vAlign w:val="bottom"/>
          </w:tcPr>
          <w:p>
            <w:pPr>
              <w:spacing w:after="0"/>
              <w:rPr>
                <w:sz w:val="10"/>
                <w:szCs w:val="10"/>
                <w:color w:val="auto"/>
              </w:rPr>
            </w:pPr>
          </w:p>
        </w:tc>
        <w:tc>
          <w:tcPr>
            <w:tcW w:w="994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78">
              <w:r>
                <w:rPr>
                  <w:rFonts w:ascii="Arial" w:cs="Arial" w:eastAsia="Arial" w:hAnsi="Arial"/>
                  <w:sz w:val="13"/>
                  <w:szCs w:val="13"/>
                  <w:color w:val="0000FF"/>
                </w:rPr>
                <w:t>Hamilton Engineering Holding Co., LLC, Booz Allen Hamilton Engineering Services, LLC and SDI Technology Corporation, as Guarantors, Bank of America, N.A., as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956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178">
              <w:r>
                <w:rPr>
                  <w:rFonts w:ascii="Arial" w:cs="Arial" w:eastAsia="Arial" w:hAnsi="Arial"/>
                  <w:sz w:val="13"/>
                  <w:szCs w:val="13"/>
                  <w:color w:val="0000FF"/>
                </w:rPr>
                <w:t>Administrative Agent, Collateral Agent and New Refinancing Tranche B Term Lender, and the other Lenders and financial institutions from time to time party thereto</w:t>
              </w:r>
            </w:hyperlink>
          </w:p>
        </w:tc>
        <w:tc>
          <w:tcPr>
            <w:tcW w:w="840" w:type="dxa"/>
            <w:vAlign w:val="bottom"/>
            <w:gridSpan w:val="25"/>
          </w:tcPr>
          <w:p>
            <w:pPr>
              <w:spacing w:after="0" w:line="118" w:lineRule="exact"/>
              <w:rPr>
                <w:rFonts w:ascii="Arial" w:cs="Arial" w:eastAsia="Arial" w:hAnsi="Arial"/>
                <w:sz w:val="13"/>
                <w:szCs w:val="13"/>
                <w:color w:val="0000FF"/>
              </w:rPr>
            </w:pPr>
            <w:hyperlink r:id="rId178">
              <w:r>
                <w:rPr>
                  <w:rFonts w:ascii="Arial" w:cs="Arial" w:eastAsia="Arial" w:hAnsi="Arial"/>
                  <w:sz w:val="13"/>
                  <w:szCs w:val="13"/>
                  <w:color w:val="0000FF"/>
                </w:rPr>
                <w:t>(Incorporated</w:t>
              </w:r>
            </w:hyperlink>
          </w:p>
        </w:tc>
      </w:tr>
      <w:tr>
        <w:trPr>
          <w:trHeight w:val="118"/>
        </w:trPr>
        <w:tc>
          <w:tcPr>
            <w:tcW w:w="880" w:type="dxa"/>
            <w:vAlign w:val="bottom"/>
          </w:tcPr>
          <w:p>
            <w:pPr>
              <w:spacing w:after="0"/>
              <w:rPr>
                <w:sz w:val="10"/>
                <w:szCs w:val="10"/>
                <w:color w:val="auto"/>
              </w:rPr>
            </w:pPr>
          </w:p>
        </w:tc>
        <w:tc>
          <w:tcPr>
            <w:tcW w:w="704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178">
              <w:r>
                <w:rPr>
                  <w:rFonts w:ascii="Arial" w:cs="Arial" w:eastAsia="Arial" w:hAnsi="Arial"/>
                  <w:sz w:val="13"/>
                  <w:szCs w:val="13"/>
                  <w:color w:val="0000FF"/>
                  <w:w w:val="99"/>
                </w:rPr>
                <w:t>by reference to Exhibit 10.1 to the Company’s Current Report on Form 8-K filed on February 7, 2017 (File No. 001-34972))</w:t>
              </w:r>
            </w:hyperlink>
          </w:p>
        </w:tc>
        <w:tc>
          <w:tcPr>
            <w:tcW w:w="322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10.23</w:t>
            </w:r>
          </w:p>
        </w:tc>
        <w:tc>
          <w:tcPr>
            <w:tcW w:w="10400" w:type="dxa"/>
            <w:vAlign w:val="bottom"/>
            <w:gridSpan w:val="36"/>
          </w:tcPr>
          <w:p>
            <w:pPr>
              <w:spacing w:after="0"/>
              <w:rPr>
                <w:rFonts w:ascii="Arial" w:cs="Arial" w:eastAsia="Arial" w:hAnsi="Arial"/>
                <w:sz w:val="14"/>
                <w:szCs w:val="14"/>
                <w:color w:val="0000FF"/>
                <w:w w:val="94"/>
              </w:rPr>
            </w:pPr>
            <w:hyperlink r:id="rId179">
              <w:r>
                <w:rPr>
                  <w:rFonts w:ascii="Arial" w:cs="Arial" w:eastAsia="Arial" w:hAnsi="Arial"/>
                  <w:sz w:val="14"/>
                  <w:szCs w:val="14"/>
                  <w:color w:val="0000FF"/>
                  <w:w w:val="94"/>
                </w:rPr>
                <w:t>Fifth Amendment to Credit Agreement, dated as of March 7, 2018, among Booz Allen Hamilton Inc., as Borrower, Booz Allen Hamilton Investor Corporation, Booz Allen Hamilton</w:t>
              </w:r>
            </w:hyperlink>
          </w:p>
        </w:tc>
      </w:tr>
      <w:tr>
        <w:trPr>
          <w:trHeight w:val="118"/>
        </w:trPr>
        <w:tc>
          <w:tcPr>
            <w:tcW w:w="880" w:type="dxa"/>
            <w:vAlign w:val="bottom"/>
          </w:tcPr>
          <w:p>
            <w:pPr>
              <w:spacing w:after="0"/>
              <w:rPr>
                <w:sz w:val="10"/>
                <w:szCs w:val="10"/>
                <w:color w:val="auto"/>
              </w:rPr>
            </w:pPr>
          </w:p>
        </w:tc>
        <w:tc>
          <w:tcPr>
            <w:tcW w:w="10000" w:type="dxa"/>
            <w:vAlign w:val="bottom"/>
            <w:tcBorders>
              <w:top w:val="single" w:sz="8" w:color="0000FF"/>
              <w:bottom w:val="single" w:sz="8" w:color="0000FF"/>
            </w:tcBorders>
            <w:gridSpan w:val="19"/>
          </w:tcPr>
          <w:p>
            <w:pPr>
              <w:spacing w:after="0" w:line="118" w:lineRule="exact"/>
              <w:rPr>
                <w:rFonts w:ascii="Arial" w:cs="Arial" w:eastAsia="Arial" w:hAnsi="Arial"/>
                <w:sz w:val="13"/>
                <w:szCs w:val="13"/>
                <w:color w:val="0000FF"/>
              </w:rPr>
            </w:pPr>
            <w:hyperlink r:id="rId179">
              <w:r>
                <w:rPr>
                  <w:rFonts w:ascii="Arial" w:cs="Arial" w:eastAsia="Arial" w:hAnsi="Arial"/>
                  <w:sz w:val="13"/>
                  <w:szCs w:val="13"/>
                  <w:color w:val="0000FF"/>
                </w:rPr>
                <w:t>Engineering Holding Co., LLC, Booz Allen Hamilton Engineering Services, LLC, SDI Technology Corporation, eGov Holdings, Inc. and Aquilent, Inc., as Guarantors, Bank of</w:t>
              </w:r>
            </w:hyperlink>
          </w:p>
        </w:tc>
        <w:tc>
          <w:tcPr>
            <w:tcW w:w="260" w:type="dxa"/>
            <w:vAlign w:val="bottom"/>
            <w:tcBorders>
              <w:top w:val="single" w:sz="8" w:color="0000FF"/>
            </w:tcBorders>
            <w:gridSpan w:val="11"/>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10400" w:type="dxa"/>
            <w:vAlign w:val="bottom"/>
            <w:gridSpan w:val="36"/>
          </w:tcPr>
          <w:p>
            <w:pPr>
              <w:spacing w:after="0" w:line="118" w:lineRule="exact"/>
              <w:rPr>
                <w:rFonts w:ascii="Arial" w:cs="Arial" w:eastAsia="Arial" w:hAnsi="Arial"/>
                <w:sz w:val="13"/>
                <w:szCs w:val="13"/>
                <w:color w:val="0000FF"/>
              </w:rPr>
            </w:pPr>
            <w:hyperlink r:id="rId179">
              <w:r>
                <w:rPr>
                  <w:rFonts w:ascii="Arial" w:cs="Arial" w:eastAsia="Arial" w:hAnsi="Arial"/>
                  <w:sz w:val="13"/>
                  <w:szCs w:val="13"/>
                  <w:color w:val="0000FF"/>
                </w:rPr>
                <w:t>America, N.A., as Administrative Agent, Collateral Agent, Exchanging Lender and New Refinancing Tranche B Term Lender, and the other Lenders and financial institutions from</w:t>
              </w:r>
            </w:hyperlink>
          </w:p>
        </w:tc>
      </w:tr>
      <w:tr>
        <w:trPr>
          <w:trHeight w:val="118"/>
        </w:trPr>
        <w:tc>
          <w:tcPr>
            <w:tcW w:w="880" w:type="dxa"/>
            <w:vAlign w:val="bottom"/>
          </w:tcPr>
          <w:p>
            <w:pPr>
              <w:spacing w:after="0"/>
              <w:rPr>
                <w:sz w:val="10"/>
                <w:szCs w:val="10"/>
                <w:color w:val="auto"/>
              </w:rPr>
            </w:pPr>
          </w:p>
        </w:tc>
        <w:tc>
          <w:tcPr>
            <w:tcW w:w="918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79">
              <w:r>
                <w:rPr>
                  <w:rFonts w:ascii="Arial" w:cs="Arial" w:eastAsia="Arial" w:hAnsi="Arial"/>
                  <w:sz w:val="13"/>
                  <w:szCs w:val="13"/>
                  <w:color w:val="0000FF"/>
                  <w:w w:val="99"/>
                </w:rPr>
                <w:t>time to time party thereto (Incorporated by reference to Exhibit 10.1 to the Company’s Current Report on Form 8-K filed on March 7, 2018 (File No. 001-34972))</w:t>
              </w:r>
            </w:hyperlink>
          </w:p>
        </w:tc>
        <w:tc>
          <w:tcPr>
            <w:tcW w:w="100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257"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10.24</w:t>
            </w:r>
          </w:p>
        </w:tc>
        <w:tc>
          <w:tcPr>
            <w:tcW w:w="10400" w:type="dxa"/>
            <w:vAlign w:val="bottom"/>
            <w:gridSpan w:val="36"/>
          </w:tcPr>
          <w:p>
            <w:pPr>
              <w:spacing w:after="0"/>
              <w:rPr>
                <w:rFonts w:ascii="Arial" w:cs="Arial" w:eastAsia="Arial" w:hAnsi="Arial"/>
                <w:sz w:val="14"/>
                <w:szCs w:val="14"/>
                <w:color w:val="0000FF"/>
                <w:w w:val="95"/>
              </w:rPr>
            </w:pPr>
            <w:hyperlink r:id="rId180">
              <w:r>
                <w:rPr>
                  <w:rFonts w:ascii="Arial" w:cs="Arial" w:eastAsia="Arial" w:hAnsi="Arial"/>
                  <w:sz w:val="14"/>
                  <w:szCs w:val="14"/>
                  <w:color w:val="0000FF"/>
                  <w:w w:val="95"/>
                </w:rPr>
                <w:t>Sixth Amendment to Credit Agreement, dated as of July 23, 2018, among Booz Allen Hamilton Inc., as Borrower, Booz Allen Hamilton Investor Corporation, Booz Allen Hamilton</w:t>
              </w:r>
            </w:hyperlink>
          </w:p>
        </w:tc>
      </w:tr>
      <w:tr>
        <w:trPr>
          <w:trHeight w:val="118"/>
        </w:trPr>
        <w:tc>
          <w:tcPr>
            <w:tcW w:w="880" w:type="dxa"/>
            <w:vAlign w:val="bottom"/>
          </w:tcPr>
          <w:p>
            <w:pPr>
              <w:spacing w:after="0"/>
              <w:rPr>
                <w:sz w:val="10"/>
                <w:szCs w:val="10"/>
                <w:color w:val="auto"/>
              </w:rPr>
            </w:pPr>
          </w:p>
        </w:tc>
        <w:tc>
          <w:tcPr>
            <w:tcW w:w="9960" w:type="dxa"/>
            <w:vAlign w:val="bottom"/>
            <w:tcBorders>
              <w:top w:val="single" w:sz="8" w:color="0000FF"/>
              <w:bottom w:val="single" w:sz="8" w:color="0000FF"/>
            </w:tcBorders>
            <w:gridSpan w:val="17"/>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Engineering Holding Co., LLC, Booz Allen Hamilton Engineering Services, LLC, SDI Technology Corporation, eGov Holdings, Inc. and Aquilent, Inc. as Guarantors, Bank of</w:t>
              </w:r>
            </w:hyperlink>
          </w:p>
        </w:tc>
        <w:tc>
          <w:tcPr>
            <w:tcW w:w="320" w:type="dxa"/>
            <w:vAlign w:val="bottom"/>
            <w:tcBorders>
              <w:top w:val="single" w:sz="8" w:color="0000FF"/>
            </w:tcBorders>
            <w:gridSpan w:val="11"/>
          </w:tcPr>
          <w:p>
            <w:pPr>
              <w:spacing w:after="0"/>
              <w:rPr>
                <w:sz w:val="10"/>
                <w:szCs w:val="10"/>
                <w:color w:val="auto"/>
              </w:rPr>
            </w:pPr>
          </w:p>
        </w:tc>
        <w:tc>
          <w:tcPr>
            <w:tcW w:w="4294967257"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10400" w:type="dxa"/>
            <w:vAlign w:val="bottom"/>
            <w:gridSpan w:val="36"/>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America, N.A., as Administrative Agent and Collateral Agent and the other Lenders and financial institutions from time to time party thereto (Incorporated by reference to Exhibit</w:t>
              </w:r>
            </w:hyperlink>
          </w:p>
        </w:tc>
      </w:tr>
      <w:tr>
        <w:trPr>
          <w:trHeight w:val="118"/>
        </w:trPr>
        <w:tc>
          <w:tcPr>
            <w:tcW w:w="880" w:type="dxa"/>
            <w:vAlign w:val="bottom"/>
          </w:tcPr>
          <w:p>
            <w:pPr>
              <w:spacing w:after="0"/>
              <w:rPr>
                <w:sz w:val="10"/>
                <w:szCs w:val="10"/>
                <w:color w:val="auto"/>
              </w:rPr>
            </w:pPr>
          </w:p>
        </w:tc>
        <w:tc>
          <w:tcPr>
            <w:tcW w:w="1012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80">
              <w:r>
                <w:rPr>
                  <w:rFonts w:ascii="Arial" w:cs="Arial" w:eastAsia="Arial" w:hAnsi="Arial"/>
                  <w:sz w:val="13"/>
                  <w:szCs w:val="13"/>
                  <w:color w:val="0000FF"/>
                </w:rPr>
                <w:t>10.</w:t>
              </w:r>
              <w:r>
                <w:rPr>
                  <w:rFonts w:ascii="Arial" w:cs="Arial" w:eastAsia="Arial" w:hAnsi="Arial"/>
                  <w:sz w:val="13"/>
                  <w:szCs w:val="13"/>
                  <w:u w:val="single" w:color="auto"/>
                  <w:color w:val="0000FF"/>
                </w:rPr>
                <w:t>1</w:t>
              </w:r>
              <w:r>
                <w:rPr>
                  <w:rFonts w:ascii="Arial" w:cs="Arial" w:eastAsia="Arial" w:hAnsi="Arial"/>
                  <w:sz w:val="13"/>
                  <w:szCs w:val="13"/>
                  <w:color w:val="0000FF"/>
                </w:rPr>
                <w:t xml:space="preserve"> to the Company's Current Report on Form 8-K filed on July 24, 2018 (File No. 001-34972))</w:t>
              </w:r>
            </w:hyperlink>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10.25</w:t>
            </w:r>
          </w:p>
        </w:tc>
        <w:tc>
          <w:tcPr>
            <w:tcW w:w="10400" w:type="dxa"/>
            <w:vAlign w:val="bottom"/>
            <w:gridSpan w:val="36"/>
          </w:tcPr>
          <w:p>
            <w:pPr>
              <w:spacing w:after="0"/>
              <w:rPr>
                <w:rFonts w:ascii="Arial" w:cs="Arial" w:eastAsia="Arial" w:hAnsi="Arial"/>
                <w:sz w:val="14"/>
                <w:szCs w:val="14"/>
                <w:color w:val="0000FF"/>
                <w:w w:val="95"/>
              </w:rPr>
            </w:pPr>
            <w:hyperlink r:id="rId181">
              <w:r>
                <w:rPr>
                  <w:rFonts w:ascii="Arial" w:cs="Arial" w:eastAsia="Arial" w:hAnsi="Arial"/>
                  <w:sz w:val="14"/>
                  <w:szCs w:val="14"/>
                  <w:color w:val="0000FF"/>
                  <w:w w:val="95"/>
                </w:rPr>
                <w:t>Seventh Amendment to the Credit Agreement, dated as of November 26, 2019, among Booz Allen Hamilton Inc., as Borrower, Booz Allen Hamilton Investor Corporation, Booz</w:t>
              </w:r>
            </w:hyperlink>
          </w:p>
        </w:tc>
      </w:tr>
      <w:tr>
        <w:trPr>
          <w:trHeight w:val="118"/>
        </w:trPr>
        <w:tc>
          <w:tcPr>
            <w:tcW w:w="880" w:type="dxa"/>
            <w:vAlign w:val="bottom"/>
          </w:tcPr>
          <w:p>
            <w:pPr>
              <w:spacing w:after="0"/>
              <w:rPr>
                <w:sz w:val="10"/>
                <w:szCs w:val="10"/>
                <w:color w:val="auto"/>
              </w:rPr>
            </w:pPr>
          </w:p>
        </w:tc>
        <w:tc>
          <w:tcPr>
            <w:tcW w:w="1004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81">
              <w:r>
                <w:rPr>
                  <w:rFonts w:ascii="Arial" w:cs="Arial" w:eastAsia="Arial" w:hAnsi="Arial"/>
                  <w:sz w:val="13"/>
                  <w:szCs w:val="13"/>
                  <w:color w:val="0000FF"/>
                </w:rPr>
                <w:t>Allen Hamilton Engineering Holding Co., LLC, Booz Allen Hamilton Engineering Services, LLC, SDI Technology Corporation, eGov Holdings, Inc. and Aquilent, Inc., as</w:t>
              </w:r>
            </w:hyperlink>
          </w:p>
        </w:tc>
        <w:tc>
          <w:tcPr>
            <w:tcW w:w="4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8"/>
        </w:trPr>
        <w:tc>
          <w:tcPr>
            <w:tcW w:w="880" w:type="dxa"/>
            <w:vAlign w:val="bottom"/>
          </w:tcPr>
          <w:p>
            <w:pPr>
              <w:spacing w:after="0"/>
              <w:rPr>
                <w:sz w:val="10"/>
                <w:szCs w:val="10"/>
                <w:color w:val="auto"/>
              </w:rPr>
            </w:pPr>
          </w:p>
        </w:tc>
        <w:tc>
          <w:tcPr>
            <w:tcW w:w="10400" w:type="dxa"/>
            <w:vAlign w:val="bottom"/>
            <w:gridSpan w:val="36"/>
          </w:tcPr>
          <w:p>
            <w:pPr>
              <w:spacing w:after="0" w:line="118" w:lineRule="exact"/>
              <w:rPr>
                <w:rFonts w:ascii="Arial" w:cs="Arial" w:eastAsia="Arial" w:hAnsi="Arial"/>
                <w:sz w:val="13"/>
                <w:szCs w:val="13"/>
                <w:color w:val="0000FF"/>
                <w:w w:val="99"/>
              </w:rPr>
            </w:pPr>
            <w:hyperlink r:id="rId181">
              <w:r>
                <w:rPr>
                  <w:rFonts w:ascii="Arial" w:cs="Arial" w:eastAsia="Arial" w:hAnsi="Arial"/>
                  <w:sz w:val="13"/>
                  <w:szCs w:val="13"/>
                  <w:color w:val="0000FF"/>
                  <w:w w:val="99"/>
                </w:rPr>
                <w:t>Guarantors, Bank of America, N.A., as Administrative Agent, Collateral Agent, Exchanging Lender and New Refinancing Tranche B Term Lender and the other Lenders and financial</w:t>
              </w:r>
            </w:hyperlink>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35"/>
          </w:tcPr>
          <w:p>
            <w:pPr>
              <w:spacing w:after="0" w:line="118" w:lineRule="exact"/>
              <w:rPr>
                <w:rFonts w:ascii="Arial" w:cs="Arial" w:eastAsia="Arial" w:hAnsi="Arial"/>
                <w:sz w:val="13"/>
                <w:szCs w:val="13"/>
                <w:color w:val="0000FF"/>
              </w:rPr>
            </w:pPr>
            <w:hyperlink r:id="rId181">
              <w:r>
                <w:rPr>
                  <w:rFonts w:ascii="Arial" w:cs="Arial" w:eastAsia="Arial" w:hAnsi="Arial"/>
                  <w:sz w:val="13"/>
                  <w:szCs w:val="13"/>
                  <w:color w:val="0000FF"/>
                </w:rPr>
                <w:t>institutions from time to time party thereto (Incorporated by reference to Exhibit 10.1 to the Company’s Current Report on Form 8-K filed on November 26, 2019 (File No. 001-</w:t>
              </w:r>
            </w:hyperlink>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44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3"/>
              </w:rPr>
            </w:pPr>
            <w:hyperlink r:id="rId181">
              <w:r>
                <w:rPr>
                  <w:rFonts w:ascii="Arial" w:cs="Arial" w:eastAsia="Arial" w:hAnsi="Arial"/>
                  <w:sz w:val="13"/>
                  <w:szCs w:val="13"/>
                  <w:color w:val="0000FF"/>
                  <w:w w:val="93"/>
                </w:rPr>
                <w:t>34972)</w:t>
              </w:r>
              <w:r>
                <w:rPr>
                  <w:rFonts w:ascii="Arial" w:cs="Arial" w:eastAsia="Arial" w:hAnsi="Arial"/>
                  <w:sz w:val="13"/>
                  <w:szCs w:val="13"/>
                  <w:u w:val="single" w:color="auto"/>
                  <w:color w:val="0000FF"/>
                  <w:w w:val="93"/>
                </w:rPr>
                <w:t>)</w:t>
              </w:r>
            </w:hyperlink>
          </w:p>
        </w:tc>
        <w:tc>
          <w:tcPr>
            <w:tcW w:w="228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020" w:type="dxa"/>
            <w:vAlign w:val="bottom"/>
            <w:tcBorders>
              <w:top w:val="single" w:sz="8" w:color="0000FF"/>
            </w:tcBorders>
          </w:tcPr>
          <w:p>
            <w:pPr>
              <w:spacing w:after="0"/>
              <w:rPr>
                <w:sz w:val="10"/>
                <w:szCs w:val="10"/>
                <w:color w:val="auto"/>
              </w:rPr>
            </w:pPr>
          </w:p>
        </w:tc>
        <w:tc>
          <w:tcPr>
            <w:tcW w:w="128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160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10.26</w:t>
            </w:r>
          </w:p>
        </w:tc>
        <w:tc>
          <w:tcPr>
            <w:tcW w:w="10400" w:type="dxa"/>
            <w:vAlign w:val="bottom"/>
            <w:gridSpan w:val="36"/>
          </w:tcPr>
          <w:p>
            <w:pPr>
              <w:spacing w:after="0"/>
              <w:rPr>
                <w:rFonts w:ascii="Arial" w:cs="Arial" w:eastAsia="Arial" w:hAnsi="Arial"/>
                <w:sz w:val="14"/>
                <w:szCs w:val="14"/>
                <w:color w:val="0000FF"/>
                <w:w w:val="94"/>
              </w:rPr>
            </w:pPr>
            <w:hyperlink r:id="rId182">
              <w:r>
                <w:rPr>
                  <w:rFonts w:ascii="Arial" w:cs="Arial" w:eastAsia="Arial" w:hAnsi="Arial"/>
                  <w:sz w:val="14"/>
                  <w:szCs w:val="14"/>
                  <w:color w:val="0000FF"/>
                  <w:w w:val="94"/>
                </w:rPr>
                <w:t>ISDA 2002 Master Agreement, by and between Booz Allen Hamilton Inc. and Bank of America, N.A., dated as of December 17, 2014 (the “Bank of America Master Agreement”),</w:t>
              </w:r>
            </w:hyperlink>
          </w:p>
        </w:tc>
      </w:tr>
      <w:tr>
        <w:trPr>
          <w:trHeight w:val="118"/>
        </w:trPr>
        <w:tc>
          <w:tcPr>
            <w:tcW w:w="880" w:type="dxa"/>
            <w:vAlign w:val="bottom"/>
          </w:tcPr>
          <w:p>
            <w:pPr>
              <w:spacing w:after="0"/>
              <w:rPr>
                <w:sz w:val="10"/>
                <w:szCs w:val="10"/>
                <w:color w:val="auto"/>
              </w:rPr>
            </w:pPr>
          </w:p>
        </w:tc>
        <w:tc>
          <w:tcPr>
            <w:tcW w:w="1024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82">
              <w:r>
                <w:rPr>
                  <w:rFonts w:ascii="Arial" w:cs="Arial" w:eastAsia="Arial" w:hAnsi="Arial"/>
                  <w:sz w:val="13"/>
                  <w:szCs w:val="13"/>
                  <w:color w:val="0000FF"/>
                </w:rPr>
                <w:t>and the Amended and Restated Schedule to the Bank of America Master Agreement, dated as of February 6, 2017 (Incorporated by reference to Exhibit 10.1 to the Company’s</w:t>
              </w:r>
            </w:hyperlink>
          </w:p>
        </w:tc>
        <w:tc>
          <w:tcPr>
            <w:tcW w:w="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990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82">
              <w:r>
                <w:rPr>
                  <w:rFonts w:ascii="Arial" w:cs="Arial" w:eastAsia="Arial" w:hAnsi="Arial"/>
                  <w:sz w:val="13"/>
                  <w:szCs w:val="13"/>
                  <w:color w:val="0000FF"/>
                </w:rPr>
                <w:t>Current Report on Form 8-K filed on April 11, 2017 (File No. 001-34972))</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3"/>
          </w:tcPr>
          <w:p>
            <w:pPr>
              <w:spacing w:after="0"/>
              <w:rPr>
                <w:sz w:val="10"/>
                <w:szCs w:val="10"/>
                <w:color w:val="auto"/>
              </w:rPr>
            </w:pPr>
          </w:p>
        </w:tc>
        <w:tc>
          <w:tcPr>
            <w:tcW w:w="140" w:type="dxa"/>
            <w:vAlign w:val="bottom"/>
            <w:gridSpan w:val="4"/>
          </w:tcPr>
          <w:p>
            <w:pPr>
              <w:spacing w:after="0"/>
              <w:rPr>
                <w:sz w:val="10"/>
                <w:szCs w:val="10"/>
                <w:color w:val="auto"/>
              </w:rPr>
            </w:pPr>
          </w:p>
        </w:tc>
        <w:tc>
          <w:tcPr>
            <w:tcW w:w="2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10.27</w:t>
            </w:r>
          </w:p>
        </w:tc>
        <w:tc>
          <w:tcPr>
            <w:tcW w:w="10400" w:type="dxa"/>
            <w:vAlign w:val="bottom"/>
            <w:gridSpan w:val="36"/>
          </w:tcPr>
          <w:p>
            <w:pPr>
              <w:spacing w:after="0"/>
              <w:rPr>
                <w:rFonts w:ascii="Arial" w:cs="Arial" w:eastAsia="Arial" w:hAnsi="Arial"/>
                <w:sz w:val="14"/>
                <w:szCs w:val="14"/>
                <w:color w:val="0000FF"/>
                <w:w w:val="93"/>
              </w:rPr>
            </w:pPr>
            <w:hyperlink r:id="rId183">
              <w:r>
                <w:rPr>
                  <w:rFonts w:ascii="Arial" w:cs="Arial" w:eastAsia="Arial" w:hAnsi="Arial"/>
                  <w:sz w:val="14"/>
                  <w:szCs w:val="14"/>
                  <w:color w:val="0000FF"/>
                  <w:w w:val="93"/>
                </w:rPr>
                <w:t>ISDA 2002 Master Agreement, by and between Booz Allen Hamilton Inc. and JPMorgan Chase Bank, N.A., dated as of December 17, 2014 (the “JPM Master Agreement”), and the</w:t>
              </w:r>
            </w:hyperlink>
          </w:p>
        </w:tc>
      </w:tr>
      <w:tr>
        <w:trPr>
          <w:trHeight w:val="20"/>
        </w:trPr>
        <w:tc>
          <w:tcPr>
            <w:tcW w:w="88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2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18"/>
        </w:trPr>
        <w:tc>
          <w:tcPr>
            <w:tcW w:w="880" w:type="dxa"/>
            <w:vAlign w:val="bottom"/>
          </w:tcPr>
          <w:p>
            <w:pPr>
              <w:spacing w:after="0"/>
              <w:rPr>
                <w:sz w:val="10"/>
                <w:szCs w:val="10"/>
                <w:color w:val="auto"/>
              </w:rPr>
            </w:pPr>
          </w:p>
        </w:tc>
        <w:tc>
          <w:tcPr>
            <w:tcW w:w="10400" w:type="dxa"/>
            <w:vAlign w:val="bottom"/>
            <w:gridSpan w:val="36"/>
          </w:tcPr>
          <w:p>
            <w:pPr>
              <w:spacing w:after="0" w:line="118" w:lineRule="exact"/>
              <w:rPr>
                <w:rFonts w:ascii="Arial" w:cs="Arial" w:eastAsia="Arial" w:hAnsi="Arial"/>
                <w:sz w:val="13"/>
                <w:szCs w:val="13"/>
                <w:color w:val="0000FF"/>
                <w:w w:val="98"/>
              </w:rPr>
            </w:pPr>
            <w:hyperlink r:id="rId183">
              <w:r>
                <w:rPr>
                  <w:rFonts w:ascii="Arial" w:cs="Arial" w:eastAsia="Arial" w:hAnsi="Arial"/>
                  <w:sz w:val="13"/>
                  <w:szCs w:val="13"/>
                  <w:color w:val="0000FF"/>
                  <w:w w:val="98"/>
                </w:rPr>
                <w:t>Amended and Restated Schedule to the JPM Master Agreement, dated as of February 8, 2017 (Incorporated by reference to Exhibit 10.2 to the Company’s Current Report on Form 8-</w:t>
              </w:r>
            </w:hyperlink>
          </w:p>
        </w:tc>
      </w:tr>
      <w:tr>
        <w:trPr>
          <w:trHeight w:val="118"/>
        </w:trPr>
        <w:tc>
          <w:tcPr>
            <w:tcW w:w="88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K filed on April 11, 2017 (File No. 001-34972))</w:t>
              </w:r>
            </w:hyperlink>
          </w:p>
        </w:tc>
        <w:tc>
          <w:tcPr>
            <w:tcW w:w="7620" w:type="dxa"/>
            <w:vAlign w:val="bottom"/>
            <w:tcBorders>
              <w:top w:val="single" w:sz="8" w:color="0000FF"/>
            </w:tcBorders>
            <w:gridSpan w:val="31"/>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10.28</w:t>
            </w:r>
          </w:p>
        </w:tc>
        <w:tc>
          <w:tcPr>
            <w:tcW w:w="10400" w:type="dxa"/>
            <w:vAlign w:val="bottom"/>
            <w:gridSpan w:val="36"/>
          </w:tcPr>
          <w:p>
            <w:pPr>
              <w:spacing w:after="0"/>
              <w:rPr>
                <w:rFonts w:ascii="Arial" w:cs="Arial" w:eastAsia="Arial" w:hAnsi="Arial"/>
                <w:sz w:val="14"/>
                <w:szCs w:val="14"/>
                <w:color w:val="0000FF"/>
                <w:w w:val="97"/>
              </w:rPr>
            </w:pPr>
            <w:hyperlink r:id="rId184">
              <w:r>
                <w:rPr>
                  <w:rFonts w:ascii="Arial" w:cs="Arial" w:eastAsia="Arial" w:hAnsi="Arial"/>
                  <w:sz w:val="14"/>
                  <w:szCs w:val="14"/>
                  <w:color w:val="0000FF"/>
                  <w:w w:val="97"/>
                </w:rPr>
                <w:t>ISDA 2002 Master Agreement, by and between Booz Allen Hamilton Inc. and Fifth Third Bank, dated as of December 16, 2014 (the “Fifth Third Master Agreement”), and the</w:t>
              </w:r>
            </w:hyperlink>
          </w:p>
        </w:tc>
      </w:tr>
      <w:tr>
        <w:trPr>
          <w:trHeight w:val="118"/>
        </w:trPr>
        <w:tc>
          <w:tcPr>
            <w:tcW w:w="880" w:type="dxa"/>
            <w:vAlign w:val="bottom"/>
          </w:tcPr>
          <w:p>
            <w:pPr>
              <w:spacing w:after="0"/>
              <w:rPr>
                <w:sz w:val="10"/>
                <w:szCs w:val="10"/>
                <w:color w:val="auto"/>
              </w:rPr>
            </w:pPr>
          </w:p>
        </w:tc>
        <w:tc>
          <w:tcPr>
            <w:tcW w:w="9920" w:type="dxa"/>
            <w:vAlign w:val="bottom"/>
            <w:tcBorders>
              <w:top w:val="single" w:sz="8" w:color="0000FF"/>
            </w:tcBorders>
            <w:gridSpan w:val="15"/>
          </w:tcPr>
          <w:p>
            <w:pPr>
              <w:spacing w:after="0" w:line="118" w:lineRule="exact"/>
              <w:rPr>
                <w:rFonts w:ascii="Arial" w:cs="Arial" w:eastAsia="Arial" w:hAnsi="Arial"/>
                <w:sz w:val="13"/>
                <w:szCs w:val="13"/>
                <w:color w:val="0000FF"/>
                <w:w w:val="97"/>
              </w:rPr>
            </w:pPr>
            <w:hyperlink r:id="rId184">
              <w:r>
                <w:rPr>
                  <w:rFonts w:ascii="Arial" w:cs="Arial" w:eastAsia="Arial" w:hAnsi="Arial"/>
                  <w:sz w:val="13"/>
                  <w:szCs w:val="13"/>
                  <w:color w:val="0000FF"/>
                  <w:w w:val="97"/>
                </w:rPr>
                <w:t>Amended and Restated Schedule to the Fifth Third Master Agreement, dated as of February 7, 2017 (Incorporated by reference to Exhibit 10.3 to the Company’s Current Report</w:t>
              </w:r>
            </w:hyperlink>
          </w:p>
        </w:tc>
        <w:tc>
          <w:tcPr>
            <w:tcW w:w="60" w:type="dxa"/>
            <w:vAlign w:val="bottom"/>
            <w:gridSpan w:val="3"/>
          </w:tcPr>
          <w:p>
            <w:pPr>
              <w:spacing w:after="0"/>
              <w:rPr>
                <w:sz w:val="10"/>
                <w:szCs w:val="10"/>
                <w:color w:val="auto"/>
              </w:rPr>
            </w:pPr>
          </w:p>
        </w:tc>
        <w:tc>
          <w:tcPr>
            <w:tcW w:w="420" w:type="dxa"/>
            <w:vAlign w:val="bottom"/>
            <w:gridSpan w:val="18"/>
          </w:tcPr>
          <w:p>
            <w:pPr>
              <w:ind w:left="60"/>
              <w:spacing w:after="0" w:line="118" w:lineRule="exact"/>
              <w:rPr>
                <w:rFonts w:ascii="Arial" w:cs="Arial" w:eastAsia="Arial" w:hAnsi="Arial"/>
                <w:sz w:val="13"/>
                <w:szCs w:val="13"/>
                <w:color w:val="0000FF"/>
              </w:rPr>
            </w:pPr>
            <w:hyperlink r:id="rId184">
              <w:r>
                <w:rPr>
                  <w:rFonts w:ascii="Arial" w:cs="Arial" w:eastAsia="Arial" w:hAnsi="Arial"/>
                  <w:sz w:val="13"/>
                  <w:szCs w:val="13"/>
                  <w:color w:val="0000FF"/>
                </w:rPr>
                <w:t>on</w:t>
              </w:r>
            </w:hyperlink>
          </w:p>
        </w:tc>
      </w:tr>
      <w:tr>
        <w:trPr>
          <w:trHeight w:val="118"/>
        </w:trPr>
        <w:tc>
          <w:tcPr>
            <w:tcW w:w="880" w:type="dxa"/>
            <w:vAlign w:val="bottom"/>
          </w:tcPr>
          <w:p>
            <w:pPr>
              <w:spacing w:after="0"/>
              <w:rPr>
                <w:sz w:val="10"/>
                <w:szCs w:val="10"/>
                <w:color w:val="auto"/>
              </w:rPr>
            </w:pPr>
          </w:p>
        </w:tc>
        <w:tc>
          <w:tcPr>
            <w:tcW w:w="318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84">
              <w:r>
                <w:rPr>
                  <w:rFonts w:ascii="Arial" w:cs="Arial" w:eastAsia="Arial" w:hAnsi="Arial"/>
                  <w:sz w:val="13"/>
                  <w:szCs w:val="13"/>
                  <w:color w:val="0000FF"/>
                </w:rPr>
                <w:t>Form 8-K filed on April 11, 2017 (File No. 001-34972))</w:t>
              </w:r>
            </w:hyperlink>
          </w:p>
        </w:tc>
        <w:tc>
          <w:tcPr>
            <w:tcW w:w="7040" w:type="dxa"/>
            <w:vAlign w:val="bottom"/>
            <w:tcBorders>
              <w:top w:val="single" w:sz="8" w:color="0000FF"/>
            </w:tcBorders>
            <w:gridSpan w:val="22"/>
          </w:tcPr>
          <w:p>
            <w:pPr>
              <w:spacing w:after="0"/>
              <w:rPr>
                <w:sz w:val="10"/>
                <w:szCs w:val="10"/>
                <w:color w:val="auto"/>
              </w:rPr>
            </w:pPr>
          </w:p>
        </w:tc>
        <w:tc>
          <w:tcPr>
            <w:tcW w:w="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10.29</w:t>
            </w:r>
          </w:p>
        </w:tc>
        <w:tc>
          <w:tcPr>
            <w:tcW w:w="10400" w:type="dxa"/>
            <w:vAlign w:val="bottom"/>
            <w:gridSpan w:val="36"/>
          </w:tcPr>
          <w:p>
            <w:pPr>
              <w:spacing w:after="0"/>
              <w:rPr>
                <w:rFonts w:ascii="Arial" w:cs="Arial" w:eastAsia="Arial" w:hAnsi="Arial"/>
                <w:sz w:val="14"/>
                <w:szCs w:val="14"/>
                <w:color w:val="0000FF"/>
                <w:w w:val="97"/>
              </w:rPr>
            </w:pPr>
            <w:hyperlink r:id="rId185">
              <w:r>
                <w:rPr>
                  <w:rFonts w:ascii="Arial" w:cs="Arial" w:eastAsia="Arial" w:hAnsi="Arial"/>
                  <w:sz w:val="14"/>
                  <w:szCs w:val="14"/>
                  <w:color w:val="0000FF"/>
                  <w:w w:val="97"/>
                </w:rPr>
                <w:t>ISDA Master Agreement, by and between Booz Allen Hamilton Inc. and The Bank of Tokyo-Mitsubishi UFJ, Ltd. dated as of January 13, 2015 (the “Bank of Tokyo-Mitsubishi</w:t>
              </w:r>
            </w:hyperlink>
          </w:p>
        </w:tc>
      </w:tr>
      <w:tr>
        <w:trPr>
          <w:trHeight w:val="20"/>
        </w:trPr>
        <w:tc>
          <w:tcPr>
            <w:tcW w:w="880" w:type="dxa"/>
            <w:vAlign w:val="bottom"/>
          </w:tcPr>
          <w:p>
            <w:pPr>
              <w:spacing w:after="0" w:line="20" w:lineRule="exact"/>
              <w:rPr>
                <w:sz w:val="1"/>
                <w:szCs w:val="1"/>
                <w:color w:val="auto"/>
              </w:rPr>
            </w:pPr>
          </w:p>
        </w:tc>
        <w:tc>
          <w:tcPr>
            <w:tcW w:w="4200" w:type="dxa"/>
            <w:vAlign w:val="bottom"/>
            <w:gridSpan w:val="4"/>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340" w:type="dxa"/>
            <w:vAlign w:val="bottom"/>
            <w:gridSpan w:val="10"/>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18"/>
        </w:trPr>
        <w:tc>
          <w:tcPr>
            <w:tcW w:w="880" w:type="dxa"/>
            <w:vAlign w:val="bottom"/>
          </w:tcPr>
          <w:p>
            <w:pPr>
              <w:spacing w:after="0"/>
              <w:rPr>
                <w:sz w:val="10"/>
                <w:szCs w:val="10"/>
                <w:color w:val="auto"/>
              </w:rPr>
            </w:pPr>
          </w:p>
        </w:tc>
        <w:tc>
          <w:tcPr>
            <w:tcW w:w="10400" w:type="dxa"/>
            <w:vAlign w:val="bottom"/>
            <w:gridSpan w:val="36"/>
          </w:tcPr>
          <w:p>
            <w:pPr>
              <w:spacing w:after="0" w:line="118" w:lineRule="exact"/>
              <w:rPr>
                <w:rFonts w:ascii="Arial" w:cs="Arial" w:eastAsia="Arial" w:hAnsi="Arial"/>
                <w:sz w:val="13"/>
                <w:szCs w:val="13"/>
                <w:color w:val="0000FF"/>
              </w:rPr>
            </w:pPr>
            <w:hyperlink r:id="rId185">
              <w:r>
                <w:rPr>
                  <w:rFonts w:ascii="Arial" w:cs="Arial" w:eastAsia="Arial" w:hAnsi="Arial"/>
                  <w:sz w:val="13"/>
                  <w:szCs w:val="13"/>
                  <w:color w:val="0000FF"/>
                </w:rPr>
                <w:t>Master Agreement”), and the Amendment to the Bank of Tokyo-Mitsubishi Master Agreement, dated as of April 18, 2017 (including the Schedule thereto) (Incorporated by reference</w:t>
              </w:r>
            </w:hyperlink>
          </w:p>
        </w:tc>
      </w:tr>
      <w:tr>
        <w:trPr>
          <w:trHeight w:val="118"/>
        </w:trPr>
        <w:tc>
          <w:tcPr>
            <w:tcW w:w="880" w:type="dxa"/>
            <w:vAlign w:val="bottom"/>
          </w:tcPr>
          <w:p>
            <w:pPr>
              <w:spacing w:after="0"/>
              <w:rPr>
                <w:sz w:val="10"/>
                <w:szCs w:val="10"/>
                <w:color w:val="auto"/>
              </w:rPr>
            </w:pPr>
          </w:p>
        </w:tc>
        <w:tc>
          <w:tcPr>
            <w:tcW w:w="10320" w:type="dxa"/>
            <w:vAlign w:val="bottom"/>
            <w:tcBorders>
              <w:top w:val="single" w:sz="8" w:color="0000FF"/>
            </w:tcBorders>
            <w:gridSpan w:val="32"/>
          </w:tcPr>
          <w:p>
            <w:pPr>
              <w:spacing w:after="0" w:line="118" w:lineRule="exact"/>
              <w:rPr>
                <w:rFonts w:ascii="Arial" w:cs="Arial" w:eastAsia="Arial" w:hAnsi="Arial"/>
                <w:sz w:val="13"/>
                <w:szCs w:val="13"/>
                <w:color w:val="0000FF"/>
              </w:rPr>
            </w:pPr>
            <w:hyperlink r:id="rId185">
              <w:r>
                <w:rPr>
                  <w:rFonts w:ascii="Arial" w:cs="Arial" w:eastAsia="Arial" w:hAnsi="Arial"/>
                  <w:sz w:val="13"/>
                  <w:szCs w:val="13"/>
                  <w:color w:val="0000FF"/>
                </w:rPr>
                <w:t>to Exhibit 10.1 to the Company's Current Report on Form 8-K filed on May 31, 2017 (File No. 001-34972))</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gridSpan w:val="4"/>
            <w:shd w:val="clear" w:color="auto" w:fill="0000FF"/>
          </w:tcPr>
          <w:p>
            <w:pPr>
              <w:spacing w:after="0" w:line="20" w:lineRule="exact"/>
              <w:rPr>
                <w:sz w:val="1"/>
                <w:szCs w:val="1"/>
                <w:color w:val="auto"/>
              </w:rPr>
            </w:pPr>
          </w:p>
        </w:tc>
        <w:tc>
          <w:tcPr>
            <w:tcW w:w="1900" w:type="dxa"/>
            <w:vAlign w:val="bottom"/>
            <w:tcBorders>
              <w:left w:val="single" w:sz="8" w:color="0000FF"/>
            </w:tcBorders>
            <w:gridSpan w:val="2"/>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40" w:type="dxa"/>
            <w:vAlign w:val="bottom"/>
            <w:gridSpan w:val="13"/>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10.30</w:t>
            </w:r>
          </w:p>
        </w:tc>
        <w:tc>
          <w:tcPr>
            <w:tcW w:w="10400" w:type="dxa"/>
            <w:vAlign w:val="bottom"/>
            <w:gridSpan w:val="36"/>
          </w:tcPr>
          <w:p>
            <w:pPr>
              <w:spacing w:after="0"/>
              <w:rPr>
                <w:rFonts w:ascii="Arial" w:cs="Arial" w:eastAsia="Arial" w:hAnsi="Arial"/>
                <w:sz w:val="14"/>
                <w:szCs w:val="14"/>
                <w:color w:val="0000FF"/>
                <w:w w:val="93"/>
              </w:rPr>
            </w:pPr>
            <w:hyperlink r:id="rId186">
              <w:r>
                <w:rPr>
                  <w:rFonts w:ascii="Arial" w:cs="Arial" w:eastAsia="Arial" w:hAnsi="Arial"/>
                  <w:sz w:val="14"/>
                  <w:szCs w:val="14"/>
                  <w:color w:val="0000FF"/>
                  <w:w w:val="93"/>
                </w:rPr>
                <w:t>ISDA Master Agreement, by and between Booz Allen Hamilton Inc. and Barclays Bank Plc, dated as of December 11, 2014 (the “Barclays Master Agreement”), and the Amendment</w:t>
              </w:r>
            </w:hyperlink>
          </w:p>
        </w:tc>
      </w:tr>
      <w:tr>
        <w:trPr>
          <w:trHeight w:val="118"/>
        </w:trPr>
        <w:tc>
          <w:tcPr>
            <w:tcW w:w="880" w:type="dxa"/>
            <w:vAlign w:val="bottom"/>
          </w:tcPr>
          <w:p>
            <w:pPr>
              <w:spacing w:after="0"/>
              <w:rPr>
                <w:sz w:val="10"/>
                <w:szCs w:val="10"/>
                <w:color w:val="auto"/>
              </w:rPr>
            </w:pPr>
          </w:p>
        </w:tc>
        <w:tc>
          <w:tcPr>
            <w:tcW w:w="10300" w:type="dxa"/>
            <w:vAlign w:val="bottom"/>
            <w:tcBorders>
              <w:top w:val="single" w:sz="8" w:color="0000FF"/>
            </w:tcBorders>
            <w:gridSpan w:val="31"/>
          </w:tcPr>
          <w:p>
            <w:pPr>
              <w:spacing w:after="0" w:line="118" w:lineRule="exact"/>
              <w:rPr>
                <w:rFonts w:ascii="Arial" w:cs="Arial" w:eastAsia="Arial" w:hAnsi="Arial"/>
                <w:sz w:val="13"/>
                <w:szCs w:val="13"/>
                <w:color w:val="0000FF"/>
              </w:rPr>
            </w:pPr>
            <w:hyperlink r:id="rId186">
              <w:r>
                <w:rPr>
                  <w:rFonts w:ascii="Arial" w:cs="Arial" w:eastAsia="Arial" w:hAnsi="Arial"/>
                  <w:sz w:val="13"/>
                  <w:szCs w:val="13"/>
                  <w:color w:val="0000FF"/>
                </w:rPr>
                <w:t>to the Barclays Master Agreement, dated as of May 18, 2017 (including the Amended and Restated Schedule thereto) (Incorporated by reference to Exhibit 10.2 to the Company's</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1008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86">
              <w:r>
                <w:rPr>
                  <w:rFonts w:ascii="Arial" w:cs="Arial" w:eastAsia="Arial" w:hAnsi="Arial"/>
                  <w:sz w:val="13"/>
                  <w:szCs w:val="13"/>
                  <w:color w:val="0000FF"/>
                </w:rPr>
                <w:t>Current Report on Form 8-K filed on May 31, 2017 (File No. 001-34972))</w:t>
              </w:r>
            </w:hyperlink>
          </w:p>
        </w:tc>
        <w:tc>
          <w:tcPr>
            <w:tcW w:w="280" w:type="dxa"/>
            <w:vAlign w:val="bottom"/>
            <w:gridSpan w:val="1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gridSpan w:val="4"/>
            <w:shd w:val="clear" w:color="auto" w:fill="0000FF"/>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1720" w:type="dxa"/>
            <w:vAlign w:val="bottom"/>
            <w:gridSpan w:val="2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10.31</w:t>
            </w:r>
          </w:p>
        </w:tc>
        <w:tc>
          <w:tcPr>
            <w:tcW w:w="10400" w:type="dxa"/>
            <w:vAlign w:val="bottom"/>
            <w:gridSpan w:val="36"/>
          </w:tcPr>
          <w:p>
            <w:pPr>
              <w:spacing w:after="0"/>
              <w:rPr>
                <w:rFonts w:ascii="Arial" w:cs="Arial" w:eastAsia="Arial" w:hAnsi="Arial"/>
                <w:sz w:val="14"/>
                <w:szCs w:val="14"/>
                <w:color w:val="0000FF"/>
                <w:w w:val="93"/>
              </w:rPr>
            </w:pPr>
            <w:hyperlink r:id="rId187">
              <w:r>
                <w:rPr>
                  <w:rFonts w:ascii="Arial" w:cs="Arial" w:eastAsia="Arial" w:hAnsi="Arial"/>
                  <w:sz w:val="14"/>
                  <w:szCs w:val="14"/>
                  <w:color w:val="0000FF"/>
                  <w:w w:val="93"/>
                </w:rPr>
                <w:t>ISDA Master Agreement, by and between Booz Allen Hamilton Inc. and Wells Fargo Bank, N.A., dated as of February 13, 2017 (the “Wells Fargo Master Agreement”), including the</w:t>
              </w:r>
            </w:hyperlink>
          </w:p>
        </w:tc>
      </w:tr>
      <w:tr>
        <w:trPr>
          <w:trHeight w:val="118"/>
        </w:trPr>
        <w:tc>
          <w:tcPr>
            <w:tcW w:w="880" w:type="dxa"/>
            <w:vAlign w:val="bottom"/>
          </w:tcPr>
          <w:p>
            <w:pPr>
              <w:spacing w:after="0"/>
              <w:rPr>
                <w:sz w:val="10"/>
                <w:szCs w:val="10"/>
                <w:color w:val="auto"/>
              </w:rPr>
            </w:pPr>
          </w:p>
        </w:tc>
        <w:tc>
          <w:tcPr>
            <w:tcW w:w="10360" w:type="dxa"/>
            <w:vAlign w:val="bottom"/>
            <w:tcBorders>
              <w:top w:val="single" w:sz="8" w:color="0000FF"/>
            </w:tcBorders>
            <w:gridSpan w:val="34"/>
          </w:tcPr>
          <w:p>
            <w:pPr>
              <w:spacing w:after="0" w:line="118" w:lineRule="exact"/>
              <w:rPr>
                <w:rFonts w:ascii="Arial" w:cs="Arial" w:eastAsia="Arial" w:hAnsi="Arial"/>
                <w:sz w:val="13"/>
                <w:szCs w:val="13"/>
                <w:color w:val="0000FF"/>
              </w:rPr>
            </w:pPr>
            <w:hyperlink r:id="rId187">
              <w:r>
                <w:rPr>
                  <w:rFonts w:ascii="Arial" w:cs="Arial" w:eastAsia="Arial" w:hAnsi="Arial"/>
                  <w:sz w:val="13"/>
                  <w:szCs w:val="13"/>
                  <w:color w:val="0000FF"/>
                </w:rPr>
                <w:t>Schedule thereto (Incorporated by reference to Exhibit 10.3 to the Company's Current Report on Form 8-K filed on May 31, 2017 (File No. 001-34972))</w:t>
              </w:r>
            </w:hyperlink>
          </w:p>
        </w:tc>
        <w:tc>
          <w:tcPr>
            <w:tcW w:w="40" w:type="dxa"/>
            <w:vAlign w:val="bottom"/>
            <w:gridSpan w:val="2"/>
          </w:tcPr>
          <w:p>
            <w:pPr>
              <w:spacing w:after="0"/>
              <w:rPr>
                <w:sz w:val="10"/>
                <w:szCs w:val="10"/>
                <w:color w:val="auto"/>
              </w:rPr>
            </w:pPr>
          </w:p>
        </w:tc>
      </w:tr>
      <w:tr>
        <w:trPr>
          <w:trHeight w:val="722"/>
        </w:trPr>
        <w:tc>
          <w:tcPr>
            <w:tcW w:w="880" w:type="dxa"/>
            <w:vAlign w:val="bottom"/>
          </w:tcPr>
          <w:p>
            <w:pPr>
              <w:spacing w:after="0"/>
              <w:rPr>
                <w:sz w:val="24"/>
                <w:szCs w:val="24"/>
                <w:color w:val="auto"/>
              </w:rPr>
            </w:pPr>
          </w:p>
        </w:tc>
        <w:tc>
          <w:tcPr>
            <w:tcW w:w="5480" w:type="dxa"/>
            <w:vAlign w:val="bottom"/>
            <w:tcBorders>
              <w:top w:val="single" w:sz="8" w:color="0000FF"/>
            </w:tcBorders>
            <w:gridSpan w:val="5"/>
          </w:tcPr>
          <w:p>
            <w:pPr>
              <w:ind w:left="4700"/>
              <w:spacing w:after="0"/>
              <w:rPr>
                <w:sz w:val="20"/>
                <w:szCs w:val="20"/>
                <w:color w:val="auto"/>
              </w:rPr>
            </w:pPr>
            <w:r>
              <w:rPr>
                <w:rFonts w:ascii="Arial" w:cs="Arial" w:eastAsia="Arial" w:hAnsi="Arial"/>
                <w:sz w:val="14"/>
                <w:szCs w:val="14"/>
                <w:color w:val="auto"/>
              </w:rPr>
              <w:t>75</w:t>
            </w:r>
          </w:p>
        </w:tc>
        <w:tc>
          <w:tcPr>
            <w:tcW w:w="62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6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94967257"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10.32</w:t>
            </w:r>
          </w:p>
        </w:tc>
        <w:tc>
          <w:tcPr>
            <w:tcW w:w="10400" w:type="dxa"/>
            <w:vAlign w:val="bottom"/>
            <w:gridSpan w:val="27"/>
          </w:tcPr>
          <w:p>
            <w:pPr>
              <w:spacing w:after="0"/>
              <w:rPr>
                <w:rFonts w:ascii="Arial" w:cs="Arial" w:eastAsia="Arial" w:hAnsi="Arial"/>
                <w:sz w:val="14"/>
                <w:szCs w:val="14"/>
                <w:color w:val="0000FF"/>
                <w:w w:val="95"/>
              </w:rPr>
            </w:pPr>
            <w:hyperlink r:id="rId190">
              <w:r>
                <w:rPr>
                  <w:rFonts w:ascii="Arial" w:cs="Arial" w:eastAsia="Arial" w:hAnsi="Arial"/>
                  <w:sz w:val="14"/>
                  <w:szCs w:val="14"/>
                  <w:color w:val="0000FF"/>
                  <w:w w:val="95"/>
                </w:rPr>
                <w:t>ISDA Master Agreement, by and between Booz Allen Hamilton Inc. and SMBC Capital Markets, Inc., dated as of December 11, 2014, and the Amended and Restated Schedule</w:t>
              </w:r>
            </w:hyperlink>
          </w:p>
        </w:tc>
      </w:tr>
      <w:tr>
        <w:trPr>
          <w:trHeight w:val="118"/>
        </w:trPr>
        <w:tc>
          <w:tcPr>
            <w:tcW w:w="880" w:type="dxa"/>
            <w:vAlign w:val="bottom"/>
          </w:tcPr>
          <w:p>
            <w:pPr>
              <w:spacing w:after="0"/>
              <w:rPr>
                <w:sz w:val="10"/>
                <w:szCs w:val="10"/>
                <w:color w:val="auto"/>
              </w:rPr>
            </w:pPr>
          </w:p>
        </w:tc>
        <w:tc>
          <w:tcPr>
            <w:tcW w:w="9980" w:type="dxa"/>
            <w:vAlign w:val="bottom"/>
            <w:tcBorders>
              <w:top w:val="single" w:sz="8" w:color="0000FF"/>
              <w:bottom w:val="single" w:sz="8" w:color="0000FF"/>
            </w:tcBorders>
            <w:gridSpan w:val="15"/>
          </w:tcPr>
          <w:p>
            <w:pPr>
              <w:spacing w:after="0" w:line="118" w:lineRule="exact"/>
              <w:rPr>
                <w:rFonts w:ascii="Arial" w:cs="Arial" w:eastAsia="Arial" w:hAnsi="Arial"/>
                <w:sz w:val="13"/>
                <w:szCs w:val="13"/>
                <w:color w:val="0000FF"/>
                <w:w w:val="98"/>
              </w:rPr>
            </w:pPr>
            <w:hyperlink r:id="rId190">
              <w:r>
                <w:rPr>
                  <w:rFonts w:ascii="Arial" w:cs="Arial" w:eastAsia="Arial" w:hAnsi="Arial"/>
                  <w:sz w:val="13"/>
                  <w:szCs w:val="13"/>
                  <w:color w:val="0000FF"/>
                  <w:w w:val="98"/>
                </w:rPr>
                <w:t>thereto, dated as of February 6, 2017 (Incorporated by reference to Exhibit 10.1 to the Company's Current Report on Form 8-K filed on November 1, 2018 (File No. 001-34972))</w:t>
              </w:r>
            </w:hyperlink>
          </w:p>
        </w:tc>
        <w:tc>
          <w:tcPr>
            <w:tcW w:w="60" w:type="dxa"/>
            <w:vAlign w:val="bottom"/>
            <w:tcBorders>
              <w:bottom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10.33</w:t>
            </w:r>
          </w:p>
        </w:tc>
        <w:tc>
          <w:tcPr>
            <w:tcW w:w="10400" w:type="dxa"/>
            <w:vAlign w:val="bottom"/>
            <w:gridSpan w:val="27"/>
          </w:tcPr>
          <w:p>
            <w:pPr>
              <w:spacing w:after="0"/>
              <w:rPr>
                <w:rFonts w:ascii="Arial" w:cs="Arial" w:eastAsia="Arial" w:hAnsi="Arial"/>
                <w:sz w:val="14"/>
                <w:szCs w:val="14"/>
                <w:color w:val="0000FF"/>
                <w:w w:val="95"/>
              </w:rPr>
            </w:pPr>
            <w:hyperlink r:id="rId191">
              <w:r>
                <w:rPr>
                  <w:rFonts w:ascii="Arial" w:cs="Arial" w:eastAsia="Arial" w:hAnsi="Arial"/>
                  <w:sz w:val="14"/>
                  <w:szCs w:val="14"/>
                  <w:color w:val="0000FF"/>
                  <w:w w:val="95"/>
                </w:rPr>
                <w:t>ISDA Master Agreement, by and between Booz Allen Hamilton Inc. and SunTrust Bank, dated as of April 10, 2017, including the Schedule thereto (Incorporated by reference to</w:t>
              </w:r>
            </w:hyperlink>
          </w:p>
        </w:tc>
      </w:tr>
      <w:tr>
        <w:trPr>
          <w:trHeight w:val="118"/>
        </w:trPr>
        <w:tc>
          <w:tcPr>
            <w:tcW w:w="880" w:type="dxa"/>
            <w:vAlign w:val="bottom"/>
          </w:tcPr>
          <w:p>
            <w:pPr>
              <w:spacing w:after="0"/>
              <w:rPr>
                <w:sz w:val="10"/>
                <w:szCs w:val="10"/>
                <w:color w:val="auto"/>
              </w:rPr>
            </w:pPr>
          </w:p>
        </w:tc>
        <w:tc>
          <w:tcPr>
            <w:tcW w:w="10040" w:type="dxa"/>
            <w:vAlign w:val="bottom"/>
            <w:tcBorders>
              <w:top w:val="single" w:sz="8" w:color="0000FF"/>
            </w:tcBorders>
            <w:gridSpan w:val="16"/>
          </w:tcPr>
          <w:p>
            <w:pPr>
              <w:spacing w:after="0" w:line="118" w:lineRule="exact"/>
              <w:rPr>
                <w:rFonts w:ascii="Arial" w:cs="Arial" w:eastAsia="Arial" w:hAnsi="Arial"/>
                <w:sz w:val="13"/>
                <w:szCs w:val="13"/>
                <w:color w:val="0000FF"/>
              </w:rPr>
            </w:pPr>
            <w:hyperlink r:id="rId191">
              <w:r>
                <w:rPr>
                  <w:rFonts w:ascii="Arial" w:cs="Arial" w:eastAsia="Arial" w:hAnsi="Arial"/>
                  <w:sz w:val="13"/>
                  <w:szCs w:val="13"/>
                  <w:color w:val="0000FF"/>
                </w:rPr>
                <w:t>Exhibit 10.2 to the Company's Current Report on Form 8-K filed on November 1, 2018 (File No. 001-34972))</w:t>
              </w:r>
            </w:hyperlink>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10.34</w:t>
            </w:r>
          </w:p>
        </w:tc>
        <w:tc>
          <w:tcPr>
            <w:tcW w:w="10400" w:type="dxa"/>
            <w:vAlign w:val="bottom"/>
            <w:gridSpan w:val="27"/>
          </w:tcPr>
          <w:p>
            <w:pPr>
              <w:spacing w:after="0"/>
              <w:rPr>
                <w:rFonts w:ascii="Arial" w:cs="Arial" w:eastAsia="Arial" w:hAnsi="Arial"/>
                <w:sz w:val="14"/>
                <w:szCs w:val="14"/>
                <w:color w:val="0000FF"/>
                <w:w w:val="99"/>
              </w:rPr>
            </w:pPr>
            <w:hyperlink r:id="rId192">
              <w:r>
                <w:rPr>
                  <w:rFonts w:ascii="Arial" w:cs="Arial" w:eastAsia="Arial" w:hAnsi="Arial"/>
                  <w:sz w:val="14"/>
                  <w:szCs w:val="14"/>
                  <w:color w:val="0000FF"/>
                  <w:w w:val="99"/>
                </w:rPr>
                <w:t>ISDA Master Agreement, by and between Booz Allen Hamilton Inc. and U.S. Bank National Association, dated as of September 26, 2018, including the Schedule thereto</w:t>
              </w:r>
            </w:hyperlink>
          </w:p>
        </w:tc>
      </w:tr>
      <w:tr>
        <w:trPr>
          <w:trHeight w:val="118"/>
        </w:trPr>
        <w:tc>
          <w:tcPr>
            <w:tcW w:w="880" w:type="dxa"/>
            <w:vAlign w:val="bottom"/>
          </w:tcPr>
          <w:p>
            <w:pPr>
              <w:spacing w:after="0"/>
              <w:rPr>
                <w:sz w:val="10"/>
                <w:szCs w:val="10"/>
                <w:color w:val="auto"/>
              </w:rPr>
            </w:pPr>
          </w:p>
        </w:tc>
        <w:tc>
          <w:tcPr>
            <w:tcW w:w="792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92">
              <w:r>
                <w:rPr>
                  <w:rFonts w:ascii="Arial" w:cs="Arial" w:eastAsia="Arial" w:hAnsi="Arial"/>
                  <w:sz w:val="13"/>
                  <w:szCs w:val="13"/>
                  <w:color w:val="0000FF"/>
                  <w:w w:val="99"/>
                </w:rPr>
                <w:t>(Incorporated by reference to Exhibit 10.3 to the Company's Current Report on Form 8-K filed on November 1, 2018 (File No. 001-34972))</w:t>
              </w:r>
            </w:hyperlink>
          </w:p>
        </w:tc>
        <w:tc>
          <w:tcPr>
            <w:tcW w:w="17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10.35</w:t>
            </w:r>
          </w:p>
        </w:tc>
        <w:tc>
          <w:tcPr>
            <w:tcW w:w="10400" w:type="dxa"/>
            <w:vAlign w:val="bottom"/>
            <w:gridSpan w:val="27"/>
          </w:tcPr>
          <w:p>
            <w:pPr>
              <w:spacing w:after="0"/>
              <w:rPr>
                <w:rFonts w:ascii="Arial" w:cs="Arial" w:eastAsia="Arial" w:hAnsi="Arial"/>
                <w:sz w:val="14"/>
                <w:szCs w:val="14"/>
                <w:color w:val="0000FF"/>
                <w:w w:val="93"/>
              </w:rPr>
            </w:pPr>
            <w:hyperlink r:id="rId193">
              <w:r>
                <w:rPr>
                  <w:rFonts w:ascii="Arial" w:cs="Arial" w:eastAsia="Arial" w:hAnsi="Arial"/>
                  <w:sz w:val="14"/>
                  <w:szCs w:val="14"/>
                  <w:color w:val="0000FF"/>
                  <w:w w:val="93"/>
                </w:rPr>
                <w:t>ISDA Master Agreement, by and between Booz Allen Hamilton Inc. and Capital One, National Association, dated as of March 27, 2019, including the Schedule thereto (Incorporated</w:t>
              </w:r>
            </w:hyperlink>
          </w:p>
        </w:tc>
      </w:tr>
      <w:tr>
        <w:trPr>
          <w:trHeight w:val="118"/>
        </w:trPr>
        <w:tc>
          <w:tcPr>
            <w:tcW w:w="880" w:type="dxa"/>
            <w:vAlign w:val="bottom"/>
          </w:tcPr>
          <w:p>
            <w:pPr>
              <w:spacing w:after="0"/>
              <w:rPr>
                <w:sz w:val="10"/>
                <w:szCs w:val="10"/>
                <w:color w:val="auto"/>
              </w:rPr>
            </w:pPr>
          </w:p>
        </w:tc>
        <w:tc>
          <w:tcPr>
            <w:tcW w:w="682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rPr>
            </w:pPr>
            <w:hyperlink r:id="rId193">
              <w:r>
                <w:rPr>
                  <w:rFonts w:ascii="Arial" w:cs="Arial" w:eastAsia="Arial" w:hAnsi="Arial"/>
                  <w:sz w:val="13"/>
                  <w:szCs w:val="13"/>
                  <w:color w:val="0000FF"/>
                </w:rPr>
                <w:t>by reference to Exhibit 10.1 to the Company's Current Report on Form 8-K filed on April 8, 2019 (File No. 001-34972))</w:t>
              </w:r>
            </w:hyperlink>
          </w:p>
        </w:tc>
        <w:tc>
          <w:tcPr>
            <w:tcW w:w="356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10.36</w:t>
            </w:r>
          </w:p>
        </w:tc>
        <w:tc>
          <w:tcPr>
            <w:tcW w:w="10400" w:type="dxa"/>
            <w:vAlign w:val="bottom"/>
            <w:gridSpan w:val="27"/>
          </w:tcPr>
          <w:p>
            <w:pPr>
              <w:spacing w:after="0"/>
              <w:rPr>
                <w:rFonts w:ascii="Arial" w:cs="Arial" w:eastAsia="Arial" w:hAnsi="Arial"/>
                <w:sz w:val="14"/>
                <w:szCs w:val="14"/>
                <w:color w:val="0000FF"/>
                <w:w w:val="99"/>
              </w:rPr>
            </w:pPr>
            <w:hyperlink r:id="rId194">
              <w:r>
                <w:rPr>
                  <w:rFonts w:ascii="Arial" w:cs="Arial" w:eastAsia="Arial" w:hAnsi="Arial"/>
                  <w:sz w:val="14"/>
                  <w:szCs w:val="14"/>
                  <w:color w:val="0000FF"/>
                  <w:w w:val="99"/>
                </w:rPr>
                <w:t>ISDA Master Agreement, by and between Booz Allen Hamilton Inc. and PNC Bank, National Association, dated as of December 11, 2018, including the Schedule thereto</w:t>
              </w:r>
            </w:hyperlink>
          </w:p>
        </w:tc>
      </w:tr>
      <w:tr>
        <w:trPr>
          <w:trHeight w:val="118"/>
        </w:trPr>
        <w:tc>
          <w:tcPr>
            <w:tcW w:w="880" w:type="dxa"/>
            <w:vAlign w:val="bottom"/>
          </w:tcPr>
          <w:p>
            <w:pPr>
              <w:spacing w:after="0"/>
              <w:rPr>
                <w:sz w:val="10"/>
                <w:szCs w:val="10"/>
                <w:color w:val="auto"/>
              </w:rPr>
            </w:pPr>
          </w:p>
        </w:tc>
        <w:tc>
          <w:tcPr>
            <w:tcW w:w="762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rPr>
            </w:pPr>
            <w:hyperlink r:id="rId194">
              <w:r>
                <w:rPr>
                  <w:rFonts w:ascii="Arial" w:cs="Arial" w:eastAsia="Arial" w:hAnsi="Arial"/>
                  <w:sz w:val="13"/>
                  <w:szCs w:val="13"/>
                  <w:color w:val="0000FF"/>
                </w:rPr>
                <w:t>(Incorporated by reference to Exhibit 10.2 to the Company's Current Report on Form 8-K filed on April 8, 2019 (File No. 001-34972))</w:t>
              </w:r>
            </w:hyperlink>
          </w:p>
        </w:tc>
        <w:tc>
          <w:tcPr>
            <w:tcW w:w="2020" w:type="dxa"/>
            <w:vAlign w:val="bottom"/>
            <w:tcBorders>
              <w:top w:val="single" w:sz="8" w:color="0000FF"/>
            </w:tcBorders>
            <w:gridSpan w:val="3"/>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10.37</w:t>
            </w:r>
          </w:p>
        </w:tc>
        <w:tc>
          <w:tcPr>
            <w:tcW w:w="10400" w:type="dxa"/>
            <w:vAlign w:val="bottom"/>
            <w:gridSpan w:val="27"/>
          </w:tcPr>
          <w:p>
            <w:pPr>
              <w:spacing w:after="0"/>
              <w:rPr>
                <w:rFonts w:ascii="Arial" w:cs="Arial" w:eastAsia="Arial" w:hAnsi="Arial"/>
                <w:sz w:val="14"/>
                <w:szCs w:val="14"/>
                <w:color w:val="0000FF"/>
                <w:w w:val="98"/>
              </w:rPr>
            </w:pPr>
            <w:hyperlink r:id="rId195">
              <w:r>
                <w:rPr>
                  <w:rFonts w:ascii="Arial" w:cs="Arial" w:eastAsia="Arial" w:hAnsi="Arial"/>
                  <w:sz w:val="14"/>
                  <w:szCs w:val="14"/>
                  <w:color w:val="0000FF"/>
                  <w:w w:val="98"/>
                </w:rPr>
                <w:t>Confirmation of transaction, by and between Booz Allen Hamilton Inc. and Bank of America, N.A., dated as of April 6, 2017 (Incorporated by reference to Exhibit 10.4 to the</w:t>
              </w:r>
            </w:hyperlink>
          </w:p>
        </w:tc>
      </w:tr>
      <w:tr>
        <w:trPr>
          <w:trHeight w:val="118"/>
        </w:trPr>
        <w:tc>
          <w:tcPr>
            <w:tcW w:w="880" w:type="dxa"/>
            <w:vAlign w:val="bottom"/>
          </w:tcPr>
          <w:p>
            <w:pPr>
              <w:spacing w:after="0"/>
              <w:rPr>
                <w:sz w:val="10"/>
                <w:szCs w:val="10"/>
                <w:color w:val="auto"/>
              </w:rPr>
            </w:pPr>
          </w:p>
        </w:tc>
        <w:tc>
          <w:tcPr>
            <w:tcW w:w="9880" w:type="dxa"/>
            <w:vAlign w:val="bottom"/>
            <w:tcBorders>
              <w:top w:val="single" w:sz="8" w:color="0000FF"/>
            </w:tcBorders>
            <w:gridSpan w:val="13"/>
          </w:tcPr>
          <w:p>
            <w:pPr>
              <w:spacing w:after="0" w:line="118" w:lineRule="exact"/>
              <w:rPr>
                <w:rFonts w:ascii="Arial" w:cs="Arial" w:eastAsia="Arial" w:hAnsi="Arial"/>
                <w:sz w:val="13"/>
                <w:szCs w:val="13"/>
                <w:color w:val="0000FF"/>
              </w:rPr>
            </w:pPr>
            <w:hyperlink r:id="rId195">
              <w:r>
                <w:rPr>
                  <w:rFonts w:ascii="Arial" w:cs="Arial" w:eastAsia="Arial" w:hAnsi="Arial"/>
                  <w:sz w:val="13"/>
                  <w:szCs w:val="13"/>
                  <w:color w:val="0000FF"/>
                </w:rPr>
                <w:t>Company’s Current Report on Form 8-K filed on April 11, 2017 (File No. 001-34972))</w:t>
              </w:r>
            </w:hyperlink>
          </w:p>
        </w:tc>
        <w:tc>
          <w:tcPr>
            <w:tcW w:w="80" w:type="dxa"/>
            <w:vAlign w:val="bottom"/>
          </w:tcPr>
          <w:p>
            <w:pPr>
              <w:spacing w:after="0"/>
              <w:rPr>
                <w:sz w:val="10"/>
                <w:szCs w:val="10"/>
                <w:color w:val="auto"/>
              </w:rPr>
            </w:pPr>
          </w:p>
        </w:tc>
        <w:tc>
          <w:tcPr>
            <w:tcW w:w="2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10.38</w:t>
            </w:r>
          </w:p>
        </w:tc>
        <w:tc>
          <w:tcPr>
            <w:tcW w:w="10400" w:type="dxa"/>
            <w:vAlign w:val="bottom"/>
            <w:gridSpan w:val="27"/>
          </w:tcPr>
          <w:p>
            <w:pPr>
              <w:spacing w:after="0"/>
              <w:rPr>
                <w:rFonts w:ascii="Arial" w:cs="Arial" w:eastAsia="Arial" w:hAnsi="Arial"/>
                <w:sz w:val="14"/>
                <w:szCs w:val="14"/>
                <w:color w:val="0000FF"/>
                <w:w w:val="94"/>
              </w:rPr>
            </w:pPr>
            <w:hyperlink r:id="rId196">
              <w:r>
                <w:rPr>
                  <w:rFonts w:ascii="Arial" w:cs="Arial" w:eastAsia="Arial" w:hAnsi="Arial"/>
                  <w:sz w:val="14"/>
                  <w:szCs w:val="14"/>
                  <w:color w:val="0000FF"/>
                  <w:w w:val="94"/>
                </w:rPr>
                <w:t>Confirmation of transaction, by and between Booz Allen Hamilton Inc. and JPMorgan Chase Bank, N.A., dated as of April 6, 2017 (Incorporated by reference to Exhibit 10.5 to the</w:t>
              </w:r>
            </w:hyperlink>
          </w:p>
        </w:tc>
      </w:tr>
      <w:tr>
        <w:trPr>
          <w:trHeight w:val="118"/>
        </w:trPr>
        <w:tc>
          <w:tcPr>
            <w:tcW w:w="880" w:type="dxa"/>
            <w:vAlign w:val="bottom"/>
          </w:tcPr>
          <w:p>
            <w:pPr>
              <w:spacing w:after="0"/>
              <w:rPr>
                <w:sz w:val="10"/>
                <w:szCs w:val="10"/>
                <w:color w:val="auto"/>
              </w:rPr>
            </w:pPr>
          </w:p>
        </w:tc>
        <w:tc>
          <w:tcPr>
            <w:tcW w:w="1022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96">
              <w:r>
                <w:rPr>
                  <w:rFonts w:ascii="Arial" w:cs="Arial" w:eastAsia="Arial" w:hAnsi="Arial"/>
                  <w:sz w:val="13"/>
                  <w:szCs w:val="13"/>
                  <w:color w:val="0000FF"/>
                </w:rPr>
                <w:t>Company’s Current Report on Form 8-K filed on April 11, 2017 (File No. 001-34972))</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10.39</w:t>
            </w:r>
          </w:p>
        </w:tc>
        <w:tc>
          <w:tcPr>
            <w:tcW w:w="10400" w:type="dxa"/>
            <w:vAlign w:val="bottom"/>
            <w:gridSpan w:val="27"/>
          </w:tcPr>
          <w:p>
            <w:pPr>
              <w:spacing w:after="0"/>
              <w:rPr>
                <w:rFonts w:ascii="Arial" w:cs="Arial" w:eastAsia="Arial" w:hAnsi="Arial"/>
                <w:sz w:val="14"/>
                <w:szCs w:val="14"/>
                <w:color w:val="0000FF"/>
                <w:w w:val="94"/>
              </w:rPr>
            </w:pPr>
            <w:hyperlink r:id="rId197">
              <w:r>
                <w:rPr>
                  <w:rFonts w:ascii="Arial" w:cs="Arial" w:eastAsia="Arial" w:hAnsi="Arial"/>
                  <w:sz w:val="14"/>
                  <w:szCs w:val="14"/>
                  <w:color w:val="0000FF"/>
                  <w:w w:val="94"/>
                </w:rPr>
                <w:t>Confirmation of transaction, by and between Booz Allen Hamilton Inc. and Fifth Third Bank, dated as of April 6, 2017 (Incorporated by reference to Exhibit 10.6 to the Company’s</w:t>
              </w:r>
            </w:hyperlink>
          </w:p>
        </w:tc>
      </w:tr>
      <w:tr>
        <w:trPr>
          <w:trHeight w:val="118"/>
        </w:trPr>
        <w:tc>
          <w:tcPr>
            <w:tcW w:w="880" w:type="dxa"/>
            <w:vAlign w:val="bottom"/>
          </w:tcPr>
          <w:p>
            <w:pPr>
              <w:spacing w:after="0"/>
              <w:rPr>
                <w:sz w:val="10"/>
                <w:szCs w:val="10"/>
                <w:color w:val="auto"/>
              </w:rPr>
            </w:pPr>
          </w:p>
        </w:tc>
        <w:tc>
          <w:tcPr>
            <w:tcW w:w="1020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97">
              <w:r>
                <w:rPr>
                  <w:rFonts w:ascii="Arial" w:cs="Arial" w:eastAsia="Arial" w:hAnsi="Arial"/>
                  <w:sz w:val="13"/>
                  <w:szCs w:val="13"/>
                  <w:color w:val="0000FF"/>
                </w:rPr>
                <w:t>Current Report on Form 8-K filed on April 11, 2017 (File No. 001-34972))</w:t>
              </w:r>
            </w:hyperlink>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10.40</w:t>
            </w:r>
          </w:p>
        </w:tc>
        <w:tc>
          <w:tcPr>
            <w:tcW w:w="10400" w:type="dxa"/>
            <w:vAlign w:val="bottom"/>
            <w:gridSpan w:val="27"/>
          </w:tcPr>
          <w:p>
            <w:pPr>
              <w:spacing w:after="0"/>
              <w:rPr>
                <w:rFonts w:ascii="Arial" w:cs="Arial" w:eastAsia="Arial" w:hAnsi="Arial"/>
                <w:sz w:val="14"/>
                <w:szCs w:val="14"/>
                <w:color w:val="0000FF"/>
                <w:w w:val="94"/>
              </w:rPr>
            </w:pPr>
            <w:hyperlink r:id="rId198">
              <w:r>
                <w:rPr>
                  <w:rFonts w:ascii="Arial" w:cs="Arial" w:eastAsia="Arial" w:hAnsi="Arial"/>
                  <w:sz w:val="14"/>
                  <w:szCs w:val="14"/>
                  <w:color w:val="0000FF"/>
                  <w:w w:val="94"/>
                </w:rPr>
                <w:t>Confirmation of transaction, by and between Booz Allen Hamilton Inc. and The Bank of Tokyo-Mitsubishi UFJ, Ltd., dated as of May 26, 2017 (Incorporated by reference to Exhibit</w:t>
              </w:r>
            </w:hyperlink>
          </w:p>
        </w:tc>
      </w:tr>
      <w:tr>
        <w:trPr>
          <w:trHeight w:val="118"/>
        </w:trPr>
        <w:tc>
          <w:tcPr>
            <w:tcW w:w="880" w:type="dxa"/>
            <w:vAlign w:val="bottom"/>
          </w:tcPr>
          <w:p>
            <w:pPr>
              <w:spacing w:after="0"/>
              <w:rPr>
                <w:sz w:val="10"/>
                <w:szCs w:val="10"/>
                <w:color w:val="auto"/>
              </w:rPr>
            </w:pPr>
          </w:p>
        </w:tc>
        <w:tc>
          <w:tcPr>
            <w:tcW w:w="552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9"/>
              </w:rPr>
            </w:pPr>
            <w:hyperlink r:id="rId198">
              <w:r>
                <w:rPr>
                  <w:rFonts w:ascii="Arial" w:cs="Arial" w:eastAsia="Arial" w:hAnsi="Arial"/>
                  <w:sz w:val="13"/>
                  <w:szCs w:val="13"/>
                  <w:color w:val="0000FF"/>
                  <w:w w:val="99"/>
                </w:rPr>
                <w:t>10.</w:t>
              </w:r>
              <w:r>
                <w:rPr>
                  <w:rFonts w:ascii="Arial" w:cs="Arial" w:eastAsia="Arial" w:hAnsi="Arial"/>
                  <w:sz w:val="13"/>
                  <w:szCs w:val="13"/>
                  <w:u w:val="single" w:color="auto"/>
                  <w:color w:val="0000FF"/>
                  <w:w w:val="99"/>
                </w:rPr>
                <w:t>4</w:t>
              </w:r>
              <w:r>
                <w:rPr>
                  <w:rFonts w:ascii="Arial" w:cs="Arial" w:eastAsia="Arial" w:hAnsi="Arial"/>
                  <w:sz w:val="13"/>
                  <w:szCs w:val="13"/>
                  <w:color w:val="0000FF"/>
                  <w:w w:val="99"/>
                </w:rPr>
                <w:t xml:space="preserve"> to the Company's Current Report on Form 8-K filed on May 31, 2017 (File No. 001-34972))</w:t>
              </w:r>
            </w:hyperlink>
          </w:p>
        </w:tc>
        <w:tc>
          <w:tcPr>
            <w:tcW w:w="476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10.41</w:t>
            </w:r>
          </w:p>
        </w:tc>
        <w:tc>
          <w:tcPr>
            <w:tcW w:w="10400" w:type="dxa"/>
            <w:vAlign w:val="bottom"/>
            <w:gridSpan w:val="27"/>
          </w:tcPr>
          <w:p>
            <w:pPr>
              <w:spacing w:after="0"/>
              <w:rPr>
                <w:rFonts w:ascii="Arial" w:cs="Arial" w:eastAsia="Arial" w:hAnsi="Arial"/>
                <w:sz w:val="14"/>
                <w:szCs w:val="14"/>
                <w:color w:val="0000FF"/>
                <w:w w:val="93"/>
              </w:rPr>
            </w:pPr>
            <w:hyperlink r:id="rId199">
              <w:r>
                <w:rPr>
                  <w:rFonts w:ascii="Arial" w:cs="Arial" w:eastAsia="Arial" w:hAnsi="Arial"/>
                  <w:sz w:val="14"/>
                  <w:szCs w:val="14"/>
                  <w:color w:val="0000FF"/>
                  <w:w w:val="93"/>
                </w:rPr>
                <w:t>Confirmation of transaction, by and between Booz Allen Hamilton Inc. and Barclays Bank Plc, dated as of May 30, 2017 (Incorporated by reference to Exhibit 10.5 to the Company's</w:t>
              </w:r>
            </w:hyperlink>
          </w:p>
        </w:tc>
      </w:tr>
      <w:tr>
        <w:trPr>
          <w:trHeight w:val="118"/>
        </w:trPr>
        <w:tc>
          <w:tcPr>
            <w:tcW w:w="880" w:type="dxa"/>
            <w:vAlign w:val="bottom"/>
          </w:tcPr>
          <w:p>
            <w:pPr>
              <w:spacing w:after="0"/>
              <w:rPr>
                <w:sz w:val="10"/>
                <w:szCs w:val="10"/>
                <w:color w:val="auto"/>
              </w:rPr>
            </w:pPr>
          </w:p>
        </w:tc>
        <w:tc>
          <w:tcPr>
            <w:tcW w:w="1036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99">
              <w:r>
                <w:rPr>
                  <w:rFonts w:ascii="Arial" w:cs="Arial" w:eastAsia="Arial" w:hAnsi="Arial"/>
                  <w:sz w:val="13"/>
                  <w:szCs w:val="13"/>
                  <w:color w:val="0000FF"/>
                </w:rPr>
                <w:t>Current Report on Form 8-K filed on May 31, 2017 (File No. 001-34972))</w:t>
              </w:r>
            </w:hyperlink>
          </w:p>
        </w:tc>
        <w:tc>
          <w:tcPr>
            <w:tcW w:w="4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4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60" w:type="dxa"/>
            <w:vAlign w:val="bottom"/>
            <w:gridSpan w:val="9"/>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10.42</w:t>
            </w:r>
          </w:p>
        </w:tc>
        <w:tc>
          <w:tcPr>
            <w:tcW w:w="10400" w:type="dxa"/>
            <w:vAlign w:val="bottom"/>
            <w:gridSpan w:val="27"/>
          </w:tcPr>
          <w:p>
            <w:pPr>
              <w:spacing w:after="0"/>
              <w:rPr>
                <w:rFonts w:ascii="Arial" w:cs="Arial" w:eastAsia="Arial" w:hAnsi="Arial"/>
                <w:sz w:val="14"/>
                <w:szCs w:val="14"/>
                <w:color w:val="0000FF"/>
                <w:w w:val="96"/>
              </w:rPr>
            </w:pPr>
            <w:hyperlink r:id="rId200">
              <w:r>
                <w:rPr>
                  <w:rFonts w:ascii="Arial" w:cs="Arial" w:eastAsia="Arial" w:hAnsi="Arial"/>
                  <w:sz w:val="14"/>
                  <w:szCs w:val="14"/>
                  <w:color w:val="0000FF"/>
                  <w:w w:val="96"/>
                </w:rPr>
                <w:t>Confirmation of transaction, by and between Booz Allen Hamilton Inc. and Wells Fargo Bank, N.A., dated as of May 25, 2017 (Incorporated by reference to Exhibit 10.6 to the</w:t>
              </w:r>
            </w:hyperlink>
          </w:p>
        </w:tc>
      </w:tr>
      <w:tr>
        <w:trPr>
          <w:trHeight w:val="118"/>
        </w:trPr>
        <w:tc>
          <w:tcPr>
            <w:tcW w:w="880" w:type="dxa"/>
            <w:vAlign w:val="bottom"/>
          </w:tcPr>
          <w:p>
            <w:pPr>
              <w:spacing w:after="0"/>
              <w:rPr>
                <w:sz w:val="10"/>
                <w:szCs w:val="10"/>
                <w:color w:val="auto"/>
              </w:rPr>
            </w:pPr>
          </w:p>
        </w:tc>
        <w:tc>
          <w:tcPr>
            <w:tcW w:w="492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200">
              <w:r>
                <w:rPr>
                  <w:rFonts w:ascii="Arial" w:cs="Arial" w:eastAsia="Arial" w:hAnsi="Arial"/>
                  <w:sz w:val="13"/>
                  <w:szCs w:val="13"/>
                  <w:color w:val="0000FF"/>
                </w:rPr>
                <w:t>Company's Current Report on Form 8-K filed on May 31, 2017 (File No. 001-34972))</w:t>
              </w:r>
            </w:hyperlink>
          </w:p>
        </w:tc>
        <w:tc>
          <w:tcPr>
            <w:tcW w:w="5040" w:type="dxa"/>
            <w:vAlign w:val="bottom"/>
            <w:tcBorders>
              <w:top w:val="single" w:sz="8" w:color="0000FF"/>
            </w:tcBorders>
            <w:gridSpan w:val="11"/>
          </w:tcPr>
          <w:p>
            <w:pPr>
              <w:spacing w:after="0"/>
              <w:rPr>
                <w:sz w:val="10"/>
                <w:szCs w:val="10"/>
                <w:color w:val="auto"/>
              </w:rPr>
            </w:pPr>
          </w:p>
        </w:tc>
        <w:tc>
          <w:tcPr>
            <w:tcW w:w="22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10.43</w:t>
            </w:r>
          </w:p>
        </w:tc>
        <w:tc>
          <w:tcPr>
            <w:tcW w:w="10400" w:type="dxa"/>
            <w:vAlign w:val="bottom"/>
            <w:gridSpan w:val="27"/>
          </w:tcPr>
          <w:p>
            <w:pPr>
              <w:spacing w:after="0"/>
              <w:rPr>
                <w:rFonts w:ascii="Arial" w:cs="Arial" w:eastAsia="Arial" w:hAnsi="Arial"/>
                <w:sz w:val="14"/>
                <w:szCs w:val="14"/>
                <w:color w:val="0000FF"/>
                <w:w w:val="92"/>
              </w:rPr>
            </w:pPr>
            <w:hyperlink r:id="rId201">
              <w:r>
                <w:rPr>
                  <w:rFonts w:ascii="Arial" w:cs="Arial" w:eastAsia="Arial" w:hAnsi="Arial"/>
                  <w:sz w:val="14"/>
                  <w:szCs w:val="14"/>
                  <w:color w:val="0000FF"/>
                  <w:w w:val="92"/>
                </w:rPr>
                <w:t>Confirmation of transaction, by and between Booz Allen Hamilton Inc. and SunTrust Bank, dated as of October 29, 2018 (Incorporated by reference to Exhibit 10.5 to the Company's</w:t>
              </w:r>
            </w:hyperlink>
          </w:p>
        </w:tc>
      </w:tr>
      <w:tr>
        <w:trPr>
          <w:trHeight w:val="118"/>
        </w:trPr>
        <w:tc>
          <w:tcPr>
            <w:tcW w:w="880" w:type="dxa"/>
            <w:vAlign w:val="bottom"/>
          </w:tcPr>
          <w:p>
            <w:pPr>
              <w:spacing w:after="0"/>
              <w:rPr>
                <w:sz w:val="10"/>
                <w:szCs w:val="10"/>
                <w:color w:val="auto"/>
              </w:rPr>
            </w:pPr>
          </w:p>
        </w:tc>
        <w:tc>
          <w:tcPr>
            <w:tcW w:w="448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201">
              <w:r>
                <w:rPr>
                  <w:rFonts w:ascii="Arial" w:cs="Arial" w:eastAsia="Arial" w:hAnsi="Arial"/>
                  <w:sz w:val="13"/>
                  <w:szCs w:val="13"/>
                  <w:color w:val="0000FF"/>
                </w:rPr>
                <w:t>Current Report on Form 8-K filed on November 1, 2018 (File No. 001-34972))</w:t>
              </w:r>
            </w:hyperlink>
          </w:p>
        </w:tc>
        <w:tc>
          <w:tcPr>
            <w:tcW w:w="5860" w:type="dxa"/>
            <w:vAlign w:val="bottom"/>
            <w:tcBorders>
              <w:top w:val="single" w:sz="8" w:color="0000FF"/>
            </w:tcBorders>
            <w:gridSpan w:val="2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10.44</w:t>
            </w:r>
          </w:p>
        </w:tc>
        <w:tc>
          <w:tcPr>
            <w:tcW w:w="10400" w:type="dxa"/>
            <w:vAlign w:val="bottom"/>
            <w:gridSpan w:val="27"/>
          </w:tcPr>
          <w:p>
            <w:pPr>
              <w:spacing w:after="0"/>
              <w:rPr>
                <w:rFonts w:ascii="Arial" w:cs="Arial" w:eastAsia="Arial" w:hAnsi="Arial"/>
                <w:sz w:val="14"/>
                <w:szCs w:val="14"/>
                <w:color w:val="0000FF"/>
                <w:w w:val="93"/>
              </w:rPr>
            </w:pPr>
            <w:hyperlink r:id="rId202">
              <w:r>
                <w:rPr>
                  <w:rFonts w:ascii="Arial" w:cs="Arial" w:eastAsia="Arial" w:hAnsi="Arial"/>
                  <w:sz w:val="14"/>
                  <w:szCs w:val="14"/>
                  <w:color w:val="0000FF"/>
                  <w:w w:val="93"/>
                </w:rPr>
                <w:t>Confirmation of transaction, by and between Booz Allen Hamilton Inc. and U.S. Bank National Association, dated as of October 29, 2018 (Incorporated by reference to Exhibit 10.6</w:t>
              </w:r>
            </w:hyperlink>
          </w:p>
        </w:tc>
      </w:tr>
      <w:tr>
        <w:trPr>
          <w:trHeight w:val="118"/>
        </w:trPr>
        <w:tc>
          <w:tcPr>
            <w:tcW w:w="88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9"/>
              </w:rPr>
            </w:pPr>
            <w:hyperlink r:id="rId202">
              <w:r>
                <w:rPr>
                  <w:rFonts w:ascii="Arial" w:cs="Arial" w:eastAsia="Arial" w:hAnsi="Arial"/>
                  <w:sz w:val="13"/>
                  <w:szCs w:val="13"/>
                  <w:color w:val="0000FF"/>
                  <w:w w:val="99"/>
                </w:rPr>
                <w:t>to the Company's Current Report on Form 8-K filed on November 1, 2018 (File No. 001-34972))</w:t>
              </w:r>
            </w:hyperlink>
          </w:p>
        </w:tc>
        <w:tc>
          <w:tcPr>
            <w:tcW w:w="4740" w:type="dxa"/>
            <w:vAlign w:val="bottom"/>
            <w:tcBorders>
              <w:top w:val="single" w:sz="8" w:color="0000FF"/>
            </w:tcBorders>
            <w:gridSpan w:val="15"/>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10.45</w:t>
            </w:r>
          </w:p>
        </w:tc>
        <w:tc>
          <w:tcPr>
            <w:tcW w:w="10400" w:type="dxa"/>
            <w:vAlign w:val="bottom"/>
            <w:gridSpan w:val="27"/>
          </w:tcPr>
          <w:p>
            <w:pPr>
              <w:spacing w:after="0"/>
              <w:rPr>
                <w:rFonts w:ascii="Arial" w:cs="Arial" w:eastAsia="Arial" w:hAnsi="Arial"/>
                <w:sz w:val="14"/>
                <w:szCs w:val="14"/>
                <w:color w:val="0000FF"/>
                <w:w w:val="93"/>
              </w:rPr>
            </w:pPr>
            <w:hyperlink r:id="rId203">
              <w:r>
                <w:rPr>
                  <w:rFonts w:ascii="Arial" w:cs="Arial" w:eastAsia="Arial" w:hAnsi="Arial"/>
                  <w:sz w:val="14"/>
                  <w:szCs w:val="14"/>
                  <w:color w:val="0000FF"/>
                  <w:w w:val="93"/>
                </w:rPr>
                <w:t>Confirmation of transaction, by and between Booz Allen Hamilton Inc. and Capital One, National Association, dated as of April 4, 2019 (Incorporated by reference to Exhibit 10.7 to</w:t>
              </w:r>
            </w:hyperlink>
          </w:p>
        </w:tc>
      </w:tr>
      <w:tr>
        <w:trPr>
          <w:trHeight w:val="118"/>
        </w:trPr>
        <w:tc>
          <w:tcPr>
            <w:tcW w:w="880" w:type="dxa"/>
            <w:vAlign w:val="bottom"/>
          </w:tcPr>
          <w:p>
            <w:pPr>
              <w:spacing w:after="0"/>
              <w:rPr>
                <w:sz w:val="10"/>
                <w:szCs w:val="10"/>
                <w:color w:val="auto"/>
              </w:rPr>
            </w:pPr>
          </w:p>
        </w:tc>
        <w:tc>
          <w:tcPr>
            <w:tcW w:w="506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203">
              <w:r>
                <w:rPr>
                  <w:rFonts w:ascii="Arial" w:cs="Arial" w:eastAsia="Arial" w:hAnsi="Arial"/>
                  <w:sz w:val="13"/>
                  <w:szCs w:val="13"/>
                  <w:color w:val="0000FF"/>
                </w:rPr>
                <w:t>the Company's Current Report on Form 8-K filed on April 8, 2019 (File No. 001-34972))</w:t>
              </w:r>
            </w:hyperlink>
          </w:p>
        </w:tc>
        <w:tc>
          <w:tcPr>
            <w:tcW w:w="524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10.46</w:t>
            </w:r>
          </w:p>
        </w:tc>
        <w:tc>
          <w:tcPr>
            <w:tcW w:w="10400" w:type="dxa"/>
            <w:vAlign w:val="bottom"/>
            <w:gridSpan w:val="27"/>
          </w:tcPr>
          <w:p>
            <w:pPr>
              <w:spacing w:after="0"/>
              <w:rPr>
                <w:rFonts w:ascii="Arial" w:cs="Arial" w:eastAsia="Arial" w:hAnsi="Arial"/>
                <w:sz w:val="14"/>
                <w:szCs w:val="14"/>
                <w:color w:val="0000FF"/>
                <w:w w:val="94"/>
              </w:rPr>
            </w:pPr>
            <w:hyperlink r:id="rId204">
              <w:r>
                <w:rPr>
                  <w:rFonts w:ascii="Arial" w:cs="Arial" w:eastAsia="Arial" w:hAnsi="Arial"/>
                  <w:sz w:val="14"/>
                  <w:szCs w:val="14"/>
                  <w:color w:val="0000FF"/>
                  <w:w w:val="94"/>
                </w:rPr>
                <w:t>Confirmation of transaction, by and between Booz Allen Hamilton Inc. and Fifth Third Bank, dated as of April 2, 2019 (Incorporated by reference to Exhibit 10.8 to the Company's</w:t>
              </w:r>
            </w:hyperlink>
          </w:p>
        </w:tc>
      </w:tr>
      <w:tr>
        <w:trPr>
          <w:trHeight w:val="118"/>
        </w:trPr>
        <w:tc>
          <w:tcPr>
            <w:tcW w:w="880" w:type="dxa"/>
            <w:vAlign w:val="bottom"/>
          </w:tcPr>
          <w:p>
            <w:pPr>
              <w:spacing w:after="0"/>
              <w:rPr>
                <w:sz w:val="10"/>
                <w:szCs w:val="10"/>
                <w:color w:val="auto"/>
              </w:rPr>
            </w:pPr>
          </w:p>
        </w:tc>
        <w:tc>
          <w:tcPr>
            <w:tcW w:w="42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r:id="rId204">
              <w:r>
                <w:rPr>
                  <w:rFonts w:ascii="Arial" w:cs="Arial" w:eastAsia="Arial" w:hAnsi="Arial"/>
                  <w:sz w:val="13"/>
                  <w:szCs w:val="13"/>
                  <w:color w:val="0000FF"/>
                </w:rPr>
                <w:t>Current Report on Form 8-K filed on April 8, 2019 (File No. 001-34972))</w:t>
              </w:r>
            </w:hyperlink>
          </w:p>
        </w:tc>
        <w:tc>
          <w:tcPr>
            <w:tcW w:w="5980" w:type="dxa"/>
            <w:vAlign w:val="bottom"/>
            <w:tcBorders>
              <w:top w:val="single" w:sz="8" w:color="0000FF"/>
            </w:tcBorders>
            <w:gridSpan w:val="16"/>
          </w:tcPr>
          <w:p>
            <w:pPr>
              <w:spacing w:after="0"/>
              <w:rPr>
                <w:sz w:val="10"/>
                <w:szCs w:val="10"/>
                <w:color w:val="auto"/>
              </w:rPr>
            </w:pPr>
          </w:p>
        </w:tc>
        <w:tc>
          <w:tcPr>
            <w:tcW w:w="140" w:type="dxa"/>
            <w:vAlign w:val="bottom"/>
            <w:gridSpan w:val="6"/>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10.47</w:t>
            </w:r>
          </w:p>
        </w:tc>
        <w:tc>
          <w:tcPr>
            <w:tcW w:w="10400" w:type="dxa"/>
            <w:vAlign w:val="bottom"/>
            <w:gridSpan w:val="27"/>
          </w:tcPr>
          <w:p>
            <w:pPr>
              <w:spacing w:after="0"/>
              <w:rPr>
                <w:rFonts w:ascii="Arial" w:cs="Arial" w:eastAsia="Arial" w:hAnsi="Arial"/>
                <w:sz w:val="14"/>
                <w:szCs w:val="14"/>
                <w:color w:val="0000FF"/>
                <w:w w:val="93"/>
              </w:rPr>
            </w:pPr>
            <w:hyperlink r:id="rId205">
              <w:r>
                <w:rPr>
                  <w:rFonts w:ascii="Arial" w:cs="Arial" w:eastAsia="Arial" w:hAnsi="Arial"/>
                  <w:sz w:val="14"/>
                  <w:szCs w:val="14"/>
                  <w:color w:val="0000FF"/>
                  <w:w w:val="93"/>
                </w:rPr>
                <w:t>Confirmation of transaction, by and between Booz Allen Hamilton Inc. and Capital One, National Association, dated as of April 4, 2019 (Incorporated by reference to Exhibit 10.9 to</w:t>
              </w:r>
            </w:hyperlink>
          </w:p>
        </w:tc>
      </w:tr>
      <w:tr>
        <w:trPr>
          <w:trHeight w:val="118"/>
        </w:trPr>
        <w:tc>
          <w:tcPr>
            <w:tcW w:w="880" w:type="dxa"/>
            <w:vAlign w:val="bottom"/>
          </w:tcPr>
          <w:p>
            <w:pPr>
              <w:spacing w:after="0"/>
              <w:rPr>
                <w:sz w:val="10"/>
                <w:szCs w:val="10"/>
                <w:color w:val="auto"/>
              </w:rPr>
            </w:pPr>
          </w:p>
        </w:tc>
        <w:tc>
          <w:tcPr>
            <w:tcW w:w="506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205">
              <w:r>
                <w:rPr>
                  <w:rFonts w:ascii="Arial" w:cs="Arial" w:eastAsia="Arial" w:hAnsi="Arial"/>
                  <w:sz w:val="13"/>
                  <w:szCs w:val="13"/>
                  <w:color w:val="0000FF"/>
                </w:rPr>
                <w:t>the Company's Current Report on Form 8-K filed on April 8, 2019 (File No. 001-34972))</w:t>
              </w:r>
            </w:hyperlink>
          </w:p>
        </w:tc>
        <w:tc>
          <w:tcPr>
            <w:tcW w:w="524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3"/>
        </w:trPr>
        <w:tc>
          <w:tcPr>
            <w:tcW w:w="880" w:type="dxa"/>
            <w:vAlign w:val="bottom"/>
          </w:tcPr>
          <w:p>
            <w:pPr>
              <w:jc w:val="right"/>
              <w:ind w:right="469"/>
              <w:spacing w:after="0"/>
              <w:rPr>
                <w:sz w:val="20"/>
                <w:szCs w:val="20"/>
                <w:color w:val="auto"/>
              </w:rPr>
            </w:pPr>
            <w:r>
              <w:rPr>
                <w:rFonts w:ascii="Arial" w:cs="Arial" w:eastAsia="Arial" w:hAnsi="Arial"/>
                <w:sz w:val="14"/>
                <w:szCs w:val="14"/>
                <w:color w:val="auto"/>
                <w:w w:val="91"/>
              </w:rPr>
              <w:t>10.48</w:t>
            </w:r>
          </w:p>
        </w:tc>
        <w:tc>
          <w:tcPr>
            <w:tcW w:w="10400" w:type="dxa"/>
            <w:vAlign w:val="bottom"/>
            <w:gridSpan w:val="27"/>
          </w:tcPr>
          <w:p>
            <w:pPr>
              <w:spacing w:after="0"/>
              <w:rPr>
                <w:rFonts w:ascii="Arial" w:cs="Arial" w:eastAsia="Arial" w:hAnsi="Arial"/>
                <w:sz w:val="14"/>
                <w:szCs w:val="14"/>
                <w:color w:val="0000FF"/>
                <w:w w:val="93"/>
              </w:rPr>
            </w:pPr>
            <w:hyperlink r:id="rId206">
              <w:r>
                <w:rPr>
                  <w:rFonts w:ascii="Arial" w:cs="Arial" w:eastAsia="Arial" w:hAnsi="Arial"/>
                  <w:sz w:val="14"/>
                  <w:szCs w:val="14"/>
                  <w:color w:val="0000FF"/>
                  <w:w w:val="93"/>
                </w:rPr>
                <w:t>Confirmation of transaction, by and between Booz Allen Hamilton Inc. and PNC Bank, National Association, dated as of April 2, 2019 (Incorporated by reference to Exhibit 10.10 to</w:t>
              </w:r>
            </w:hyperlink>
          </w:p>
        </w:tc>
      </w:tr>
      <w:tr>
        <w:trPr>
          <w:trHeight w:val="118"/>
        </w:trPr>
        <w:tc>
          <w:tcPr>
            <w:tcW w:w="880" w:type="dxa"/>
            <w:vAlign w:val="bottom"/>
          </w:tcPr>
          <w:p>
            <w:pPr>
              <w:spacing w:after="0"/>
              <w:rPr>
                <w:sz w:val="10"/>
                <w:szCs w:val="10"/>
                <w:color w:val="auto"/>
              </w:rPr>
            </w:pPr>
          </w:p>
        </w:tc>
        <w:tc>
          <w:tcPr>
            <w:tcW w:w="1032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206">
              <w:r>
                <w:rPr>
                  <w:rFonts w:ascii="Arial" w:cs="Arial" w:eastAsia="Arial" w:hAnsi="Arial"/>
                  <w:sz w:val="13"/>
                  <w:szCs w:val="13"/>
                  <w:color w:val="0000FF"/>
                </w:rPr>
                <w:t>the Company's Current Report on Form 8-K filed on April 8, 2019 (File No. 001-34972))</w:t>
              </w:r>
            </w:hyperlink>
          </w:p>
        </w:tc>
        <w:tc>
          <w:tcPr>
            <w:tcW w:w="80" w:type="dxa"/>
            <w:vAlign w:val="bottom"/>
            <w:gridSpan w:val="4"/>
          </w:tcPr>
          <w:p>
            <w:pPr>
              <w:spacing w:after="0"/>
              <w:rPr>
                <w:sz w:val="10"/>
                <w:szCs w:val="10"/>
                <w:color w:val="auto"/>
              </w:rPr>
            </w:pPr>
          </w:p>
        </w:tc>
      </w:tr>
      <w:tr>
        <w:trPr>
          <w:trHeight w:val="722"/>
        </w:trPr>
        <w:tc>
          <w:tcPr>
            <w:tcW w:w="880" w:type="dxa"/>
            <w:vAlign w:val="bottom"/>
          </w:tcPr>
          <w:p>
            <w:pPr>
              <w:spacing w:after="0"/>
              <w:rPr>
                <w:sz w:val="24"/>
                <w:szCs w:val="24"/>
                <w:color w:val="auto"/>
              </w:rPr>
            </w:pPr>
          </w:p>
        </w:tc>
        <w:tc>
          <w:tcPr>
            <w:tcW w:w="4920" w:type="dxa"/>
            <w:vAlign w:val="bottom"/>
            <w:tcBorders>
              <w:top w:val="single" w:sz="8" w:color="0000FF"/>
            </w:tcBorders>
            <w:gridSpan w:val="3"/>
          </w:tcPr>
          <w:p>
            <w:pPr>
              <w:ind w:left="4700"/>
              <w:spacing w:after="0"/>
              <w:rPr>
                <w:sz w:val="20"/>
                <w:szCs w:val="20"/>
                <w:color w:val="auto"/>
              </w:rPr>
            </w:pPr>
            <w:r>
              <w:rPr>
                <w:rFonts w:ascii="Arial" w:cs="Arial" w:eastAsia="Arial" w:hAnsi="Arial"/>
                <w:sz w:val="14"/>
                <w:szCs w:val="14"/>
                <w:color w:val="auto"/>
              </w:rPr>
              <w:t>76</w:t>
            </w: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Arial" w:cs="Arial" w:eastAsia="Arial" w:hAnsi="Arial"/>
                <w:sz w:val="14"/>
                <w:szCs w:val="14"/>
                <w:color w:val="auto"/>
              </w:rPr>
              <w:t>10.49</w:t>
            </w:r>
          </w:p>
        </w:tc>
        <w:tc>
          <w:tcPr>
            <w:tcW w:w="10440" w:type="dxa"/>
            <w:vAlign w:val="bottom"/>
            <w:gridSpan w:val="28"/>
          </w:tcPr>
          <w:p>
            <w:pPr>
              <w:spacing w:after="0"/>
              <w:rPr>
                <w:rFonts w:ascii="Arial" w:cs="Arial" w:eastAsia="Arial" w:hAnsi="Arial"/>
                <w:sz w:val="14"/>
                <w:szCs w:val="14"/>
                <w:color w:val="0000FF"/>
                <w:w w:val="94"/>
              </w:rPr>
            </w:pPr>
            <w:hyperlink r:id="rId209">
              <w:r>
                <w:rPr>
                  <w:rFonts w:ascii="Arial" w:cs="Arial" w:eastAsia="Arial" w:hAnsi="Arial"/>
                  <w:sz w:val="14"/>
                  <w:szCs w:val="14"/>
                  <w:color w:val="0000FF"/>
                  <w:w w:val="94"/>
                </w:rPr>
                <w:t>Confirmation of transaction, by and between Booz Allen Hamilton Inc. and SMBC Capital Markets, Inc., dated as of April 2, 2019 (Incorporated by reference to Exhibit 10.11 to the</w:t>
              </w:r>
            </w:hyperlink>
          </w:p>
        </w:tc>
      </w:tr>
      <w:tr>
        <w:trPr>
          <w:trHeight w:val="118"/>
        </w:trPr>
        <w:tc>
          <w:tcPr>
            <w:tcW w:w="880" w:type="dxa"/>
            <w:vAlign w:val="bottom"/>
          </w:tcPr>
          <w:p>
            <w:pPr>
              <w:spacing w:after="0"/>
              <w:rPr>
                <w:sz w:val="10"/>
                <w:szCs w:val="10"/>
                <w:color w:val="auto"/>
              </w:rPr>
            </w:pPr>
          </w:p>
        </w:tc>
        <w:tc>
          <w:tcPr>
            <w:tcW w:w="1028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209">
              <w:r>
                <w:rPr>
                  <w:rFonts w:ascii="Arial" w:cs="Arial" w:eastAsia="Arial" w:hAnsi="Arial"/>
                  <w:sz w:val="13"/>
                  <w:szCs w:val="13"/>
                  <w:color w:val="0000FF"/>
                </w:rPr>
                <w:t>Company's Current Report on Form 8-K filed on April 8, 2019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10.50</w:t>
            </w:r>
          </w:p>
        </w:tc>
        <w:tc>
          <w:tcPr>
            <w:tcW w:w="10440" w:type="dxa"/>
            <w:vAlign w:val="bottom"/>
            <w:gridSpan w:val="28"/>
          </w:tcPr>
          <w:p>
            <w:pPr>
              <w:spacing w:after="0"/>
              <w:rPr>
                <w:rFonts w:ascii="Arial" w:cs="Arial" w:eastAsia="Arial" w:hAnsi="Arial"/>
                <w:sz w:val="14"/>
                <w:szCs w:val="14"/>
                <w:color w:val="0000FF"/>
                <w:w w:val="97"/>
              </w:rPr>
            </w:pPr>
            <w:hyperlink r:id="rId210">
              <w:r>
                <w:rPr>
                  <w:rFonts w:ascii="Arial" w:cs="Arial" w:eastAsia="Arial" w:hAnsi="Arial"/>
                  <w:sz w:val="14"/>
                  <w:szCs w:val="14"/>
                  <w:color w:val="0000FF"/>
                  <w:w w:val="97"/>
                </w:rPr>
                <w:t>Confirmation of transaction, by and between Booz Allen Hamilton Inc. and Bank of America, N.A., dated as of April 3, 2019 (Incorporated by reference to Exhibit 10.12 to the</w:t>
              </w:r>
            </w:hyperlink>
          </w:p>
        </w:tc>
      </w:tr>
      <w:tr>
        <w:trPr>
          <w:trHeight w:val="118"/>
        </w:trPr>
        <w:tc>
          <w:tcPr>
            <w:tcW w:w="880" w:type="dxa"/>
            <w:vAlign w:val="bottom"/>
          </w:tcPr>
          <w:p>
            <w:pPr>
              <w:spacing w:after="0"/>
              <w:rPr>
                <w:sz w:val="10"/>
                <w:szCs w:val="10"/>
                <w:color w:val="auto"/>
              </w:rPr>
            </w:pPr>
          </w:p>
        </w:tc>
        <w:tc>
          <w:tcPr>
            <w:tcW w:w="9940" w:type="dxa"/>
            <w:vAlign w:val="bottom"/>
            <w:tcBorders>
              <w:top w:val="single" w:sz="8" w:color="0000FF"/>
            </w:tcBorders>
            <w:gridSpan w:val="12"/>
          </w:tcPr>
          <w:p>
            <w:pPr>
              <w:spacing w:after="0" w:line="118" w:lineRule="exact"/>
              <w:rPr>
                <w:rFonts w:ascii="Arial" w:cs="Arial" w:eastAsia="Arial" w:hAnsi="Arial"/>
                <w:sz w:val="13"/>
                <w:szCs w:val="13"/>
                <w:color w:val="0000FF"/>
              </w:rPr>
            </w:pPr>
            <w:hyperlink r:id="rId210">
              <w:r>
                <w:rPr>
                  <w:rFonts w:ascii="Arial" w:cs="Arial" w:eastAsia="Arial" w:hAnsi="Arial"/>
                  <w:sz w:val="13"/>
                  <w:szCs w:val="13"/>
                  <w:color w:val="0000FF"/>
                </w:rPr>
                <w:t>Company's Current Report on Form 8-K filed on April 8, 2019 (File No. 001-34972))</w:t>
              </w:r>
            </w:hyperlink>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10.51</w:t>
            </w:r>
          </w:p>
        </w:tc>
        <w:tc>
          <w:tcPr>
            <w:tcW w:w="10440" w:type="dxa"/>
            <w:vAlign w:val="bottom"/>
            <w:gridSpan w:val="28"/>
          </w:tcPr>
          <w:p>
            <w:pPr>
              <w:spacing w:after="0"/>
              <w:rPr>
                <w:rFonts w:ascii="Arial" w:cs="Arial" w:eastAsia="Arial" w:hAnsi="Arial"/>
                <w:sz w:val="14"/>
                <w:szCs w:val="14"/>
                <w:color w:val="0000FF"/>
                <w:w w:val="94"/>
              </w:rPr>
            </w:pPr>
            <w:hyperlink r:id="rId211">
              <w:r>
                <w:rPr>
                  <w:rFonts w:ascii="Arial" w:cs="Arial" w:eastAsia="Arial" w:hAnsi="Arial"/>
                  <w:sz w:val="14"/>
                  <w:szCs w:val="14"/>
                  <w:color w:val="0000FF"/>
                  <w:w w:val="94"/>
                </w:rPr>
                <w:t>Confirmation of transaction, by and between Booz Allen Hamilton Inc. and U.S. Bank National Association, dated as of April 2, 2019 (Incorporated by reference to Exhibit 10.13 to</w:t>
              </w:r>
            </w:hyperlink>
          </w:p>
        </w:tc>
      </w:tr>
      <w:tr>
        <w:trPr>
          <w:trHeight w:val="118"/>
        </w:trPr>
        <w:tc>
          <w:tcPr>
            <w:tcW w:w="880" w:type="dxa"/>
            <w:vAlign w:val="bottom"/>
          </w:tcPr>
          <w:p>
            <w:pPr>
              <w:spacing w:after="0"/>
              <w:rPr>
                <w:sz w:val="10"/>
                <w:szCs w:val="10"/>
                <w:color w:val="auto"/>
              </w:rPr>
            </w:pPr>
          </w:p>
        </w:tc>
        <w:tc>
          <w:tcPr>
            <w:tcW w:w="506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211">
              <w:r>
                <w:rPr>
                  <w:rFonts w:ascii="Arial" w:cs="Arial" w:eastAsia="Arial" w:hAnsi="Arial"/>
                  <w:sz w:val="13"/>
                  <w:szCs w:val="13"/>
                  <w:color w:val="0000FF"/>
                </w:rPr>
                <w:t>the Company's Current Report on Form 8-K filed on April 8, 2019 (File No. 001-34972))</w:t>
              </w:r>
            </w:hyperlink>
          </w:p>
        </w:tc>
        <w:tc>
          <w:tcPr>
            <w:tcW w:w="5200" w:type="dxa"/>
            <w:vAlign w:val="bottom"/>
            <w:tcBorders>
              <w:top w:val="single" w:sz="8" w:color="0000FF"/>
            </w:tcBorders>
            <w:gridSpan w:val="1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10.52</w:t>
            </w:r>
          </w:p>
        </w:tc>
        <w:tc>
          <w:tcPr>
            <w:tcW w:w="10440" w:type="dxa"/>
            <w:vAlign w:val="bottom"/>
            <w:gridSpan w:val="28"/>
          </w:tcPr>
          <w:p>
            <w:pPr>
              <w:spacing w:after="0"/>
              <w:rPr>
                <w:rFonts w:ascii="Arial" w:cs="Arial" w:eastAsia="Arial" w:hAnsi="Arial"/>
                <w:sz w:val="14"/>
                <w:szCs w:val="14"/>
                <w:color w:val="0000FF"/>
                <w:w w:val="94"/>
              </w:rPr>
            </w:pPr>
            <w:hyperlink r:id="rId212">
              <w:r>
                <w:rPr>
                  <w:rFonts w:ascii="Arial" w:cs="Arial" w:eastAsia="Arial" w:hAnsi="Arial"/>
                  <w:sz w:val="14"/>
                  <w:szCs w:val="14"/>
                  <w:color w:val="0000FF"/>
                  <w:w w:val="94"/>
                </w:rPr>
                <w:t>Confirmation of transaction, by and between Booz Allen Hamilton Inc. and Fifth Third Bank, dated as of April 2, 2019 (Incorporated by reference to Exhibit 10.14 to the Company's</w:t>
              </w:r>
            </w:hyperlink>
          </w:p>
        </w:tc>
      </w:tr>
      <w:tr>
        <w:trPr>
          <w:trHeight w:val="118"/>
        </w:trPr>
        <w:tc>
          <w:tcPr>
            <w:tcW w:w="880" w:type="dxa"/>
            <w:vAlign w:val="bottom"/>
          </w:tcPr>
          <w:p>
            <w:pPr>
              <w:spacing w:after="0"/>
              <w:rPr>
                <w:sz w:val="10"/>
                <w:szCs w:val="10"/>
                <w:color w:val="auto"/>
              </w:rPr>
            </w:pPr>
          </w:p>
        </w:tc>
        <w:tc>
          <w:tcPr>
            <w:tcW w:w="41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rPr>
            </w:pPr>
            <w:hyperlink r:id="rId212">
              <w:r>
                <w:rPr>
                  <w:rFonts w:ascii="Arial" w:cs="Arial" w:eastAsia="Arial" w:hAnsi="Arial"/>
                  <w:sz w:val="13"/>
                  <w:szCs w:val="13"/>
                  <w:color w:val="0000FF"/>
                </w:rPr>
                <w:t>Current Report on Form 8-K filed on April 8, 2019 (File No. 001-34972))</w:t>
              </w:r>
            </w:hyperlink>
          </w:p>
        </w:tc>
        <w:tc>
          <w:tcPr>
            <w:tcW w:w="612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10.53</w:t>
            </w:r>
          </w:p>
        </w:tc>
        <w:tc>
          <w:tcPr>
            <w:tcW w:w="10440" w:type="dxa"/>
            <w:vAlign w:val="bottom"/>
            <w:gridSpan w:val="28"/>
          </w:tcPr>
          <w:p>
            <w:pPr>
              <w:spacing w:after="0"/>
              <w:rPr>
                <w:rFonts w:ascii="Arial" w:cs="Arial" w:eastAsia="Arial" w:hAnsi="Arial"/>
                <w:sz w:val="14"/>
                <w:szCs w:val="14"/>
                <w:color w:val="0000FF"/>
                <w:w w:val="94"/>
              </w:rPr>
            </w:pPr>
            <w:hyperlink r:id="rId213">
              <w:r>
                <w:rPr>
                  <w:rFonts w:ascii="Arial" w:cs="Arial" w:eastAsia="Arial" w:hAnsi="Arial"/>
                  <w:sz w:val="14"/>
                  <w:szCs w:val="14"/>
                  <w:color w:val="0000FF"/>
                  <w:w w:val="94"/>
                </w:rPr>
                <w:t>Assumption Agreement, dated as of April 14, 2017, by eGov Holdings, Inc. and Aquilent, Inc. in favor of Bank of America, N.A., as collateral agent for the banks and other financial</w:t>
              </w:r>
            </w:hyperlink>
          </w:p>
        </w:tc>
      </w:tr>
      <w:tr>
        <w:trPr>
          <w:trHeight w:val="118"/>
        </w:trPr>
        <w:tc>
          <w:tcPr>
            <w:tcW w:w="880" w:type="dxa"/>
            <w:vAlign w:val="bottom"/>
          </w:tcPr>
          <w:p>
            <w:pPr>
              <w:spacing w:after="0"/>
              <w:rPr>
                <w:sz w:val="10"/>
                <w:szCs w:val="10"/>
                <w:color w:val="auto"/>
              </w:rPr>
            </w:pPr>
          </w:p>
        </w:tc>
        <w:tc>
          <w:tcPr>
            <w:tcW w:w="10360" w:type="dxa"/>
            <w:vAlign w:val="bottom"/>
            <w:tcBorders>
              <w:top w:val="single" w:sz="8" w:color="0000FF"/>
            </w:tcBorders>
            <w:gridSpan w:val="24"/>
          </w:tcPr>
          <w:p>
            <w:pPr>
              <w:spacing w:after="0" w:line="118" w:lineRule="exact"/>
              <w:rPr>
                <w:rFonts w:ascii="Arial" w:cs="Arial" w:eastAsia="Arial" w:hAnsi="Arial"/>
                <w:sz w:val="13"/>
                <w:szCs w:val="13"/>
                <w:color w:val="0000FF"/>
                <w:w w:val="99"/>
              </w:rPr>
            </w:pPr>
            <w:hyperlink r:id="rId213">
              <w:r>
                <w:rPr>
                  <w:rFonts w:ascii="Arial" w:cs="Arial" w:eastAsia="Arial" w:hAnsi="Arial"/>
                  <w:sz w:val="13"/>
                  <w:szCs w:val="13"/>
                  <w:color w:val="0000FF"/>
                  <w:w w:val="99"/>
                </w:rPr>
                <w:t>institutions or entities party to the Credit Agreement, as amended (Incorporated by reference to Exhibit 10.10 to the Company’s Quarterly Report for the period ended June 30, 2017</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21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9"/>
              </w:rPr>
            </w:pPr>
            <w:hyperlink r:id="rId213">
              <w:r>
                <w:rPr>
                  <w:rFonts w:ascii="Arial" w:cs="Arial" w:eastAsia="Arial" w:hAnsi="Arial"/>
                  <w:sz w:val="13"/>
                  <w:szCs w:val="13"/>
                  <w:color w:val="0000FF"/>
                  <w:w w:val="99"/>
                </w:rPr>
                <w:t>on Form 10-Q (File No. 001-34972))</w:t>
              </w:r>
            </w:hyperlink>
          </w:p>
        </w:tc>
        <w:tc>
          <w:tcPr>
            <w:tcW w:w="8140" w:type="dxa"/>
            <w:vAlign w:val="bottom"/>
            <w:tcBorders>
              <w:top w:val="single" w:sz="8" w:color="0000FF"/>
            </w:tcBorders>
            <w:gridSpan w:val="17"/>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10.54†</w:t>
            </w:r>
          </w:p>
        </w:tc>
        <w:tc>
          <w:tcPr>
            <w:tcW w:w="10440" w:type="dxa"/>
            <w:vAlign w:val="bottom"/>
            <w:gridSpan w:val="28"/>
          </w:tcPr>
          <w:p>
            <w:pPr>
              <w:spacing w:after="0"/>
              <w:rPr>
                <w:rFonts w:ascii="Arial" w:cs="Arial" w:eastAsia="Arial" w:hAnsi="Arial"/>
                <w:sz w:val="14"/>
                <w:szCs w:val="14"/>
                <w:color w:val="0000FF"/>
                <w:w w:val="94"/>
              </w:rPr>
            </w:pPr>
            <w:hyperlink r:id="rId214">
              <w:r>
                <w:rPr>
                  <w:rFonts w:ascii="Arial" w:cs="Arial" w:eastAsia="Arial" w:hAnsi="Arial"/>
                  <w:sz w:val="14"/>
                  <w:szCs w:val="14"/>
                  <w:color w:val="0000FF"/>
                  <w:w w:val="94"/>
                </w:rPr>
                <w:t>Booz Allen Hamilton Inc. Nonqualified Deferred Compensation Plan (Incorporated by reference to Exhibit 10.7 to the Company’s Quarterly Report for the period ended December</w:t>
              </w:r>
            </w:hyperlink>
          </w:p>
        </w:tc>
      </w:tr>
      <w:tr>
        <w:trPr>
          <w:trHeight w:val="118"/>
        </w:trPr>
        <w:tc>
          <w:tcPr>
            <w:tcW w:w="880" w:type="dxa"/>
            <w:vAlign w:val="bottom"/>
          </w:tcPr>
          <w:p>
            <w:pPr>
              <w:spacing w:after="0"/>
              <w:rPr>
                <w:sz w:val="10"/>
                <w:szCs w:val="10"/>
                <w:color w:val="auto"/>
              </w:rPr>
            </w:pPr>
          </w:p>
        </w:tc>
        <w:tc>
          <w:tcPr>
            <w:tcW w:w="1018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214">
              <w:r>
                <w:rPr>
                  <w:rFonts w:ascii="Arial" w:cs="Arial" w:eastAsia="Arial" w:hAnsi="Arial"/>
                  <w:sz w:val="13"/>
                  <w:szCs w:val="13"/>
                  <w:color w:val="0000FF"/>
                </w:rPr>
                <w:t>31, 2018 on Form 10-Q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10.55†</w:t>
            </w:r>
          </w:p>
        </w:tc>
        <w:tc>
          <w:tcPr>
            <w:tcW w:w="10440" w:type="dxa"/>
            <w:vAlign w:val="bottom"/>
            <w:gridSpan w:val="28"/>
          </w:tcPr>
          <w:p>
            <w:pPr>
              <w:spacing w:after="0"/>
              <w:rPr>
                <w:rFonts w:ascii="Arial" w:cs="Arial" w:eastAsia="Arial" w:hAnsi="Arial"/>
                <w:sz w:val="14"/>
                <w:szCs w:val="14"/>
                <w:color w:val="0000FF"/>
                <w:w w:val="93"/>
              </w:rPr>
            </w:pPr>
            <w:hyperlink r:id="rId215">
              <w:r>
                <w:rPr>
                  <w:rFonts w:ascii="Arial" w:cs="Arial" w:eastAsia="Arial" w:hAnsi="Arial"/>
                  <w:sz w:val="14"/>
                  <w:szCs w:val="14"/>
                  <w:color w:val="0000FF"/>
                  <w:w w:val="93"/>
                </w:rPr>
                <w:t>First Amendment to the Nonqualified Deferred Compensation Plan (Incorporated by reference to Exhibit 10.1 to the Company’s Quarterly Report for the period ended September 30,</w:t>
              </w:r>
            </w:hyperlink>
          </w:p>
        </w:tc>
      </w:tr>
      <w:tr>
        <w:trPr>
          <w:trHeight w:val="118"/>
        </w:trPr>
        <w:tc>
          <w:tcPr>
            <w:tcW w:w="88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9"/>
              </w:rPr>
            </w:pPr>
            <w:hyperlink r:id="rId215">
              <w:r>
                <w:rPr>
                  <w:rFonts w:ascii="Arial" w:cs="Arial" w:eastAsia="Arial" w:hAnsi="Arial"/>
                  <w:sz w:val="13"/>
                  <w:szCs w:val="13"/>
                  <w:color w:val="0000FF"/>
                  <w:w w:val="99"/>
                </w:rPr>
                <w:t>2019 on Form 10-Q (File No. 001-34972))</w:t>
              </w:r>
            </w:hyperlink>
          </w:p>
        </w:tc>
        <w:tc>
          <w:tcPr>
            <w:tcW w:w="7920" w:type="dxa"/>
            <w:vAlign w:val="bottom"/>
            <w:tcBorders>
              <w:top w:val="single" w:sz="8" w:color="0000FF"/>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10.56†</w:t>
            </w:r>
          </w:p>
        </w:tc>
        <w:tc>
          <w:tcPr>
            <w:tcW w:w="10440" w:type="dxa"/>
            <w:vAlign w:val="bottom"/>
            <w:gridSpan w:val="28"/>
          </w:tcPr>
          <w:p>
            <w:pPr>
              <w:spacing w:after="0"/>
              <w:rPr>
                <w:rFonts w:ascii="Arial" w:cs="Arial" w:eastAsia="Arial" w:hAnsi="Arial"/>
                <w:sz w:val="14"/>
                <w:szCs w:val="14"/>
                <w:color w:val="0000FF"/>
                <w:w w:val="93"/>
              </w:rPr>
            </w:pPr>
            <w:hyperlink r:id="rId216">
              <w:r>
                <w:rPr>
                  <w:rFonts w:ascii="Arial" w:cs="Arial" w:eastAsia="Arial" w:hAnsi="Arial"/>
                  <w:sz w:val="14"/>
                  <w:szCs w:val="14"/>
                  <w:color w:val="0000FF"/>
                  <w:w w:val="93"/>
                </w:rPr>
                <w:t>Form of Restricted Stock Unit Agreement under the Second Amended and Restated Equity Incentive Plan of Booz Allen Hamilton Holding Corporation (Incorporated by reference to</w:t>
              </w:r>
            </w:hyperlink>
          </w:p>
        </w:tc>
      </w:tr>
      <w:tr>
        <w:trPr>
          <w:trHeight w:val="118"/>
        </w:trPr>
        <w:tc>
          <w:tcPr>
            <w:tcW w:w="880" w:type="dxa"/>
            <w:vAlign w:val="bottom"/>
          </w:tcPr>
          <w:p>
            <w:pPr>
              <w:spacing w:after="0"/>
              <w:rPr>
                <w:sz w:val="10"/>
                <w:szCs w:val="10"/>
                <w:color w:val="auto"/>
              </w:rPr>
            </w:pPr>
          </w:p>
        </w:tc>
        <w:tc>
          <w:tcPr>
            <w:tcW w:w="1040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216">
              <w:r>
                <w:rPr>
                  <w:rFonts w:ascii="Arial" w:cs="Arial" w:eastAsia="Arial" w:hAnsi="Arial"/>
                  <w:sz w:val="13"/>
                  <w:szCs w:val="13"/>
                  <w:color w:val="0000FF"/>
                </w:rPr>
                <w:t>Exhibit 10.39 to the Company’s Annual Report for the year ended March 31, 2017 on Form 10-K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10.57†</w:t>
            </w:r>
          </w:p>
        </w:tc>
        <w:tc>
          <w:tcPr>
            <w:tcW w:w="10440" w:type="dxa"/>
            <w:vAlign w:val="bottom"/>
            <w:gridSpan w:val="28"/>
          </w:tcPr>
          <w:p>
            <w:pPr>
              <w:spacing w:after="0"/>
              <w:rPr>
                <w:rFonts w:ascii="Arial" w:cs="Arial" w:eastAsia="Arial" w:hAnsi="Arial"/>
                <w:sz w:val="14"/>
                <w:szCs w:val="14"/>
                <w:color w:val="0000FF"/>
                <w:w w:val="93"/>
              </w:rPr>
            </w:pPr>
            <w:hyperlink r:id="rId217">
              <w:r>
                <w:rPr>
                  <w:rFonts w:ascii="Arial" w:cs="Arial" w:eastAsia="Arial" w:hAnsi="Arial"/>
                  <w:sz w:val="14"/>
                  <w:szCs w:val="14"/>
                  <w:color w:val="0000FF"/>
                  <w:w w:val="93"/>
                </w:rPr>
                <w:t>Form of Restricted Stock Unit Agreement under the Second Amended and Restated Equity Incentive Plan of Booz Allen Hamilton Holding Corporation (Incorporated by reference to</w:t>
              </w:r>
            </w:hyperlink>
          </w:p>
        </w:tc>
      </w:tr>
      <w:tr>
        <w:trPr>
          <w:trHeight w:val="118"/>
        </w:trPr>
        <w:tc>
          <w:tcPr>
            <w:tcW w:w="880" w:type="dxa"/>
            <w:vAlign w:val="bottom"/>
          </w:tcPr>
          <w:p>
            <w:pPr>
              <w:spacing w:after="0"/>
              <w:rPr>
                <w:sz w:val="10"/>
                <w:szCs w:val="10"/>
                <w:color w:val="auto"/>
              </w:rPr>
            </w:pPr>
          </w:p>
        </w:tc>
        <w:tc>
          <w:tcPr>
            <w:tcW w:w="1040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217">
              <w:r>
                <w:rPr>
                  <w:rFonts w:ascii="Arial" w:cs="Arial" w:eastAsia="Arial" w:hAnsi="Arial"/>
                  <w:sz w:val="13"/>
                  <w:szCs w:val="13"/>
                  <w:color w:val="0000FF"/>
                </w:rPr>
                <w:t>Exhibit 10.58 to the Company’s Annual Report for the year ended March 31, 2019 on Form 10-K (File No. 001-34972))</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10.58†</w:t>
            </w:r>
          </w:p>
        </w:tc>
        <w:tc>
          <w:tcPr>
            <w:tcW w:w="10440" w:type="dxa"/>
            <w:vAlign w:val="bottom"/>
            <w:gridSpan w:val="28"/>
          </w:tcPr>
          <w:p>
            <w:pPr>
              <w:spacing w:after="0"/>
              <w:rPr>
                <w:rFonts w:ascii="Arial" w:cs="Arial" w:eastAsia="Arial" w:hAnsi="Arial"/>
                <w:sz w:val="14"/>
                <w:szCs w:val="14"/>
                <w:color w:val="0000FF"/>
                <w:w w:val="94"/>
              </w:rPr>
            </w:pPr>
            <w:hyperlink r:id="rId217">
              <w:r>
                <w:rPr>
                  <w:rFonts w:ascii="Arial" w:cs="Arial" w:eastAsia="Arial" w:hAnsi="Arial"/>
                  <w:sz w:val="14"/>
                  <w:szCs w:val="14"/>
                  <w:color w:val="0000FF"/>
                  <w:w w:val="94"/>
                </w:rPr>
                <w:t>Form of Restricted Stock Unit Agreement under the Third Amended and Restated Equity Incentive Plan of Booz Allen Hamilton Holding Corporation (Incorporated by reference to</w:t>
              </w:r>
            </w:hyperlink>
          </w:p>
        </w:tc>
      </w:tr>
      <w:tr>
        <w:trPr>
          <w:trHeight w:val="118"/>
        </w:trPr>
        <w:tc>
          <w:tcPr>
            <w:tcW w:w="880" w:type="dxa"/>
            <w:vAlign w:val="bottom"/>
          </w:tcPr>
          <w:p>
            <w:pPr>
              <w:spacing w:after="0"/>
              <w:rPr>
                <w:sz w:val="10"/>
                <w:szCs w:val="10"/>
                <w:color w:val="auto"/>
              </w:rPr>
            </w:pPr>
          </w:p>
        </w:tc>
        <w:tc>
          <w:tcPr>
            <w:tcW w:w="1022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217">
              <w:r>
                <w:rPr>
                  <w:rFonts w:ascii="Arial" w:cs="Arial" w:eastAsia="Arial" w:hAnsi="Arial"/>
                  <w:sz w:val="13"/>
                  <w:szCs w:val="13"/>
                  <w:color w:val="0000FF"/>
                </w:rPr>
                <w:t>Exhibit 10.58 to the Company’s Annual Report for the year ended March 31, 2020 on Form 10-K (File No. 001-34972))</w:t>
              </w:r>
            </w:hyperlink>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10.59†</w:t>
            </w:r>
          </w:p>
        </w:tc>
        <w:tc>
          <w:tcPr>
            <w:tcW w:w="10440" w:type="dxa"/>
            <w:vAlign w:val="bottom"/>
            <w:gridSpan w:val="28"/>
          </w:tcPr>
          <w:p>
            <w:pPr>
              <w:spacing w:after="0"/>
              <w:rPr>
                <w:rFonts w:ascii="Arial" w:cs="Arial" w:eastAsia="Arial" w:hAnsi="Arial"/>
                <w:sz w:val="14"/>
                <w:szCs w:val="14"/>
                <w:color w:val="0000FF"/>
                <w:w w:val="93"/>
              </w:rPr>
            </w:pPr>
            <w:hyperlink r:id="rId218">
              <w:r>
                <w:rPr>
                  <w:rFonts w:ascii="Arial" w:cs="Arial" w:eastAsia="Arial" w:hAnsi="Arial"/>
                  <w:sz w:val="14"/>
                  <w:szCs w:val="14"/>
                  <w:color w:val="0000FF"/>
                  <w:w w:val="93"/>
                </w:rPr>
                <w:t>Form of Stock Option Agreement under the Second Amended and Restated Equity Incentive Plan of Booz Allen Hamilton Holding Corporation (Incorporated by reference to Exhibit</w:t>
              </w:r>
            </w:hyperlink>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218">
              <w:r>
                <w:rPr>
                  <w:rFonts w:ascii="Arial" w:cs="Arial" w:eastAsia="Arial" w:hAnsi="Arial"/>
                  <w:sz w:val="13"/>
                  <w:szCs w:val="13"/>
                  <w:color w:val="0000FF"/>
                </w:rPr>
                <w:t>10.</w:t>
              </w:r>
              <w:r>
                <w:rPr>
                  <w:rFonts w:ascii="Arial" w:cs="Arial" w:eastAsia="Arial" w:hAnsi="Arial"/>
                  <w:sz w:val="13"/>
                  <w:szCs w:val="13"/>
                  <w:u w:val="single" w:color="auto"/>
                  <w:color w:val="0000FF"/>
                </w:rPr>
                <w:t>36</w:t>
              </w:r>
              <w:r>
                <w:rPr>
                  <w:rFonts w:ascii="Arial" w:cs="Arial" w:eastAsia="Arial" w:hAnsi="Arial"/>
                  <w:sz w:val="13"/>
                  <w:szCs w:val="13"/>
                  <w:color w:val="0000FF"/>
                </w:rPr>
                <w:t xml:space="preserve"> to the Company’s Annual Report for the year ended March 31, 2017 on Form 10-K (File No. 001-34972))</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10.60†</w:t>
            </w:r>
          </w:p>
        </w:tc>
        <w:tc>
          <w:tcPr>
            <w:tcW w:w="10440" w:type="dxa"/>
            <w:vAlign w:val="bottom"/>
            <w:gridSpan w:val="28"/>
          </w:tcPr>
          <w:p>
            <w:pPr>
              <w:spacing w:after="0"/>
              <w:rPr>
                <w:rFonts w:ascii="Arial" w:cs="Arial" w:eastAsia="Arial" w:hAnsi="Arial"/>
                <w:sz w:val="14"/>
                <w:szCs w:val="14"/>
                <w:color w:val="0000FF"/>
                <w:w w:val="93"/>
              </w:rPr>
            </w:pPr>
            <w:hyperlink r:id="rId219">
              <w:r>
                <w:rPr>
                  <w:rFonts w:ascii="Arial" w:cs="Arial" w:eastAsia="Arial" w:hAnsi="Arial"/>
                  <w:sz w:val="14"/>
                  <w:szCs w:val="14"/>
                  <w:color w:val="0000FF"/>
                  <w:w w:val="93"/>
                </w:rPr>
                <w:t>Form of Stock Option Agreement under the Second Amended and Restated Equity Incentive Plan of Booz Allen Hamilton Holding Corporation (Incorporated by reference to Exhibit</w:t>
              </w:r>
            </w:hyperlink>
          </w:p>
        </w:tc>
      </w:tr>
      <w:tr>
        <w:trPr>
          <w:trHeight w:val="118"/>
        </w:trPr>
        <w:tc>
          <w:tcPr>
            <w:tcW w:w="880" w:type="dxa"/>
            <w:vAlign w:val="bottom"/>
          </w:tcPr>
          <w:p>
            <w:pPr>
              <w:spacing w:after="0"/>
              <w:rPr>
                <w:sz w:val="10"/>
                <w:szCs w:val="10"/>
                <w:color w:val="auto"/>
              </w:rPr>
            </w:pPr>
          </w:p>
        </w:tc>
        <w:tc>
          <w:tcPr>
            <w:tcW w:w="1038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219">
              <w:r>
                <w:rPr>
                  <w:rFonts w:ascii="Arial" w:cs="Arial" w:eastAsia="Arial" w:hAnsi="Arial"/>
                  <w:sz w:val="13"/>
                  <w:szCs w:val="13"/>
                  <w:color w:val="0000FF"/>
                </w:rPr>
                <w:t>10.</w:t>
              </w:r>
              <w:r>
                <w:rPr>
                  <w:rFonts w:ascii="Arial" w:cs="Arial" w:eastAsia="Arial" w:hAnsi="Arial"/>
                  <w:sz w:val="13"/>
                  <w:szCs w:val="13"/>
                  <w:u w:val="single" w:color="auto"/>
                  <w:color w:val="0000FF"/>
                </w:rPr>
                <w:t>59</w:t>
              </w:r>
              <w:r>
                <w:rPr>
                  <w:rFonts w:ascii="Arial" w:cs="Arial" w:eastAsia="Arial" w:hAnsi="Arial"/>
                  <w:sz w:val="13"/>
                  <w:szCs w:val="13"/>
                  <w:color w:val="0000FF"/>
                </w:rPr>
                <w:t xml:space="preserve"> to the Company’s Annual Report for the year ended March 31, 2019 on Form 10-K (File No. 001-34972))</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10.61†</w:t>
            </w:r>
          </w:p>
        </w:tc>
        <w:tc>
          <w:tcPr>
            <w:tcW w:w="10440" w:type="dxa"/>
            <w:vAlign w:val="bottom"/>
            <w:gridSpan w:val="28"/>
          </w:tcPr>
          <w:p>
            <w:pPr>
              <w:spacing w:after="0"/>
              <w:rPr>
                <w:rFonts w:ascii="Arial" w:cs="Arial" w:eastAsia="Arial" w:hAnsi="Arial"/>
                <w:sz w:val="14"/>
                <w:szCs w:val="14"/>
                <w:color w:val="0000FF"/>
                <w:w w:val="95"/>
              </w:rPr>
            </w:pPr>
            <w:hyperlink r:id="rId220">
              <w:r>
                <w:rPr>
                  <w:rFonts w:ascii="Arial" w:cs="Arial" w:eastAsia="Arial" w:hAnsi="Arial"/>
                  <w:sz w:val="14"/>
                  <w:szCs w:val="14"/>
                  <w:color w:val="0000FF"/>
                  <w:w w:val="95"/>
                </w:rPr>
                <w:t>Form of Stock Option Agreement under the Third Amended and Restated Equity Incentive Plan of Booz Allen Hamilton Holding Corporation (Incorporated by reference to Exhibit</w:t>
              </w:r>
            </w:hyperlink>
          </w:p>
        </w:tc>
      </w:tr>
      <w:tr>
        <w:trPr>
          <w:trHeight w:val="118"/>
        </w:trPr>
        <w:tc>
          <w:tcPr>
            <w:tcW w:w="880" w:type="dxa"/>
            <w:vAlign w:val="bottom"/>
          </w:tcPr>
          <w:p>
            <w:pPr>
              <w:spacing w:after="0"/>
              <w:rPr>
                <w:sz w:val="10"/>
                <w:szCs w:val="10"/>
                <w:color w:val="auto"/>
              </w:rPr>
            </w:pPr>
          </w:p>
        </w:tc>
        <w:tc>
          <w:tcPr>
            <w:tcW w:w="626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9"/>
              </w:rPr>
            </w:pPr>
            <w:hyperlink r:id="rId220">
              <w:r>
                <w:rPr>
                  <w:rFonts w:ascii="Arial" w:cs="Arial" w:eastAsia="Arial" w:hAnsi="Arial"/>
                  <w:sz w:val="13"/>
                  <w:szCs w:val="13"/>
                  <w:color w:val="0000FF"/>
                  <w:w w:val="99"/>
                </w:rPr>
                <w:t>10.</w:t>
              </w:r>
              <w:r>
                <w:rPr>
                  <w:rFonts w:ascii="Arial" w:cs="Arial" w:eastAsia="Arial" w:hAnsi="Arial"/>
                  <w:sz w:val="13"/>
                  <w:szCs w:val="13"/>
                  <w:u w:val="single" w:color="auto"/>
                  <w:color w:val="0000FF"/>
                  <w:w w:val="99"/>
                </w:rPr>
                <w:t>61</w:t>
              </w:r>
              <w:r>
                <w:rPr>
                  <w:rFonts w:ascii="Arial" w:cs="Arial" w:eastAsia="Arial" w:hAnsi="Arial"/>
                  <w:sz w:val="13"/>
                  <w:szCs w:val="13"/>
                  <w:color w:val="0000FF"/>
                  <w:w w:val="99"/>
                </w:rPr>
                <w:t xml:space="preserve"> to the Company's Annual Report for the year ended March 31, 2020 on Form 10-K (file No. 001-34972)</w:t>
              </w:r>
            </w:hyperlink>
          </w:p>
        </w:tc>
        <w:tc>
          <w:tcPr>
            <w:tcW w:w="3940" w:type="dxa"/>
            <w:vAlign w:val="bottom"/>
            <w:tcBorders>
              <w:top w:val="single" w:sz="8" w:color="0000FF"/>
            </w:tcBorders>
            <w:gridSpan w:val="9"/>
          </w:tcPr>
          <w:p>
            <w:pPr>
              <w:spacing w:after="0"/>
              <w:rPr>
                <w:sz w:val="10"/>
                <w:szCs w:val="10"/>
                <w:color w:val="auto"/>
              </w:rPr>
            </w:pPr>
          </w:p>
        </w:tc>
        <w:tc>
          <w:tcPr>
            <w:tcW w:w="120" w:type="dxa"/>
            <w:vAlign w:val="bottom"/>
            <w:gridSpan w:val="6"/>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10.62†</w:t>
            </w:r>
          </w:p>
        </w:tc>
        <w:tc>
          <w:tcPr>
            <w:tcW w:w="10440" w:type="dxa"/>
            <w:vAlign w:val="bottom"/>
            <w:gridSpan w:val="28"/>
          </w:tcPr>
          <w:p>
            <w:pPr>
              <w:spacing w:after="0"/>
              <w:rPr>
                <w:rFonts w:ascii="Arial" w:cs="Arial" w:eastAsia="Arial" w:hAnsi="Arial"/>
                <w:sz w:val="14"/>
                <w:szCs w:val="14"/>
                <w:color w:val="0000FF"/>
                <w:w w:val="93"/>
              </w:rPr>
            </w:pPr>
            <w:hyperlink r:id="rId221">
              <w:r>
                <w:rPr>
                  <w:rFonts w:ascii="Arial" w:cs="Arial" w:eastAsia="Arial" w:hAnsi="Arial"/>
                  <w:sz w:val="14"/>
                  <w:szCs w:val="14"/>
                  <w:color w:val="0000FF"/>
                  <w:w w:val="93"/>
                </w:rPr>
                <w:t>Form of Performance Restricted Stock Unit Agreement under the Second Amended and Restated Equity Incentive Plan of Booz Allen Hamilton Holding Corporation (Incorporated by</w:t>
              </w:r>
            </w:hyperlink>
          </w:p>
        </w:tc>
      </w:tr>
      <w:tr>
        <w:trPr>
          <w:trHeight w:val="118"/>
        </w:trPr>
        <w:tc>
          <w:tcPr>
            <w:tcW w:w="880" w:type="dxa"/>
            <w:vAlign w:val="bottom"/>
          </w:tcPr>
          <w:p>
            <w:pPr>
              <w:spacing w:after="0"/>
              <w:rPr>
                <w:sz w:val="10"/>
                <w:szCs w:val="10"/>
                <w:color w:val="auto"/>
              </w:rPr>
            </w:pPr>
          </w:p>
        </w:tc>
        <w:tc>
          <w:tcPr>
            <w:tcW w:w="1042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221">
              <w:r>
                <w:rPr>
                  <w:rFonts w:ascii="Arial" w:cs="Arial" w:eastAsia="Arial" w:hAnsi="Arial"/>
                  <w:sz w:val="13"/>
                  <w:szCs w:val="13"/>
                  <w:color w:val="0000FF"/>
                </w:rPr>
                <w:t>reference to Exhibit 10.37 to the Company’s Annual Report for the year ended March 31, 2017 on Form 10-K (File No. 001-34972))</w:t>
              </w:r>
            </w:hyperlink>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7500" w:type="dxa"/>
            <w:vAlign w:val="bottom"/>
            <w:gridSpan w:val="10"/>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10.63†</w:t>
            </w:r>
          </w:p>
        </w:tc>
        <w:tc>
          <w:tcPr>
            <w:tcW w:w="10440" w:type="dxa"/>
            <w:vAlign w:val="bottom"/>
            <w:gridSpan w:val="28"/>
          </w:tcPr>
          <w:p>
            <w:pPr>
              <w:spacing w:after="0"/>
              <w:rPr>
                <w:rFonts w:ascii="Arial" w:cs="Arial" w:eastAsia="Arial" w:hAnsi="Arial"/>
                <w:sz w:val="14"/>
                <w:szCs w:val="14"/>
                <w:color w:val="0000FF"/>
                <w:w w:val="93"/>
              </w:rPr>
            </w:pPr>
            <w:hyperlink r:id="rId222">
              <w:r>
                <w:rPr>
                  <w:rFonts w:ascii="Arial" w:cs="Arial" w:eastAsia="Arial" w:hAnsi="Arial"/>
                  <w:sz w:val="14"/>
                  <w:szCs w:val="14"/>
                  <w:color w:val="0000FF"/>
                  <w:w w:val="93"/>
                </w:rPr>
                <w:t>Form of Performance Restricted Stock Unit Agreement under the Second Amended and Restated Equity Incentive Plan of Booz Allen Hamilton Holding Corporation (Incorporated by</w:t>
              </w:r>
            </w:hyperlink>
          </w:p>
        </w:tc>
      </w:tr>
      <w:tr>
        <w:trPr>
          <w:trHeight w:val="118"/>
        </w:trPr>
        <w:tc>
          <w:tcPr>
            <w:tcW w:w="880" w:type="dxa"/>
            <w:vAlign w:val="bottom"/>
          </w:tcPr>
          <w:p>
            <w:pPr>
              <w:spacing w:after="0"/>
              <w:rPr>
                <w:sz w:val="10"/>
                <w:szCs w:val="10"/>
                <w:color w:val="auto"/>
              </w:rPr>
            </w:pPr>
          </w:p>
        </w:tc>
        <w:tc>
          <w:tcPr>
            <w:tcW w:w="1042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222">
              <w:r>
                <w:rPr>
                  <w:rFonts w:ascii="Arial" w:cs="Arial" w:eastAsia="Arial" w:hAnsi="Arial"/>
                  <w:sz w:val="13"/>
                  <w:szCs w:val="13"/>
                  <w:color w:val="0000FF"/>
                </w:rPr>
                <w:t>reference to Exhibit 10.60 to the Company’s Annual Report for the year ended March 31, 2019 on Form 10-K (File No. 001-34972))</w:t>
              </w:r>
            </w:hyperlink>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7500" w:type="dxa"/>
            <w:vAlign w:val="bottom"/>
            <w:gridSpan w:val="10"/>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Arial" w:cs="Arial" w:eastAsia="Arial" w:hAnsi="Arial"/>
                <w:sz w:val="14"/>
                <w:szCs w:val="14"/>
                <w:color w:val="auto"/>
              </w:rPr>
              <w:t>10.64†</w:t>
            </w:r>
          </w:p>
        </w:tc>
        <w:tc>
          <w:tcPr>
            <w:tcW w:w="10440" w:type="dxa"/>
            <w:vAlign w:val="bottom"/>
            <w:gridSpan w:val="28"/>
          </w:tcPr>
          <w:p>
            <w:pPr>
              <w:spacing w:after="0"/>
              <w:rPr>
                <w:rFonts w:ascii="Arial" w:cs="Arial" w:eastAsia="Arial" w:hAnsi="Arial"/>
                <w:sz w:val="14"/>
                <w:szCs w:val="14"/>
                <w:color w:val="0000FF"/>
                <w:w w:val="95"/>
              </w:rPr>
            </w:pPr>
            <w:hyperlink r:id="rId223">
              <w:r>
                <w:rPr>
                  <w:rFonts w:ascii="Arial" w:cs="Arial" w:eastAsia="Arial" w:hAnsi="Arial"/>
                  <w:sz w:val="14"/>
                  <w:szCs w:val="14"/>
                  <w:color w:val="0000FF"/>
                  <w:w w:val="95"/>
                </w:rPr>
                <w:t>Form of Restricted Stock Agreement for Directors under the Second Amended and Restated Equity Incentive Plan of Booz Allen Hamilton Holding Corporation (Incorporated by</w:t>
              </w:r>
            </w:hyperlink>
          </w:p>
        </w:tc>
      </w:tr>
      <w:tr>
        <w:trPr>
          <w:trHeight w:val="118"/>
        </w:trPr>
        <w:tc>
          <w:tcPr>
            <w:tcW w:w="880" w:type="dxa"/>
            <w:vAlign w:val="bottom"/>
          </w:tcPr>
          <w:p>
            <w:pPr>
              <w:spacing w:after="0"/>
              <w:rPr>
                <w:sz w:val="10"/>
                <w:szCs w:val="10"/>
                <w:color w:val="auto"/>
              </w:rPr>
            </w:pPr>
          </w:p>
        </w:tc>
        <w:tc>
          <w:tcPr>
            <w:tcW w:w="1008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223">
              <w:r>
                <w:rPr>
                  <w:rFonts w:ascii="Arial" w:cs="Arial" w:eastAsia="Arial" w:hAnsi="Arial"/>
                  <w:sz w:val="13"/>
                  <w:szCs w:val="13"/>
                  <w:color w:val="0000FF"/>
                </w:rPr>
                <w:t>reference to Exhibit 10.44 to the Company’s Annual Report for the year ended March 31, 2018 on Form 10-K (File No. 001-34972))</w:t>
              </w:r>
            </w:hyperlink>
          </w:p>
        </w:tc>
        <w:tc>
          <w:tcPr>
            <w:tcW w:w="240" w:type="dxa"/>
            <w:vAlign w:val="bottom"/>
            <w:gridSpan w:val="8"/>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7500" w:type="dxa"/>
            <w:vAlign w:val="bottom"/>
            <w:gridSpan w:val="10"/>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Arial" w:cs="Arial" w:eastAsia="Arial" w:hAnsi="Arial"/>
                <w:sz w:val="14"/>
                <w:szCs w:val="14"/>
                <w:color w:val="auto"/>
              </w:rPr>
              <w:t>10.65†</w:t>
            </w:r>
          </w:p>
        </w:tc>
        <w:tc>
          <w:tcPr>
            <w:tcW w:w="10440" w:type="dxa"/>
            <w:vAlign w:val="bottom"/>
            <w:gridSpan w:val="28"/>
          </w:tcPr>
          <w:p>
            <w:pPr>
              <w:spacing w:after="0"/>
              <w:rPr>
                <w:rFonts w:ascii="Arial" w:cs="Arial" w:eastAsia="Arial" w:hAnsi="Arial"/>
                <w:sz w:val="14"/>
                <w:szCs w:val="14"/>
                <w:color w:val="0000FF"/>
                <w:w w:val="96"/>
              </w:rPr>
            </w:pPr>
            <w:hyperlink r:id="rId224">
              <w:r>
                <w:rPr>
                  <w:rFonts w:ascii="Arial" w:cs="Arial" w:eastAsia="Arial" w:hAnsi="Arial"/>
                  <w:sz w:val="14"/>
                  <w:szCs w:val="14"/>
                  <w:color w:val="0000FF"/>
                  <w:w w:val="96"/>
                </w:rPr>
                <w:t>Officer Perquisites Policy (Incorporated by reference to Exhibit 10.45 to the Company’s Annual Report for the year ended March 31, 2018 on Form 10-K (File No. 001-34972))</w:t>
              </w:r>
            </w:hyperlink>
          </w:p>
        </w:tc>
      </w:tr>
      <w:tr>
        <w:trPr>
          <w:trHeight w:val="20"/>
        </w:trPr>
        <w:tc>
          <w:tcPr>
            <w:tcW w:w="880" w:type="dxa"/>
            <w:vAlign w:val="bottom"/>
          </w:tcPr>
          <w:p>
            <w:pPr>
              <w:spacing w:after="0" w:line="20" w:lineRule="exact"/>
              <w:rPr>
                <w:sz w:val="1"/>
                <w:szCs w:val="1"/>
                <w:color w:val="auto"/>
              </w:rPr>
            </w:pPr>
          </w:p>
        </w:tc>
        <w:tc>
          <w:tcPr>
            <w:tcW w:w="7900" w:type="dxa"/>
            <w:vAlign w:val="bottom"/>
            <w:gridSpan w:val="11"/>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Arial" w:cs="Arial" w:eastAsia="Arial" w:hAnsi="Arial"/>
                <w:sz w:val="14"/>
                <w:szCs w:val="14"/>
                <w:color w:val="auto"/>
              </w:rPr>
              <w:t>10.66†</w:t>
            </w:r>
          </w:p>
        </w:tc>
        <w:tc>
          <w:tcPr>
            <w:tcW w:w="10440" w:type="dxa"/>
            <w:vAlign w:val="bottom"/>
            <w:gridSpan w:val="28"/>
          </w:tcPr>
          <w:p>
            <w:pPr>
              <w:spacing w:after="0"/>
              <w:rPr>
                <w:rFonts w:ascii="Arial" w:cs="Arial" w:eastAsia="Arial" w:hAnsi="Arial"/>
                <w:sz w:val="14"/>
                <w:szCs w:val="14"/>
                <w:color w:val="0000FF"/>
                <w:w w:val="94"/>
              </w:rPr>
            </w:pPr>
            <w:hyperlink r:id="rId225">
              <w:r>
                <w:rPr>
                  <w:rFonts w:ascii="Arial" w:cs="Arial" w:eastAsia="Arial" w:hAnsi="Arial"/>
                  <w:sz w:val="14"/>
                  <w:szCs w:val="14"/>
                  <w:color w:val="0000FF"/>
                  <w:w w:val="94"/>
                </w:rPr>
                <w:t>Form of Performance Restricted Stock Unit Agreement under the Third Amended and Restated Equity Incentive Plan of Booz Allen Hamilton Holding Corporation (Incorporated by</w:t>
              </w:r>
            </w:hyperlink>
          </w:p>
        </w:tc>
      </w:tr>
      <w:tr>
        <w:trPr>
          <w:trHeight w:val="118"/>
        </w:trPr>
        <w:tc>
          <w:tcPr>
            <w:tcW w:w="880" w:type="dxa"/>
            <w:vAlign w:val="bottom"/>
          </w:tcPr>
          <w:p>
            <w:pPr>
              <w:spacing w:after="0"/>
              <w:rPr>
                <w:sz w:val="10"/>
                <w:szCs w:val="10"/>
                <w:color w:val="auto"/>
              </w:rPr>
            </w:pPr>
          </w:p>
        </w:tc>
        <w:tc>
          <w:tcPr>
            <w:tcW w:w="1032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225">
              <w:r>
                <w:rPr>
                  <w:rFonts w:ascii="Arial" w:cs="Arial" w:eastAsia="Arial" w:hAnsi="Arial"/>
                  <w:sz w:val="13"/>
                  <w:szCs w:val="13"/>
                  <w:color w:val="0000FF"/>
                </w:rPr>
                <w:t>reference to Exhibit 10.1 to the Company's Quarterly Report for the period ended September 30, 2020 on Form 10-Q (File No. 001-34972))</w:t>
              </w:r>
            </w:hyperlink>
          </w:p>
        </w:tc>
        <w:tc>
          <w:tcPr>
            <w:tcW w:w="120" w:type="dxa"/>
            <w:vAlign w:val="bottom"/>
            <w:gridSpan w:val="6"/>
          </w:tcPr>
          <w:p>
            <w:pPr>
              <w:spacing w:after="0"/>
              <w:rPr>
                <w:sz w:val="10"/>
                <w:szCs w:val="10"/>
                <w:color w:val="auto"/>
              </w:rPr>
            </w:pPr>
          </w:p>
        </w:tc>
      </w:tr>
      <w:tr>
        <w:trPr>
          <w:trHeight w:val="722"/>
        </w:trPr>
        <w:tc>
          <w:tcPr>
            <w:tcW w:w="880" w:type="dxa"/>
            <w:vAlign w:val="bottom"/>
          </w:tcPr>
          <w:p>
            <w:pPr>
              <w:spacing w:after="0"/>
              <w:rPr>
                <w:sz w:val="24"/>
                <w:szCs w:val="24"/>
                <w:color w:val="auto"/>
              </w:rPr>
            </w:pPr>
          </w:p>
        </w:tc>
        <w:tc>
          <w:tcPr>
            <w:tcW w:w="4840" w:type="dxa"/>
            <w:vAlign w:val="bottom"/>
            <w:tcBorders>
              <w:top w:val="single" w:sz="8" w:color="0000FF"/>
            </w:tcBorders>
            <w:gridSpan w:val="5"/>
          </w:tcPr>
          <w:p>
            <w:pPr>
              <w:ind w:left="4700"/>
              <w:spacing w:after="0"/>
              <w:rPr>
                <w:sz w:val="20"/>
                <w:szCs w:val="20"/>
                <w:color w:val="auto"/>
              </w:rPr>
            </w:pPr>
            <w:r>
              <w:rPr>
                <w:rFonts w:ascii="Arial" w:cs="Arial" w:eastAsia="Arial" w:hAnsi="Arial"/>
                <w:sz w:val="14"/>
                <w:szCs w:val="14"/>
                <w:color w:val="auto"/>
                <w:w w:val="76"/>
              </w:rPr>
              <w:t>77</w:t>
            </w:r>
          </w:p>
        </w:tc>
        <w:tc>
          <w:tcPr>
            <w:tcW w:w="2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27" w:right="319" w:bottom="1440" w:gutter="0" w:footer="0" w:header="0"/>
        </w:sectPr>
      </w:pPr>
    </w:p>
    <w:bookmarkStart w:id="126" w:name="page127"/>
    <w:bookmarkEnd w:id="126"/>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color w:val="auto"/>
              </w:rPr>
              <w:t>10.67†</w:t>
            </w:r>
          </w:p>
        </w:tc>
        <w:tc>
          <w:tcPr>
            <w:tcW w:w="10280" w:type="dxa"/>
            <w:vAlign w:val="bottom"/>
            <w:gridSpan w:val="3"/>
          </w:tcPr>
          <w:p>
            <w:pPr>
              <w:spacing w:after="0"/>
              <w:rPr>
                <w:rFonts w:ascii="Arial" w:cs="Arial" w:eastAsia="Arial" w:hAnsi="Arial"/>
                <w:sz w:val="14"/>
                <w:szCs w:val="14"/>
                <w:color w:val="0000FF"/>
                <w:w w:val="93"/>
              </w:rPr>
            </w:pPr>
            <w:hyperlink r:id="rId228">
              <w:r>
                <w:rPr>
                  <w:rFonts w:ascii="Arial" w:cs="Arial" w:eastAsia="Arial" w:hAnsi="Arial"/>
                  <w:sz w:val="14"/>
                  <w:szCs w:val="14"/>
                  <w:color w:val="0000FF"/>
                  <w:w w:val="93"/>
                </w:rPr>
                <w:t>Form of Restricted Stock Unit Agreement for Directors under the Third Amended and Restated Equity Incentive Plan of Booz Allen Hamilton Holding Corporation (Incorporated by</w:t>
              </w:r>
            </w:hyperlink>
          </w:p>
        </w:tc>
      </w:tr>
      <w:tr>
        <w:trPr>
          <w:trHeight w:val="118"/>
        </w:trPr>
        <w:tc>
          <w:tcPr>
            <w:tcW w:w="860" w:type="dxa"/>
            <w:vAlign w:val="bottom"/>
          </w:tcPr>
          <w:p>
            <w:pPr>
              <w:spacing w:after="0"/>
              <w:rPr>
                <w:sz w:val="10"/>
                <w:szCs w:val="10"/>
                <w:color w:val="auto"/>
              </w:rPr>
            </w:pPr>
          </w:p>
        </w:tc>
        <w:tc>
          <w:tcPr>
            <w:tcW w:w="10260" w:type="dxa"/>
            <w:vAlign w:val="bottom"/>
            <w:tcBorders>
              <w:top w:val="single" w:sz="8" w:color="0000FF"/>
            </w:tcBorders>
            <w:gridSpan w:val="2"/>
          </w:tcPr>
          <w:p>
            <w:pPr>
              <w:spacing w:after="0" w:line="118" w:lineRule="exact"/>
              <w:rPr>
                <w:rFonts w:ascii="Arial" w:cs="Arial" w:eastAsia="Arial" w:hAnsi="Arial"/>
                <w:sz w:val="13"/>
                <w:szCs w:val="13"/>
                <w:color w:val="0000FF"/>
              </w:rPr>
            </w:pPr>
            <w:hyperlink r:id="rId228">
              <w:r>
                <w:rPr>
                  <w:rFonts w:ascii="Arial" w:cs="Arial" w:eastAsia="Arial" w:hAnsi="Arial"/>
                  <w:sz w:val="13"/>
                  <w:szCs w:val="13"/>
                  <w:color w:val="0000FF"/>
                </w:rPr>
                <w:t>reference to Exhibit 10.2 to the Company's Quarterly Report for the period ended September 30, 2020 on Form 10-Q (File No. 001-34972))</w:t>
              </w:r>
            </w:hyperlink>
          </w:p>
        </w:tc>
        <w:tc>
          <w:tcPr>
            <w:tcW w:w="20" w:type="dxa"/>
            <w:vAlign w:val="bottom"/>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790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4" w:lineRule="exact"/>
        <w:rPr>
          <w:sz w:val="20"/>
          <w:szCs w:val="20"/>
          <w:color w:val="auto"/>
        </w:rPr>
      </w:pPr>
    </w:p>
    <w:p>
      <w:pPr>
        <w:ind w:left="880" w:hanging="861"/>
        <w:spacing w:after="0"/>
        <w:tabs>
          <w:tab w:leader="none" w:pos="880" w:val="left"/>
        </w:tabs>
        <w:numPr>
          <w:ilvl w:val="0"/>
          <w:numId w:val="75"/>
        </w:numPr>
        <w:rPr>
          <w:rFonts w:ascii="Arial" w:cs="Arial" w:eastAsia="Arial" w:hAnsi="Arial"/>
          <w:sz w:val="14"/>
          <w:szCs w:val="14"/>
          <w:u w:val="single" w:color="auto"/>
          <w:color w:val="0000FF"/>
        </w:rPr>
      </w:pPr>
      <w:hyperlink w:anchor="page158">
        <w:r>
          <w:rPr>
            <w:rFonts w:ascii="Arial" w:cs="Arial" w:eastAsia="Arial" w:hAnsi="Arial"/>
            <w:sz w:val="14"/>
            <w:szCs w:val="14"/>
            <w:u w:val="single" w:color="auto"/>
            <w:color w:val="0000FF"/>
          </w:rPr>
          <w:t>Subsidiaries of the registrant*</w:t>
        </w:r>
      </w:hyperlink>
    </w:p>
    <w:p>
      <w:pPr>
        <w:spacing w:after="0" w:line="62" w:lineRule="exact"/>
        <w:rPr>
          <w:sz w:val="20"/>
          <w:szCs w:val="20"/>
          <w:color w:val="auto"/>
        </w:rPr>
      </w:pPr>
    </w:p>
    <w:p>
      <w:pPr>
        <w:ind w:left="880" w:hanging="861"/>
        <w:spacing w:after="0"/>
        <w:tabs>
          <w:tab w:leader="none" w:pos="880" w:val="left"/>
        </w:tabs>
        <w:numPr>
          <w:ilvl w:val="0"/>
          <w:numId w:val="76"/>
        </w:numPr>
        <w:rPr>
          <w:rFonts w:ascii="Arial" w:cs="Arial" w:eastAsia="Arial" w:hAnsi="Arial"/>
          <w:sz w:val="14"/>
          <w:szCs w:val="14"/>
          <w:u w:val="single" w:color="auto"/>
          <w:color w:val="0000FF"/>
        </w:rPr>
      </w:pPr>
      <w:hyperlink w:anchor="page159">
        <w:r>
          <w:rPr>
            <w:rFonts w:ascii="Arial" w:cs="Arial" w:eastAsia="Arial" w:hAnsi="Arial"/>
            <w:sz w:val="14"/>
            <w:szCs w:val="14"/>
            <w:u w:val="single" w:color="auto"/>
            <w:color w:val="0000FF"/>
          </w:rPr>
          <w:t>Consent of Independent Registered Public Accounting Firm*</w:t>
        </w:r>
      </w:hyperlink>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jc w:val="right"/>
              <w:ind w:right="549"/>
              <w:spacing w:after="0"/>
              <w:rPr>
                <w:sz w:val="20"/>
                <w:szCs w:val="20"/>
                <w:color w:val="auto"/>
              </w:rPr>
            </w:pPr>
            <w:r>
              <w:rPr>
                <w:rFonts w:ascii="Arial" w:cs="Arial" w:eastAsia="Arial" w:hAnsi="Arial"/>
                <w:sz w:val="14"/>
                <w:szCs w:val="14"/>
                <w:color w:val="auto"/>
                <w:w w:val="80"/>
              </w:rPr>
              <w:t>31.1</w:t>
            </w:r>
          </w:p>
        </w:tc>
        <w:tc>
          <w:tcPr>
            <w:tcW w:w="10120" w:type="dxa"/>
            <w:vAlign w:val="bottom"/>
            <w:gridSpan w:val="4"/>
          </w:tcPr>
          <w:p>
            <w:pPr>
              <w:spacing w:after="0"/>
              <w:rPr>
                <w:rFonts w:ascii="Arial" w:cs="Arial" w:eastAsia="Arial" w:hAnsi="Arial"/>
                <w:sz w:val="14"/>
                <w:szCs w:val="14"/>
                <w:color w:val="0000FF"/>
              </w:rPr>
            </w:pPr>
            <w:hyperlink w:anchor="page160">
              <w:r>
                <w:rPr>
                  <w:rFonts w:ascii="Arial" w:cs="Arial" w:eastAsia="Arial" w:hAnsi="Arial"/>
                  <w:sz w:val="14"/>
                  <w:szCs w:val="14"/>
                  <w:color w:val="0000FF"/>
                </w:rPr>
                <w:t>Rule 13a-14(a)/15d-14(a) Certification of the Chief Executive Officer*</w:t>
              </w:r>
            </w:hyperlink>
          </w:p>
        </w:tc>
      </w:tr>
      <w:tr>
        <w:trPr>
          <w:trHeight w:val="203"/>
        </w:trPr>
        <w:tc>
          <w:tcPr>
            <w:tcW w:w="860" w:type="dxa"/>
            <w:vAlign w:val="bottom"/>
          </w:tcPr>
          <w:p>
            <w:pPr>
              <w:jc w:val="right"/>
              <w:ind w:right="549"/>
              <w:spacing w:after="0"/>
              <w:rPr>
                <w:sz w:val="20"/>
                <w:szCs w:val="20"/>
                <w:color w:val="auto"/>
              </w:rPr>
            </w:pPr>
            <w:r>
              <w:rPr>
                <w:rFonts w:ascii="Arial" w:cs="Arial" w:eastAsia="Arial" w:hAnsi="Arial"/>
                <w:sz w:val="14"/>
                <w:szCs w:val="14"/>
                <w:color w:val="auto"/>
                <w:w w:val="80"/>
              </w:rPr>
              <w:t>31.2</w:t>
            </w:r>
          </w:p>
        </w:tc>
        <w:tc>
          <w:tcPr>
            <w:tcW w:w="4020" w:type="dxa"/>
            <w:vAlign w:val="bottom"/>
            <w:tcBorders>
              <w:top w:val="single" w:sz="8" w:color="0000FF"/>
            </w:tcBorders>
            <w:gridSpan w:val="2"/>
          </w:tcPr>
          <w:p>
            <w:pPr>
              <w:spacing w:after="0"/>
              <w:rPr>
                <w:rFonts w:ascii="Arial" w:cs="Arial" w:eastAsia="Arial" w:hAnsi="Arial"/>
                <w:sz w:val="14"/>
                <w:szCs w:val="14"/>
                <w:color w:val="0000FF"/>
                <w:w w:val="94"/>
              </w:rPr>
            </w:pPr>
            <w:hyperlink w:anchor="page161">
              <w:r>
                <w:rPr>
                  <w:rFonts w:ascii="Arial" w:cs="Arial" w:eastAsia="Arial" w:hAnsi="Arial"/>
                  <w:sz w:val="14"/>
                  <w:szCs w:val="14"/>
                  <w:color w:val="0000FF"/>
                  <w:w w:val="94"/>
                </w:rPr>
                <w:t>Rule 13a-14(a)/15d-14(a) Certification of the Chief Financial Officer*</w:t>
              </w:r>
            </w:hyperlink>
          </w:p>
        </w:tc>
        <w:tc>
          <w:tcPr>
            <w:tcW w:w="6100" w:type="dxa"/>
            <w:vAlign w:val="bottom"/>
            <w:gridSpan w:val="2"/>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3"/>
        </w:trPr>
        <w:tc>
          <w:tcPr>
            <w:tcW w:w="860" w:type="dxa"/>
            <w:vAlign w:val="bottom"/>
          </w:tcPr>
          <w:p>
            <w:pPr>
              <w:jc w:val="right"/>
              <w:ind w:right="549"/>
              <w:spacing w:after="0"/>
              <w:rPr>
                <w:sz w:val="20"/>
                <w:szCs w:val="20"/>
                <w:color w:val="auto"/>
              </w:rPr>
            </w:pPr>
            <w:r>
              <w:rPr>
                <w:rFonts w:ascii="Arial" w:cs="Arial" w:eastAsia="Arial" w:hAnsi="Arial"/>
                <w:sz w:val="14"/>
                <w:szCs w:val="14"/>
                <w:color w:val="auto"/>
                <w:w w:val="80"/>
              </w:rPr>
              <w:t>32.1</w:t>
            </w:r>
          </w:p>
        </w:tc>
        <w:tc>
          <w:tcPr>
            <w:tcW w:w="10120" w:type="dxa"/>
            <w:vAlign w:val="bottom"/>
            <w:tcBorders>
              <w:bottom w:val="single" w:sz="8" w:color="0000FF"/>
            </w:tcBorders>
            <w:gridSpan w:val="4"/>
          </w:tcPr>
          <w:p>
            <w:pPr>
              <w:spacing w:after="0"/>
              <w:rPr>
                <w:rFonts w:ascii="Arial" w:cs="Arial" w:eastAsia="Arial" w:hAnsi="Arial"/>
                <w:sz w:val="14"/>
                <w:szCs w:val="14"/>
                <w:color w:val="0000FF"/>
                <w:w w:val="92"/>
              </w:rPr>
            </w:pPr>
            <w:hyperlink w:anchor="page162">
              <w:r>
                <w:rPr>
                  <w:rFonts w:ascii="Arial" w:cs="Arial" w:eastAsia="Arial" w:hAnsi="Arial"/>
                  <w:sz w:val="14"/>
                  <w:szCs w:val="14"/>
                  <w:color w:val="0000FF"/>
                  <w:w w:val="92"/>
                </w:rPr>
                <w:t>Certification of the Chief Executive Officer required by Rule 13a-14(b) or Rule 15d-14(b) and Section 1350 of Chapter 63 of Title 18 of the United States Code (18 U.S.C. 1350)*</w:t>
              </w:r>
            </w:hyperlink>
          </w:p>
        </w:tc>
      </w:tr>
      <w:tr>
        <w:trPr>
          <w:trHeight w:val="203"/>
        </w:trPr>
        <w:tc>
          <w:tcPr>
            <w:tcW w:w="860" w:type="dxa"/>
            <w:vAlign w:val="bottom"/>
          </w:tcPr>
          <w:p>
            <w:pPr>
              <w:jc w:val="right"/>
              <w:ind w:right="549"/>
              <w:spacing w:after="0"/>
              <w:rPr>
                <w:sz w:val="20"/>
                <w:szCs w:val="20"/>
                <w:color w:val="auto"/>
              </w:rPr>
            </w:pPr>
            <w:r>
              <w:rPr>
                <w:rFonts w:ascii="Arial" w:cs="Arial" w:eastAsia="Arial" w:hAnsi="Arial"/>
                <w:sz w:val="14"/>
                <w:szCs w:val="14"/>
                <w:color w:val="auto"/>
                <w:w w:val="80"/>
              </w:rPr>
              <w:t>32.2</w:t>
            </w:r>
          </w:p>
        </w:tc>
        <w:tc>
          <w:tcPr>
            <w:tcW w:w="10120" w:type="dxa"/>
            <w:vAlign w:val="bottom"/>
            <w:gridSpan w:val="4"/>
          </w:tcPr>
          <w:p>
            <w:pPr>
              <w:spacing w:after="0"/>
              <w:rPr>
                <w:rFonts w:ascii="Arial" w:cs="Arial" w:eastAsia="Arial" w:hAnsi="Arial"/>
                <w:sz w:val="14"/>
                <w:szCs w:val="14"/>
                <w:color w:val="0000FF"/>
                <w:w w:val="93"/>
              </w:rPr>
            </w:pPr>
            <w:hyperlink w:anchor="page163">
              <w:r>
                <w:rPr>
                  <w:rFonts w:ascii="Arial" w:cs="Arial" w:eastAsia="Arial" w:hAnsi="Arial"/>
                  <w:sz w:val="14"/>
                  <w:szCs w:val="14"/>
                  <w:color w:val="0000FF"/>
                  <w:w w:val="93"/>
                </w:rPr>
                <w:t>Certification of the Chief Financial Officer required by Rule 13a-14(b) or Rule 15d-14(b) and Section 1350 of Chapter 63 of Title 18 of the United States Code (18 U.S.C. 1350)*</w:t>
              </w:r>
            </w:hyperlink>
          </w:p>
        </w:tc>
      </w:tr>
      <w:tr>
        <w:trPr>
          <w:trHeight w:val="20"/>
        </w:trPr>
        <w:tc>
          <w:tcPr>
            <w:tcW w:w="86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4" w:lineRule="exact"/>
        <w:rPr>
          <w:sz w:val="20"/>
          <w:szCs w:val="20"/>
          <w:color w:val="auto"/>
        </w:rPr>
      </w:pPr>
    </w:p>
    <w:p>
      <w:pPr>
        <w:ind w:left="880" w:hanging="861"/>
        <w:spacing w:after="0" w:line="218" w:lineRule="auto"/>
        <w:tabs>
          <w:tab w:leader="none" w:pos="8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following materials from Booz Allen Hamilton Holding Corporation’s Annual Report on Form 10-K for the fiscal year ended March 31, 2021, formatted in Inline XBRL (eXtensible Business Reporting Language): (i) Consolidated Balance Sheets as of March 31, 2021 and 2020; (ii) Consolidated Statements of Operations for the fiscal years ended March 31, 2021, 2020 and 2019; (iii) Consolidated Statements of Comprehensive Income for the fiscal years ended March 31, 2021, 2020 and 2019; (iv) Consolidated Statements of Cash Flows for the fiscal years ended March 31, 2021, 2020 and 2019; (v) Consolidated Statements of Stockholders' Equity for the fiscal years ended March 31, 2021, 2020 and 2019; and (vi) Notes to Consolidated Financial Statements.</w:t>
      </w:r>
    </w:p>
    <w:p>
      <w:pPr>
        <w:spacing w:after="0" w:line="43" w:lineRule="exact"/>
        <w:rPr>
          <w:sz w:val="20"/>
          <w:szCs w:val="20"/>
          <w:color w:val="auto"/>
        </w:rPr>
      </w:pPr>
    </w:p>
    <w:p>
      <w:pPr>
        <w:ind w:left="880" w:hanging="861"/>
        <w:spacing w:after="0"/>
        <w:tabs>
          <w:tab w:leader="none" w:pos="880" w:val="left"/>
        </w:tabs>
        <w:numPr>
          <w:ilvl w:val="1"/>
          <w:numId w:val="78"/>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7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___________________________________</w:t>
      </w:r>
    </w:p>
    <w:p>
      <w:pPr>
        <w:spacing w:after="0" w:line="5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electronically herewith.</w:t>
      </w:r>
    </w:p>
    <w:p>
      <w:pPr>
        <w:spacing w:after="0" w:line="51"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Management contract or compensatory arrangement.</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Item 16</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2"/>
          <w:szCs w:val="12"/>
          <w:b w:val="1"/>
          <w:bCs w:val="1"/>
          <w:i w:val="1"/>
          <w:iCs w:val="1"/>
          <w:color w:val="auto"/>
        </w:rPr>
        <w:t>Form 10-K Summary.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27" w:right="379" w:bottom="1440" w:gutter="0" w:footer="0" w:header="0"/>
        </w:sectPr>
      </w:pPr>
    </w:p>
    <w:bookmarkStart w:id="127" w:name="page128"/>
    <w:bookmarkEnd w:id="127"/>
    <w:p>
      <w:pPr>
        <w:jc w:val="center"/>
        <w:ind w:right="-299"/>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this 21st day of May, 2021.</w:t>
      </w:r>
    </w:p>
    <w:p>
      <w:pPr>
        <w:spacing w:after="0" w:line="200" w:lineRule="exact"/>
        <w:rPr>
          <w:sz w:val="20"/>
          <w:szCs w:val="20"/>
          <w:color w:val="auto"/>
        </w:rPr>
      </w:pPr>
    </w:p>
    <w:p>
      <w:pPr>
        <w:spacing w:after="0" w:line="303"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BOOZ ALLEN HAMILTON HOLDING CORPORATION</w:t>
      </w:r>
    </w:p>
    <w:p>
      <w:pPr>
        <w:jc w:val="center"/>
        <w:ind w:right="160"/>
        <w:spacing w:after="0"/>
        <w:rPr>
          <w:sz w:val="20"/>
          <w:szCs w:val="20"/>
          <w:color w:val="auto"/>
        </w:rPr>
      </w:pPr>
      <w:r>
        <w:rPr>
          <w:rFonts w:ascii="Arial" w:cs="Arial" w:eastAsia="Arial" w:hAnsi="Arial"/>
          <w:sz w:val="14"/>
          <w:szCs w:val="14"/>
          <w:color w:val="auto"/>
        </w:rPr>
        <w:t>(Registrant)</w:t>
      </w:r>
    </w:p>
    <w:p>
      <w:pPr>
        <w:spacing w:after="0" w:line="220" w:lineRule="exact"/>
        <w:rPr>
          <w:sz w:val="20"/>
          <w:szCs w:val="20"/>
          <w:color w:val="auto"/>
        </w:rPr>
      </w:pPr>
    </w:p>
    <w:tbl>
      <w:tblPr>
        <w:tblLayout w:type="fixed"/>
        <w:tblInd w:w="3580" w:type="dxa"/>
        <w:tblCellMar>
          <w:top w:w="0" w:type="dxa"/>
          <w:left w:w="0" w:type="dxa"/>
          <w:bottom w:w="0" w:type="dxa"/>
          <w:right w:w="0" w:type="dxa"/>
        </w:tblCellMar>
      </w:tblP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By:</w:t>
            </w:r>
          </w:p>
        </w:tc>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Horacio D. Rozanski</w:t>
            </w:r>
          </w:p>
        </w:tc>
      </w:tr>
      <w:tr>
        <w:trPr>
          <w:trHeight w:val="171"/>
        </w:trPr>
        <w:tc>
          <w:tcPr>
            <w:tcW w:w="78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Name: Horacio D. Rozanski</w:t>
            </w:r>
          </w:p>
        </w:tc>
      </w:tr>
      <w:tr>
        <w:trPr>
          <w:trHeight w:val="180"/>
        </w:trPr>
        <w:tc>
          <w:tcPr>
            <w:tcW w:w="780" w:type="dxa"/>
            <w:vAlign w:val="bottom"/>
          </w:tcPr>
          <w:p>
            <w:pPr>
              <w:spacing w:after="0"/>
              <w:rPr>
                <w:sz w:val="15"/>
                <w:szCs w:val="15"/>
                <w:color w:val="auto"/>
              </w:rPr>
            </w:pPr>
          </w:p>
        </w:tc>
        <w:tc>
          <w:tcPr>
            <w:tcW w:w="2900" w:type="dxa"/>
            <w:vAlign w:val="bottom"/>
          </w:tcPr>
          <w:p>
            <w:pPr>
              <w:ind w:left="20"/>
              <w:spacing w:after="0"/>
              <w:rPr>
                <w:sz w:val="20"/>
                <w:szCs w:val="20"/>
                <w:color w:val="auto"/>
              </w:rPr>
            </w:pPr>
            <w:r>
              <w:rPr>
                <w:rFonts w:ascii="Arial" w:cs="Arial" w:eastAsia="Arial" w:hAnsi="Arial"/>
                <w:sz w:val="14"/>
                <w:szCs w:val="14"/>
                <w:color w:val="auto"/>
              </w:rPr>
              <w:t>Title: President and Chief Executive Officer</w:t>
            </w:r>
          </w:p>
        </w:tc>
      </w:tr>
    </w:tbl>
    <w:p>
      <w:pPr>
        <w:spacing w:after="0" w:line="240"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1934, this report has been signed by the following persons in the capacities and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180" w:type="dxa"/>
            <w:vAlign w:val="bottom"/>
          </w:tcPr>
          <w:p>
            <w:pPr>
              <w:ind w:left="1860"/>
              <w:spacing w:after="0"/>
              <w:rPr>
                <w:sz w:val="20"/>
                <w:szCs w:val="20"/>
                <w:color w:val="auto"/>
              </w:rPr>
            </w:pPr>
            <w:r>
              <w:rPr>
                <w:rFonts w:ascii="Arial" w:cs="Arial" w:eastAsia="Arial" w:hAnsi="Arial"/>
                <w:sz w:val="11"/>
                <w:szCs w:val="11"/>
                <w:b w:val="1"/>
                <w:bCs w:val="1"/>
                <w:color w:val="auto"/>
              </w:rPr>
              <w:t>Signature</w:t>
            </w:r>
          </w:p>
        </w:tc>
        <w:tc>
          <w:tcPr>
            <w:tcW w:w="5040" w:type="dxa"/>
            <w:vAlign w:val="bottom"/>
          </w:tcPr>
          <w:p>
            <w:pPr>
              <w:jc w:val="center"/>
              <w:spacing w:after="0"/>
              <w:rPr>
                <w:sz w:val="20"/>
                <w:szCs w:val="20"/>
                <w:color w:val="auto"/>
              </w:rPr>
            </w:pPr>
            <w:r>
              <w:rPr>
                <w:rFonts w:ascii="Arial" w:cs="Arial" w:eastAsia="Arial" w:hAnsi="Arial"/>
                <w:sz w:val="11"/>
                <w:szCs w:val="11"/>
                <w:b w:val="1"/>
                <w:bCs w:val="1"/>
                <w:color w:val="auto"/>
                <w:w w:val="97"/>
              </w:rPr>
              <w:t>Title</w:t>
            </w:r>
          </w:p>
        </w:tc>
        <w:tc>
          <w:tcPr>
            <w:tcW w:w="1380" w:type="dxa"/>
            <w:vAlign w:val="bottom"/>
          </w:tcPr>
          <w:p>
            <w:pPr>
              <w:jc w:val="center"/>
              <w:ind w:left="531"/>
              <w:spacing w:after="0"/>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390"/>
        </w:trPr>
        <w:tc>
          <w:tcPr>
            <w:tcW w:w="4180" w:type="dxa"/>
            <w:vAlign w:val="bottom"/>
          </w:tcPr>
          <w:p>
            <w:pPr>
              <w:ind w:left="20"/>
              <w:spacing w:after="0"/>
              <w:rPr>
                <w:sz w:val="20"/>
                <w:szCs w:val="20"/>
                <w:color w:val="auto"/>
              </w:rPr>
            </w:pPr>
            <w:r>
              <w:rPr>
                <w:rFonts w:ascii="Arial" w:cs="Arial" w:eastAsia="Arial" w:hAnsi="Arial"/>
                <w:sz w:val="14"/>
                <w:szCs w:val="14"/>
                <w:color w:val="auto"/>
              </w:rPr>
              <w:t>/s/ Horacio D. Rozanski</w:t>
            </w:r>
          </w:p>
        </w:tc>
        <w:tc>
          <w:tcPr>
            <w:tcW w:w="5040" w:type="dxa"/>
            <w:vAlign w:val="bottom"/>
          </w:tcPr>
          <w:p>
            <w:pPr>
              <w:jc w:val="center"/>
              <w:spacing w:after="0"/>
              <w:rPr>
                <w:sz w:val="20"/>
                <w:szCs w:val="20"/>
                <w:color w:val="auto"/>
              </w:rPr>
            </w:pPr>
            <w:r>
              <w:rPr>
                <w:rFonts w:ascii="Arial" w:cs="Arial" w:eastAsia="Arial" w:hAnsi="Arial"/>
                <w:sz w:val="14"/>
                <w:szCs w:val="14"/>
                <w:color w:val="auto"/>
                <w:w w:val="93"/>
              </w:rPr>
              <w:t>President, Chief Executive Officer and Director (Principal Executive</w:t>
            </w:r>
          </w:p>
        </w:tc>
        <w:tc>
          <w:tcPr>
            <w:tcW w:w="1380" w:type="dxa"/>
            <w:vAlign w:val="bottom"/>
          </w:tcPr>
          <w:p>
            <w:pPr>
              <w:jc w:val="center"/>
              <w:ind w:left="531"/>
              <w:spacing w:after="0"/>
              <w:rPr>
                <w:sz w:val="20"/>
                <w:szCs w:val="20"/>
                <w:color w:val="auto"/>
              </w:rPr>
            </w:pPr>
            <w:r>
              <w:rPr>
                <w:rFonts w:ascii="Arial" w:cs="Arial" w:eastAsia="Arial" w:hAnsi="Arial"/>
                <w:sz w:val="14"/>
                <w:szCs w:val="14"/>
                <w:color w:val="auto"/>
                <w:w w:val="91"/>
              </w:rPr>
              <w:t>May 21, 2021</w:t>
            </w:r>
          </w:p>
        </w:tc>
        <w:tc>
          <w:tcPr>
            <w:tcW w:w="0" w:type="dxa"/>
            <w:vAlign w:val="bottom"/>
          </w:tcPr>
          <w:p>
            <w:pPr>
              <w:spacing w:after="0"/>
              <w:rPr>
                <w:sz w:val="1"/>
                <w:szCs w:val="1"/>
                <w:color w:val="auto"/>
              </w:rPr>
            </w:pPr>
          </w:p>
        </w:tc>
      </w:tr>
      <w:tr>
        <w:trPr>
          <w:trHeight w:val="42"/>
        </w:trPr>
        <w:tc>
          <w:tcPr>
            <w:tcW w:w="4180" w:type="dxa"/>
            <w:vAlign w:val="bottom"/>
            <w:tcBorders>
              <w:bottom w:val="single" w:sz="8" w:color="auto"/>
            </w:tcBorders>
          </w:tcPr>
          <w:p>
            <w:pPr>
              <w:spacing w:after="0"/>
              <w:rPr>
                <w:sz w:val="3"/>
                <w:szCs w:val="3"/>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color w:val="auto"/>
              </w:rPr>
              <w:t>Officer)</w:t>
            </w: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4180" w:type="dxa"/>
            <w:vAlign w:val="bottom"/>
            <w:vMerge w:val="restart"/>
          </w:tcPr>
          <w:p>
            <w:pPr>
              <w:ind w:left="20"/>
              <w:spacing w:after="0"/>
              <w:rPr>
                <w:sz w:val="20"/>
                <w:szCs w:val="20"/>
                <w:color w:val="auto"/>
              </w:rPr>
            </w:pPr>
            <w:r>
              <w:rPr>
                <w:rFonts w:ascii="Arial" w:cs="Arial" w:eastAsia="Arial" w:hAnsi="Arial"/>
                <w:sz w:val="14"/>
                <w:szCs w:val="14"/>
                <w:color w:val="auto"/>
              </w:rPr>
              <w:t>Horacio D. Rozanski</w:t>
            </w:r>
          </w:p>
        </w:tc>
        <w:tc>
          <w:tcPr>
            <w:tcW w:w="5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180" w:type="dxa"/>
            <w:vAlign w:val="bottom"/>
            <w:vMerge w:val="continue"/>
          </w:tcPr>
          <w:p>
            <w:pPr>
              <w:spacing w:after="0"/>
              <w:rPr>
                <w:sz w:val="6"/>
                <w:szCs w:val="6"/>
                <w:color w:val="auto"/>
              </w:rPr>
            </w:pPr>
          </w:p>
        </w:tc>
        <w:tc>
          <w:tcPr>
            <w:tcW w:w="50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4180" w:type="dxa"/>
            <w:vAlign w:val="bottom"/>
          </w:tcPr>
          <w:p>
            <w:pPr>
              <w:ind w:left="20"/>
              <w:spacing w:after="0"/>
              <w:rPr>
                <w:sz w:val="20"/>
                <w:szCs w:val="20"/>
                <w:color w:val="auto"/>
              </w:rPr>
            </w:pPr>
            <w:r>
              <w:rPr>
                <w:rFonts w:ascii="Arial" w:cs="Arial" w:eastAsia="Arial" w:hAnsi="Arial"/>
                <w:sz w:val="14"/>
                <w:szCs w:val="14"/>
                <w:color w:val="auto"/>
              </w:rPr>
              <w:t>/s/ Lloyd W. Howell, Jr.</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Executive Vice President, Chief Financial Officer and Treasurer</w:t>
            </w:r>
          </w:p>
        </w:tc>
        <w:tc>
          <w:tcPr>
            <w:tcW w:w="1380" w:type="dxa"/>
            <w:vAlign w:val="bottom"/>
            <w:vMerge w:val="restart"/>
          </w:tcPr>
          <w:p>
            <w:pPr>
              <w:jc w:val="center"/>
              <w:ind w:left="531"/>
              <w:spacing w:after="0"/>
              <w:rPr>
                <w:sz w:val="20"/>
                <w:szCs w:val="20"/>
                <w:color w:val="auto"/>
              </w:rPr>
            </w:pPr>
            <w:r>
              <w:rPr>
                <w:rFonts w:ascii="Arial" w:cs="Arial" w:eastAsia="Arial" w:hAnsi="Arial"/>
                <w:sz w:val="14"/>
                <w:szCs w:val="14"/>
                <w:color w:val="auto"/>
                <w:w w:val="91"/>
              </w:rPr>
              <w:t>May 21, 2021</w:t>
            </w:r>
          </w:p>
        </w:tc>
        <w:tc>
          <w:tcPr>
            <w:tcW w:w="0" w:type="dxa"/>
            <w:vAlign w:val="bottom"/>
          </w:tcPr>
          <w:p>
            <w:pPr>
              <w:spacing w:after="0"/>
              <w:rPr>
                <w:sz w:val="1"/>
                <w:szCs w:val="1"/>
                <w:color w:val="auto"/>
              </w:rPr>
            </w:pPr>
          </w:p>
        </w:tc>
      </w:tr>
      <w:tr>
        <w:trPr>
          <w:trHeight w:val="106"/>
        </w:trPr>
        <w:tc>
          <w:tcPr>
            <w:tcW w:w="4180" w:type="dxa"/>
            <w:vAlign w:val="bottom"/>
            <w:tcBorders>
              <w:bottom w:val="single" w:sz="8" w:color="auto"/>
            </w:tcBorders>
          </w:tcPr>
          <w:p>
            <w:pPr>
              <w:spacing w:after="0"/>
              <w:rPr>
                <w:sz w:val="9"/>
                <w:szCs w:val="9"/>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color w:val="auto"/>
                <w:w w:val="96"/>
              </w:rPr>
              <w:t>(Principal Financial Officer)</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180" w:type="dxa"/>
            <w:vAlign w:val="bottom"/>
            <w:vMerge w:val="restart"/>
          </w:tcPr>
          <w:p>
            <w:pPr>
              <w:ind w:left="20"/>
              <w:spacing w:after="0"/>
              <w:rPr>
                <w:sz w:val="20"/>
                <w:szCs w:val="20"/>
                <w:color w:val="auto"/>
              </w:rPr>
            </w:pPr>
            <w:r>
              <w:rPr>
                <w:rFonts w:ascii="Arial" w:cs="Arial" w:eastAsia="Arial" w:hAnsi="Arial"/>
                <w:sz w:val="14"/>
                <w:szCs w:val="14"/>
                <w:color w:val="auto"/>
              </w:rPr>
              <w:t>Lloyd W. Howell, Jr.</w:t>
            </w:r>
          </w:p>
        </w:tc>
        <w:tc>
          <w:tcPr>
            <w:tcW w:w="504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4180" w:type="dxa"/>
            <w:vAlign w:val="bottom"/>
            <w:vMerge w:val="continue"/>
          </w:tcPr>
          <w:p>
            <w:pPr>
              <w:spacing w:after="0"/>
              <w:rPr>
                <w:sz w:val="10"/>
                <w:szCs w:val="10"/>
                <w:color w:val="auto"/>
              </w:rPr>
            </w:pPr>
          </w:p>
        </w:tc>
        <w:tc>
          <w:tcPr>
            <w:tcW w:w="50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4180" w:type="dxa"/>
            <w:vAlign w:val="bottom"/>
          </w:tcPr>
          <w:p>
            <w:pPr>
              <w:ind w:left="20"/>
              <w:spacing w:after="0"/>
              <w:rPr>
                <w:sz w:val="20"/>
                <w:szCs w:val="20"/>
                <w:color w:val="auto"/>
              </w:rPr>
            </w:pPr>
            <w:r>
              <w:rPr>
                <w:rFonts w:ascii="Arial" w:cs="Arial" w:eastAsia="Arial" w:hAnsi="Arial"/>
                <w:sz w:val="14"/>
                <w:szCs w:val="14"/>
                <w:color w:val="auto"/>
              </w:rPr>
              <w:t>/s/ Laura S. Adams</w:t>
            </w:r>
          </w:p>
        </w:tc>
        <w:tc>
          <w:tcPr>
            <w:tcW w:w="5040" w:type="dxa"/>
            <w:vAlign w:val="bottom"/>
          </w:tcPr>
          <w:p>
            <w:pPr>
              <w:jc w:val="center"/>
              <w:spacing w:after="0"/>
              <w:rPr>
                <w:sz w:val="20"/>
                <w:szCs w:val="20"/>
                <w:color w:val="auto"/>
              </w:rPr>
            </w:pPr>
            <w:r>
              <w:rPr>
                <w:rFonts w:ascii="Arial" w:cs="Arial" w:eastAsia="Arial" w:hAnsi="Arial"/>
                <w:sz w:val="14"/>
                <w:szCs w:val="14"/>
                <w:color w:val="auto"/>
                <w:w w:val="93"/>
              </w:rPr>
              <w:t>Vice President and Chief Accounting Officer (Principal Accounting</w:t>
            </w:r>
          </w:p>
        </w:tc>
        <w:tc>
          <w:tcPr>
            <w:tcW w:w="1380" w:type="dxa"/>
            <w:vAlign w:val="bottom"/>
          </w:tcPr>
          <w:p>
            <w:pPr>
              <w:jc w:val="center"/>
              <w:ind w:left="531"/>
              <w:spacing w:after="0"/>
              <w:rPr>
                <w:sz w:val="20"/>
                <w:szCs w:val="20"/>
                <w:color w:val="auto"/>
              </w:rPr>
            </w:pPr>
            <w:r>
              <w:rPr>
                <w:rFonts w:ascii="Arial" w:cs="Arial" w:eastAsia="Arial" w:hAnsi="Arial"/>
                <w:sz w:val="14"/>
                <w:szCs w:val="14"/>
                <w:color w:val="auto"/>
                <w:w w:val="91"/>
              </w:rPr>
              <w:t>May 21, 2021</w:t>
            </w:r>
          </w:p>
        </w:tc>
        <w:tc>
          <w:tcPr>
            <w:tcW w:w="0" w:type="dxa"/>
            <w:vAlign w:val="bottom"/>
          </w:tcPr>
          <w:p>
            <w:pPr>
              <w:spacing w:after="0"/>
              <w:rPr>
                <w:sz w:val="1"/>
                <w:szCs w:val="1"/>
                <w:color w:val="auto"/>
              </w:rPr>
            </w:pPr>
          </w:p>
        </w:tc>
      </w:tr>
      <w:tr>
        <w:trPr>
          <w:trHeight w:val="62"/>
        </w:trPr>
        <w:tc>
          <w:tcPr>
            <w:tcW w:w="4180" w:type="dxa"/>
            <w:vAlign w:val="bottom"/>
            <w:tcBorders>
              <w:bottom w:val="single" w:sz="8" w:color="auto"/>
            </w:tcBorders>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Arial" w:cs="Arial" w:eastAsia="Arial" w:hAnsi="Arial"/>
                <w:sz w:val="14"/>
                <w:szCs w:val="14"/>
                <w:color w:val="auto"/>
              </w:rPr>
              <w:t>Officer)</w:t>
            </w: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4180" w:type="dxa"/>
            <w:vAlign w:val="bottom"/>
            <w:vMerge w:val="restart"/>
          </w:tcPr>
          <w:p>
            <w:pPr>
              <w:ind w:left="20"/>
              <w:spacing w:after="0"/>
              <w:rPr>
                <w:sz w:val="20"/>
                <w:szCs w:val="20"/>
                <w:color w:val="auto"/>
              </w:rPr>
            </w:pPr>
            <w:r>
              <w:rPr>
                <w:rFonts w:ascii="Arial" w:cs="Arial" w:eastAsia="Arial" w:hAnsi="Arial"/>
                <w:sz w:val="14"/>
                <w:szCs w:val="14"/>
                <w:color w:val="auto"/>
              </w:rPr>
              <w:t>Laura S. Adams</w:t>
            </w:r>
          </w:p>
        </w:tc>
        <w:tc>
          <w:tcPr>
            <w:tcW w:w="504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4180" w:type="dxa"/>
            <w:vAlign w:val="bottom"/>
            <w:vMerge w:val="continue"/>
          </w:tcPr>
          <w:p>
            <w:pPr>
              <w:spacing w:after="0"/>
              <w:rPr>
                <w:sz w:val="6"/>
                <w:szCs w:val="6"/>
                <w:color w:val="auto"/>
              </w:rPr>
            </w:pPr>
          </w:p>
        </w:tc>
        <w:tc>
          <w:tcPr>
            <w:tcW w:w="50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1"/>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Ralph W. Shrader</w:t>
            </w:r>
          </w:p>
        </w:tc>
        <w:tc>
          <w:tcPr>
            <w:tcW w:w="5040" w:type="dxa"/>
            <w:vAlign w:val="bottom"/>
          </w:tcPr>
          <w:p>
            <w:pPr>
              <w:jc w:val="center"/>
              <w:spacing w:after="0"/>
              <w:rPr>
                <w:sz w:val="20"/>
                <w:szCs w:val="20"/>
                <w:color w:val="auto"/>
              </w:rPr>
            </w:pPr>
            <w:r>
              <w:rPr>
                <w:rFonts w:ascii="Arial" w:cs="Arial" w:eastAsia="Arial" w:hAnsi="Arial"/>
                <w:sz w:val="14"/>
                <w:szCs w:val="14"/>
                <w:color w:val="auto"/>
                <w:w w:val="92"/>
              </w:rPr>
              <w:t>Chairman of the Board</w:t>
            </w:r>
          </w:p>
        </w:tc>
        <w:tc>
          <w:tcPr>
            <w:tcW w:w="1380" w:type="dxa"/>
            <w:vAlign w:val="bottom"/>
          </w:tcPr>
          <w:p>
            <w:pPr>
              <w:jc w:val="center"/>
              <w:ind w:left="531"/>
              <w:spacing w:after="0"/>
              <w:rPr>
                <w:sz w:val="20"/>
                <w:szCs w:val="20"/>
                <w:color w:val="auto"/>
              </w:rPr>
            </w:pPr>
            <w:r>
              <w:rPr>
                <w:rFonts w:ascii="Arial" w:cs="Arial" w:eastAsia="Arial" w:hAnsi="Arial"/>
                <w:sz w:val="14"/>
                <w:szCs w:val="14"/>
                <w:color w:val="auto"/>
                <w:w w:val="91"/>
              </w:rPr>
              <w:t>May 21, 2021</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Ralph W. Shrader</w:t>
            </w:r>
          </w:p>
        </w:tc>
        <w:tc>
          <w:tcPr>
            <w:tcW w:w="5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Joan Lordi C. Amble</w:t>
            </w:r>
          </w:p>
        </w:tc>
        <w:tc>
          <w:tcPr>
            <w:tcW w:w="5040" w:type="dxa"/>
            <w:vAlign w:val="bottom"/>
          </w:tcPr>
          <w:p>
            <w:pPr>
              <w:jc w:val="center"/>
              <w:spacing w:after="0"/>
              <w:rPr>
                <w:sz w:val="20"/>
                <w:szCs w:val="20"/>
                <w:color w:val="auto"/>
              </w:rPr>
            </w:pPr>
            <w:r>
              <w:rPr>
                <w:rFonts w:ascii="Arial" w:cs="Arial" w:eastAsia="Arial" w:hAnsi="Arial"/>
                <w:sz w:val="14"/>
                <w:szCs w:val="14"/>
                <w:color w:val="auto"/>
                <w:w w:val="93"/>
              </w:rPr>
              <w:t>Director</w:t>
            </w:r>
          </w:p>
        </w:tc>
        <w:tc>
          <w:tcPr>
            <w:tcW w:w="1380" w:type="dxa"/>
            <w:vAlign w:val="bottom"/>
          </w:tcPr>
          <w:p>
            <w:pPr>
              <w:jc w:val="center"/>
              <w:ind w:left="531"/>
              <w:spacing w:after="0"/>
              <w:rPr>
                <w:sz w:val="20"/>
                <w:szCs w:val="20"/>
                <w:color w:val="auto"/>
              </w:rPr>
            </w:pPr>
            <w:r>
              <w:rPr>
                <w:rFonts w:ascii="Arial" w:cs="Arial" w:eastAsia="Arial" w:hAnsi="Arial"/>
                <w:sz w:val="14"/>
                <w:szCs w:val="14"/>
                <w:color w:val="auto"/>
                <w:w w:val="91"/>
              </w:rPr>
              <w:t>May 21, 2021</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Joan Lordi C. Amble</w:t>
            </w:r>
          </w:p>
        </w:tc>
        <w:tc>
          <w:tcPr>
            <w:tcW w:w="5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Melody C. Barnes</w:t>
            </w:r>
          </w:p>
        </w:tc>
        <w:tc>
          <w:tcPr>
            <w:tcW w:w="5040" w:type="dxa"/>
            <w:vAlign w:val="bottom"/>
          </w:tcPr>
          <w:p>
            <w:pPr>
              <w:jc w:val="center"/>
              <w:spacing w:after="0"/>
              <w:rPr>
                <w:sz w:val="20"/>
                <w:szCs w:val="20"/>
                <w:color w:val="auto"/>
              </w:rPr>
            </w:pPr>
            <w:r>
              <w:rPr>
                <w:rFonts w:ascii="Arial" w:cs="Arial" w:eastAsia="Arial" w:hAnsi="Arial"/>
                <w:sz w:val="14"/>
                <w:szCs w:val="14"/>
                <w:color w:val="auto"/>
                <w:w w:val="93"/>
              </w:rPr>
              <w:t>Director</w:t>
            </w:r>
          </w:p>
        </w:tc>
        <w:tc>
          <w:tcPr>
            <w:tcW w:w="1380" w:type="dxa"/>
            <w:vAlign w:val="bottom"/>
          </w:tcPr>
          <w:p>
            <w:pPr>
              <w:jc w:val="center"/>
              <w:ind w:left="531"/>
              <w:spacing w:after="0"/>
              <w:rPr>
                <w:sz w:val="20"/>
                <w:szCs w:val="20"/>
                <w:color w:val="auto"/>
              </w:rPr>
            </w:pPr>
            <w:r>
              <w:rPr>
                <w:rFonts w:ascii="Arial" w:cs="Arial" w:eastAsia="Arial" w:hAnsi="Arial"/>
                <w:sz w:val="14"/>
                <w:szCs w:val="14"/>
                <w:color w:val="auto"/>
                <w:w w:val="91"/>
              </w:rPr>
              <w:t>May 21, 2021</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Melody C. Barnes</w:t>
            </w:r>
          </w:p>
        </w:tc>
        <w:tc>
          <w:tcPr>
            <w:tcW w:w="5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Michèle A. Flournoy</w:t>
            </w:r>
          </w:p>
        </w:tc>
        <w:tc>
          <w:tcPr>
            <w:tcW w:w="5040" w:type="dxa"/>
            <w:vAlign w:val="bottom"/>
          </w:tcPr>
          <w:p>
            <w:pPr>
              <w:jc w:val="center"/>
              <w:spacing w:after="0"/>
              <w:rPr>
                <w:sz w:val="20"/>
                <w:szCs w:val="20"/>
                <w:color w:val="auto"/>
              </w:rPr>
            </w:pPr>
            <w:r>
              <w:rPr>
                <w:rFonts w:ascii="Arial" w:cs="Arial" w:eastAsia="Arial" w:hAnsi="Arial"/>
                <w:sz w:val="14"/>
                <w:szCs w:val="14"/>
                <w:color w:val="auto"/>
                <w:w w:val="93"/>
              </w:rPr>
              <w:t>Director</w:t>
            </w:r>
          </w:p>
        </w:tc>
        <w:tc>
          <w:tcPr>
            <w:tcW w:w="1380" w:type="dxa"/>
            <w:vAlign w:val="bottom"/>
          </w:tcPr>
          <w:p>
            <w:pPr>
              <w:jc w:val="center"/>
              <w:ind w:left="531"/>
              <w:spacing w:after="0"/>
              <w:rPr>
                <w:sz w:val="20"/>
                <w:szCs w:val="20"/>
                <w:color w:val="auto"/>
              </w:rPr>
            </w:pPr>
            <w:r>
              <w:rPr>
                <w:rFonts w:ascii="Arial" w:cs="Arial" w:eastAsia="Arial" w:hAnsi="Arial"/>
                <w:sz w:val="14"/>
                <w:szCs w:val="14"/>
                <w:color w:val="auto"/>
                <w:w w:val="91"/>
              </w:rPr>
              <w:t>May 21, 2021</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Michèle A. Flournoy</w:t>
            </w:r>
          </w:p>
        </w:tc>
        <w:tc>
          <w:tcPr>
            <w:tcW w:w="5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Ian Fujiyama</w:t>
            </w:r>
          </w:p>
        </w:tc>
        <w:tc>
          <w:tcPr>
            <w:tcW w:w="5040" w:type="dxa"/>
            <w:vAlign w:val="bottom"/>
          </w:tcPr>
          <w:p>
            <w:pPr>
              <w:jc w:val="center"/>
              <w:spacing w:after="0"/>
              <w:rPr>
                <w:sz w:val="20"/>
                <w:szCs w:val="20"/>
                <w:color w:val="auto"/>
              </w:rPr>
            </w:pPr>
            <w:r>
              <w:rPr>
                <w:rFonts w:ascii="Arial" w:cs="Arial" w:eastAsia="Arial" w:hAnsi="Arial"/>
                <w:sz w:val="14"/>
                <w:szCs w:val="14"/>
                <w:color w:val="auto"/>
                <w:w w:val="93"/>
              </w:rPr>
              <w:t>Director</w:t>
            </w:r>
          </w:p>
        </w:tc>
        <w:tc>
          <w:tcPr>
            <w:tcW w:w="1380" w:type="dxa"/>
            <w:vAlign w:val="bottom"/>
          </w:tcPr>
          <w:p>
            <w:pPr>
              <w:jc w:val="center"/>
              <w:ind w:left="531"/>
              <w:spacing w:after="0"/>
              <w:rPr>
                <w:sz w:val="20"/>
                <w:szCs w:val="20"/>
                <w:color w:val="auto"/>
              </w:rPr>
            </w:pPr>
            <w:r>
              <w:rPr>
                <w:rFonts w:ascii="Arial" w:cs="Arial" w:eastAsia="Arial" w:hAnsi="Arial"/>
                <w:sz w:val="14"/>
                <w:szCs w:val="14"/>
                <w:color w:val="auto"/>
                <w:w w:val="91"/>
              </w:rPr>
              <w:t>May 21, 2021</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Ian Fujiyama</w:t>
            </w:r>
          </w:p>
        </w:tc>
        <w:tc>
          <w:tcPr>
            <w:tcW w:w="5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Mark E. Gaumond</w:t>
            </w:r>
          </w:p>
        </w:tc>
        <w:tc>
          <w:tcPr>
            <w:tcW w:w="5040" w:type="dxa"/>
            <w:vAlign w:val="bottom"/>
          </w:tcPr>
          <w:p>
            <w:pPr>
              <w:jc w:val="center"/>
              <w:spacing w:after="0"/>
              <w:rPr>
                <w:sz w:val="20"/>
                <w:szCs w:val="20"/>
                <w:color w:val="auto"/>
              </w:rPr>
            </w:pPr>
            <w:r>
              <w:rPr>
                <w:rFonts w:ascii="Arial" w:cs="Arial" w:eastAsia="Arial" w:hAnsi="Arial"/>
                <w:sz w:val="14"/>
                <w:szCs w:val="14"/>
                <w:color w:val="auto"/>
                <w:w w:val="93"/>
              </w:rPr>
              <w:t>Director</w:t>
            </w:r>
          </w:p>
        </w:tc>
        <w:tc>
          <w:tcPr>
            <w:tcW w:w="1380" w:type="dxa"/>
            <w:vAlign w:val="bottom"/>
          </w:tcPr>
          <w:p>
            <w:pPr>
              <w:jc w:val="center"/>
              <w:ind w:left="531"/>
              <w:spacing w:after="0"/>
              <w:rPr>
                <w:sz w:val="20"/>
                <w:szCs w:val="20"/>
                <w:color w:val="auto"/>
              </w:rPr>
            </w:pPr>
            <w:r>
              <w:rPr>
                <w:rFonts w:ascii="Arial" w:cs="Arial" w:eastAsia="Arial" w:hAnsi="Arial"/>
                <w:sz w:val="14"/>
                <w:szCs w:val="14"/>
                <w:color w:val="auto"/>
                <w:w w:val="91"/>
              </w:rPr>
              <w:t>May 21, 2021</w:t>
            </w:r>
          </w:p>
        </w:tc>
        <w:tc>
          <w:tcPr>
            <w:tcW w:w="0" w:type="dxa"/>
            <w:vAlign w:val="bottom"/>
          </w:tcPr>
          <w:p>
            <w:pPr>
              <w:spacing w:after="0"/>
              <w:rPr>
                <w:sz w:val="1"/>
                <w:szCs w:val="1"/>
                <w:color w:val="auto"/>
              </w:rPr>
            </w:pP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Mark E. Gaumond</w:t>
            </w:r>
          </w:p>
        </w:tc>
        <w:tc>
          <w:tcPr>
            <w:tcW w:w="5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729" w:right="6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8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Ellen Jewett</w:t>
            </w:r>
          </w:p>
        </w:tc>
        <w:tc>
          <w:tcPr>
            <w:tcW w:w="4200" w:type="dxa"/>
            <w:vAlign w:val="bottom"/>
          </w:tcPr>
          <w:p>
            <w:pPr>
              <w:ind w:left="2280"/>
              <w:spacing w:after="0"/>
              <w:rPr>
                <w:sz w:val="20"/>
                <w:szCs w:val="20"/>
                <w:color w:val="auto"/>
              </w:rPr>
            </w:pPr>
            <w:r>
              <w:rPr>
                <w:rFonts w:ascii="Arial" w:cs="Arial" w:eastAsia="Arial" w:hAnsi="Arial"/>
                <w:sz w:val="14"/>
                <w:szCs w:val="14"/>
                <w:color w:val="auto"/>
              </w:rPr>
              <w:t>Director</w:t>
            </w:r>
          </w:p>
        </w:tc>
        <w:tc>
          <w:tcPr>
            <w:tcW w:w="2220" w:type="dxa"/>
            <w:vAlign w:val="bottom"/>
          </w:tcPr>
          <w:p>
            <w:pPr>
              <w:ind w:left="1440"/>
              <w:spacing w:after="0"/>
              <w:rPr>
                <w:sz w:val="20"/>
                <w:szCs w:val="20"/>
                <w:color w:val="auto"/>
              </w:rPr>
            </w:pPr>
            <w:r>
              <w:rPr>
                <w:rFonts w:ascii="Arial" w:cs="Arial" w:eastAsia="Arial" w:hAnsi="Arial"/>
                <w:sz w:val="14"/>
                <w:szCs w:val="14"/>
                <w:color w:val="auto"/>
                <w:w w:val="89"/>
              </w:rPr>
              <w:t>May 21, 2021</w:t>
            </w: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Ellen Jewett</w:t>
            </w: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Arthur E. Johnson</w:t>
            </w:r>
          </w:p>
        </w:tc>
        <w:tc>
          <w:tcPr>
            <w:tcW w:w="4200" w:type="dxa"/>
            <w:vAlign w:val="bottom"/>
          </w:tcPr>
          <w:p>
            <w:pPr>
              <w:ind w:left="2280"/>
              <w:spacing w:after="0"/>
              <w:rPr>
                <w:sz w:val="20"/>
                <w:szCs w:val="20"/>
                <w:color w:val="auto"/>
              </w:rPr>
            </w:pPr>
            <w:r>
              <w:rPr>
                <w:rFonts w:ascii="Arial" w:cs="Arial" w:eastAsia="Arial" w:hAnsi="Arial"/>
                <w:sz w:val="14"/>
                <w:szCs w:val="14"/>
                <w:color w:val="auto"/>
              </w:rPr>
              <w:t>Director</w:t>
            </w:r>
          </w:p>
        </w:tc>
        <w:tc>
          <w:tcPr>
            <w:tcW w:w="2220" w:type="dxa"/>
            <w:vAlign w:val="bottom"/>
          </w:tcPr>
          <w:p>
            <w:pPr>
              <w:ind w:left="1440"/>
              <w:spacing w:after="0"/>
              <w:rPr>
                <w:sz w:val="20"/>
                <w:szCs w:val="20"/>
                <w:color w:val="auto"/>
              </w:rPr>
            </w:pPr>
            <w:r>
              <w:rPr>
                <w:rFonts w:ascii="Arial" w:cs="Arial" w:eastAsia="Arial" w:hAnsi="Arial"/>
                <w:sz w:val="14"/>
                <w:szCs w:val="14"/>
                <w:color w:val="auto"/>
                <w:w w:val="89"/>
              </w:rPr>
              <w:t>May 21, 2021</w:t>
            </w: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Arthur E. Johnson</w:t>
            </w: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Gretchen W. McClain</w:t>
            </w:r>
          </w:p>
        </w:tc>
        <w:tc>
          <w:tcPr>
            <w:tcW w:w="4200" w:type="dxa"/>
            <w:vAlign w:val="bottom"/>
          </w:tcPr>
          <w:p>
            <w:pPr>
              <w:ind w:left="2280"/>
              <w:spacing w:after="0"/>
              <w:rPr>
                <w:sz w:val="20"/>
                <w:szCs w:val="20"/>
                <w:color w:val="auto"/>
              </w:rPr>
            </w:pPr>
            <w:r>
              <w:rPr>
                <w:rFonts w:ascii="Arial" w:cs="Arial" w:eastAsia="Arial" w:hAnsi="Arial"/>
                <w:sz w:val="14"/>
                <w:szCs w:val="14"/>
                <w:color w:val="auto"/>
              </w:rPr>
              <w:t>Director</w:t>
            </w:r>
          </w:p>
        </w:tc>
        <w:tc>
          <w:tcPr>
            <w:tcW w:w="2220" w:type="dxa"/>
            <w:vAlign w:val="bottom"/>
          </w:tcPr>
          <w:p>
            <w:pPr>
              <w:ind w:left="1440"/>
              <w:spacing w:after="0"/>
              <w:rPr>
                <w:sz w:val="20"/>
                <w:szCs w:val="20"/>
                <w:color w:val="auto"/>
              </w:rPr>
            </w:pPr>
            <w:r>
              <w:rPr>
                <w:rFonts w:ascii="Arial" w:cs="Arial" w:eastAsia="Arial" w:hAnsi="Arial"/>
                <w:sz w:val="14"/>
                <w:szCs w:val="14"/>
                <w:color w:val="auto"/>
                <w:w w:val="89"/>
              </w:rPr>
              <w:t>May 21, 2021</w:t>
            </w: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Gretchen W. McClain</w:t>
            </w: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0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Charles O. Rossotti</w:t>
            </w:r>
          </w:p>
        </w:tc>
        <w:tc>
          <w:tcPr>
            <w:tcW w:w="4200" w:type="dxa"/>
            <w:vAlign w:val="bottom"/>
          </w:tcPr>
          <w:p>
            <w:pPr>
              <w:ind w:left="2280"/>
              <w:spacing w:after="0"/>
              <w:rPr>
                <w:sz w:val="20"/>
                <w:szCs w:val="20"/>
                <w:color w:val="auto"/>
              </w:rPr>
            </w:pPr>
            <w:r>
              <w:rPr>
                <w:rFonts w:ascii="Arial" w:cs="Arial" w:eastAsia="Arial" w:hAnsi="Arial"/>
                <w:sz w:val="14"/>
                <w:szCs w:val="14"/>
                <w:color w:val="auto"/>
              </w:rPr>
              <w:t>Director</w:t>
            </w:r>
          </w:p>
        </w:tc>
        <w:tc>
          <w:tcPr>
            <w:tcW w:w="2220" w:type="dxa"/>
            <w:vAlign w:val="bottom"/>
          </w:tcPr>
          <w:p>
            <w:pPr>
              <w:ind w:left="1440"/>
              <w:spacing w:after="0"/>
              <w:rPr>
                <w:sz w:val="20"/>
                <w:szCs w:val="20"/>
                <w:color w:val="auto"/>
              </w:rPr>
            </w:pPr>
            <w:r>
              <w:rPr>
                <w:rFonts w:ascii="Arial" w:cs="Arial" w:eastAsia="Arial" w:hAnsi="Arial"/>
                <w:sz w:val="14"/>
                <w:szCs w:val="14"/>
                <w:color w:val="auto"/>
                <w:w w:val="89"/>
              </w:rPr>
              <w:t>May 21, 2021</w:t>
            </w:r>
          </w:p>
        </w:tc>
      </w:tr>
      <w:tr>
        <w:trPr>
          <w:trHeight w:val="171"/>
        </w:trPr>
        <w:tc>
          <w:tcPr>
            <w:tcW w:w="4180" w:type="dxa"/>
            <w:vAlign w:val="bottom"/>
          </w:tcPr>
          <w:p>
            <w:pPr>
              <w:ind w:left="20"/>
              <w:spacing w:after="0"/>
              <w:rPr>
                <w:sz w:val="20"/>
                <w:szCs w:val="20"/>
                <w:color w:val="auto"/>
              </w:rPr>
            </w:pPr>
            <w:r>
              <w:rPr>
                <w:rFonts w:ascii="Arial" w:cs="Arial" w:eastAsia="Arial" w:hAnsi="Arial"/>
                <w:sz w:val="14"/>
                <w:szCs w:val="14"/>
                <w:color w:val="auto"/>
              </w:rPr>
              <w:t>Charles O. Rossotti</w:t>
            </w: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859"/>
        </w:trPr>
        <w:tc>
          <w:tcPr>
            <w:tcW w:w="4180" w:type="dxa"/>
            <w:vAlign w:val="bottom"/>
          </w:tcPr>
          <w:p>
            <w:pPr>
              <w:spacing w:after="0"/>
              <w:rPr>
                <w:sz w:val="24"/>
                <w:szCs w:val="24"/>
                <w:color w:val="auto"/>
              </w:rPr>
            </w:pPr>
          </w:p>
        </w:tc>
        <w:tc>
          <w:tcPr>
            <w:tcW w:w="4200" w:type="dxa"/>
            <w:vAlign w:val="bottom"/>
          </w:tcPr>
          <w:p>
            <w:pPr>
              <w:ind w:left="1400"/>
              <w:spacing w:after="0"/>
              <w:rPr>
                <w:sz w:val="20"/>
                <w:szCs w:val="20"/>
                <w:color w:val="auto"/>
              </w:rPr>
            </w:pPr>
            <w:r>
              <w:rPr>
                <w:rFonts w:ascii="Arial" w:cs="Arial" w:eastAsia="Arial" w:hAnsi="Arial"/>
                <w:sz w:val="14"/>
                <w:szCs w:val="14"/>
                <w:color w:val="auto"/>
              </w:rPr>
              <w:t>80</w:t>
            </w:r>
          </w:p>
        </w:tc>
        <w:tc>
          <w:tcPr>
            <w:tcW w:w="2220" w:type="dxa"/>
            <w:vAlign w:val="bottom"/>
          </w:tcPr>
          <w:p>
            <w:pPr>
              <w:spacing w:after="0"/>
              <w:rPr>
                <w:sz w:val="24"/>
                <w:szCs w:val="24"/>
                <w:color w:val="auto"/>
              </w:rPr>
            </w:pPr>
          </w:p>
        </w:tc>
      </w:tr>
    </w:tbl>
    <w:p>
      <w:pPr>
        <w:sectPr>
          <w:pgSz w:w="11900" w:h="16838" w:orient="portrait"/>
          <w:cols w:equalWidth="0" w:num="1">
            <w:col w:w="10600"/>
          </w:cols>
          <w:pgMar w:left="300" w:top="1179" w:right="9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t>Exhibit 4.5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following descriptions of our capital stock and provisions of our fifth amended and restated certificate of incorporation, which we refer to as our amended and restated certificate of incorporation, and fifth amended and restated bylaws, which we refer to as our amended and restated bylaws, are summaries of their material terms and provisions. For a complete description of our capital stock, amended and restated certificate of incorporation and amended and restated bylaws, please refer to our amended and restated certificate of incorporation, amended and restated bylaws and the applicable provisions of the General Corporation Law of the State of Delaware (the “DGCL”).</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All references to “Company”, “we”, “us”, and “our” refer to Booz Allen Hamilton Holding Corporation.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83"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Our amended and restated certificate of incorporation authorizes the issuance of 600,000,000 shares of Class A common stock, par value $0.01 per share. The rights and privileges of holders of our Class A common stock are subject to any series of preferred stock that we may issue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registered on the New York Stock Exchange under the symbol “BAH”.</w:t>
      </w:r>
    </w:p>
    <w:p>
      <w:pPr>
        <w:spacing w:after="0" w:line="179"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b w:val="1"/>
          <w:bCs w:val="1"/>
          <w:i w:val="1"/>
          <w:iCs w:val="1"/>
          <w:color w:val="auto"/>
        </w:rPr>
        <w:t>Voting Rights</w:t>
      </w:r>
      <w:r>
        <w:rPr>
          <w:rFonts w:ascii="Arial" w:cs="Arial" w:eastAsia="Arial" w:hAnsi="Arial"/>
          <w:sz w:val="14"/>
          <w:szCs w:val="14"/>
          <w:color w:val="auto"/>
        </w:rPr>
        <w:t>. Holders of Class A common stock are entitled to one vote for each share on all matters to be voted on by stockholders. Except as otherwise provided by the DGCL, the entire voting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power of the shares of the Company for the election of directors and for all other purposes is vested exclusively in the Class A common stock.</w:t>
      </w:r>
    </w:p>
    <w:p>
      <w:pPr>
        <w:spacing w:after="0" w:line="13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b w:val="1"/>
          <w:bCs w:val="1"/>
          <w:i w:val="1"/>
          <w:iCs w:val="1"/>
          <w:color w:val="auto"/>
        </w:rPr>
        <w:t>Election of Directors</w:t>
      </w:r>
      <w:r>
        <w:rPr>
          <w:rFonts w:ascii="Arial" w:cs="Arial" w:eastAsia="Arial" w:hAnsi="Arial"/>
          <w:sz w:val="14"/>
          <w:szCs w:val="14"/>
          <w:color w:val="auto"/>
        </w:rPr>
        <w:t>. Directors are elected by the vote of the majority of the votes cast (as defined in Section 2.02 of the amended and restated bylaws) with respect to such director’s election; unless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director has been duly nominated by a stockholder in accordance with the amended and restated bylaws. Where a director has been duly nominated by a stockholder in accordance with the amended and restated bylaws, such directors shall be elected by the vote of a plurality of votes cast in connection with the election of directors at any meeting of stockholders. Any nominee who is an incumbent director and does not receive a majority of the votes cast in an election where the director was not duly nominated by a stockholder in accordance with the amended and restated bylaws must promptly tender his or her resignation contingent on the acceptance of that resignation by the Board of Directors (the “Board”) pursuant to the procedure established in the amended and restated bylaws.</w:t>
      </w:r>
    </w:p>
    <w:p>
      <w:pPr>
        <w:spacing w:after="0" w:line="150"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b w:val="1"/>
          <w:bCs w:val="1"/>
          <w:i w:val="1"/>
          <w:iCs w:val="1"/>
          <w:color w:val="auto"/>
        </w:rPr>
        <w:t>Dividend Rights</w:t>
      </w:r>
      <w:r>
        <w:rPr>
          <w:rFonts w:ascii="Arial" w:cs="Arial" w:eastAsia="Arial" w:hAnsi="Arial"/>
          <w:sz w:val="14"/>
          <w:szCs w:val="14"/>
          <w:color w:val="auto"/>
        </w:rPr>
        <w:t>. Each share of Class A common stock is entitled to participate equally, when and if declared by the Board from time to time, in such dividends and other distributions in cash,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property from the Company’s assets or funds as may become legally available for such purposes subject to any dividend preferences that may be attributable to preferred stock that may be authorized and outstanding.</w:t>
      </w:r>
    </w:p>
    <w:p>
      <w:pPr>
        <w:spacing w:after="0" w:line="142" w:lineRule="exact"/>
        <w:rPr>
          <w:sz w:val="20"/>
          <w:szCs w:val="20"/>
          <w:color w:val="auto"/>
        </w:rPr>
      </w:pPr>
    </w:p>
    <w:p>
      <w:pPr>
        <w:jc w:val="both"/>
        <w:ind w:right="300"/>
        <w:spacing w:after="0" w:line="267" w:lineRule="auto"/>
        <w:rPr>
          <w:sz w:val="20"/>
          <w:szCs w:val="20"/>
          <w:color w:val="auto"/>
        </w:rPr>
      </w:pPr>
      <w:r>
        <w:rPr>
          <w:rFonts w:ascii="Arial" w:cs="Arial" w:eastAsia="Arial" w:hAnsi="Arial"/>
          <w:sz w:val="14"/>
          <w:szCs w:val="14"/>
          <w:b w:val="1"/>
          <w:bCs w:val="1"/>
          <w:i w:val="1"/>
          <w:iCs w:val="1"/>
          <w:color w:val="auto"/>
        </w:rPr>
        <w:t>Right to Receive Liquidation Distributions</w:t>
      </w:r>
      <w:r>
        <w:rPr>
          <w:rFonts w:ascii="Arial" w:cs="Arial" w:eastAsia="Arial" w:hAnsi="Arial"/>
          <w:sz w:val="14"/>
          <w:szCs w:val="14"/>
          <w:color w:val="auto"/>
        </w:rPr>
        <w:t>. In the event of our liquidation, dissolution or winding up, holders of our Class A common stock will be entitled to receive proportionately any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assets remaining after the payment of liabilities and subject to the prior rights of any outstanding preferred stock. Because we are a holding company, our ability to pay dividends is subject to our subsidiaries’ ability to pay dividends to us, which is in turn subject to the restrictions set forth in our debt agreements.</w:t>
      </w:r>
    </w:p>
    <w:p>
      <w:pPr>
        <w:spacing w:after="0" w:line="142"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Other Rights</w:t>
      </w:r>
      <w:r>
        <w:rPr>
          <w:rFonts w:ascii="Arial" w:cs="Arial" w:eastAsia="Arial" w:hAnsi="Arial"/>
          <w:sz w:val="14"/>
          <w:szCs w:val="14"/>
          <w:color w:val="auto"/>
        </w:rPr>
        <w:t>. Holders of Class A common stock have no preemptive, subscription, redemption, sinking fund, or conversion rights. All outstanding shares of Class A common stock are fully paid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non-assessable.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83"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Our amended and restated certificate of incorporation authorizes the issuance of 54,000,000 shares of preferred stock, par value $0.01 per share, the terms and conditions of which are determined by the Board upon issuance. The</w:t>
      </w:r>
    </w:p>
    <w:p>
      <w:pPr>
        <w:sectPr>
          <w:pgSz w:w="11900" w:h="16838" w:orient="portrait"/>
          <w:cols w:equalWidth="0" w:num="1">
            <w:col w:w="11280"/>
          </w:cols>
          <w:pgMar w:left="300" w:top="1313" w:right="319" w:bottom="1440" w:gutter="0" w:footer="0" w:header="0"/>
        </w:sectPr>
      </w:pPr>
    </w:p>
    <w:bookmarkStart w:id="130" w:name="page131"/>
    <w:bookmarkEnd w:id="130"/>
    <w:p>
      <w:pPr>
        <w:spacing w:after="0" w:line="281" w:lineRule="auto"/>
        <w:rPr>
          <w:sz w:val="20"/>
          <w:szCs w:val="20"/>
          <w:color w:val="auto"/>
        </w:rPr>
      </w:pPr>
      <w:r>
        <w:rPr>
          <w:rFonts w:ascii="Arial" w:cs="Arial" w:eastAsia="Arial" w:hAnsi="Arial"/>
          <w:sz w:val="14"/>
          <w:szCs w:val="14"/>
          <w:color w:val="auto"/>
        </w:rPr>
        <w:t>rights, preferences and privileges of holders of common stock are subject to, and may be adversely affected by, the rights of holders of any shares of preferred stock that we may designate and issue in the future. As of May 17, 2021, there were no shares of preferred stock outstanding. We have no present plans to issue any shares of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of Control Related Provisions of Our Amended and Restated Certificate of Incorporation, Amended and Restated Bylaws and Delaware Law</w:t>
      </w:r>
    </w:p>
    <w:p>
      <w:pPr>
        <w:spacing w:after="0" w:line="183" w:lineRule="exact"/>
        <w:rPr>
          <w:sz w:val="20"/>
          <w:szCs w:val="20"/>
          <w:color w:val="auto"/>
        </w:rPr>
      </w:pPr>
    </w:p>
    <w:p>
      <w:pPr>
        <w:ind w:right="120"/>
        <w:spacing w:after="0" w:line="288" w:lineRule="auto"/>
        <w:rPr>
          <w:sz w:val="20"/>
          <w:szCs w:val="20"/>
          <w:color w:val="auto"/>
        </w:rPr>
      </w:pPr>
      <w:r>
        <w:rPr>
          <w:rFonts w:ascii="Arial" w:cs="Arial" w:eastAsia="Arial" w:hAnsi="Arial"/>
          <w:sz w:val="13"/>
          <w:szCs w:val="13"/>
          <w:color w:val="auto"/>
        </w:rPr>
        <w:t>Provisions in our amended and restated certificate of incorporation and amended and restated bylaws, and in the DGCL, may make it difficult, expensive, and time-consuming for a third party to pursue a takeover attempt even if a change in control of the Company would be beneficial to the interests of our stockholders. 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These provisions are intended to:</w:t>
      </w:r>
    </w:p>
    <w:p>
      <w:pPr>
        <w:spacing w:after="0" w:line="163" w:lineRule="exact"/>
        <w:rPr>
          <w:sz w:val="20"/>
          <w:szCs w:val="20"/>
          <w:color w:val="auto"/>
        </w:rPr>
      </w:pPr>
    </w:p>
    <w:p>
      <w:pPr>
        <w:ind w:left="660" w:hanging="312"/>
        <w:spacing w:after="0"/>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enhance the likelihood of continuity and stability in the composition of our Board;</w:t>
      </w:r>
    </w:p>
    <w:p>
      <w:pPr>
        <w:spacing w:after="0" w:line="19" w:lineRule="exact"/>
        <w:rPr>
          <w:rFonts w:ascii="Arial" w:cs="Arial" w:eastAsia="Arial" w:hAnsi="Arial"/>
          <w:sz w:val="14"/>
          <w:szCs w:val="14"/>
          <w:color w:val="auto"/>
        </w:rPr>
      </w:pPr>
    </w:p>
    <w:p>
      <w:pPr>
        <w:ind w:left="660" w:hanging="312"/>
        <w:spacing w:after="0"/>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discourage some types of transactions that may involve an actual or threatened change in control of the Company;</w:t>
      </w:r>
    </w:p>
    <w:p>
      <w:pPr>
        <w:spacing w:after="0" w:line="19" w:lineRule="exact"/>
        <w:rPr>
          <w:rFonts w:ascii="Arial" w:cs="Arial" w:eastAsia="Arial" w:hAnsi="Arial"/>
          <w:sz w:val="14"/>
          <w:szCs w:val="14"/>
          <w:color w:val="auto"/>
        </w:rPr>
      </w:pPr>
    </w:p>
    <w:p>
      <w:pPr>
        <w:ind w:left="660" w:hanging="312"/>
        <w:spacing w:after="0"/>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discourage certain tactics that may be used in proxy fights;</w:t>
      </w:r>
    </w:p>
    <w:p>
      <w:pPr>
        <w:spacing w:after="0" w:line="19" w:lineRule="exact"/>
        <w:rPr>
          <w:rFonts w:ascii="Arial" w:cs="Arial" w:eastAsia="Arial" w:hAnsi="Arial"/>
          <w:sz w:val="14"/>
          <w:szCs w:val="14"/>
          <w:color w:val="auto"/>
        </w:rPr>
      </w:pPr>
    </w:p>
    <w:p>
      <w:pPr>
        <w:ind w:left="660" w:hanging="312"/>
        <w:spacing w:after="0"/>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ensure that our Board will have sufficient time to act in what our Board believes to be the best interests of us and our stockholders; and</w:t>
      </w:r>
    </w:p>
    <w:p>
      <w:pPr>
        <w:spacing w:after="0" w:line="19" w:lineRule="exact"/>
        <w:rPr>
          <w:rFonts w:ascii="Arial" w:cs="Arial" w:eastAsia="Arial" w:hAnsi="Arial"/>
          <w:sz w:val="14"/>
          <w:szCs w:val="14"/>
          <w:color w:val="auto"/>
        </w:rPr>
      </w:pPr>
    </w:p>
    <w:p>
      <w:pPr>
        <w:ind w:left="660" w:hanging="312"/>
        <w:spacing w:after="0"/>
        <w:tabs>
          <w:tab w:leader="none" w:pos="660" w:val="left"/>
        </w:tabs>
        <w:numPr>
          <w:ilvl w:val="0"/>
          <w:numId w:val="79"/>
        </w:numPr>
        <w:rPr>
          <w:rFonts w:ascii="Arial" w:cs="Arial" w:eastAsia="Arial" w:hAnsi="Arial"/>
          <w:sz w:val="14"/>
          <w:szCs w:val="14"/>
          <w:color w:val="auto"/>
        </w:rPr>
      </w:pPr>
      <w:r>
        <w:rPr>
          <w:rFonts w:ascii="Arial" w:cs="Arial" w:eastAsia="Arial" w:hAnsi="Arial"/>
          <w:sz w:val="14"/>
          <w:szCs w:val="14"/>
          <w:color w:val="auto"/>
        </w:rPr>
        <w:t>encourage persons seeking to acquire control of our company to first consult with our Board to negotiate the terms of any proposed business combination or offer.</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Unissued Shares of Capital Stock</w:t>
      </w:r>
    </w:p>
    <w:p>
      <w:pPr>
        <w:spacing w:after="0" w:line="179"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As of May 17, 2021, 135,407,562 shares of our Class A common stock were issued and outstanding. The remaining shares of authorized and unissued Class A common stock are available for future issuance without additional stockholder approval, subject to the requirements of applicable law or regulation, including any listing requirement of the principal stock exchange on which our Class A common stock is then listed. While the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spacing w:after="0" w:line="146"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In addition, our amended and restated certificate of incorporation provides our Board with the authority, without any further vote or action by our stockholders, to designate and issue one or more series of preferred stock at their sole discretion and to fix the number of shares and the preferences, limitations and relative rights of the shares constituting any series. This provision makes it possible for our Board to issue preferred stock with super voting, special approval, dividend or other rights or preferences which could impede any attempt to acquire us. These and other provisions may have the effect of deferring, delaying or discouraging hostile takeovers or changes in control or management of our company, discouraging bids for the Class A common stock at a premium over the market price of the common stock and may adversely affect the market price of, and the voting and other rights of the holder of,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Vacancies and Removal of Directors</w:t>
      </w:r>
    </w:p>
    <w:p>
      <w:pPr>
        <w:spacing w:after="0" w:line="179" w:lineRule="exact"/>
        <w:rPr>
          <w:sz w:val="20"/>
          <w:szCs w:val="20"/>
          <w:color w:val="auto"/>
        </w:rPr>
      </w:pPr>
    </w:p>
    <w:p>
      <w:pPr>
        <w:ind w:right="100"/>
        <w:spacing w:after="0" w:line="297" w:lineRule="auto"/>
        <w:rPr>
          <w:sz w:val="20"/>
          <w:szCs w:val="20"/>
          <w:color w:val="auto"/>
        </w:rPr>
      </w:pPr>
      <w:r>
        <w:rPr>
          <w:rFonts w:ascii="Arial" w:cs="Arial" w:eastAsia="Arial" w:hAnsi="Arial"/>
          <w:sz w:val="13"/>
          <w:szCs w:val="13"/>
          <w:color w:val="auto"/>
        </w:rPr>
        <w:t>Our amended and restated certificate of incorporation and amended and restated bylaws provide that, prior to the annual meeting of the stockholders to be held in 2023, each director elected to the Board shall serve the remainder of the term for which such director was elected, such that: (i) each director elected at the annual meeting of stockholders held in 2020 was elected for a term expiring at the annual meeting of stockholders to be held in 2023; (ii) each director whose term expires at the annual meeting of stockholders to be held in 2021 will be elected for 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317" w:right="319" w:bottom="1440" w:gutter="0" w:footer="0" w:header="0"/>
        </w:sectPr>
      </w:pPr>
    </w:p>
    <w:bookmarkStart w:id="131" w:name="page132"/>
    <w:bookmarkEnd w:id="131"/>
    <w:p>
      <w:pPr>
        <w:ind w:right="160"/>
        <w:spacing w:after="0" w:line="288" w:lineRule="auto"/>
        <w:rPr>
          <w:sz w:val="20"/>
          <w:szCs w:val="20"/>
          <w:color w:val="auto"/>
        </w:rPr>
      </w:pPr>
      <w:r>
        <w:rPr>
          <w:rFonts w:ascii="Arial" w:cs="Arial" w:eastAsia="Arial" w:hAnsi="Arial"/>
          <w:sz w:val="13"/>
          <w:szCs w:val="13"/>
          <w:color w:val="auto"/>
        </w:rPr>
        <w:t>term expiring at the annual meeting of stockholders to be held in 2022; and (iii) each director whose term expires at the annual meeting of stockholders to be held in 2022 will be elected for a term expiring at the annual meeting of stockholders to be held in 2023. Commencing with the annual meeting of stockholders to be held in 2023, the Board will no longer be classified under Section 141(d) of the DGCL and directors will be elected for one-year terms expiring at the next succeeding annual meeting of stockholders. Each director shall hold office until his or her term expires and his or her successor is duly elected and qualified, or until such director’s earlier death, resignation, retirement, disqualification or removal.</w:t>
      </w:r>
    </w:p>
    <w:p>
      <w:pPr>
        <w:spacing w:after="0" w:line="131"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Our amended and restated certificate of incorporation and amended and restated bylaws provide (i) until the election of directors at the annual meeting of stockholders to be held in 2023, a director may be removed from office only for cause and only by the affirmative vote of holders of at least a majority of the votes to which all the stockholders of the Company would be entitled to cast in any election of directors and (ii) thereafter, a director may be removed from office at any time, either for or without cause, by the affirmative vote of holders of at least a majority of the votes to which all the stockholders of the Company would be entitled to cast in any election of directors. Our amended and restated certificate of incorporation and amended and restated bylaws also provide that vacancies in our Board may be filled only by our Board. Any director elected to fill a vacancy will hold office for the remainder of the full term of the class of directors in which the vacancy occurred (including a vacancy created by increasing the size of the Board) and until such director’s successor shall have been duly elected and qualified. No decrease in the number of directors will shorten the term of any incumbent director. The number of directors shall be fixed and modified, but not reduced to less than three, from time to time by resolution of our Board.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Provisions for Stockholder Nominations of Directors and Stockholder Proposals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3"/>
          <w:szCs w:val="13"/>
          <w:color w:val="auto"/>
        </w:rPr>
        <w:t>Our amended and restated bylaws establish an advance notice procedure for stockholders to make nominations of candidates for election as director or to bring other business before an annual meeting of our stockholders. This procedure provides that, except as otherwise required by applicable law, only persons who are nominated by the Board, a committee appointed by the Board, or by a stockholder who (i) is entitled to vote at the meeting, (ii) has given timely written notice to our secretary prior to the meeting and (iii) is a stockholder of record when the required notice is delivered and at the date of the meeting, will be eligible for election as directors, and only business that has been brought before an annual meeting by the Board, any committee appointed by the Board, or by a stockholder who has given timely written notice to our secretary prior to the meeting, may be conducted. Under the procedure, to be timely, notice must be received by the secretary at our principal executive offices not less than 90 days and not more than 120 days prior to the first anniversary date of the annual meeting of the preceding year. In addition, a stockholder’s notice proposing to nominate a person for election as director must, among other things, contain specific information about the nominating stockholder and the proposed nominee as well as the proposed nominee’s written consent to be named in the proxy statement as a nominee and to serving as a director if elected. A stockholder’s notice relating to the conduct of business other than the nomination of directors must contain, among other things, specific information about the proposing stockholder, the text of the proposal, the reasons for conducting such business at the meeting and any material interest in such business of such stockholder and beneficial owner, if any, on whose behalf the proposal is made.</w:t>
      </w:r>
    </w:p>
    <w:p>
      <w:pPr>
        <w:spacing w:after="0" w:line="142"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Requiring advance notice of nominations by stockholders allows our Board an opportunity to consider the qualifications of the proposed nominees and also provides a more orderly procedure for conducting annual meetings of stockholders. It also provides the Board with the opportunity to inform stockholders of proposed business prior to the meeting, so that stockholders can better decide whether to attend the meeting or to grant a proxy regarding the disposition of the business. These provisions may also have the effect of precluding a contest for the election of directors or the consideration of stockholder proposals and of discouraging or deterring a third party from conducting a solicitation of proxies to elect its own slate of directors or to approve its own proposal without regard to whether consideration of the nominees or proposals might be harmful or beneficial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00" w:top="1317" w:right="33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b w:val="1"/>
          <w:bCs w:val="1"/>
          <w:i w:val="1"/>
          <w:iCs w:val="1"/>
          <w:color w:val="auto"/>
        </w:rPr>
        <w:t>Calling Special Stockholder Meetings; Stockholder Action by Written Consent</w:t>
      </w:r>
    </w:p>
    <w:p>
      <w:pPr>
        <w:spacing w:after="0" w:line="179" w:lineRule="exact"/>
        <w:rPr>
          <w:sz w:val="20"/>
          <w:szCs w:val="20"/>
          <w:color w:val="auto"/>
        </w:rPr>
      </w:pPr>
    </w:p>
    <w:p>
      <w:pPr>
        <w:ind w:right="200"/>
        <w:spacing w:after="0" w:line="321" w:lineRule="auto"/>
        <w:rPr>
          <w:sz w:val="20"/>
          <w:szCs w:val="20"/>
          <w:color w:val="auto"/>
        </w:rPr>
      </w:pPr>
      <w:r>
        <w:rPr>
          <w:rFonts w:ascii="Arial" w:cs="Arial" w:eastAsia="Arial" w:hAnsi="Arial"/>
          <w:sz w:val="13"/>
          <w:szCs w:val="13"/>
          <w:color w:val="auto"/>
        </w:rPr>
        <w:t>Our amended and restated certificate of incorporation and amended and restated bylaws provide that a special meeting of stockholders may only be called by our Board. Our amended and restated bylaws provide that any action taken by the stockholders must be effected at a duly called annual or special meeting, which may be called only by the Board.</w:t>
      </w:r>
    </w:p>
    <w:p>
      <w:pPr>
        <w:spacing w:after="0" w:line="10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These provisions make it procedurally more difficult for a stockholder to take action without a meeting and therefore may reduce the likelihood that a stockholder will seek to take independent action with respect to matters that are not supported by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of Liability of Directors; Indemnification of Directors and Officers</w:t>
      </w:r>
    </w:p>
    <w:p>
      <w:pPr>
        <w:spacing w:after="0" w:line="183"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Our amended and restated certificate of incorporation contains provisions permitted under the DGCL relating to the liability of directors. These provisions eliminate a director’s personal liability for monetary damages resulting from a breach of fiduciary duty, except in circumstances involving or related to:</w:t>
      </w:r>
    </w:p>
    <w:p>
      <w:pPr>
        <w:spacing w:after="0" w:line="164" w:lineRule="exact"/>
        <w:rPr>
          <w:sz w:val="20"/>
          <w:szCs w:val="20"/>
          <w:color w:val="auto"/>
        </w:rPr>
      </w:pPr>
    </w:p>
    <w:p>
      <w:pPr>
        <w:ind w:left="400" w:hanging="381"/>
        <w:spacing w:after="0"/>
        <w:tabs>
          <w:tab w:leader="none" w:pos="4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any breach of the director’s duty of loyalty;</w:t>
      </w:r>
    </w:p>
    <w:p>
      <w:pPr>
        <w:spacing w:after="0" w:line="19" w:lineRule="exact"/>
        <w:rPr>
          <w:rFonts w:ascii="Arial" w:cs="Arial" w:eastAsia="Arial" w:hAnsi="Arial"/>
          <w:sz w:val="14"/>
          <w:szCs w:val="14"/>
          <w:color w:val="auto"/>
        </w:rPr>
      </w:pPr>
    </w:p>
    <w:p>
      <w:pPr>
        <w:ind w:left="400" w:hanging="381"/>
        <w:spacing w:after="0"/>
        <w:tabs>
          <w:tab w:leader="none" w:pos="4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acts or omissions not in good faith or which involve intentional misconduct or a knowing violation of the law;</w:t>
      </w:r>
    </w:p>
    <w:p>
      <w:pPr>
        <w:spacing w:after="0" w:line="19" w:lineRule="exact"/>
        <w:rPr>
          <w:rFonts w:ascii="Arial" w:cs="Arial" w:eastAsia="Arial" w:hAnsi="Arial"/>
          <w:sz w:val="14"/>
          <w:szCs w:val="14"/>
          <w:color w:val="auto"/>
        </w:rPr>
      </w:pPr>
    </w:p>
    <w:p>
      <w:pPr>
        <w:ind w:left="400" w:hanging="381"/>
        <w:spacing w:after="0"/>
        <w:tabs>
          <w:tab w:leader="none" w:pos="4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any violation of Section 174 of the DGCL (including, among other things, unlawful payment of dividends); or</w:t>
      </w:r>
    </w:p>
    <w:p>
      <w:pPr>
        <w:spacing w:after="0" w:line="19" w:lineRule="exact"/>
        <w:rPr>
          <w:rFonts w:ascii="Arial" w:cs="Arial" w:eastAsia="Arial" w:hAnsi="Arial"/>
          <w:sz w:val="14"/>
          <w:szCs w:val="14"/>
          <w:color w:val="auto"/>
        </w:rPr>
      </w:pPr>
    </w:p>
    <w:p>
      <w:pPr>
        <w:ind w:left="400" w:hanging="381"/>
        <w:spacing w:after="0"/>
        <w:tabs>
          <w:tab w:leader="none" w:pos="4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any transaction from which the director derives an improper personal benefit.</w:t>
      </w:r>
    </w:p>
    <w:p>
      <w:pPr>
        <w:spacing w:after="0" w:line="25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director’s fiduciary duty. These provisions will not alter a director’s liability under federal securities laws. The inclusion of this provision in our certificate of 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146" w:lineRule="exact"/>
        <w:rPr>
          <w:sz w:val="20"/>
          <w:szCs w:val="20"/>
          <w:color w:val="auto"/>
        </w:rPr>
      </w:pPr>
    </w:p>
    <w:p>
      <w:pPr>
        <w:ind w:right="20"/>
        <w:spacing w:after="0" w:line="282" w:lineRule="auto"/>
        <w:rPr>
          <w:sz w:val="20"/>
          <w:szCs w:val="20"/>
          <w:color w:val="auto"/>
        </w:rPr>
      </w:pPr>
      <w:r>
        <w:rPr>
          <w:rFonts w:ascii="Arial" w:cs="Arial" w:eastAsia="Arial" w:hAnsi="Arial"/>
          <w:sz w:val="13"/>
          <w:szCs w:val="13"/>
          <w:color w:val="auto"/>
        </w:rPr>
        <w:t>Our amended and restated bylaws require us to indemnify and advance expenses to our directors and officers to the fullest extent not prohibited by the DGCL and other applicable law, except in the case of a proceeding instituted by the director without the approval of our Board. Our amended and restated bylaws also provide that we are required to indemnify our directors and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34"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color w:val="auto"/>
        </w:rPr>
        <w:t>We have entered into an indemnification agreement with each of our directors and certain of our officers. The indemnification agreements provide our directors and certain of our officers with contractual rights to the indemnification and expense advancement rights provided under our amended and restated bylaws, as well as contractual rights to additional indemnification as provided in the indemnification agreement.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Mellon Investor Services LLC (operating with the service name BNY Mellon Shareowner Services) serves as transfer agent and registrar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00" w:top="1317" w:right="359" w:bottom="1440"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9605645</wp:posOffset>
            </wp:positionV>
            <wp:extent cx="7105650"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3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3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List of Subsidiaries of Booz Allen Hamilton Holding Corporation</w:t>
      </w:r>
    </w:p>
    <w:p>
      <w:pPr>
        <w:sectPr>
          <w:pgSz w:w="11900" w:h="16838" w:orient="portrait"/>
          <w:cols w:equalWidth="0" w:num="1">
            <w:col w:w="11280"/>
          </w:cols>
          <w:pgMar w:left="30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Jurisdiction of Organization</w:t>
      </w:r>
    </w:p>
    <w:p>
      <w:pPr>
        <w:spacing w:after="0" w:line="78" w:lineRule="exact"/>
        <w:rPr>
          <w:sz w:val="20"/>
          <w:szCs w:val="20"/>
          <w:color w:val="auto"/>
        </w:rPr>
      </w:pPr>
    </w:p>
    <w:p>
      <w:pPr>
        <w:sectPr>
          <w:pgSz w:w="11900" w:h="16838" w:orient="portrait"/>
          <w:cols w:equalWidth="0" w:num="2">
            <w:col w:w="5920" w:space="720"/>
            <w:col w:w="4640"/>
          </w:cols>
          <w:pgMar w:left="300" w:top="122"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Booz Allen Cyber Solutions, LLC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Consulting Pte. Ltd.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(Dubai) Limited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Egypt, LLC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Engineering Holding Co., LLC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Engineering Services, LLC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Lebanon S.a.r.l.</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Booz Allen Hamilton Intellectual Property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International,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International Pte. Ltd.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International (U.K.) Ltd.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Investor Corporation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Netherlands B.V.</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Philippines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Saudi</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3"/>
          <w:szCs w:val="13"/>
          <w:color w:val="auto"/>
        </w:rPr>
        <w:t>Booz Allen Hamilton Singapore Holding Company Pte. Ltd.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Singapore LLP</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Tanzania Limited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Epidemico,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Booz Allen Hamilton (Ireland) Limited</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PT Booz Allen Hamilton Indonesia</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SDI Technology Corporation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Morphick,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eGov Holdings,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Aquilent,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Cloud Solutions Group,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Epic Acquisition Software,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Middle Bay Solutions, LLC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Middle Bay Solutions II, LLC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Nextgen-H Integration Services, LLC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Riverside Engineering, LLC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Shore Systems and Solutions, LLC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Tracepoint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Dubai, UAE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Egypt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Lebanon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Lebanon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Netherlands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Philippines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Saudi Arabia</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Singapore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Tanzania</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Ireland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Indonesia</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Virginia</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Delaware</w:t>
      </w:r>
    </w:p>
    <w:p>
      <w:pPr>
        <w:sectPr>
          <w:pgSz w:w="11900" w:h="16838" w:orient="portrait"/>
          <w:cols w:equalWidth="0" w:num="2">
            <w:col w:w="5920" w:space="720"/>
            <w:col w:w="4640"/>
          </w:cols>
          <w:pgMar w:left="300" w:top="122" w:right="319" w:bottom="1440" w:gutter="0" w:footer="0" w:header="0"/>
          <w:type w:val="continuous"/>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Exhibit 23</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187" w:lineRule="exact"/>
        <w:rPr>
          <w:sz w:val="20"/>
          <w:szCs w:val="20"/>
          <w:color w:val="auto"/>
        </w:rPr>
      </w:pPr>
    </w:p>
    <w:p>
      <w:pPr>
        <w:ind w:left="500" w:hanging="240"/>
        <w:spacing w:after="0"/>
        <w:tabs>
          <w:tab w:leader="none" w:pos="5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Form S-8 (No 333-205956) pertaining to the Second Amended and Restated Equity Incentive Plan of Booz Allen Hamilton Holding Corporation</w:t>
      </w:r>
    </w:p>
    <w:p>
      <w:pPr>
        <w:spacing w:after="0" w:line="8" w:lineRule="exact"/>
        <w:rPr>
          <w:rFonts w:ascii="Arial" w:cs="Arial" w:eastAsia="Arial" w:hAnsi="Arial"/>
          <w:sz w:val="16"/>
          <w:szCs w:val="16"/>
          <w:color w:val="auto"/>
        </w:rPr>
      </w:pPr>
    </w:p>
    <w:p>
      <w:pPr>
        <w:ind w:left="520" w:right="160" w:hanging="260"/>
        <w:spacing w:after="0" w:line="238" w:lineRule="auto"/>
        <w:tabs>
          <w:tab w:leader="none" w:pos="511"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Form S-8 (No 333-171288) pertaining to the Amended and Restated Equity Incentive Plan of Booz Allen Hamilton Holding Corporation, Booz Allen Hamilton Holding Corporation Officers’ Rollover Stock Plan, and Booz Allen Hamilton Holding Corporation Employee Stock Purchase Plan</w:t>
      </w:r>
    </w:p>
    <w:p>
      <w:pPr>
        <w:spacing w:after="0" w:line="175"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of our reports dated May 21, 2021,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2021.</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Tysons, Virginia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May 21, 2021</w:t>
      </w:r>
    </w:p>
    <w:p>
      <w:pPr>
        <w:sectPr>
          <w:pgSz w:w="11900" w:h="16838" w:orient="portrait"/>
          <w:cols w:equalWidth="0" w:num="1">
            <w:col w:w="11160"/>
          </w:cols>
          <w:pgMar w:left="300" w:top="1440" w:right="4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EXECUTIVE OFFICER PURSUANT TO RULE 13A-14(A)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Horacio D. Rozanski, certify that:</w:t>
      </w:r>
    </w:p>
    <w:p>
      <w:pPr>
        <w:spacing w:after="0" w:line="136" w:lineRule="exact"/>
        <w:rPr>
          <w:sz w:val="20"/>
          <w:szCs w:val="20"/>
          <w:color w:val="auto"/>
        </w:rPr>
      </w:pPr>
    </w:p>
    <w:p>
      <w:pPr>
        <w:ind w:left="140" w:hanging="135"/>
        <w:spacing w:after="0"/>
        <w:tabs>
          <w:tab w:leader="none" w:pos="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Booz Allen Hamilton Holding Corporation.</w:t>
      </w:r>
    </w:p>
    <w:p>
      <w:pPr>
        <w:spacing w:after="0" w:line="136"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8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60" w:firstLine="5"/>
        <w:spacing w:after="0" w:line="281" w:lineRule="auto"/>
        <w:tabs>
          <w:tab w:leader="none" w:pos="141"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right="380" w:firstLine="5"/>
        <w:spacing w:after="0" w:line="321" w:lineRule="auto"/>
        <w:tabs>
          <w:tab w:leader="none" w:pos="192" w:val="left"/>
        </w:tabs>
        <w:numPr>
          <w:ilvl w:val="0"/>
          <w:numId w:val="8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4"/>
          <w:szCs w:val="14"/>
          <w:color w:val="auto"/>
        </w:rPr>
      </w:pPr>
    </w:p>
    <w:p>
      <w:pPr>
        <w:ind w:firstLine="5"/>
        <w:spacing w:after="0" w:line="281" w:lineRule="auto"/>
        <w:tabs>
          <w:tab w:leader="none" w:pos="192" w:val="left"/>
        </w:tabs>
        <w:numPr>
          <w:ilvl w:val="0"/>
          <w:numId w:val="8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right="100" w:firstLine="5"/>
        <w:spacing w:after="0" w:line="281" w:lineRule="auto"/>
        <w:tabs>
          <w:tab w:leader="none" w:pos="2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0" w:lineRule="exact"/>
        <w:rPr>
          <w:sz w:val="20"/>
          <w:szCs w:val="20"/>
          <w:color w:val="auto"/>
        </w:rPr>
      </w:pPr>
    </w:p>
    <w:p>
      <w:pPr>
        <w:ind w:right="140" w:firstLine="5"/>
        <w:spacing w:after="0" w:line="281" w:lineRule="auto"/>
        <w:tabs>
          <w:tab w:leader="none" w:pos="141"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0" w:lineRule="exact"/>
        <w:rPr>
          <w:sz w:val="20"/>
          <w:szCs w:val="20"/>
          <w:color w:val="auto"/>
        </w:rPr>
      </w:pPr>
    </w:p>
    <w:p>
      <w:pPr>
        <w:ind w:right="140" w:firstLine="5"/>
        <w:spacing w:after="0" w:line="281" w:lineRule="auto"/>
        <w:tabs>
          <w:tab w:leader="none" w:pos="192" w:val="left"/>
        </w:tabs>
        <w:numPr>
          <w:ilvl w:val="0"/>
          <w:numId w:val="8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200" w:hanging="195"/>
        <w:spacing w:after="0"/>
        <w:tabs>
          <w:tab w:leader="none" w:pos="2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980" w:val="left"/>
          <w:tab w:leader="none" w:pos="7440" w:val="left"/>
        </w:tabs>
        <w:rPr>
          <w:sz w:val="20"/>
          <w:szCs w:val="20"/>
          <w:color w:val="auto"/>
        </w:rPr>
      </w:pPr>
      <w:r>
        <w:rPr>
          <w:rFonts w:ascii="Arial" w:cs="Arial" w:eastAsia="Arial" w:hAnsi="Arial"/>
          <w:sz w:val="14"/>
          <w:szCs w:val="14"/>
          <w:color w:val="auto"/>
        </w:rPr>
        <w:t>Date: May 21,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12065</wp:posOffset>
            </wp:positionV>
            <wp:extent cx="242570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4">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ind w:left="7460"/>
        <w:spacing w:after="0"/>
        <w:rPr>
          <w:sz w:val="20"/>
          <w:szCs w:val="20"/>
          <w:color w:val="auto"/>
        </w:rPr>
      </w:pPr>
      <w:r>
        <w:rPr>
          <w:rFonts w:ascii="Arial" w:cs="Arial" w:eastAsia="Arial" w:hAnsi="Arial"/>
          <w:sz w:val="14"/>
          <w:szCs w:val="14"/>
          <w:color w:val="auto"/>
        </w:rPr>
        <w:t>Horacio D. Rozanski</w:t>
      </w:r>
    </w:p>
    <w:p>
      <w:pPr>
        <w:ind w:left="7460"/>
        <w:spacing w:after="0" w:line="205" w:lineRule="auto"/>
        <w:rPr>
          <w:sz w:val="20"/>
          <w:szCs w:val="20"/>
          <w:color w:val="auto"/>
        </w:rPr>
      </w:pPr>
      <w:r>
        <w:rPr>
          <w:rFonts w:ascii="Arial" w:cs="Arial" w:eastAsia="Arial" w:hAnsi="Arial"/>
          <w:sz w:val="14"/>
          <w:szCs w:val="14"/>
          <w:color w:val="auto"/>
        </w:rPr>
        <w:t>President and Chief Executive Officer</w:t>
      </w:r>
    </w:p>
    <w:p>
      <w:pPr>
        <w:ind w:left="746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30"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FINANCIAL OFFICER PURSUANT TO RULE 13A-14(A)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 AS AMENDED</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I, Lloyd W. Howell, Jr., certify that:</w:t>
      </w:r>
    </w:p>
    <w:p>
      <w:pPr>
        <w:spacing w:after="0" w:line="136" w:lineRule="exact"/>
        <w:rPr>
          <w:sz w:val="20"/>
          <w:szCs w:val="20"/>
          <w:color w:val="auto"/>
        </w:rPr>
      </w:pPr>
    </w:p>
    <w:p>
      <w:pPr>
        <w:ind w:left="140" w:hanging="135"/>
        <w:spacing w:after="0"/>
        <w:tabs>
          <w:tab w:leader="none" w:pos="1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Booz Allen Hamilton Holding Corporation.</w:t>
      </w:r>
    </w:p>
    <w:p>
      <w:pPr>
        <w:spacing w:after="0" w:line="136" w:lineRule="exact"/>
        <w:rPr>
          <w:rFonts w:ascii="Arial" w:cs="Arial" w:eastAsia="Arial" w:hAnsi="Arial"/>
          <w:sz w:val="14"/>
          <w:szCs w:val="14"/>
          <w:color w:val="auto"/>
        </w:rPr>
      </w:pPr>
    </w:p>
    <w:p>
      <w:pPr>
        <w:ind w:right="260" w:firstLine="5"/>
        <w:spacing w:after="0" w:line="281" w:lineRule="auto"/>
        <w:tabs>
          <w:tab w:leader="none" w:pos="141"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right="40" w:firstLine="5"/>
        <w:spacing w:after="0" w:line="281" w:lineRule="auto"/>
        <w:tabs>
          <w:tab w:leader="none" w:pos="141" w:val="left"/>
        </w:tabs>
        <w:numPr>
          <w:ilvl w:val="0"/>
          <w:numId w:val="8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right="160" w:firstLine="5"/>
        <w:spacing w:after="0" w:line="281" w:lineRule="auto"/>
        <w:tabs>
          <w:tab w:leader="none" w:pos="141"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0" w:lineRule="exact"/>
        <w:rPr>
          <w:sz w:val="20"/>
          <w:szCs w:val="20"/>
          <w:color w:val="auto"/>
        </w:rPr>
      </w:pPr>
    </w:p>
    <w:p>
      <w:pPr>
        <w:ind w:right="380" w:firstLine="5"/>
        <w:spacing w:after="0" w:line="321" w:lineRule="auto"/>
        <w:tabs>
          <w:tab w:leader="none" w:pos="192" w:val="left"/>
        </w:tabs>
        <w:numPr>
          <w:ilvl w:val="0"/>
          <w:numId w:val="8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right="20" w:firstLine="5"/>
        <w:spacing w:after="0" w:line="281" w:lineRule="auto"/>
        <w:tabs>
          <w:tab w:leader="none" w:pos="2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4"/>
          <w:szCs w:val="14"/>
          <w:color w:val="auto"/>
        </w:rPr>
      </w:pPr>
    </w:p>
    <w:p>
      <w:pPr>
        <w:ind w:firstLine="5"/>
        <w:spacing w:after="0" w:line="281" w:lineRule="auto"/>
        <w:tabs>
          <w:tab w:leader="none" w:pos="192" w:val="left"/>
        </w:tabs>
        <w:numPr>
          <w:ilvl w:val="0"/>
          <w:numId w:val="8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right="100" w:firstLine="5"/>
        <w:spacing w:after="0" w:line="281" w:lineRule="auto"/>
        <w:tabs>
          <w:tab w:leader="none" w:pos="2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0" w:lineRule="exact"/>
        <w:rPr>
          <w:sz w:val="20"/>
          <w:szCs w:val="20"/>
          <w:color w:val="auto"/>
        </w:rPr>
      </w:pPr>
    </w:p>
    <w:p>
      <w:pPr>
        <w:ind w:right="140" w:firstLine="5"/>
        <w:spacing w:after="0" w:line="281" w:lineRule="auto"/>
        <w:tabs>
          <w:tab w:leader="none" w:pos="141"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0" w:lineRule="exact"/>
        <w:rPr>
          <w:sz w:val="20"/>
          <w:szCs w:val="20"/>
          <w:color w:val="auto"/>
        </w:rPr>
      </w:pPr>
    </w:p>
    <w:p>
      <w:pPr>
        <w:ind w:right="140" w:firstLine="5"/>
        <w:spacing w:after="0" w:line="281" w:lineRule="auto"/>
        <w:tabs>
          <w:tab w:leader="none" w:pos="192" w:val="left"/>
        </w:tabs>
        <w:numPr>
          <w:ilvl w:val="0"/>
          <w:numId w:val="8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200" w:hanging="195"/>
        <w:spacing w:after="0"/>
        <w:tabs>
          <w:tab w:leader="none" w:pos="2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620" w:val="left"/>
          <w:tab w:leader="none" w:pos="6060" w:val="left"/>
        </w:tabs>
        <w:rPr>
          <w:sz w:val="20"/>
          <w:szCs w:val="20"/>
          <w:color w:val="auto"/>
        </w:rPr>
      </w:pPr>
      <w:r>
        <w:rPr>
          <w:rFonts w:ascii="Arial" w:cs="Arial" w:eastAsia="Arial" w:hAnsi="Arial"/>
          <w:sz w:val="14"/>
          <w:szCs w:val="14"/>
          <w:color w:val="auto"/>
        </w:rPr>
        <w:t>Date: May 21,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12065</wp:posOffset>
            </wp:positionV>
            <wp:extent cx="328104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5">
                      <a:extLst>
                        <a:ext uri="{28A0092B-C50C-407E-A947-70E740481C1C}"/>
                      </a:extLst>
                    </a:blip>
                    <a:srcRect/>
                    <a:stretch>
                      <a:fillRect/>
                    </a:stretch>
                  </pic:blipFill>
                  <pic:spPr bwMode="auto">
                    <a:xfrm>
                      <a:off x="0" y="0"/>
                      <a:ext cx="3281045" cy="6985"/>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4"/>
          <w:szCs w:val="14"/>
          <w:color w:val="auto"/>
        </w:rPr>
        <w:t>Lloyd W. Howell, Jr.</w:t>
      </w:r>
    </w:p>
    <w:p>
      <w:pPr>
        <w:ind w:left="6080"/>
        <w:spacing w:after="0" w:line="205" w:lineRule="auto"/>
        <w:rPr>
          <w:sz w:val="20"/>
          <w:szCs w:val="20"/>
          <w:color w:val="auto"/>
        </w:rPr>
      </w:pPr>
      <w:r>
        <w:rPr>
          <w:rFonts w:ascii="Arial" w:cs="Arial" w:eastAsia="Arial" w:hAnsi="Arial"/>
          <w:sz w:val="14"/>
          <w:szCs w:val="14"/>
          <w:color w:val="auto"/>
        </w:rPr>
        <w:t>Executive Vice President, Chief Financial Officer and Treasurer (Principal Financial</w:t>
      </w:r>
    </w:p>
    <w:p>
      <w:pPr>
        <w:ind w:left="6080"/>
        <w:spacing w:after="0"/>
        <w:rPr>
          <w:sz w:val="20"/>
          <w:szCs w:val="20"/>
          <w:color w:val="auto"/>
        </w:rPr>
      </w:pPr>
      <w:r>
        <w:rPr>
          <w:rFonts w:ascii="Arial" w:cs="Arial" w:eastAsia="Arial" w:hAnsi="Arial"/>
          <w:sz w:val="14"/>
          <w:szCs w:val="14"/>
          <w:color w:val="auto"/>
        </w:rPr>
        <w:t>Officer)</w:t>
      </w:r>
    </w:p>
    <w:p>
      <w:pPr>
        <w:sectPr>
          <w:pgSz w:w="11900" w:h="16838" w:orient="portrait"/>
          <w:cols w:equalWidth="0" w:num="1">
            <w:col w:w="11280"/>
          </w:cols>
          <w:pgMar w:left="300" w:top="730"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26" w:lineRule="exact"/>
        <w:rPr>
          <w:sz w:val="20"/>
          <w:szCs w:val="20"/>
          <w:color w:val="auto"/>
        </w:rPr>
      </w:pPr>
    </w:p>
    <w:p>
      <w:pPr>
        <w:ind w:right="420"/>
        <w:spacing w:after="0" w:line="267" w:lineRule="auto"/>
        <w:rPr>
          <w:sz w:val="20"/>
          <w:szCs w:val="20"/>
          <w:color w:val="auto"/>
        </w:rPr>
      </w:pPr>
      <w:r>
        <w:rPr>
          <w:rFonts w:ascii="Arial" w:cs="Arial" w:eastAsia="Arial" w:hAnsi="Arial"/>
          <w:sz w:val="14"/>
          <w:szCs w:val="14"/>
          <w:color w:val="auto"/>
        </w:rPr>
        <w:t>In connection with the report on Form 10-K of Booz Allen Hamilton Holding Corporation (the “Company”) for the fiscal year ended March 31, 2021,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99" w:lineRule="exact"/>
        <w:rPr>
          <w:sz w:val="20"/>
          <w:szCs w:val="20"/>
          <w:color w:val="auto"/>
        </w:rPr>
      </w:pPr>
    </w:p>
    <w:p>
      <w:pPr>
        <w:ind w:left="200" w:hanging="195"/>
        <w:spacing w:after="0"/>
        <w:tabs>
          <w:tab w:leader="none" w:pos="2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4"/>
          <w:szCs w:val="14"/>
          <w:color w:val="auto"/>
        </w:rPr>
        <w:t>Date: May 21, 2021</w:t>
      </w:r>
      <w:r>
        <w:rPr>
          <w:sz w:val="20"/>
          <w:szCs w:val="20"/>
          <w:color w:val="auto"/>
        </w:rPr>
        <w:tab/>
      </w:r>
      <w:r>
        <w:rPr>
          <w:rFonts w:ascii="Arial" w:cs="Arial" w:eastAsia="Arial" w:hAnsi="Arial"/>
          <w:sz w:val="12"/>
          <w:szCs w:val="12"/>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12065</wp:posOffset>
            </wp:positionV>
            <wp:extent cx="289052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6">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ind w:left="6720"/>
        <w:spacing w:after="0"/>
        <w:rPr>
          <w:sz w:val="20"/>
          <w:szCs w:val="20"/>
          <w:color w:val="auto"/>
        </w:rPr>
      </w:pPr>
      <w:r>
        <w:rPr>
          <w:rFonts w:ascii="Arial" w:cs="Arial" w:eastAsia="Arial" w:hAnsi="Arial"/>
          <w:sz w:val="14"/>
          <w:szCs w:val="14"/>
          <w:color w:val="auto"/>
        </w:rPr>
        <w:t>Horacio D. Rozanski</w:t>
      </w:r>
    </w:p>
    <w:p>
      <w:pPr>
        <w:ind w:left="6720"/>
        <w:spacing w:after="0" w:line="205" w:lineRule="auto"/>
        <w:rPr>
          <w:sz w:val="20"/>
          <w:szCs w:val="20"/>
          <w:color w:val="auto"/>
        </w:rPr>
      </w:pPr>
      <w:r>
        <w:rPr>
          <w:rFonts w:ascii="Arial" w:cs="Arial" w:eastAsia="Arial" w:hAnsi="Arial"/>
          <w:sz w:val="14"/>
          <w:szCs w:val="14"/>
          <w:color w:val="auto"/>
        </w:rPr>
        <w:t>President and Chief Executive Officer</w:t>
      </w:r>
    </w:p>
    <w:p>
      <w:pPr>
        <w:ind w:left="6720"/>
        <w:spacing w:after="0"/>
        <w:rPr>
          <w:sz w:val="20"/>
          <w:szCs w:val="20"/>
          <w:color w:val="auto"/>
        </w:rPr>
      </w:pPr>
      <w:r>
        <w:rPr>
          <w:rFonts w:ascii="Arial" w:cs="Arial" w:eastAsia="Arial" w:hAnsi="Arial"/>
          <w:sz w:val="14"/>
          <w:szCs w:val="14"/>
          <w:color w:val="auto"/>
        </w:rPr>
        <w:t>(Principal Executive Officer)</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80"/>
          </w:cols>
          <w:pgMar w:left="300" w:top="729" w:right="3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126" w:lineRule="exact"/>
        <w:rPr>
          <w:sz w:val="20"/>
          <w:szCs w:val="20"/>
          <w:color w:val="auto"/>
        </w:rPr>
      </w:pPr>
    </w:p>
    <w:p>
      <w:pPr>
        <w:ind w:right="340"/>
        <w:spacing w:after="0" w:line="267" w:lineRule="auto"/>
        <w:rPr>
          <w:sz w:val="20"/>
          <w:szCs w:val="20"/>
          <w:color w:val="auto"/>
        </w:rPr>
      </w:pPr>
      <w:r>
        <w:rPr>
          <w:rFonts w:ascii="Arial" w:cs="Arial" w:eastAsia="Arial" w:hAnsi="Arial"/>
          <w:sz w:val="14"/>
          <w:szCs w:val="14"/>
          <w:color w:val="auto"/>
        </w:rPr>
        <w:t>In connection with the report on Form 10-K of Booz Allen Hamilton Holding Corporation (the “Company”) for the fiscal year ended March 31, 2021,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99" w:lineRule="exact"/>
        <w:rPr>
          <w:sz w:val="20"/>
          <w:szCs w:val="20"/>
          <w:color w:val="auto"/>
        </w:rPr>
      </w:pPr>
    </w:p>
    <w:p>
      <w:pPr>
        <w:ind w:left="200" w:hanging="195"/>
        <w:spacing w:after="0"/>
        <w:tabs>
          <w:tab w:leader="none" w:pos="2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w:t>
      </w:r>
    </w:p>
    <w:p>
      <w:pPr>
        <w:spacing w:after="0" w:line="136" w:lineRule="exact"/>
        <w:rPr>
          <w:rFonts w:ascii="Arial" w:cs="Arial" w:eastAsia="Arial" w:hAnsi="Arial"/>
          <w:sz w:val="14"/>
          <w:szCs w:val="14"/>
          <w:color w:val="auto"/>
        </w:rPr>
      </w:pPr>
    </w:p>
    <w:p>
      <w:pPr>
        <w:ind w:left="200" w:hanging="195"/>
        <w:spacing w:after="0"/>
        <w:tabs>
          <w:tab w:leader="none" w:pos="2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4"/>
          <w:szCs w:val="14"/>
          <w:color w:val="auto"/>
        </w:rPr>
        <w:t>Date: May 21, 2021</w:t>
      </w:r>
      <w:r>
        <w:rPr>
          <w:sz w:val="20"/>
          <w:szCs w:val="20"/>
          <w:color w:val="auto"/>
        </w:rPr>
        <w:tab/>
      </w:r>
      <w:r>
        <w:rPr>
          <w:rFonts w:ascii="Arial" w:cs="Arial" w:eastAsia="Arial" w:hAnsi="Arial"/>
          <w:sz w:val="13"/>
          <w:szCs w:val="13"/>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12065</wp:posOffset>
            </wp:positionV>
            <wp:extent cx="340233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7">
                      <a:extLst>
                        <a:ext uri="{28A0092B-C50C-407E-A947-70E740481C1C}"/>
                      </a:extLst>
                    </a:blip>
                    <a:srcRect/>
                    <a:stretch>
                      <a:fillRect/>
                    </a:stretch>
                  </pic:blipFill>
                  <pic:spPr bwMode="auto">
                    <a:xfrm>
                      <a:off x="0" y="0"/>
                      <a:ext cx="3402330" cy="698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4"/>
          <w:szCs w:val="14"/>
          <w:color w:val="auto"/>
        </w:rPr>
        <w:t>Lloyd W. Howell, Jr.</w:t>
      </w:r>
    </w:p>
    <w:p>
      <w:pPr>
        <w:ind w:left="5900"/>
        <w:spacing w:after="0"/>
        <w:rPr>
          <w:sz w:val="20"/>
          <w:szCs w:val="20"/>
          <w:color w:val="auto"/>
        </w:rPr>
      </w:pPr>
      <w:r>
        <w:rPr>
          <w:rFonts w:ascii="Arial" w:cs="Arial" w:eastAsia="Arial" w:hAnsi="Arial"/>
          <w:sz w:val="13"/>
          <w:szCs w:val="13"/>
          <w:color w:val="auto"/>
        </w:rPr>
        <w:t>Executive Vice President, Chief Financial Officer and Treasurer (Principal Financial Officer)</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1)"/>
      <w:numFmt w:val="lowerRoman"/>
      <w:start w:val="2"/>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lowerRoman"/>
      <w:start w:val="2"/>
    </w:lvl>
    <w:lvl w:ilvl="1">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1."/>
      <w:numFmt w:val="decimal"/>
      <w:start w:val="2"/>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1."/>
      <w:numFmt w:val="decimal"/>
      <w:start w:val="5"/>
    </w:lvl>
  </w:abstractNum>
  <w:abstractNum w:abstractNumId="61">
    <w:nsid w:val="BF72B14"/>
    <w:multiLevelType w:val="hybridMultilevel"/>
    <w:lvl w:ilvl="0">
      <w:lvlJc w:val="left"/>
      <w:lvlText w:val="%1."/>
      <w:numFmt w:val="decimal"/>
      <w:start w:val="8"/>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14"/>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2"/>
    </w:lvl>
  </w:abstractNum>
  <w:abstractNum w:abstractNumId="67">
    <w:nsid w:val="3B0FD379"/>
    <w:multiLevelType w:val="hybridMultilevel"/>
    <w:lvl w:ilvl="0">
      <w:lvlJc w:val="left"/>
      <w:lvlText w:val="(%1)"/>
      <w:numFmt w:val="decimal"/>
      <w:start w:val="3"/>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decimal"/>
      <w:start w:val="1"/>
    </w:lvl>
    <w:lvl w:ilvl="1">
      <w:lvlJc w:val="left"/>
      <w:lvlText w:val="(%2)"/>
      <w:numFmt w:val="decimal"/>
      <w:start w:val="1"/>
    </w:lvl>
  </w:abstractNum>
  <w:abstractNum w:abstractNumId="72">
    <w:nsid w:val="14330624"/>
    <w:multiLevelType w:val="hybridMultilevel"/>
    <w:lvl w:ilvl="0">
      <w:lvlJc w:val="left"/>
      <w:lvlText w:val="%1."/>
      <w:numFmt w:val="decimal"/>
      <w:start w:val="25"/>
    </w:lvl>
    <w:lvl w:ilvl="1">
      <w:lvlJc w:val="left"/>
      <w:lvlText w:val="%2"/>
      <w:numFmt w:val="decimal"/>
      <w:start w:val="1"/>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21"/>
    </w:lvl>
  </w:abstractNum>
  <w:abstractNum w:abstractNumId="75">
    <w:nsid w:val="71EA1109"/>
    <w:multiLevelType w:val="hybridMultilevel"/>
    <w:lvl w:ilvl="0">
      <w:lvlJc w:val="left"/>
      <w:lvlText w:val="%1"/>
      <w:numFmt w:val="decimal"/>
      <w:start w:val="23"/>
    </w:lvl>
  </w:abstractNum>
  <w:abstractNum w:abstractNumId="76">
    <w:nsid w:val="100F59DC"/>
    <w:multiLevelType w:val="hybridMultilevel"/>
    <w:lvl w:ilvl="0">
      <w:lvlJc w:val="left"/>
      <w:lvlText w:val="%1"/>
      <w:numFmt w:val="decimal"/>
      <w:start w:val="101"/>
    </w:lvl>
  </w:abstractNum>
  <w:abstractNum w:abstractNumId="77">
    <w:nsid w:val="7FB7E0AA"/>
    <w:multiLevelType w:val="hybridMultilevel"/>
    <w:lvl w:ilvl="0">
      <w:lvlJc w:val="left"/>
      <w:lvlText w:val="*"/>
      <w:numFmt w:val="bullet"/>
      <w:start w:val="1"/>
    </w:lvl>
    <w:lvl w:ilvl="1">
      <w:lvlJc w:val="left"/>
      <w:lvlText w:val="%2"/>
      <w:numFmt w:val="decimal"/>
      <w:start w:val="104"/>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
      <w:numFmt w:val="bullet"/>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lowerLetter"/>
      <w:start w:val="1"/>
    </w:lvl>
  </w:abstractNum>
  <w:abstractNum w:abstractNumId="83">
    <w:nsid w:val="4C04A8AF"/>
    <w:multiLevelType w:val="hybridMultilevel"/>
    <w:lvl w:ilvl="0">
      <w:lvlJc w:val="left"/>
      <w:lvlText w:val="%1."/>
      <w:numFmt w:val="decimal"/>
      <w:start w:val="5"/>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lowerLetter"/>
      <w:start w:val="1"/>
    </w:lvl>
  </w:abstractNum>
  <w:abstractNum w:abstractNumId="87">
    <w:nsid w:val="74DE0EE3"/>
    <w:multiLevelType w:val="hybridMultilevel"/>
    <w:lvl w:ilvl="0">
      <w:lvlJc w:val="left"/>
      <w:lvlText w:val="%1."/>
      <w:numFmt w:val="decimal"/>
      <w:start w:val="5"/>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207" Type="http://schemas.openxmlformats.org/officeDocument/2006/relationships/image" Target="media/image144.png"/><Relationship Id="rId208" Type="http://schemas.openxmlformats.org/officeDocument/2006/relationships/image" Target="media/image145.png"/><Relationship Id="rId226" Type="http://schemas.openxmlformats.org/officeDocument/2006/relationships/image" Target="media/image146.png"/><Relationship Id="rId227" Type="http://schemas.openxmlformats.org/officeDocument/2006/relationships/image" Target="media/image147.png"/><Relationship Id="rId229" Type="http://schemas.openxmlformats.org/officeDocument/2006/relationships/image" Target="media/image148.png"/><Relationship Id="rId230" Type="http://schemas.openxmlformats.org/officeDocument/2006/relationships/image" Target="media/image149.png"/><Relationship Id="rId231" Type="http://schemas.openxmlformats.org/officeDocument/2006/relationships/image" Target="media/image150.png"/><Relationship Id="rId232" Type="http://schemas.openxmlformats.org/officeDocument/2006/relationships/image" Target="media/image151.png"/><Relationship Id="rId233" Type="http://schemas.openxmlformats.org/officeDocument/2006/relationships/image" Target="media/image152.png"/><Relationship Id="rId234" Type="http://schemas.openxmlformats.org/officeDocument/2006/relationships/image" Target="media/image153.png"/><Relationship Id="rId235" Type="http://schemas.openxmlformats.org/officeDocument/2006/relationships/image" Target="media/image154.png"/><Relationship Id="rId236" Type="http://schemas.openxmlformats.org/officeDocument/2006/relationships/image" Target="media/image155.png"/><Relationship Id="rId237" Type="http://schemas.openxmlformats.org/officeDocument/2006/relationships/image" Target="media/image156.png"/><Relationship Id="rId238" Type="http://schemas.openxmlformats.org/officeDocument/2006/relationships/image" Target="media/image157.png"/><Relationship Id="rId239" Type="http://schemas.openxmlformats.org/officeDocument/2006/relationships/image" Target="media/image158.png"/><Relationship Id="rId240" Type="http://schemas.openxmlformats.org/officeDocument/2006/relationships/image" Target="media/image159.png"/><Relationship Id="rId241" Type="http://schemas.openxmlformats.org/officeDocument/2006/relationships/image" Target="media/image160.png"/><Relationship Id="rId242" Type="http://schemas.openxmlformats.org/officeDocument/2006/relationships/image" Target="media/image161.png"/><Relationship Id="rId243" Type="http://schemas.openxmlformats.org/officeDocument/2006/relationships/image" Target="media/image162.png"/><Relationship Id="rId244" Type="http://schemas.openxmlformats.org/officeDocument/2006/relationships/image" Target="media/image163.png"/><Relationship Id="rId245" Type="http://schemas.openxmlformats.org/officeDocument/2006/relationships/image" Target="media/image164.png"/><Relationship Id="rId246" Type="http://schemas.openxmlformats.org/officeDocument/2006/relationships/image" Target="media/image165.png"/><Relationship Id="rId247" Type="http://schemas.openxmlformats.org/officeDocument/2006/relationships/image" Target="media/image166.png"/><Relationship Id="rId248" Type="http://schemas.openxmlformats.org/officeDocument/2006/relationships/image" Target="media/image167.png"/><Relationship Id="rId249" Type="http://schemas.openxmlformats.org/officeDocument/2006/relationships/image" Target="media/image168.png"/><Relationship Id="rId250" Type="http://schemas.openxmlformats.org/officeDocument/2006/relationships/image" Target="media/image169.png"/><Relationship Id="rId251" Type="http://schemas.openxmlformats.org/officeDocument/2006/relationships/image" Target="media/image170.png"/><Relationship Id="rId252" Type="http://schemas.openxmlformats.org/officeDocument/2006/relationships/image" Target="media/image171.png"/><Relationship Id="rId253" Type="http://schemas.openxmlformats.org/officeDocument/2006/relationships/image" Target="media/image172.png"/><Relationship Id="rId254" Type="http://schemas.openxmlformats.org/officeDocument/2006/relationships/image" Target="media/image173.png"/><Relationship Id="rId255" Type="http://schemas.openxmlformats.org/officeDocument/2006/relationships/image" Target="media/image174.png"/><Relationship Id="rId256" Type="http://schemas.openxmlformats.org/officeDocument/2006/relationships/image" Target="media/image175.png"/><Relationship Id="rId257" Type="http://schemas.openxmlformats.org/officeDocument/2006/relationships/image" Target="media/image176.png"/><Relationship Id="rId145" Type="http://schemas.openxmlformats.org/officeDocument/2006/relationships/hyperlink" Target="http://www.sec.gov/Archives/edgar/data/1443646/000095012310059548/w77668exv2w1.htm" TargetMode="External"/><Relationship Id="rId146" Type="http://schemas.openxmlformats.org/officeDocument/2006/relationships/hyperlink" Target="http://www.sec.gov/Archives/edgar/data/1443646/000095012310059548/w77668exv2w2.htm" TargetMode="External"/><Relationship Id="rId147" Type="http://schemas.openxmlformats.org/officeDocument/2006/relationships/hyperlink" Target="http://www.sec.gov/Archives/edgar/data/1443646/000095012310059548/w77668exv2w3.htm" TargetMode="External"/><Relationship Id="rId148" Type="http://schemas.openxmlformats.org/officeDocument/2006/relationships/hyperlink" Target="https://www.sec.gov/Archives/edgar/data/0001443646/000110465921060482/tm2114914d1_ex2-1.htm" TargetMode="External"/><Relationship Id="rId149" Type="http://schemas.openxmlformats.org/officeDocument/2006/relationships/hyperlink" Target="https://www.sec.gov/Archives/edgar/data/0001443646/000110465920090824/tm2026196d2_ex3-1.htm" TargetMode="External"/><Relationship Id="rId150" Type="http://schemas.openxmlformats.org/officeDocument/2006/relationships/hyperlink" Target="https://www.sec.gov/Archives/edgar/data/0001443646/000144364621000020/bah-20201231xex32.htm" TargetMode="External"/><Relationship Id="rId151" Type="http://schemas.openxmlformats.org/officeDocument/2006/relationships/hyperlink" Target="http://www.sec.gov/Archives/edgar/data/1443646/000095012310090358/w77668a3exv4w5.htm" TargetMode="External"/><Relationship Id="rId152" Type="http://schemas.openxmlformats.org/officeDocument/2006/relationships/hyperlink" Target="https://www.sec.gov/Archives/edgar/data/0001443646/000110465920097997/tm2029202d1_ex4-1.htm" TargetMode="External"/><Relationship Id="rId153" Type="http://schemas.openxmlformats.org/officeDocument/2006/relationships/hyperlink" Target="https://www.sec.gov/Archives/edgar/data/0001443646/000110465920097997/tm2029202d1_ex4-2.htm" TargetMode="External"/><Relationship Id="rId154" Type="http://schemas.openxmlformats.org/officeDocument/2006/relationships/hyperlink" Target="http://www.sec.gov/Archives/edgar/data/1443646/000144364620000022/bah-20191231xex102.htm" TargetMode="External"/><Relationship Id="rId155" Type="http://schemas.openxmlformats.org/officeDocument/2006/relationships/hyperlink" Target="http://www.sec.gov/Archives/edgar/data/1443646/000095012310070415/w77668a1exv10w10.htm" TargetMode="External"/><Relationship Id="rId156" Type="http://schemas.openxmlformats.org/officeDocument/2006/relationships/hyperlink" Target="http://www.sec.gov/Archives/edgar/data/1443646/000095012310070415/w77668a1exv10w11.htm" TargetMode="External"/><Relationship Id="rId157" Type="http://schemas.openxmlformats.org/officeDocument/2006/relationships/hyperlink" Target="http://www.sec.gov/Archives/edgar/data/1443646/000095012310082535/w77668a2exv10w12.htm" TargetMode="External"/><Relationship Id="rId158" Type="http://schemas.openxmlformats.org/officeDocument/2006/relationships/hyperlink" Target="http://www.sec.gov/Archives/edgar/data/1443646/000144364620000022/bah-20191231xex103.htm" TargetMode="External"/><Relationship Id="rId161" Type="http://schemas.openxmlformats.org/officeDocument/2006/relationships/hyperlink" Target="http://www.sec.gov/Archives/edgar/data/1443646/000144364618000100/bah-20180331xex106.htm" TargetMode="External"/><Relationship Id="rId162" Type="http://schemas.openxmlformats.org/officeDocument/2006/relationships/hyperlink" Target="http://www.sec.gov/Archives/edgar/data/1443646/000144364618000100/bah-20180331xex107.htm" TargetMode="External"/><Relationship Id="rId163" Type="http://schemas.openxmlformats.org/officeDocument/2006/relationships/hyperlink" Target="http://www.sec.gov/Archives/edgar/data/1443646/000144364618000100/bah-20180331xex108.htm" TargetMode="External"/><Relationship Id="rId164" Type="http://schemas.openxmlformats.org/officeDocument/2006/relationships/hyperlink" Target="http://www.sec.gov/Archives/edgar/data/1443646/000144364615000018/bah-20150331xex1014.htm" TargetMode="External"/><Relationship Id="rId165" Type="http://schemas.openxmlformats.org/officeDocument/2006/relationships/hyperlink" Target="http://www.sec.gov/Archives/edgar/data/1443646/000144364618000100/bah-20180331xex1011.htm" TargetMode="External"/><Relationship Id="rId166" Type="http://schemas.openxmlformats.org/officeDocument/2006/relationships/hyperlink" Target="http://www.sec.gov/Archives/edgar/data/1443646/000095012310090358/w77668a3exv10w23.htm" TargetMode="External"/><Relationship Id="rId167" Type="http://schemas.openxmlformats.org/officeDocument/2006/relationships/hyperlink" Target="http://www.sec.gov/Archives/edgar/data/1443646/000095012311057569/w82973exv10w23.htm" TargetMode="External"/><Relationship Id="rId168" Type="http://schemas.openxmlformats.org/officeDocument/2006/relationships/hyperlink" Target="http://www.sec.gov/Archives/edgar/data/1443646/000144364618000100/bah-20180331xex1014.htm" TargetMode="External"/><Relationship Id="rId169" Type="http://schemas.openxmlformats.org/officeDocument/2006/relationships/hyperlink" Target="http://www.sec.gov/Archives/edgar/data/1443646/000119312512038532/d291187dex1025.htm" TargetMode="External"/><Relationship Id="rId170" Type="http://schemas.openxmlformats.org/officeDocument/2006/relationships/hyperlink" Target="http://www.sec.gov/Archives/edgar/data/1443646/000119312512327096/d388921dex101.htm" TargetMode="External"/><Relationship Id="rId171" Type="http://schemas.openxmlformats.org/officeDocument/2006/relationships/hyperlink" Target="http://www.sec.gov/Archives/edgar/data/1443646/000119312512327096/d388921dex102.htm" TargetMode="External"/><Relationship Id="rId172" Type="http://schemas.openxmlformats.org/officeDocument/2006/relationships/hyperlink" Target="http://www.sec.gov/Archives/edgar/data/1443646/000144364613000030/exhibit101-2013amendmentxf.htm" TargetMode="External"/><Relationship Id="rId173" Type="http://schemas.openxmlformats.org/officeDocument/2006/relationships/hyperlink" Target="http://www.sec.gov/Archives/edgar/data/1443646/000144364614000015/bah-20140331xex1027.htm" TargetMode="External"/><Relationship Id="rId174" Type="http://schemas.openxmlformats.org/officeDocument/2006/relationships/hyperlink" Target="http://www.sec.gov/Archives/edgar/data/1443646/000144364614000011/secondamendment.htm" TargetMode="External"/><Relationship Id="rId177" Type="http://schemas.openxmlformats.org/officeDocument/2006/relationships/hyperlink" Target="http://www.sec.gov/Archives/edgar/data/1443646/000144364616000173/bahamendmentno32016.htm" TargetMode="External"/><Relationship Id="rId178" Type="http://schemas.openxmlformats.org/officeDocument/2006/relationships/hyperlink" Target="http://www.sec.gov/Archives/edgar/data/1443646/000119312517032421/d295747dex101.htm" TargetMode="External"/><Relationship Id="rId179" Type="http://schemas.openxmlformats.org/officeDocument/2006/relationships/hyperlink" Target="http://www.sec.gov/Archives/edgar/data/1443646/000119312518073520/d502770dex101.htm" TargetMode="External"/><Relationship Id="rId180" Type="http://schemas.openxmlformats.org/officeDocument/2006/relationships/hyperlink" Target="http://www.sec.gov/Archives/edgar/data/1443646/000119312518224147/d549733dex101.htm" TargetMode="External"/><Relationship Id="rId181" Type="http://schemas.openxmlformats.org/officeDocument/2006/relationships/hyperlink" Target="http://www.sec.gov/Archives/edgar/data/1443646/000110465919067587/tm1923849d1_ex10-1.htm" TargetMode="External"/><Relationship Id="rId182" Type="http://schemas.openxmlformats.org/officeDocument/2006/relationships/hyperlink" Target="http://www.sec.gov/Archives/edgar/data/1443646/000119312517120098/d361130dex101.htm" TargetMode="External"/><Relationship Id="rId183" Type="http://schemas.openxmlformats.org/officeDocument/2006/relationships/hyperlink" Target="http://www.sec.gov/Archives/edgar/data/1443646/000119312517120098/d361130dex102.htm" TargetMode="External"/><Relationship Id="rId184" Type="http://schemas.openxmlformats.org/officeDocument/2006/relationships/hyperlink" Target="http://www.sec.gov/Archives/edgar/data/1443646/000119312517120098/d361130dex103.htm" TargetMode="External"/><Relationship Id="rId185" Type="http://schemas.openxmlformats.org/officeDocument/2006/relationships/hyperlink" Target="http://www.sec.gov/Archives/edgar/data/1443646/000119312517189227/d506847dex101.htm" TargetMode="External"/><Relationship Id="rId186" Type="http://schemas.openxmlformats.org/officeDocument/2006/relationships/hyperlink" Target="http://www.sec.gov/Archives/edgar/data/1443646/000119312517189227/d506847dex102.htm" TargetMode="External"/><Relationship Id="rId187" Type="http://schemas.openxmlformats.org/officeDocument/2006/relationships/hyperlink" Target="http://www.sec.gov/Archives/edgar/data/1443646/000119312517189227/d506847dex103.htm" TargetMode="External"/><Relationship Id="rId190" Type="http://schemas.openxmlformats.org/officeDocument/2006/relationships/hyperlink" Target="http://www.sec.gov/Archives/edgar/data/1443646/000119312518314673/d645060dex101.htm" TargetMode="External"/><Relationship Id="rId191" Type="http://schemas.openxmlformats.org/officeDocument/2006/relationships/hyperlink" Target="http://www.sec.gov/Archives/edgar/data/1443646/000119312518314673/d645060dex102.htm" TargetMode="External"/><Relationship Id="rId192" Type="http://schemas.openxmlformats.org/officeDocument/2006/relationships/hyperlink" Target="https://www.sec.gov/Archives/edgar/data/1443646/000119312518314673/d645060dex103.htm" TargetMode="External"/><Relationship Id="rId193" Type="http://schemas.openxmlformats.org/officeDocument/2006/relationships/hyperlink" Target="http://www.sec.gov/Archives/edgar/data/1443646/000119312519100694/d733342dex101.htm" TargetMode="External"/><Relationship Id="rId194" Type="http://schemas.openxmlformats.org/officeDocument/2006/relationships/hyperlink" Target="https://www.sec.gov/Archives/edgar/data/1443646/000119312519100694/d733342dex102.htm" TargetMode="External"/><Relationship Id="rId195" Type="http://schemas.openxmlformats.org/officeDocument/2006/relationships/hyperlink" Target="http://www.sec.gov/Archives/edgar/data/1443646/000119312517120098/d361130dex104.htm" TargetMode="External"/><Relationship Id="rId196" Type="http://schemas.openxmlformats.org/officeDocument/2006/relationships/hyperlink" Target="http://www.sec.gov/Archives/edgar/data/1443646/000119312517120098/d361130dex105.htm" TargetMode="External"/><Relationship Id="rId197" Type="http://schemas.openxmlformats.org/officeDocument/2006/relationships/hyperlink" Target="http://www.sec.gov/Archives/edgar/data/1443646/000119312517120098/d361130dex106.htm" TargetMode="External"/><Relationship Id="rId198" Type="http://schemas.openxmlformats.org/officeDocument/2006/relationships/hyperlink" Target="http://www.sec.gov/Archives/edgar/data/1443646/000119312517189227/d506847dex104.htm" TargetMode="External"/><Relationship Id="rId199" Type="http://schemas.openxmlformats.org/officeDocument/2006/relationships/hyperlink" Target="http://www.sec.gov/Archives/edgar/data/1443646/000119312517189227/d506847dex105.htm" TargetMode="External"/><Relationship Id="rId200" Type="http://schemas.openxmlformats.org/officeDocument/2006/relationships/hyperlink" Target="http://www.sec.gov/Archives/edgar/data/1443646/000119312517189227/d506847dex106.htm" TargetMode="External"/><Relationship Id="rId201" Type="http://schemas.openxmlformats.org/officeDocument/2006/relationships/hyperlink" Target="http://www.sec.gov/Archives/edgar/data/1443646/000119312518314673/d645060dex105.htm" TargetMode="External"/><Relationship Id="rId202" Type="http://schemas.openxmlformats.org/officeDocument/2006/relationships/hyperlink" Target="http://www.sec.gov/Archives/edgar/data/1443646/000119312518314673/d645060dex106.htm" TargetMode="External"/><Relationship Id="rId203" Type="http://schemas.openxmlformats.org/officeDocument/2006/relationships/hyperlink" Target="http://www.sec.gov/Archives/edgar/data/1443646/000119312519100694/d733342dex107.htm" TargetMode="External"/><Relationship Id="rId204" Type="http://schemas.openxmlformats.org/officeDocument/2006/relationships/hyperlink" Target="http://www.sec.gov/Archives/edgar/data/1443646/000119312519100694/d733342dex108.htm" TargetMode="External"/><Relationship Id="rId205" Type="http://schemas.openxmlformats.org/officeDocument/2006/relationships/hyperlink" Target="http://www.sec.gov/Archives/edgar/data/1443646/000119312519100694/d733342dex109.htm" TargetMode="External"/><Relationship Id="rId206" Type="http://schemas.openxmlformats.org/officeDocument/2006/relationships/hyperlink" Target="http://www.sec.gov/Archives/edgar/data/1443646/000119312519100694/d733342dex1010.htm" TargetMode="External"/><Relationship Id="rId209" Type="http://schemas.openxmlformats.org/officeDocument/2006/relationships/hyperlink" Target="http://www.sec.gov/Archives/edgar/data/1443646/000119312519100694/d733342dex1011.htm" TargetMode="External"/><Relationship Id="rId210" Type="http://schemas.openxmlformats.org/officeDocument/2006/relationships/hyperlink" Target="http://www.sec.gov/Archives/edgar/data/1443646/000119312519100694/d733342dex1012.htm" TargetMode="External"/><Relationship Id="rId211" Type="http://schemas.openxmlformats.org/officeDocument/2006/relationships/hyperlink" Target="http://www.sec.gov/Archives/edgar/data/1443646/000119312519100694/d733342dex1013.htm" TargetMode="External"/><Relationship Id="rId212" Type="http://schemas.openxmlformats.org/officeDocument/2006/relationships/hyperlink" Target="http://www.sec.gov/Archives/edgar/data/1443646/000119312519100694/d733342dex1014.htm" TargetMode="External"/><Relationship Id="rId213" Type="http://schemas.openxmlformats.org/officeDocument/2006/relationships/hyperlink" Target="http://www.sec.gov/Archives/edgar/data/1443646/000144364617000108/bah-20170630xex1010.htm" TargetMode="External"/><Relationship Id="rId214" Type="http://schemas.openxmlformats.org/officeDocument/2006/relationships/hyperlink" Target="http://www.sec.gov/Archives/edgar/data/1443646/000144364619000017/ex107-deferredcompensation.htm" TargetMode="External"/><Relationship Id="rId215" Type="http://schemas.openxmlformats.org/officeDocument/2006/relationships/hyperlink" Target="http://www.sec.gov/Archives/edgar/data/1443646/000144364619000183/bah-20190930xex101.htm" TargetMode="External"/><Relationship Id="rId216" Type="http://schemas.openxmlformats.org/officeDocument/2006/relationships/hyperlink" Target="http://www.sec.gov/Archives/edgar/data/1443646/000144364617000050/bah-20170331xex1039.htm" TargetMode="External"/><Relationship Id="rId217" Type="http://schemas.openxmlformats.org/officeDocument/2006/relationships/hyperlink" Target="http://www.sec.gov/Archives/edgar/data/1443646/000144364619000093/bah-20190331xex1058.htm" TargetMode="External"/><Relationship Id="rId218" Type="http://schemas.openxmlformats.org/officeDocument/2006/relationships/hyperlink" Target="http://www.sec.gov/Archives/edgar/data/1443646/000144364617000050/bah-20170331xex1036.htm" TargetMode="External"/><Relationship Id="rId219" Type="http://schemas.openxmlformats.org/officeDocument/2006/relationships/hyperlink" Target="http://www.sec.gov/Archives/edgar/data/1443646/000144364619000093/bah-20190331xex1059.htm" TargetMode="External"/><Relationship Id="rId220" Type="http://schemas.openxmlformats.org/officeDocument/2006/relationships/hyperlink" Target="https://www.sec.gov/Archives/edgar/data/1443646/000144364620000086/bah-20200331xex1061.htm" TargetMode="External"/><Relationship Id="rId221" Type="http://schemas.openxmlformats.org/officeDocument/2006/relationships/hyperlink" Target="http://www.sec.gov/Archives/edgar/data/1443646/000144364617000050/bah-20170331xex1037.htm" TargetMode="External"/><Relationship Id="rId222" Type="http://schemas.openxmlformats.org/officeDocument/2006/relationships/hyperlink" Target="http://www.sec.gov/Archives/edgar/data/1443646/000144364619000093/bah-20190331xex1060.htm" TargetMode="External"/><Relationship Id="rId223" Type="http://schemas.openxmlformats.org/officeDocument/2006/relationships/hyperlink" Target="http://www.sec.gov/Archives/edgar/data/1443646/000144364618000100/bah-20180331xex1044.htm" TargetMode="External"/><Relationship Id="rId224" Type="http://schemas.openxmlformats.org/officeDocument/2006/relationships/hyperlink" Target="http://www.sec.gov/Archives/edgar/data/1443646/000144364618000100/bah-20180331xex1045.htm" TargetMode="External"/><Relationship Id="rId225" Type="http://schemas.openxmlformats.org/officeDocument/2006/relationships/hyperlink" Target="https://www.sec.gov/Archives/edgar/data/0001443646/000144364620000165/exhibit101.htm" TargetMode="External"/><Relationship Id="rId228" Type="http://schemas.openxmlformats.org/officeDocument/2006/relationships/hyperlink" Target="https://www.sec.gov/Archives/edgar/data/0001443646/000144364620000165/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2021-05-21T05:56:41Z</dcterms:created>
  <dcterms:modified xsi:type="dcterms:W3CDTF">2021-05-21T05:56:41Z</dcterms:modified>
</cp:coreProperties>
</file>