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48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920"/>
              <w:spacing w:after="0"/>
              <w:rPr>
                <w:sz w:val="20"/>
                <w:szCs w:val="20"/>
                <w:color w:val="auto"/>
              </w:rPr>
            </w:pPr>
            <w:r>
              <w:rPr>
                <w:rFonts w:ascii="Arial" w:cs="Arial" w:eastAsia="Arial" w:hAnsi="Arial"/>
                <w:sz w:val="18"/>
                <w:szCs w:val="18"/>
                <w:color w:val="auto"/>
                <w:w w:val="94"/>
              </w:rPr>
              <w:t>Accelerated filer</w:t>
            </w:r>
          </w:p>
        </w:tc>
        <w:tc>
          <w:tcPr>
            <w:tcW w:w="1600" w:type="dxa"/>
            <w:vAlign w:val="bottom"/>
          </w:tcPr>
          <w:p>
            <w:pPr>
              <w:spacing w:after="0"/>
              <w:rPr>
                <w:sz w:val="24"/>
                <w:szCs w:val="24"/>
                <w:color w:val="auto"/>
              </w:rPr>
            </w:pP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48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60" w:type="dxa"/>
            <w:vAlign w:val="bottom"/>
            <w:gridSpan w:val="2"/>
          </w:tcPr>
          <w:p>
            <w:pPr>
              <w:ind w:left="9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1"/>
        </w:trPr>
        <w:tc>
          <w:tcPr>
            <w:tcW w:w="906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p>
        </w:tc>
        <w:tc>
          <w:tcPr>
            <w:tcW w:w="16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04"/>
        </w:trPr>
        <w:tc>
          <w:tcPr>
            <w:tcW w:w="9060" w:type="dxa"/>
            <w:vAlign w:val="bottom"/>
            <w:gridSpan w:val="3"/>
          </w:tcPr>
          <w:p>
            <w:pPr>
              <w:spacing w:after="0"/>
              <w:rPr>
                <w:sz w:val="20"/>
                <w:szCs w:val="20"/>
                <w:color w:val="auto"/>
              </w:rPr>
            </w:pPr>
            <w:r>
              <w:rPr>
                <w:rFonts w:ascii="Arial" w:cs="Arial" w:eastAsia="Arial" w:hAnsi="Arial"/>
                <w:sz w:val="18"/>
                <w:szCs w:val="18"/>
                <w:color w:val="auto"/>
                <w:w w:val="91"/>
              </w:rPr>
              <w:t>Indicate the number of shares outstanding of each of the issuer’s classes of common stock, as of the latest practicable date.</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0" w:type="dxa"/>
            <w:vAlign w:val="bottom"/>
          </w:tcPr>
          <w:p>
            <w:pPr>
              <w:jc w:val="center"/>
              <w:ind w:left="99"/>
              <w:spacing w:after="0"/>
              <w:rPr>
                <w:sz w:val="20"/>
                <w:szCs w:val="20"/>
                <w:color w:val="auto"/>
              </w:rPr>
            </w:pPr>
            <w:r>
              <w:rPr>
                <w:rFonts w:ascii="Arial" w:cs="Arial" w:eastAsia="Arial" w:hAnsi="Arial"/>
                <w:sz w:val="14"/>
                <w:szCs w:val="14"/>
                <w:b w:val="1"/>
                <w:bCs w:val="1"/>
                <w:color w:val="auto"/>
                <w:w w:val="91"/>
              </w:rPr>
              <w:t>Shares Outstanding</w:t>
            </w:r>
          </w:p>
        </w:tc>
        <w:tc>
          <w:tcPr>
            <w:tcW w:w="400" w:type="dxa"/>
            <w:vAlign w:val="bottom"/>
          </w:tcPr>
          <w:p>
            <w:pPr>
              <w:spacing w:after="0"/>
              <w:rPr>
                <w:sz w:val="24"/>
                <w:szCs w:val="24"/>
                <w:color w:val="auto"/>
              </w:rPr>
            </w:pPr>
          </w:p>
        </w:tc>
      </w:tr>
      <w:tr>
        <w:trPr>
          <w:trHeight w:val="192"/>
        </w:trPr>
        <w:tc>
          <w:tcPr>
            <w:tcW w:w="20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0" w:type="dxa"/>
            <w:vAlign w:val="bottom"/>
          </w:tcPr>
          <w:p>
            <w:pPr>
              <w:jc w:val="center"/>
              <w:ind w:left="99"/>
              <w:spacing w:after="0"/>
              <w:rPr>
                <w:sz w:val="20"/>
                <w:szCs w:val="20"/>
                <w:color w:val="auto"/>
              </w:rPr>
            </w:pPr>
            <w:r>
              <w:rPr>
                <w:rFonts w:ascii="Arial" w:cs="Arial" w:eastAsia="Arial" w:hAnsi="Arial"/>
                <w:sz w:val="14"/>
                <w:szCs w:val="14"/>
                <w:b w:val="1"/>
                <w:bCs w:val="1"/>
                <w:color w:val="auto"/>
                <w:w w:val="92"/>
              </w:rPr>
              <w:t>as of January 25, 2016</w:t>
            </w:r>
          </w:p>
        </w:tc>
        <w:tc>
          <w:tcPr>
            <w:tcW w:w="400" w:type="dxa"/>
            <w:vAlign w:val="bottom"/>
          </w:tcPr>
          <w:p>
            <w:pPr>
              <w:spacing w:after="0"/>
              <w:rPr>
                <w:sz w:val="16"/>
                <w:szCs w:val="16"/>
                <w:color w:val="auto"/>
              </w:rPr>
            </w:pPr>
          </w:p>
        </w:tc>
      </w:tr>
      <w:tr>
        <w:trPr>
          <w:trHeight w:val="25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8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148,788,170</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B Non-Voting Common Stock</w:t>
            </w:r>
          </w:p>
        </w:tc>
        <w:tc>
          <w:tcPr>
            <w:tcW w:w="2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2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E Special Voting Common Stock</w:t>
            </w:r>
          </w:p>
        </w:tc>
        <w:tc>
          <w:tcPr>
            <w:tcW w:w="2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92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6">
              <w:r>
                <w:rPr>
                  <w:rFonts w:ascii="Arial" w:cs="Arial" w:eastAsia="Arial" w:hAnsi="Arial"/>
                  <w:sz w:val="18"/>
                  <w:szCs w:val="18"/>
                  <w:b w:val="1"/>
                  <w:bCs w:val="1"/>
                  <w:color w:val="0000EE"/>
                  <w:w w:val="79"/>
                </w:rPr>
                <w:t>34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6">
              <w:r>
                <w:rPr>
                  <w:rFonts w:ascii="Arial" w:cs="Arial" w:eastAsia="Arial" w:hAnsi="Arial"/>
                  <w:sz w:val="18"/>
                  <w:szCs w:val="18"/>
                  <w:b w:val="1"/>
                  <w:bCs w:val="1"/>
                  <w:color w:val="0000EE"/>
                  <w:w w:val="79"/>
                </w:rPr>
                <w:t>35</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857,310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98,681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1,134,183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1,163,208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219,382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79,305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72,625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57,063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242,849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279,239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793,477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848,994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277,698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2,585,751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2,690,995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153,137,421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2015 and 150,237,675 shares at March 31, 2015; outstanding, 148,777,465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2015 and 147,238,282 shares at March 31, 2015</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0 shares at December 31, 2015 and 1,851,589 shares at March 31, 2015</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2"/>
              </w:rPr>
              <w:t>Treasury stock, at cost — 4,359,956 shares at December 31, 2015 and 2,999,393 shares at March 31, 2015</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(72,293)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174,985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275,356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104,457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380,757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186,498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1,307,663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1,304,686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3,981,421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3,931,824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630,189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1,899,376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1,928,967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355,401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366,371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1,097,741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1,064,994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200,809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597,611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524,368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46,617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47,233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1,202,547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1,199,430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3,641,345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3,565,562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105,256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340,076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287,448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58,871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121,432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228,577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center"/>
              <w:ind w:left="480"/>
              <w:spacing w:after="0" w:line="151"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228,577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108,589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230,159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189,463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228,577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189,206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73,088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(219,188)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198,438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259,994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197,443</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113,422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114,276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Assets acquired under capital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December 31, 2015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not-for-profit organizations, and international clients. The Company reports operating results and financial data in one operating segment. The Company is headquartered in McLean, Virginia, with approximately 22,600 employees as of December 31,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2015 filed with the Securities and Exchange Commission on May 21, 2015,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2015 are not necessarily indicative of results to be expected for the full fiscal year.</w:t>
      </w:r>
    </w:p>
    <w:p>
      <w:pPr>
        <w:spacing w:after="0" w:line="7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7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Other recent accounting pronouncements issued by the FASB during the nine months ended December 31, 2015 and through the filing date did not or are not believed by management to have a material impact on the Company's present or historical condensed consolidated financial statements.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2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Company currently has outstanding shares of Class A Common Stock. On September 30, 2015,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During fiscal 2015, the Company converted all issued and outstanding shares of Class B Non-Voting Common Stock and Class C Restricted Common Stock into shares of Class A Common Stock on a one-for-one basis. Unvested Class A Restricted Common Stock holders are entitled to participate in non-forfeitable dividends or other distributions. These unvested shares participated in the Company's dividends declared and were paid in the first, second, and third quarters of fiscal 2016 and 2015.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25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3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186,275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147,428,588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146,664,977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146,291,184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144,482,223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Class B Non-Voting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293,071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504,112</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147,428,588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146,664,977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146,291,184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145,279,406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106,568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52,025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225,481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186,275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2,472,337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4,014,108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3,210,274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4,960,430</w:t>
            </w:r>
          </w:p>
        </w:tc>
      </w:tr>
      <w:tr>
        <w:trPr>
          <w:trHeight w:val="209"/>
        </w:trPr>
        <w:tc>
          <w:tcPr>
            <w:tcW w:w="536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149,900,925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150,679,085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149,501,458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150,239,836</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5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three months ended December 31, 2015 and 2014, approximately 2.1 million and 2.2 million participating securities were paid dividends</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totaling $0.3 million and $0.3 million, respectively. During the nine months ended December 31, 2015 and 2014, approximately 2.1 million and 2.2 million participating securities were paid dividends totaling $0.7 million and $2.9 million, respectively. For the three and nine months ended December 31, 2015 there were undistributed earnings of $1.3 million and $2.4 million respectively, allocated to the participating class of securities in basic earnings per share, and $1.2 million and $2.3 million, respectively, to diluted earnings per share. For the three months ended December 31, 2014 there were undistributed earnings of $0.6 million allocated to the participating class of securities in basic earnings per share, and $0.5 million to diluted earnings per share. The allocated undistributed earnings and the dividends paid comprise the difference between net income presented on the condensed consolidated statements of operations and earnings for basic and diluted computations for the three and nine months ended December 31, 2015, and the three months ended December 31, 2014, while only the dividends paid comprise the difference in net income for the nine months ended December 31, 2014, as there were no undistributed earnings.</w:t>
      </w:r>
    </w:p>
    <w:p>
      <w:pPr>
        <w:spacing w:after="0" w:line="278"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EPS calculation for the three and nine months ended December 31, 2015 excludes 0.5 million and 0.6 million options, respectively, as their impact was anti-dilutive. The EPS calculation for the three and nine months ended December 31, 2014 excludes 0.1 million and 0.3 million options, respectively, as their impact was anti-dilutive.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GOODWILL</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October 31, 2015, the Company acquired the software services unit of SPARC, LLC, a Charleston, SC software development firm for a preliminary purchase price per the agreement of $53 million, subject to finalizing the working capital adjustments. Pursuant to the terms of the agreement, the acquisition was accounted for using the purchase method of accounting which requires the total purchase price consideration to be allocated to the assets acquired and liabilities assumed based on estimates of their estimated fair values. The excess of purchase consideration over the amounts assigned to tangible and intangible assets acquired and liabilities assumed, based on the preliminary purchase price allocation of $35.1 million, was recognized as goodwill. As part of the acquisition the Company also acquired a capital lease. The lease is valued at $6.8 million and is included within other current liabilities on the condensed consolidated balance sheet.</w:t>
      </w:r>
    </w:p>
    <w:p>
      <w:pPr>
        <w:spacing w:after="0" w:line="5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As of December 31, 2015 and March 31, 2015, goodwill was $1,361.6 million and $1,304.2 million, respectively. The increase in the carrying amount of goodwill is primarily attributable to the preliminary purchase price allocation associated with the acquisition of the software services unit of SPARC, LLC. In addition, during the third quarter, the Company released $50.9 million of uncertain tax positions associated with the acquisition of the Company by the Carlyle Group in July 2008, or the Acquisition. Of the $50.9 million, $21.4 million were tax related indemnification assets that offset the deferred payment obligation, with a corresponding adjustment to goodwill. See Note 8 and Note 10 for further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352,172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318,464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539,203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886,659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875,806</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and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$1.1 million and $(0.01) million for the three months ended December 31, 2015 and 2014, respectively, and $0.3 million and $(1.0) million for the nine months ended December 31, 2015 and 2014, respectively. The Company does not have material exposure to accounts receivable credit risk, because the Company's accounts receivable are primarily with the U.S. Government and its agencies.</w:t>
      </w:r>
    </w:p>
    <w:p>
      <w:pPr>
        <w:spacing w:after="0" w:line="282" w:lineRule="exact"/>
        <w:rPr>
          <w:sz w:val="20"/>
          <w:szCs w:val="20"/>
          <w:color w:val="auto"/>
        </w:rPr>
      </w:pPr>
    </w:p>
    <w:p>
      <w:pPr>
        <w:ind w:left="440" w:right="5700" w:hanging="432"/>
        <w:spacing w:after="0" w:line="428" w:lineRule="auto"/>
        <w:tabs>
          <w:tab w:leader="none" w:pos="18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244,808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265,820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432,999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481,815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29,285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liability (Note 15)</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31,732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242,849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279,239</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of December 31, 2015 and March 31, 2015, the Company recorded a stock-based compensation liability of $2.3 million and $31.7 million, respectively, expected to be paid within one year, related to special dividends paid in July and December 2009, June and August 2012, November 2013, and February and August 2014. Rollover options vested and not yet exercised that would have had an exercise price below zero as a result of the dividends were reduced to one cent, with the remaining reduction to be paid in cash upon exercise of the options. Payments of the special dividends to the Company's Second Amended and Restated Equity Incentive Plan, or EIP, option holders are linked to vesting. Refer to Note 15 for further discussion of the special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PAYMENT OBLIGATION</w:t>
      </w:r>
    </w:p>
    <w:p>
      <w:pPr>
        <w:spacing w:after="0" w:line="12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8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remaining $80.0 million is available to indemnify the Company for certain pre-acquisition tax contingencies, related interest and penalties, and other matters pursuant to the Merger Agreement. Any amounts remaining after the settlement of claims will be paid out to the selling shareholders. During the quarter ended December 31, 2015, the Company effectively settled approximately $50.9 million of its pre-acquisition uncertain tax positions, thereby relieving an amount of approximately $21.4 million that was previously indemnified under the DPO. As of December 31, 2015, there were no estimated indemnified amounts recorded against the DPO.</w:t>
      </w:r>
    </w:p>
    <w:p>
      <w:pPr>
        <w:spacing w:after="0" w:line="8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 reconciliation of the principal balance of the DPO to the amount recorded in the condensed consolidated balance sheets for the periods presented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Indemnified pre-acquisition uncertain tax positions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Release of indemnified pre-acquisition uncertain tax positions</w:t>
            </w:r>
          </w:p>
        </w:tc>
        <w:tc>
          <w:tcPr>
            <w:tcW w:w="2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Amount recorded in the consolidated balance sheets</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Term Loan 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Term Loan B</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Less: Current portion of long-term debt</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March 31, 2015</w:t>
            </w:r>
          </w:p>
        </w:tc>
      </w:tr>
      <w:tr>
        <w:trPr>
          <w:trHeight w:val="152"/>
        </w:trPr>
        <w:tc>
          <w:tcPr>
            <w:tcW w:w="16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12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gridSpan w:val="2"/>
          </w:tcPr>
          <w:p>
            <w:pPr>
              <w:ind w:left="540"/>
              <w:spacing w:after="0" w:line="153"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12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15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Balance</w:t>
            </w:r>
          </w:p>
        </w:tc>
      </w:tr>
      <w:tr>
        <w:trPr>
          <w:trHeight w:val="243"/>
        </w:trPr>
        <w:tc>
          <w:tcPr>
            <w:tcW w:w="15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755,145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796,024</w:t>
            </w: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832,056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830,311</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1,587,201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1,626,335</w:t>
            </w:r>
          </w:p>
        </w:tc>
      </w:tr>
      <w:tr>
        <w:trPr>
          <w:trHeight w:val="270"/>
        </w:trPr>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(72,625)</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(57,063)</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1,514,576</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1,569,272</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-908685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-556895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340"/>
          </w:cols>
          <w:pgMar w:left="240" w:top="634" w:right="239" w:bottom="1440" w:gutter="0" w:footer="0" w:header="0"/>
        </w:sectPr>
      </w:pPr>
    </w:p>
    <w:p>
      <w:pPr>
        <w:spacing w:after="0" w:line="11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The Credit Agreement, as amended, provides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 The rates for Term Loan A and Term Loan B, as amended, remain unchanged. The Second Amendment also extended the maturity date of Term Loan A and the revolving credit facility to May 31, 2019. The maturity date for Term Loan B remained unchanged at July 31, 2019. The Company also amended its existing debt covenants to provide for greater operational and financial flexibility.</w:t>
      </w:r>
    </w:p>
    <w:p>
      <w:pPr>
        <w:spacing w:after="0" w:line="84"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The Company occasionally borrows under the revolving credit facility in anticipation of cash demands. On October 29, 2015 the Company's wholly-owned subsidiary Booz Allen Hamilton Inc. accessed $93.0 million of its $500.0 million revolving credit facility to support month-end transactions and the acquisition of the software services unit of SPARC, LLC. On November 4, 2015, the Company repaid the $40.0 million borrowed from the revolving credit facility. On November 25, 2015 Booz Allen Hamilton Inc. accessed an additional $30 million from the revolving credit facility to support month-end transactions. The Company repaid $53 million on November 30, 2015 and the remaining $30 million balance on December 4, 2015.</w:t>
      </w:r>
    </w:p>
    <w:p>
      <w:pPr>
        <w:spacing w:after="0" w:line="50"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December 31, 2015 and March 31, 2015, there were no amounts outstanding on the revolving credit facility.</w:t>
      </w:r>
    </w:p>
    <w:p>
      <w:pPr>
        <w:spacing w:after="0" w:line="50"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7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$11.4 million and $13.7 million as of December 31, 2015 and March 31, 2015, respectively. As of December 31, 2015 and March 31, 2015, the Company was in compliance with all of the Credit Agreement's debt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Company’s effective income tax rate was (22.9)% and 39.0% for the three months ended December 31, 2015 and 2014, respectively, and 20.5% and 39.1% for the nine months ended December 31, 2015 and 2014, respectively. The decrease in the effective tax rate for the three and nine months ended December 31, 2015 as compared to the same period last year is primarily due to the reduction in income tax reserves for uncertain tax positions as a result of expiring statute of limitations. Based on management's conclusion that the uncertain tax positions related to the statute lapse were effectively settled, $50.9 million of tax reserves associated with pre-acquisition uncertain tax positions, which includes $3.2 million of interest and penalties that were incurred by the Company subsequent to the Acquisition, were released, which reduced the income tax provision for the three and nine months ended December 31, 2015. The three and nine months effective tax rates of (22.9)% and 20.5% differ from the statutory rate of 35.0% primarily due to the release of tax reserves, offset by the state income taxes and the effect of permanent rate differences, which primarily relate to meals and entertainment.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4" w:right="239" w:bottom="1440" w:gutter="0" w:footer="0" w:header="0"/>
          <w:type w:val="continuous"/>
        </w:sectPr>
      </w:pPr>
    </w:p>
    <w:bookmarkStart w:id="11" w:name="page12"/>
    <w:bookmarkEnd w:id="11"/>
    <w:p>
      <w:pPr>
        <w:ind w:right="40" w:firstLine="405"/>
        <w:spacing w:after="0" w:line="259" w:lineRule="auto"/>
        <w:rPr>
          <w:sz w:val="20"/>
          <w:szCs w:val="20"/>
          <w:color w:val="auto"/>
        </w:rPr>
      </w:pPr>
      <w:r>
        <w:rPr>
          <w:rFonts w:ascii="Arial" w:cs="Arial" w:eastAsia="Arial" w:hAnsi="Arial"/>
          <w:sz w:val="18"/>
          <w:szCs w:val="18"/>
          <w:color w:val="auto"/>
        </w:rPr>
        <w:t>The Company is also subject to taxes imposed by various taxing authorities including state and foreign jurisdictions. Tax years related to state and foreign jurisdictions that remain open and subject to examination are not considered to be material. Additionally, due to statute of limitations expirations and potential audit settlements, it is reasonably possible that a portion of the remaining reserves recorded on previously recognized tax benefits may be effectively settled by March 31, 2016.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34,732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117,379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111,624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(1)</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277,698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272,729</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Balance at December 31, 2015 and March 31, 2015 includes a contingent earnout liability of $4.5 million related to business acquisitions. Refer to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16 for further discussion.</w:t>
      </w:r>
    </w:p>
    <w:p>
      <w:pPr>
        <w:spacing w:after="0" w:line="200" w:lineRule="exact"/>
        <w:rPr>
          <w:sz w:val="20"/>
          <w:szCs w:val="20"/>
          <w:color w:val="auto"/>
        </w:rPr>
      </w:pPr>
    </w:p>
    <w:p>
      <w:pPr>
        <w:spacing w:after="0" w:line="223" w:lineRule="exact"/>
        <w:rPr>
          <w:sz w:val="20"/>
          <w:szCs w:val="20"/>
          <w:color w:val="auto"/>
        </w:rPr>
      </w:pPr>
    </w:p>
    <w:p>
      <w:pPr>
        <w:ind w:left="340" w:right="8640" w:hanging="332"/>
        <w:spacing w:after="0" w:line="378"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0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$27.0 million and $26.2 million for the three months ended December 31, 2015 and 2014, respectively, and $81.4 million and $81.4 million for the nine months ended December 31, 2015 and 2014, respectively. The Company-paid contributions were $14.6 million and $14.9 million for the three months ended December 31, 2015 and 2014, respectively, and $46.6 million and $53.1 million for the nine months ended December 31, 2015 and 2014,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2,676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10,308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6,176</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As of December 31, 2015 and March 31, 2015, the unfunded status of the post-retirement medical plan was $112.7 million and $107.3 million, respectively, which is included in other long-term liabilities in the accompanying condensed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257</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4"/>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12)</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143,962,073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1,365,008</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3,392,643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 (1)</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1,517,951</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2,389,768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365,986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 (3)</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2,533,760</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(1,851,589)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(4)</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1,360,563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153,137,421</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4,359,956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40" w:hanging="652"/>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50" w:lineRule="exact"/>
        <w:rPr>
          <w:rFonts w:ascii="Arial" w:cs="Arial" w:eastAsia="Arial" w:hAnsi="Arial"/>
          <w:sz w:val="16"/>
          <w:szCs w:val="16"/>
          <w:color w:val="auto"/>
        </w:rPr>
      </w:pPr>
    </w:p>
    <w:p>
      <w:pPr>
        <w:ind w:left="660" w:right="6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5, 2014, the Company entered into an agreement with an affiliate of The Carlyle Group to repurchase 1.0 million shares of the Company's Class A Common Stock. The shares were repurchased at a price of $25.10 per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4" w:right="239" w:bottom="1440" w:gutter="0" w:footer="0" w:header="0"/>
        </w:sectPr>
      </w:pPr>
    </w:p>
    <w:bookmarkStart w:id="13" w:name="page14"/>
    <w:bookmarkEnd w:id="13"/>
    <w:p>
      <w:pPr>
        <w:ind w:left="660" w:right="20"/>
        <w:spacing w:after="0" w:line="346" w:lineRule="auto"/>
        <w:rPr>
          <w:sz w:val="20"/>
          <w:szCs w:val="20"/>
          <w:color w:val="auto"/>
        </w:rPr>
      </w:pPr>
      <w:r>
        <w:rPr>
          <w:rFonts w:ascii="Arial" w:cs="Arial" w:eastAsia="Arial" w:hAnsi="Arial"/>
          <w:sz w:val="16"/>
          <w:szCs w:val="16"/>
          <w:color w:val="auto"/>
        </w:rPr>
        <w:t>share in a private non-underwritten transaction. On February 2, 2015, the Company entered into a similar agreement with an affiliate of the Carlyle Group to repurchase an additional 1.0 million shares of our Class A common stock pursuant to the repurchase program. The shares were repurchased from the Underwriter at a price of $28.36 per share. The repurchase of common stock above also reflects shares repurchased on June 30, 2014 to cover the minimum statutory withholding taxes on restricted stock awards that vested on June 30, 2014, shares repurchased on September 12, 2014 to cover the minimum statutory withholding taxes on rollover stock options exercised on September 12, 2014 and shares repurchased on multiple dates to cover the minimum statutory withholding taxes on accelerated restricted stock vesting for departing officers.</w:t>
      </w:r>
    </w:p>
    <w:p>
      <w:pPr>
        <w:spacing w:after="0" w:line="29" w:lineRule="exact"/>
        <w:rPr>
          <w:sz w:val="20"/>
          <w:szCs w:val="20"/>
          <w:color w:val="auto"/>
        </w:rPr>
      </w:pPr>
    </w:p>
    <w:p>
      <w:pPr>
        <w:ind w:left="660" w:right="7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62" w:lineRule="exact"/>
        <w:rPr>
          <w:rFonts w:ascii="Arial" w:cs="Arial" w:eastAsia="Arial" w:hAnsi="Arial"/>
          <w:sz w:val="18"/>
          <w:szCs w:val="18"/>
          <w:color w:val="auto"/>
        </w:rPr>
      </w:pPr>
    </w:p>
    <w:p>
      <w:pPr>
        <w:ind w:left="660" w:right="14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2016, the Company purchased 1.2 million shares of the Company’s Class A Common Stock in a series of open market transactions for $30.5 million. Additionally, the Company repurchased shares on June 30, 2015 to cover the minimum statutory withholding taxes on restricted stock awards and restricted stock units that vested on June 30, 2015, and repurchased shares to cover the minimum statutory withholding taxes on accelerated restricted stock vesting for departing officers.</w:t>
      </w:r>
    </w:p>
    <w:p>
      <w:pPr>
        <w:spacing w:after="0" w:line="79"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2015, 51,157 Class A Common Stock shares were purchased by employees under the Company's Employee Stock Purchase Plan, or ESPP. Since the program's inception, 1,677,359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13,353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6,288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17,809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5,496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15,932</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6,288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17,809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December 31, 2015, there was $25.3 million of total unrecognized compensation cost related to unvested stock-based compensation agreements. The unrecognized compensation cost as of December 31, 2015 is expected to be fully amortized over the next 4.25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Weighted Average Remaining</w:t>
            </w: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 (in years)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4,300</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3.41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20,951</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2.20</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25,251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2015, there were 5,953,555 EIP options outstanding, of which 1,733,945 were unvested.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October 28, 2015, the Board of Directors granted 2,808 shares of Class A Restricted Common Stock to a new member of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was estimated at $0.1 million based on the stock price of $30.30 on the grant date.</w:t>
      </w:r>
    </w:p>
    <w:p>
      <w:pPr>
        <w:spacing w:after="0" w:line="103"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On October 28, 2015, the Board of Directors granted 5,775 Restricted Stock Units to certain newly hired employees. The aggregate value was estimated at $0.2 million based on the stock price of $30.30 on the grant date.</w:t>
      </w:r>
    </w:p>
    <w:p>
      <w:pPr>
        <w:spacing w:after="0" w:line="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December 15, 2015, the Board of Directors granted 35,590 Restricted Stock Units to certain newly hired and current officers. The aggregate value was estimated at $1.0 million based on the stock price of $29.50 on the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Compensation Committee, acting as the Administrator of the Officers' Rollover Stock Plan and the EIP have discretion in how to effect the required adjustment to keep option holders whole in the event of a distribution of dividends that trigger certain anti-dilution clauses within the respective plans. In the event the Board of Directors elects to grant option holders a cash payment equal to the amount of the special dividend, the Company accrues a stock-based compensation liability as the EIP options are scheduled to be vested. Rollover Options are fully vested; therefore the liability associated with these options was fully recorded on the condensed consolidated balance sheet. As of December 31, 2015, the rollover options were fully exercised and the liability was fully settled.</w:t>
      </w:r>
    </w:p>
    <w:p>
      <w:pPr>
        <w:spacing w:after="0" w:line="30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Total compensation expense recorded in conjunction with the payment of the dividend equivalents to EIP option holders for the three and nine months ended December 31, 2015 was $0.1 million and $0.2 million, respectively, as compared to $0.1 million and $0.9 million recorded for the three and nine months ended December 31, 2014, respectively. Future compensation expense related to the payment of the dividend equivalents to EIP option holders not yet recognized in the statement of operations is $0.2 million and is expected to be recognized over 1.5 years.</w:t>
      </w:r>
    </w:p>
    <w:p>
      <w:pPr>
        <w:spacing w:after="0" w:line="280"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As of December 31, 2015 and March 31, 2015, the Company calculated a total recorded and unrecorded stock-based compensation liability of $3.9 million and $35.8 million, respectively, related to the special dividends paid in July and December 2009, June and August 2012, November 2013 and February and August 2014,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December 31, 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Rollover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EIP 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Options</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liability (1)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r>
      <w:tr>
        <w:trPr>
          <w:trHeight w:val="27"/>
        </w:trPr>
        <w:tc>
          <w:tcPr>
            <w:tcW w:w="4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December 31, 2015, $1.6 million related to EIP options will be recorded as liabilities as the options vest over the next 3.25 years. As of March 31, 2015, there was an unrecorded liability of $4.1 million related to EIP options.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60" w:right="239" w:bottom="1440" w:gutter="0" w:footer="0" w:header="0"/>
        </w:sectPr>
      </w:pPr>
    </w:p>
    <w:bookmarkStart w:id="15" w:name="page16"/>
    <w:bookmarkEnd w:id="15"/>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as of December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134,775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167,104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Company's fair value measurements as of March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158,275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13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rFonts w:ascii="Arial" w:cs="Arial" w:eastAsia="Arial" w:hAnsi="Arial"/>
          <w:sz w:val="18"/>
          <w:szCs w:val="18"/>
          <w:color w:val="auto"/>
        </w:rPr>
      </w:pPr>
    </w:p>
    <w:p>
      <w:pPr>
        <w:ind w:right="4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March 31, 2015 and December 31, 2015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Since the initial recording of this liability as a part of the purchase accounting, there have been no subsequent changes in fair value recorded to-date. Any future changes in the fair value of this contingent consideration liability will be recognized in earnings during the applicable period.</w:t>
      </w:r>
    </w:p>
    <w:p>
      <w:pPr>
        <w:spacing w:after="0" w:line="84"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December 31, 2015 and March 31, 2015. The fair value of debt is determined based on interest rates available for debt with terms and maturities similar to the Company's existing debt arrangements (Level 2 inputs).</w:t>
      </w:r>
    </w:p>
    <w:p>
      <w:pPr>
        <w:spacing w:after="0" w:line="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contingent earnout liability categorized as Level 3 for the fiscal year ended December 31, 2015: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Contingent Earnout</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2015</w:t>
            </w:r>
          </w:p>
        </w:tc>
        <w:tc>
          <w:tcPr>
            <w:tcW w:w="5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Issuances</w:t>
            </w:r>
          </w:p>
        </w:tc>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2015</w:t>
            </w:r>
          </w:p>
        </w:tc>
        <w:tc>
          <w:tcPr>
            <w:tcW w:w="5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335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Carlyle Group is the largest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December 31, 2015 were $36,000 and $29,000, respectively, and $140,000 and $110,000 for the nine months ended December 31, 2015, respectively. Revenue and cost associated with these related parties for the three months ended December 31, 2014 were $312,000 and $233,000, respectively, and $961,000 and $719,000 for the nine months ended December 31, 2014, respectively.</w:t>
      </w:r>
    </w:p>
    <w:p>
      <w:pPr>
        <w:spacing w:after="0" w:line="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 of $41.4 million and $47.0 million at December 31, 2015 and March 31, 2015, respectively. The participation by such investment vehicles in the syndication of the Company's debt was done on an arm’s length basis.</w:t>
      </w:r>
    </w:p>
    <w:p>
      <w:pPr>
        <w:spacing w:after="0" w:line="7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December 31, 2015 and 2014, the Company incurred $250,000 in advisory fees in each period. For the nine months ended December 31, 2015 and 2014, the Company incurred $750,000 in advisory fees in each period.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As a result of the Acquisition, the Company assigned a total of nine leases to Booz &amp; Co, which has subsequently changed its name to Strategy&amp;. The Company remains liable for one lease, which expires in March 2017, for a facility located in London under the terms of the original lease should Strategy&amp; default on its obligations. All other leases assigned to Strategy&amp; have expired. There were no events of default under these leases as of December 31, 2015 or March 31, 2015. The maximum potential amount of undiscounted future payments is $5.5 million. Based on the Company’s assessment of the likelihood of future payment, no amounts have been recorded related to the Company’s contingent liability on such leases.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of December 31, 2015 and March 31, 2015, the Company was contingently liable under open standby letters of credit and bank guarantees issued by our banks in favor of third parties that totaled $5.5 million and $5.3 million, respectively. These letters of credit and bank guarantees primarily support insurance and bid and performance obligations. At December 31, 2015 and March 31, 2015, approximately $1.8 million and $5.2 million of these instruments reduce the available borrowings under the revolving credit facility. The remainder are guaranteed under a separate $5.0 million facility established in fiscal 2015 of which $1.3 million and $4.9 million, respectively, was available to the Company at December 31, 2015 and March 31, 2015.</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the three and nine months ended December 31, 2015 approximately 97%, and for the three and nine months ended December 31, 2014 approximately 97% and 98% respectively,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recorded the appropriate provision for any losses that may be experienced from any investigation of which it is aware. The Defense Contract Management Agency Administrative Contracting Officer has negotiated annual final indirect cost rates through fiscal year 2008. Audits of subsequent years may result in cost reductions and/or penalties. Management believes it has recorded the appropriate provision for the estimated losses that may be experienced from any such reductions and/or penalties. As of December 31, 2015 and March 31, 2015, the Company has recorded a liability of approximately $208.0 million and $205.3 million, respectively, for its current best estimate of amounts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be refunded to customers for potential adjustments from such audits or reviews of contract costs incurred subsequent to fiscal year 2008.</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2015, there are no material amounts accrued in the condensed consolidated financial statements related to these proceedings.</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Six former officers and stockholders who had departed the company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against the Company and certain of the Company’s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and have been appealed by the plaintiffs. As of December 31, 2015 and March 31, 2015, the aggregate alleged damages sought in these four remaining suits was approximately $291.7 million (which is sought to be trebled pursuant to RICO) plus punitive damages, costs, and fees.</w:t>
      </w:r>
    </w:p>
    <w:p>
      <w:pPr>
        <w:spacing w:after="0" w:line="2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2015 filed with the Securities and Exchange Commission on May 21, 2015,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38"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 We are a well-known, trusted and long-term partner to our clients, who seek our expertise and objective advice to address their most important and complex problems. Leveraging our 100-year consulting heritage and a talent base of approximately 22,600 people, we deploy our deep domain knowledge, functional and technical expertise, expanding set of capabilities, and experience of innovative client service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clients in selected commercial markets, and international clients. Major government clients include the Department of Defense, all branches of the U.S. military, the U.S. Intelligence Community, and civil agencies such as the Department of Homeland Security, the Department of Health and Human Services, and the Department of the Treasury. We support these clients in addressing complex and pressing challenges such as combating global terrorism, improving cyber capabilities, transforming the healthcare system, improving efficiency and managing change within the government. In the commercial sector, we serve U.S. clients primarily in the financial services, healthcare, energy, retail, and automotive markets. Our international clients are primarily in the Middle East and south-east Asia.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the third quarter of fiscal 2016, the Company made further progress on its long term growth strategy by continuing to invest in key capabilities and markets while also increasing spending on bid and proposal activity to address a strong pipeline of opportunities. Total headcount also grew by approximately 275 employees as compared to the prior year period.</w:t>
      </w:r>
    </w:p>
    <w:p>
      <w:pPr>
        <w:spacing w:after="0" w:line="73"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Revenue was relatively flat at a 0.2% increase from the three months ended December 31, 2014 to the three months ended December 31, 2015 and increased 1.3% from the nine months ended December 31, 2014 to the nine months ended December 31, 2015. Confidence in the government contracting environment led the Company to increase indirect spending over the prior year period which also had the effect of increasing revenue on cost reimbursable contracts. For the nine months ended December 31, 2015, there was an increase in billable expenses of $32.7 million due to an increase in our use of subcontractors and other direct expenses incurred to perform on contracts. Billable expenses declined over the quarter to date period.</w:t>
      </w:r>
    </w:p>
    <w:p>
      <w:pPr>
        <w:spacing w:after="0" w:line="5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Operating income also remained relatively flat at a 0.1% decrease to $105.1 million in the three months ended December 31, 2015 from $105.3 million in the three months ended December 31, 2014, which reflects a 10 basis point decrease in operating margin to 8.0% from 8.1% in the comparable period. Operating income decreased 7.1% to $340.1 million in the nine months ended December 31, 2015 from $366.3 million in the nine months ended December 31, 2014, which reflects a 78 basis point decrease in operating margin to 8.5% from 9.3% in the comparable period. The decrease in operating income was primarily attributable to the increase in indirect spending as discussed above. The increased spending was primarily the result of increased bid and proposal, marketing, recruiting, and administrative activities to address a strong pipeline of opportunities, and meet strong demand.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34" w:right="259" w:bottom="1440" w:gutter="0" w:footer="0" w:header="0"/>
        </w:sectPr>
      </w:pPr>
    </w:p>
    <w:bookmarkStart w:id="19" w:name="page20"/>
    <w:bookmarkEnd w:id="19"/>
    <w:p>
      <w:pPr>
        <w:spacing w:after="0" w:line="293" w:lineRule="auto"/>
        <w:rPr>
          <w:sz w:val="20"/>
          <w:szCs w:val="20"/>
          <w:color w:val="auto"/>
        </w:rPr>
      </w:pPr>
      <w:r>
        <w:rPr>
          <w:rFonts w:ascii="Arial" w:cs="Arial" w:eastAsia="Arial" w:hAnsi="Arial"/>
          <w:sz w:val="16"/>
          <w:szCs w:val="16"/>
          <w:color w:val="auto"/>
        </w:rPr>
        <w:t>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57" w:lineRule="exact"/>
        <w:rPr>
          <w:sz w:val="20"/>
          <w:szCs w:val="20"/>
          <w:color w:val="auto"/>
        </w:rPr>
      </w:pPr>
    </w:p>
    <w:p>
      <w:pPr>
        <w:ind w:left="1300" w:right="12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280" w:hanging="644"/>
        <w:spacing w:after="0" w:line="30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transaction costs, fees, losses, and expenses, including fees associated with debt prepayments.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46" w:lineRule="exact"/>
        <w:rPr>
          <w:rFonts w:ascii="Arial" w:cs="Arial" w:eastAsia="Arial" w:hAnsi="Arial"/>
          <w:sz w:val="16"/>
          <w:szCs w:val="16"/>
          <w:color w:val="auto"/>
        </w:rPr>
      </w:pPr>
    </w:p>
    <w:p>
      <w:pPr>
        <w:ind w:left="1300" w:right="20" w:hanging="644"/>
        <w:spacing w:after="0" w:line="25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transaction costs, fees, losses, and expenses, including fees associated with debt prepayments, (ii) adjustments related to the amortization of intangible assets, (iii) amortization or write-off of debt issuance costs and write-off of original issue discount, and (iv)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8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38" w:right="259" w:bottom="1440" w:gutter="0" w:footer="0" w:header="0"/>
        </w:sectPr>
      </w:pPr>
    </w:p>
    <w:bookmarkStart w:id="20" w:name="page21"/>
    <w:bookmarkEnd w:id="20"/>
    <w:p>
      <w:pPr>
        <w:ind w:right="24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105,256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340,076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366,262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343,245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371,470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121,432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55,624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46,617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47,233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413,495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386,693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Release of income tax reserves (c)</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or write-off of debt issuance costs and write-off of</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issue discount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185,157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195,491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149,900,925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150,679,085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149,501,458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150,239,836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92,310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27,529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180,997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228,058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76,043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135,168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210,592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Release of pre-acquisition income tax reserves assumed by the Company in connection with the Acquisition of our Company by The Carlyle Group.</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360" w:hanging="652"/>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an adjustment of approximately $1.5 million and $3.0 million of net earnings for the three and nine months ended December 31, 2015, respectively, and excludes an adjustment of approximately $0.8 million and $2.9 million of net earnings for the three and nine months ended December 31, 2014, respectively, associated with the application of the two-class method for computing diluted earnings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320" w:hanging="644"/>
        <w:spacing w:after="0" w:line="297"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address budgetary constraints, caps on the discretionary budget for defense non-defense departments and agencies, as established by the Bipartisan Budget Control Act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5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hanging="644"/>
        <w:spacing w:after="0" w:line="270"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73"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4" w:right="239" w:bottom="1440" w:gutter="0" w:footer="0" w:header="0"/>
        </w:sectPr>
      </w:pPr>
    </w:p>
    <w:bookmarkStart w:id="22" w:name="page23"/>
    <w:bookmarkEnd w:id="22"/>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200" w:hanging="644"/>
        <w:spacing w:after="0" w:line="31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4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Bipartisan Budget Act of 2013 and the Bipartisan Budget Act of 2015), provides for automatic spending cuts totaling approximately $1.2 trillion between 2013 and 2021, and requires an estimated $500 billion in federal defense spending cuts over this time period. The Bipartisan Budget Act of 2015 raised existing spending caps on defense spending by $25 billion and $15 billion for government fiscal years 2016 and 2017, respectively, but did not address spending caps beyond fiscal 2017.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0"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00" w:hanging="655"/>
        <w:spacing w:after="0" w:line="257"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320" w:hanging="655"/>
        <w:spacing w:after="0" w:line="277"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8" w:right="259" w:bottom="1440" w:gutter="0" w:footer="0" w:header="0"/>
        </w:sectPr>
      </w:pPr>
    </w:p>
    <w:bookmarkStart w:id="23" w:name="page24"/>
    <w:bookmarkEnd w:id="23"/>
    <w:p>
      <w:pPr>
        <w:ind w:left="1960" w:right="200"/>
        <w:spacing w:after="0" w:line="306" w:lineRule="auto"/>
        <w:rPr>
          <w:sz w:val="20"/>
          <w:szCs w:val="20"/>
          <w:color w:val="auto"/>
        </w:rPr>
      </w:pPr>
      <w:r>
        <w:rPr>
          <w:rFonts w:ascii="Arial" w:cs="Arial" w:eastAsia="Arial" w:hAnsi="Arial"/>
          <w:sz w:val="18"/>
          <w:szCs w:val="18"/>
          <w:color w:val="auto"/>
        </w:rPr>
        <w:t>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5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43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49%</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4"/>
              </w:rPr>
              <w:t>51%</w:t>
            </w:r>
          </w:p>
        </w:tc>
        <w:tc>
          <w:tcPr>
            <w:tcW w:w="2160" w:type="dxa"/>
            <w:vAlign w:val="bottom"/>
            <w:tcBorders>
              <w:bottom w:val="single" w:sz="8" w:color="CCEEFF"/>
            </w:tcBorders>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55%</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27%</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94"/>
              </w:rPr>
              <w:t>26%</w:t>
            </w:r>
          </w:p>
        </w:tc>
        <w:tc>
          <w:tcPr>
            <w:tcW w:w="216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26%</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24%</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4"/>
              </w:rPr>
              <w:t>23%</w:t>
            </w:r>
          </w:p>
        </w:tc>
        <w:tc>
          <w:tcPr>
            <w:tcW w:w="216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19%</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2015 and 2014, we employed approximately 22,600 and 22,300 people, respectively, of which approximately 20,300 and 20,300, respectively, were consulting staff.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34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2,672</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4,714</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1300" w:right="24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as of December 31, 2014 reflects a reduction by management to the revenue value of orders for services under one then existing single award ID/IQ contract the Company has had for several years, based on an established pattern of funding under this contract by the U.S. government.</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20.0% from December 31, 2014 to December 31, 2015. Additions to funded backlog during the twelve months ended December 31, 2015 totaled $5.3 billion in comparison to $5.5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7.7% of funded backlog as of the end of any of the four fiscal quarters preceding the fiscal quarter ended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38" w:right="25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t>December 31, 2015.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financial statements.</w:t>
      </w:r>
    </w:p>
    <w:p>
      <w:pPr>
        <w:spacing w:after="0" w:line="6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Other recent accounting pronouncements issued by the FASB during the nine months ended December 31, 2015 and through the filing date did not or are not believed by management to have a material impact on the Company's present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3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historical condensed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234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1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1,307,663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1,304,686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3,981,421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3,931,824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641,541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1,899,376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1,928,967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355,401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366,371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1,097,741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1,064,994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176,327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524,368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46,617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47,233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1,199,430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3,641,345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3,565,562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105,256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340,076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366,262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86,616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310,638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33,809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58,871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121,432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108,055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52,807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228,577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189,206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398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December 31, 2015 Compared to Three Months Ended December 31, 2014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Revenue was relatively flat at a 0.2% increase to $1,307.7 million from $1,304.7 million. Revenue results reflected higher indirect spending over the prior year period which also had the effect of increasing revenue on cost reimbursable contracts. The increased indirect spending was focused primarily on bid and proposal, marketing, recruiting, and administrative activities which resulted in a related decline in billable hours. A reduction in certain provisions for the potential recovery of allowable expenses also contributed to the increase in revenue. The increases were offset by a decline in billable expenses attributable to a decline in certain subcontractor services. Conversions to funded backlog during the twelve months ended December 31, 2015 totaled $5.3 billion in comparison to $5.5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Cost of revenue decreased to $630.2 million from $641.5 million, or a 1.8% decrease. The decrease was primarily due to a decrease in salaries and salary-related benefits of $12.5 million. The decrease in salaries and salary-related benefits was due to a decrease in medical insurance expense as well as an increase in consulting staff time spent on strategic investment and bid and proposal activities, in lieu of direct contract activities, over the prior year period. As proposal activity is a general and administrative activity, this contributes to a decrease within cost of revenue. Cost of revenue as a percentage of revenue was 48.2% and 49.2% for the three months ended December 31, 2015 and 2014, respectively.</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Billable expenses decreased to $355.4 million from $366.4 million, or a 3.0% decrease. The overall decrease was primarily due to a decrease in subcontractor-related expenses and other direct expenses of $10.3 million incurred to perform on contracts. Billable expenses as a percentage of revenue were 27.2% and 28.1% for the three months ended December 31, 2015 and 2014, respectively.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38" w:right="27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General and administrative expenses increased to $200.8 million from $176.3 million, or a 13.9% increase. This increase was primarily due to an increase in salaries and salary-related benefits of $14.7 million primarily due to an increase in consulting staff time spent on strategic investment and bid and proposal activities, in lieu of direct contract activities, over the prior year period. In addition, there was an increase in professional fees and other business expenses of $10.1 million. General and administrative expenses as a percentage of revenue were 15.4% and 13.5% for the three months ended December 31, 2015 and 2014, respectively.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 increased to $16.1 million from $15.2 million, or a 6.3% increase.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decreased to $17.8 million from $17.9 million, or a 0.6% decrease.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Income tax expense (benefit) decreased to $(20.1) million from $33.8 million, or a 159.6% decrease. This decrease was primarily due to a decrease in the effective tax rate in the current quarter. The effective tax rate decreased to (22.9)% from 39.0% primarily due to the release of uncertain tax position reserves and certain income tax credits recognized during the three months ended December 31, 2015.</w:t>
      </w:r>
    </w:p>
    <w:p>
      <w:pPr>
        <w:spacing w:after="0" w:line="397" w:lineRule="exact"/>
        <w:rPr>
          <w:sz w:val="20"/>
          <w:szCs w:val="20"/>
          <w:color w:val="auto"/>
        </w:rPr>
      </w:pPr>
    </w:p>
    <w:p>
      <w:pPr>
        <w:ind w:left="260" w:right="418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December 31, 2015 Compared to Nine Months Ended December 31, 2014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Revenue increased to $3,981.4 million from $3,931.8 million, or 1.3%. Revenue results reflected higher indirect spending over the prior year period which also had the effect of increasing revenue on cost reimbursable contracts. The increased indirect spending was focused primarily on bid and proposal, marketing, recruiting, and administrative activities which resulted in a related decline in billable hours. During the period, there was also an increase in billable expenses due to an increase in our use of subcontractors and other direct expenses incurred to perform on contracts partially offset by declining efforts in certain subcontractor services. Conversions to funded backlog during the twelve months ended December 31, 2015 totaled $5.3 billion in comparison to $5.5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Cost of revenue decreased to $1,899.4 million from $1,929.0 million, or a 1.5% decrease. The decrease was primarily due to a decrease in salaries and salary-related benefits of $27.1 million. In addition there were decreases in incentive and stock-based compensation of $5.9 million. The decrease in salaries and salary-related benefits was due to a decrease in medical insurance expense as well as an increase in consulting staff time spent on strategic investment and bid and proposal activities, in lieu of direct contract activities, over the prior year period. As proposal activity is a general and administrative activity, this contributes to a decrease within cost of revenue. Cost of revenue as a percentage of revenue was 47.7% and 49.1% for the nine months ended December 31, 2015 and 2014,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Billable expenses increased to $1,097.7 million from $1,065.0 million, or a 3.1% increase. The overall increase was primarily due to an increase in subcontractor-related expenses and other direct expenses of $31.0 million incurred to perform on contracts, partially offset by declining efforts in certain subcontractor services. Billable expenses as a percentage of revenue were 27.6% and 27.1% for the nine months ended December 31, 2015 and 2014,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General and administrative expenses increased to $597.6 million from $524.4 million, or a 14.0% increase. The increase was primarily due to an increase in salary and salary-related benefits of $47.5 million primarily due to an increase in consulting staff time spent on strategic investment and bid and proposal activities, in lieu of direct contract activities, over the prior year period. In addition, there was an increase in professional fees and other business expenses of $30.0 million. The increased spending was primarily the result of increased bid and proposal costs to address a strong pipeline of opportunities and an increase in investment spending on growth platforms. The increases were partially offset by a decrease in incentive compensation of $5.5 million. General and administrative expenses as a percentage of revenue were 15.0% and 13.3% for the nine months ended December 31, 2015 and 2014,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8"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Depreciation and amortization decreased to $46.6 million from $47.2 million, or a 1.3% decrease, primarily due to a decrease in depreciation expense resulting from the effect of lower capital expenditures in prior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expense decreased to $52.9 million from $54.5 million, or a 2.9% decrease, primarily as a result of the Second Amendment to the Credit Agreement consummated in May 2014. The Company increased its borrowing under Term Loan A by approximately $168.4 million, the proceeds of which were used to pay outstanding principal on the Term Loan B which has a higher interest rate than Term Loan A.</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Income tax expense decreased to $58.9 million from $121.4 million, or a 51.5% decrease. This decrease was primarily due to a decrease in the effective tax rate in the current quarter and a decrease in the year to date pre-tax income as compared to the same prior year period. The effective tax rate decreased to 20.5% from 39.1% primarily due to the release of uncertain tax position reserves and certain income tax credits recognized in the current quarter.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$167.1 million and $207.2 million in cash and cash equivalents as of December 31, 2015 and March 31, 2015,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stockholders in the form of payment of recurring and special dividends and share repurchases. On December 12, 2011, the Board of Directors authorized the repurchase of up to $30.0 million of our shares. On January 27, 2015, the share repurchase authorization was increased to $180.0 million. During the first quarter of fiscal 2016, the Company purchased 1.2 million shares of the Company’s Class A Common Stock in a series of open market transactions for an aggregate of $30.5 million. Following the aforementioned repurchase of 1.2 million shares, our repurchase of 1.0 million shares of our Class A Common Stock on November 5, 2014 and an additional 1.0 million shares of our Class A Common Stock on February 2, 2015, the Company currently has approximately $96.0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38" w:right="25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00" w:type="dxa"/>
            <w:vAlign w:val="bottom"/>
          </w:tcPr>
          <w:p>
            <w:pPr>
              <w:spacing w:after="0"/>
              <w:rPr>
                <w:sz w:val="14"/>
                <w:szCs w:val="14"/>
                <w:color w:val="auto"/>
              </w:rPr>
            </w:pPr>
          </w:p>
        </w:tc>
      </w:tr>
      <w:tr>
        <w:trPr>
          <w:trHeight w:val="192"/>
        </w:trPr>
        <w:tc>
          <w:tcPr>
            <w:tcW w:w="3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35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16,432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57,678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48,676</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8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147,248</w:t>
            </w:r>
          </w:p>
        </w:tc>
      </w:tr>
      <w:tr>
        <w:trPr>
          <w:trHeight w:val="27"/>
        </w:trPr>
        <w:tc>
          <w:tcPr>
            <w:tcW w:w="3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28,113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31,707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47,006</w:t>
            </w:r>
          </w:p>
        </w:tc>
      </w:tr>
      <w:tr>
        <w:trPr>
          <w:trHeight w:val="257"/>
        </w:trPr>
        <w:tc>
          <w:tcPr>
            <w:tcW w:w="358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87"/>
              </w:rPr>
              <w:t>47,521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16,641</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87"/>
              </w:rPr>
              <w:t>89,385</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242,930</w:t>
            </w:r>
          </w:p>
        </w:tc>
      </w:tr>
      <w:tr>
        <w:trPr>
          <w:trHeight w:val="20"/>
        </w:trPr>
        <w:tc>
          <w:tcPr>
            <w:tcW w:w="3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represent recurring dividends of $0.13 per share and $0.11 per share that were declared and paid during fiscal 2016 and fiscal 2015,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a special dividend of $1.00 per share that was declared and paid for during fiscal 2015.</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January 27, 2016, the Company announced a regular quarterly cash dividend in the amount of $0.15 per share, payable on February 29, 2016 to stockholders of record on February 10, 2016.</w:t>
      </w:r>
    </w:p>
    <w:p>
      <w:pPr>
        <w:spacing w:after="0" w:line="14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Amended and Restated Equity Incentive Plan, or EIP, is required to make a determination under the respective plan's antidilution provision to adjust the outstanding options.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December 31, 2015 includes all special dividends declared through December 31, 2015. As of December 31, 2015 and March 31, 2015, the Company calculated a total recorded and unrecorded stock-based compensation liability of $3.9 million and $35.8 million, respectively, related to the special dividends paid in July and December 2009, June and August 2012, November 2013, and February and August 2014.</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month-end, we bill to customers accounts receivables reclassed from our unbilled account that was recognized along with corresponding revenue in the preceding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62 as of December 31, 2015 and 59 as of March 31, 2015.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38" w:right="25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7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487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2014</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2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180,997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228,058</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(96,447)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(41,373)</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(249,236)</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(62,551)</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Net cash from operations is primarily affected by the overall profitability of our contracts, our ability to invoice and collect from clients in a timely manner, and our ability to manage our vendor payments. Net cash provided by operations was $181.0 million in the nine months ended December 31, 2015 compared to $228.1 million in the prior year period, or a 20.6% decrease. The decrease in net cash provided by operations was driven primarily by the significant reduction in accounts receivable achieved in the prior year period as well as an increase in working capital needs.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used in investing activities was $96.4 million in the nine months ended December 31, 2015 compared to $41.4 million in the prior year period, or a 133.1% increase. The increase in net cash used in investing activities was due to the Company's acquisition of the software services unit of SPARC, LLC as well as an increase in capital expenditures over the prior year primarily due to leasehold improvements related to the reconfiguration of our facilities footprint.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Net cash used in financing activities was $124.7 million in the nine months ended December 31, 2015 compared to $249.2 million in the prior year period, or a 50.0% decrease. The decrease in net cash used in financing activities was primarily due to a lack of a special cash dividend paid in fiscal 2016 as compared to fiscal 2015 and a decrease in the payment of dividend equivalents to option holders primarily due to the timing of such payments. These decreases were partially offset by increased principal payments of $41.5 million on our debt as compared to $20.7 million in the first nine months of last year. With the May 2014 debt amendment, there were no quarterly principal payments required in the first quarter of fiscal 2015, which results in one less quarterly payment in the first half of fiscal 2015 in comparison to the first half of fiscal 2016. In addition, beginning in September of fiscal 2016 the quarterly payment increased by an additional $5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 First Amendment to the Credit Agreement, dated as of August 16, 2013). The Credit Agreement, as amended, provides the Company with an $830.0 million Term Loan A and an $841.2 million Term Loan B, and a $500.0 million revolving credit facility, with a sublimit for letters of credit of $100.0 million.</w:t>
      </w:r>
    </w:p>
    <w:p>
      <w:pPr>
        <w:spacing w:after="0" w:line="3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debt totaled $1,587.2 million and $1,626.3 million as of December 31, 2015 and March 31, 2015, respectively. The interest rate in effect for Term Loan A was 2.82% and for Term Loan B was 3.75% as of December 31, 2015. The interest rate in effect for Term Loan A was 2.68% and for Term Loan B was 3.75% as of March 31, 2015. As of December 31, 2015 and March 31, 2015, there were no amounts outstanding under our revolving credit facility of $500.0 million. As of December 31, 2015 and March 31, 2015, the Company was in compliance with all of the Credit Agreement's debt covenants.</w:t>
      </w:r>
    </w:p>
    <w:p>
      <w:pPr>
        <w:spacing w:after="0" w:line="46"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We occasionally borrow under our revolving credit facility in anticipation of cash demands. On October 29, 2015 our wholly-owned subsidiary Booz Allen Hamilton Inc. accessed $93.0 million of its $500.0 million revolving credit facility to support month-end transactions and the acquisition of the software services unit of SPARC, LLC. On November 4, 2015, we repaid the $40.0 million borrowed from the revolving credit facility. On November 25, 2015 Booz Allen Hamilton Inc. accessed an additional $30 million from the revolving credit facility to support month-end transactions. We repaid $53 million on November 30, 2015 and the remaining $30 million balance on December 4, 2015.</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38" w:right="259" w:bottom="1440" w:gutter="0" w:footer="0" w:header="0"/>
        </w:sectPr>
      </w:pPr>
    </w:p>
    <w:bookmarkStart w:id="31" w:name="page32"/>
    <w:bookmarkEnd w:id="31"/>
    <w:p>
      <w:pPr>
        <w:ind w:right="42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May 7, 2014 Second Amendment, no additional principal payments are required until the remaining balance is due on Term Loan B's maturity date of July 31, 2019. The revolving credit facility matures on May 31, 2019, at which time any outstanding principal balance will be due in full.</w:t>
      </w:r>
    </w:p>
    <w:p>
      <w:pPr>
        <w:spacing w:after="0" w:line="8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w:t>
      </w:r>
    </w:p>
    <w:p>
      <w:pPr>
        <w:spacing w:after="0" w:line="268" w:lineRule="auto"/>
        <w:rPr>
          <w:sz w:val="20"/>
          <w:szCs w:val="20"/>
          <w:color w:val="auto"/>
        </w:rPr>
      </w:pPr>
      <w:r>
        <w:rPr>
          <w:rFonts w:ascii="Arial" w:cs="Arial" w:eastAsia="Arial" w:hAnsi="Arial"/>
          <w:sz w:val="17"/>
          <w:szCs w:val="17"/>
          <w:color w:val="auto"/>
        </w:rPr>
        <w:t>3.00% based upon either an ABR or LIBOR borrowing. The revolving credit facility margin and commitment fee are subject to the leveraged based pricing grid, as set forth in the Credit Agreement, as amended. As of December 31, 2015 and March 31, 2015, the Company was contingently liable under open standby letters of credit and bank guarantees issued by our banks in favor of third parties that totaled $5.5 million and $5.3 million, respectively. These letters of credit and bank guarantees primarily support insurance and bid and performance obligations. At December 31, 2015 and March 31, 2015, approximately $1.8 million and $5.2 million of these instruments reduce the available borrowings under the revolving credit facility. The remainder are guaranteed under a separate $5.0 million facility established in fiscal 2015 of which $1.3 million and $4.9 million, respectively, was available to the Company at December 31, 2015 and March 31, 2015. As of December 31, 2015 and March 31, 2015, we had $498.2 million and $494.8 million, respectively, of capacity available for additional borrowings under the revolving credit facility.</w:t>
      </w:r>
    </w:p>
    <w:p>
      <w:pPr>
        <w:spacing w:after="0" w:line="7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December 31, 2015, we were compliant with these covenants.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stockholders’ equity amounted to $380.8 million as of December 31, 2015, an increase of $194.3 million compared to stockholders’ equity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$186.5 million as of March 31, 2015. The increase is primarily due to net income of $228.6 million in the nine months ended December 31, 2015 and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of $17.8 million, partially offset by $57.7 million in recurring and special dividend payments and a $34.6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resulting from the repurchase of 1.4 million shares of our Class A Common Stock during the nine months ended December 31, 2015.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2015 and 2014 were $45.8 million and $17.5 million,respectively, and the majority of such capital expenditures related to facilities infrastructure, equipment, and information technology. Expenditures for facilities infrastructure and equipment are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638" w:right="299" w:bottom="1440" w:gutter="0" w:footer="0" w:header="0"/>
        </w:sectPr>
      </w:pPr>
    </w:p>
    <w:bookmarkStart w:id="32" w:name="page33"/>
    <w:bookmarkEnd w:id="32"/>
    <w:p>
      <w:pPr>
        <w:ind w:right="580"/>
        <w:spacing w:after="0" w:line="277" w:lineRule="auto"/>
        <w:rPr>
          <w:sz w:val="20"/>
          <w:szCs w:val="20"/>
          <w:color w:val="auto"/>
        </w:rPr>
      </w:pPr>
      <w:r>
        <w:rPr>
          <w:rFonts w:ascii="Arial" w:cs="Arial" w:eastAsia="Arial" w:hAnsi="Arial"/>
          <w:sz w:val="18"/>
          <w:szCs w:val="18"/>
          <w:color w:val="auto"/>
        </w:rPr>
        <w:t>generally incurred to support new and existing programs across our business. We also incur capital expenditures for information technology to support programs and general enterprise information technology infrastructure.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84"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38" w:right="239" w:bottom="1440" w:gutter="0" w:footer="0" w:header="0"/>
        </w:sectPr>
      </w:pPr>
    </w:p>
    <w:bookmarkStart w:id="33" w:name="page34"/>
    <w:bookmarkEnd w:id="33"/>
    <w:p>
      <w:pPr>
        <w:ind w:right="20"/>
        <w:spacing w:after="0" w:line="291" w:lineRule="auto"/>
        <w:rPr>
          <w:sz w:val="20"/>
          <w:szCs w:val="20"/>
          <w:color w:val="auto"/>
        </w:rPr>
      </w:pPr>
      <w:r>
        <w:rPr>
          <w:rFonts w:ascii="Arial" w:cs="Arial" w:eastAsia="Arial" w:hAnsi="Arial"/>
          <w:sz w:val="16"/>
          <w:szCs w:val="16"/>
          <w:color w:val="auto"/>
        </w:rPr>
        <w:t>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5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2015 filed with the Securities and Exchange Commission on May 21, 2015.</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638" w:right="3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2015 and March 31, 2015, there were no material amounts accrued in the condensed consolidated financial statements related to these proceedings.</w:t>
      </w:r>
    </w:p>
    <w:p>
      <w:pPr>
        <w:spacing w:after="0" w:line="15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and have been appealed by the plaintiffs.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00" w:lineRule="exact"/>
        <w:rPr>
          <w:sz w:val="20"/>
          <w:szCs w:val="20"/>
          <w:color w:val="auto"/>
        </w:rPr>
      </w:pP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2015 filed with the Securities and Exchange Commission on May 21, 2015.</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95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vMerge w:val="restart"/>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458"/>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00"/>
          </w:cols>
          <w:pgMar w:left="240" w:top="526" w:right="25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40"/>
          </w:cols>
          <w:pgMar w:left="280" w:top="692" w:right="279" w:bottom="1440" w:gutter="0" w:footer="0" w:header="0"/>
          <w:type w:val="continuous"/>
        </w:sectPr>
      </w:pPr>
    </w:p>
    <w:bookmarkStart w:id="38" w:name="page39"/>
    <w:bookmarkEnd w:id="38"/>
    <w:tbl>
      <w:tblPr>
        <w:tblLayout w:type="fixed"/>
        <w:tblInd w:w="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Form of Restricted Stock Unit Agreement under the Amended and Restated Equity Incentive Plan of Booz Allen Hamilton Holding Corporation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10.29 to the Company’s Annual Report for the year ended March 31, 2014 on Form 10-K (File No. 001-</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(Incorporated by reference to Exhibit 10.29 to the Company’s Quarterly Report for the period ended June 30, 2015 on Form 10-Q</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001-34972))</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40" w:hanging="925"/>
        <w:spacing w:after="0" w:line="25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nine months ended December 31, 2015 formatted in XBRL (eXtensible Business Reporting Language): (i) Condensed Consolidated Balance Sheets at December 31, 2015 and March 31, 2015; (ii) Condensed Consolidated Statements of Operations for the three and nine months ended December 31, 2015 and 2014; (iii) Condensed Consolidated Statements of Comprehensive Income for the three and nine months ended December 31, 2015 and 2014; (iv) Condensed Consolidated Statements of Cash Flows for the nine months ended December 31, 2015 and 2014;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814" w:right="299" w:bottom="1440" w:gutter="0" w:footer="0" w:header="0"/>
        </w:sectPr>
      </w:pPr>
    </w:p>
    <w:bookmarkStart w:id="39" w:name="page40"/>
    <w:bookmarkEnd w:id="39"/>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240" w:top="526" w:right="5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January 27, 2016</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2015,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27, 2016</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2"/>
    </w:lvl>
  </w:abstractNum>
  <w:abstractNum w:abstractNumId="6">
    <w:nsid w:val="436C6125"/>
    <w:multiLevelType w:val="hybridMultilevel"/>
    <w:lvl w:ilvl="0">
      <w:lvlJc w:val="left"/>
      <w:lvlText w:val="%1."/>
      <w:numFmt w:val="decimal"/>
      <w:start w:val="14"/>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3"/>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0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2019-12-29T13:43:55Z</dcterms:created>
  <dcterms:modified xsi:type="dcterms:W3CDTF">2019-12-29T13:43:55Z</dcterms:modified>
</cp:coreProperties>
</file>