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474980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2012</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2420" w:val="left"/>
          <w:tab w:leader="none" w:pos="8020" w:val="left"/>
          <w:tab w:leader="none" w:pos="109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40"/>
        <w:spacing w:after="0" w:line="207" w:lineRule="exact"/>
        <w:tabs>
          <w:tab w:leader="none" w:pos="2420" w:val="left"/>
          <w:tab w:leader="none" w:pos="8020" w:val="left"/>
          <w:tab w:leader="none" w:pos="109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right="18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20" w:type="dxa"/>
            <w:vAlign w:val="bottom"/>
          </w:tcPr>
          <w:p>
            <w:pPr>
              <w:spacing w:after="0"/>
              <w:rPr>
                <w:sz w:val="16"/>
                <w:szCs w:val="16"/>
                <w:color w:val="auto"/>
              </w:rPr>
            </w:pPr>
          </w:p>
        </w:tc>
        <w:tc>
          <w:tcPr>
            <w:tcW w:w="424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January 29, 2013</w:t>
            </w: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135,644,646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1,451,600</w:t>
            </w:r>
          </w:p>
        </w:tc>
      </w:tr>
      <w:tr>
        <w:trPr>
          <w:trHeight w:val="27"/>
        </w:trPr>
        <w:tc>
          <w:tcPr>
            <w:tcW w:w="53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1,237,436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7,478,522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197485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7"/>
          </w:tcPr>
          <w:p>
            <w:pPr>
              <w:ind w:left="4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2</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700" w:type="dxa"/>
            <w:vAlign w:val="bottom"/>
            <w:gridSpan w:val="15"/>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2</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700" w:type="dxa"/>
            <w:vAlign w:val="bottom"/>
            <w:gridSpan w:val="15"/>
          </w:tcPr>
          <w:p>
            <w:pPr>
              <w:spacing w:after="0"/>
              <w:rPr>
                <w:rFonts w:ascii="Arial" w:cs="Arial" w:eastAsia="Arial" w:hAnsi="Arial"/>
                <w:sz w:val="18"/>
                <w:szCs w:val="18"/>
                <w:b w:val="1"/>
                <w:bCs w:val="1"/>
                <w:color w:val="0000FF"/>
              </w:rPr>
            </w:pPr>
            <w:hyperlink w:anchor="page17">
              <w:r>
                <w:rPr>
                  <w:rFonts w:ascii="Arial" w:cs="Arial" w:eastAsia="Arial" w:hAnsi="Arial"/>
                  <w:sz w:val="18"/>
                  <w:szCs w:val="18"/>
                  <w:b w:val="1"/>
                  <w:bCs w:val="1"/>
                  <w:color w:val="0000FF"/>
                </w:rPr>
                <w:t>MANAGEMENT’S DISCUSSION AND ANALYSIS OF FINANCIAL CONDITION AND RESULTS OF</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17">
              <w:r>
                <w:rPr>
                  <w:rFonts w:ascii="Arial" w:cs="Arial" w:eastAsia="Arial" w:hAnsi="Arial"/>
                  <w:sz w:val="18"/>
                  <w:szCs w:val="18"/>
                  <w:b w:val="1"/>
                  <w:bCs w:val="1"/>
                  <w:color w:val="0000FF"/>
                  <w:w w:val="79"/>
                </w:rPr>
                <w:t>17</w:t>
              </w:r>
            </w:hyperlink>
          </w:p>
        </w:tc>
      </w:tr>
      <w:tr>
        <w:trPr>
          <w:trHeight w:val="196"/>
        </w:trPr>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b w:val="1"/>
                <w:bCs w:val="1"/>
                <w:color w:val="0000FF"/>
                <w:w w:val="97"/>
              </w:rPr>
            </w:pPr>
            <w:hyperlink w:anchor="page17">
              <w:r>
                <w:rPr>
                  <w:rFonts w:ascii="Arial" w:cs="Arial" w:eastAsia="Arial" w:hAnsi="Arial"/>
                  <w:sz w:val="18"/>
                  <w:szCs w:val="18"/>
                  <w:b w:val="1"/>
                  <w:bCs w:val="1"/>
                  <w:color w:val="0000FF"/>
                  <w:w w:val="97"/>
                </w:rPr>
                <w:t>OPERATIONS</w:t>
              </w:r>
            </w:hyperlink>
          </w:p>
        </w:tc>
        <w:tc>
          <w:tcPr>
            <w:tcW w:w="6900" w:type="dxa"/>
            <w:vAlign w:val="bottom"/>
            <w:tcBorders>
              <w:top w:val="single" w:sz="8" w:color="0000FF"/>
            </w:tcBorders>
            <w:gridSpan w:val="12"/>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bottom w:val="single" w:sz="8" w:color="0000FF"/>
            </w:tcBorders>
            <w:gridSpan w:val="13"/>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QUANTITATIVE AND QUALITATIVE DISCLOSURES ABOUT MARKET RISK</w:t>
              </w:r>
            </w:hyperlink>
          </w:p>
        </w:tc>
        <w:tc>
          <w:tcPr>
            <w:tcW w:w="32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32</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2740" w:type="dxa"/>
            <w:vAlign w:val="bottom"/>
            <w:tcBorders>
              <w:bottom w:val="single" w:sz="8" w:color="0000FF"/>
            </w:tcBorders>
            <w:gridSpan w:val="10"/>
          </w:tcPr>
          <w:p>
            <w:pPr>
              <w:spacing w:after="0"/>
              <w:rPr>
                <w:rFonts w:ascii="Arial" w:cs="Arial" w:eastAsia="Arial" w:hAnsi="Arial"/>
                <w:sz w:val="18"/>
                <w:szCs w:val="18"/>
                <w:b w:val="1"/>
                <w:bCs w:val="1"/>
                <w:color w:val="0000FF"/>
                <w:w w:val="98"/>
              </w:rPr>
            </w:pPr>
            <w:hyperlink w:anchor="page33">
              <w:r>
                <w:rPr>
                  <w:rFonts w:ascii="Arial" w:cs="Arial" w:eastAsia="Arial" w:hAnsi="Arial"/>
                  <w:sz w:val="18"/>
                  <w:szCs w:val="18"/>
                  <w:b w:val="1"/>
                  <w:bCs w:val="1"/>
                  <w:color w:val="0000FF"/>
                  <w:w w:val="98"/>
                </w:rPr>
                <w:t>CONTROLS AND PROCEDURES</w:t>
              </w:r>
            </w:hyperlink>
          </w:p>
        </w:tc>
        <w:tc>
          <w:tcPr>
            <w:tcW w:w="696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32</w:t>
              </w:r>
            </w:hyperlink>
          </w:p>
        </w:tc>
      </w:tr>
      <w:tr>
        <w:trPr>
          <w:trHeight w:val="372"/>
        </w:trPr>
        <w:tc>
          <w:tcPr>
            <w:tcW w:w="11220" w:type="dxa"/>
            <w:vAlign w:val="bottom"/>
            <w:gridSpan w:val="17"/>
          </w:tcPr>
          <w:p>
            <w:pPr>
              <w:ind w:left="4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33</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200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34">
              <w:r>
                <w:rPr>
                  <w:rFonts w:ascii="Arial" w:cs="Arial" w:eastAsia="Arial" w:hAnsi="Arial"/>
                  <w:sz w:val="18"/>
                  <w:szCs w:val="18"/>
                  <w:b w:val="1"/>
                  <w:bCs w:val="1"/>
                  <w:color w:val="0000FF"/>
                  <w:w w:val="99"/>
                </w:rPr>
                <w:t>LEGAL PROCEEDINGS</w:t>
              </w:r>
            </w:hyperlink>
          </w:p>
        </w:tc>
        <w:tc>
          <w:tcPr>
            <w:tcW w:w="770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33</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700" w:type="dxa"/>
            <w:vAlign w:val="bottom"/>
            <w:gridSpan w:val="15"/>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RISK FACTORS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33</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400" w:type="dxa"/>
            <w:vAlign w:val="bottom"/>
            <w:tcBorders>
              <w:bottom w:val="single" w:sz="8" w:color="0000FF"/>
            </w:tcBorders>
            <w:gridSpan w:val="12"/>
          </w:tcPr>
          <w:p>
            <w:pPr>
              <w:spacing w:after="0"/>
              <w:rPr>
                <w:rFonts w:ascii="Arial" w:cs="Arial" w:eastAsia="Arial" w:hAnsi="Arial"/>
                <w:sz w:val="18"/>
                <w:szCs w:val="18"/>
                <w:b w:val="1"/>
                <w:bCs w:val="1"/>
                <w:color w:val="0000FF"/>
                <w:w w:val="98"/>
              </w:rPr>
            </w:pPr>
            <w:hyperlink w:anchor="page34">
              <w:r>
                <w:rPr>
                  <w:rFonts w:ascii="Arial" w:cs="Arial" w:eastAsia="Arial" w:hAnsi="Arial"/>
                  <w:sz w:val="18"/>
                  <w:szCs w:val="18"/>
                  <w:b w:val="1"/>
                  <w:bCs w:val="1"/>
                  <w:color w:val="0000FF"/>
                  <w:w w:val="98"/>
                </w:rPr>
                <w:t>UNREGISTERED SALES OF EQUITY SECURITIES AND USE OF PROCEEDS</w:t>
              </w:r>
            </w:hyperlink>
          </w:p>
        </w:tc>
        <w:tc>
          <w:tcPr>
            <w:tcW w:w="330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33</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3360" w:type="dxa"/>
            <w:vAlign w:val="bottom"/>
            <w:tcBorders>
              <w:bottom w:val="single" w:sz="8" w:color="0000FF"/>
            </w:tcBorders>
            <w:gridSpan w:val="11"/>
          </w:tcPr>
          <w:p>
            <w:pPr>
              <w:spacing w:after="0"/>
              <w:rPr>
                <w:rFonts w:ascii="Arial" w:cs="Arial" w:eastAsia="Arial" w:hAnsi="Arial"/>
                <w:sz w:val="18"/>
                <w:szCs w:val="18"/>
                <w:b w:val="1"/>
                <w:bCs w:val="1"/>
                <w:color w:val="0000FF"/>
                <w:w w:val="98"/>
              </w:rPr>
            </w:pPr>
            <w:hyperlink w:anchor="page34">
              <w:r>
                <w:rPr>
                  <w:rFonts w:ascii="Arial" w:cs="Arial" w:eastAsia="Arial" w:hAnsi="Arial"/>
                  <w:sz w:val="18"/>
                  <w:szCs w:val="18"/>
                  <w:b w:val="1"/>
                  <w:bCs w:val="1"/>
                  <w:color w:val="0000FF"/>
                  <w:w w:val="98"/>
                </w:rPr>
                <w:t>DEFAULTS UPON SENIOR SECURITIES</w:t>
              </w:r>
            </w:hyperlink>
          </w:p>
        </w:tc>
        <w:tc>
          <w:tcPr>
            <w:tcW w:w="634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33</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700" w:type="dxa"/>
            <w:vAlign w:val="bottom"/>
            <w:gridSpan w:val="15"/>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MINE SAFETY DISCLOSURES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33</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256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OTHER INFORMATION</w:t>
              </w:r>
            </w:hyperlink>
          </w:p>
        </w:tc>
        <w:tc>
          <w:tcPr>
            <w:tcW w:w="7140" w:type="dxa"/>
            <w:vAlign w:val="bottom"/>
            <w:gridSpan w:val="6"/>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33</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880" w:type="dxa"/>
            <w:vAlign w:val="bottom"/>
            <w:tcBorders>
              <w:top w:val="single" w:sz="8" w:color="0000FF"/>
              <w:bottom w:val="single" w:sz="8" w:color="0000FF"/>
            </w:tcBorders>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EXHIBITS</w:t>
              </w:r>
            </w:hyperlink>
          </w:p>
        </w:tc>
        <w:tc>
          <w:tcPr>
            <w:tcW w:w="1140" w:type="dxa"/>
            <w:vAlign w:val="bottom"/>
            <w:tcBorders>
              <w:top w:val="single" w:sz="8" w:color="0000FF"/>
            </w:tcBorders>
            <w:gridSpan w:val="6"/>
          </w:tcPr>
          <w:p>
            <w:pPr>
              <w:spacing w:after="0"/>
              <w:rPr>
                <w:sz w:val="24"/>
                <w:szCs w:val="24"/>
                <w:color w:val="auto"/>
              </w:rPr>
            </w:pPr>
          </w:p>
        </w:tc>
        <w:tc>
          <w:tcPr>
            <w:tcW w:w="768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37">
              <w:r>
                <w:rPr>
                  <w:rFonts w:ascii="Arial" w:cs="Arial" w:eastAsia="Arial" w:hAnsi="Arial"/>
                  <w:sz w:val="18"/>
                  <w:szCs w:val="18"/>
                  <w:b w:val="1"/>
                  <w:bCs w:val="1"/>
                  <w:color w:val="0000FF"/>
                  <w:w w:val="79"/>
                </w:rPr>
                <w:t>37</w:t>
              </w:r>
            </w:hyperlink>
          </w:p>
        </w:tc>
      </w:tr>
      <w:tr>
        <w:trPr>
          <w:trHeight w:val="723"/>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0" w:type="dxa"/>
            <w:vAlign w:val="bottom"/>
            <w:gridSpan w:val="12"/>
          </w:tcPr>
          <w:p>
            <w:pPr>
              <w:ind w:left="4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607"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4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3"/>
                <w:szCs w:val="13"/>
                <w:color w:val="auto"/>
              </w:rPr>
            </w:pPr>
          </w:p>
        </w:tc>
        <w:tc>
          <w:tcPr>
            <w:tcW w:w="122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6"/>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980,287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1,077,315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95,980</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1,396,652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1,657,663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191,079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241,041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223,834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1,188,004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66,432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54,211</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3,150,906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51,031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443,951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409,940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357,872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70,123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976,297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914,446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922,925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314,723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292,235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2,966,384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2,129,606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15)</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135,965,937 shares at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2012 and 128,726,324 shares at March 31, 2012; outstanding, 135,576,616 shares at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2012 and 128,392,549 shares at March 31, 2012</w:t>
            </w:r>
          </w:p>
        </w:tc>
        <w:tc>
          <w:tcPr>
            <w:tcW w:w="22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1,457,350 shares at December 31, 2012 and 2,487,125 shares at March 31, 2012</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1,237,436 shares at December 31, 2012 and 1,533,020 shares at March 31, 2012</w:t>
            </w:r>
          </w:p>
        </w:tc>
        <w:tc>
          <w:tcPr>
            <w:tcW w:w="22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7,478,522 shares at December 31, 2012 and 10,140,067 shares at March 31, 2012</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5"/>
              </w:rPr>
              <w:t>Treasury stock, at cost — 389,321 shares at December 31, 2012 and 333,775 shares at March 31, 2012</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898,541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82,419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299,379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184,522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1,185,185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3,150,906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ind w:right="119"/>
        <w:spacing w:after="0" w:line="384" w:lineRule="auto"/>
        <w:rPr>
          <w:sz w:val="20"/>
          <w:szCs w:val="20"/>
          <w:color w:val="auto"/>
        </w:rPr>
      </w:pPr>
      <w:r>
        <w:rPr>
          <w:rFonts w:ascii="Arial" w:cs="Arial" w:eastAsia="Arial" w:hAnsi="Arial"/>
          <w:sz w:val="18"/>
          <w:szCs w:val="18"/>
          <w:b w:val="1"/>
          <w:bCs w:val="1"/>
          <w:color w:val="auto"/>
        </w:rPr>
        <w:t>BOOZ ALLEN HAMILTON HOLDING CORPORATION CONDENSED CONSOLIDATED STATEMENTS OF OPERATIONS (UNAUDITED)</w:t>
      </w:r>
    </w:p>
    <w:tbl>
      <w:tblPr>
        <w:tblLayout w:type="fixed"/>
        <w:tblInd w:w="0" w:type="dxa"/>
        <w:tblCellMar>
          <w:top w:w="0" w:type="dxa"/>
          <w:left w:w="0" w:type="dxa"/>
          <w:bottom w:w="0" w:type="dxa"/>
          <w:right w:w="0" w:type="dxa"/>
        </w:tblCellMar>
      </w:tblPr>
      <w:tr>
        <w:trPr>
          <w:trHeight w:val="150"/>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3"/>
                <w:szCs w:val="13"/>
                <w:color w:val="auto"/>
              </w:rPr>
            </w:pPr>
          </w:p>
        </w:tc>
        <w:tc>
          <w:tcPr>
            <w:tcW w:w="2600" w:type="dxa"/>
            <w:vAlign w:val="bottom"/>
            <w:gridSpan w:val="4"/>
          </w:tcPr>
          <w:p>
            <w:pPr>
              <w:jc w:val="center"/>
              <w:ind w:right="231"/>
              <w:spacing w:after="0" w:line="150"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3"/>
                <w:szCs w:val="13"/>
                <w:color w:val="auto"/>
              </w:rPr>
            </w:pPr>
          </w:p>
        </w:tc>
        <w:tc>
          <w:tcPr>
            <w:tcW w:w="26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40" w:type="dxa"/>
            <w:vAlign w:val="bottom"/>
          </w:tcPr>
          <w:p>
            <w:pPr>
              <w:spacing w:after="0"/>
              <w:rPr>
                <w:sz w:val="16"/>
                <w:szCs w:val="16"/>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1,392,695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1,442,718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4,212,769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4,318,598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729,977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2,122,356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2,172,450</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382,520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370,540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1,114,424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1,143,641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182,532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588,385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656,608</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18,127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54,243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55,924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1,276,099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1,344,530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3,879,408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4,028,623</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116,596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98,188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333,361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289,975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(36,523)</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274,881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257,299</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38,815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110,636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67,971</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164,245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189,328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823" w:right="1440" w:bottom="1440" w:gutter="0" w:footer="0" w:header="0"/>
        </w:sectPr>
      </w:pPr>
    </w:p>
    <w:bookmarkStart w:id="4" w:name="page5"/>
    <w:bookmarkEnd w:id="4"/>
    <w:p>
      <w:pPr>
        <w:jc w:val="center"/>
        <w:spacing w:after="0" w:line="384"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0"/>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3"/>
                <w:szCs w:val="13"/>
                <w:color w:val="auto"/>
              </w:rPr>
            </w:pPr>
          </w:p>
        </w:tc>
        <w:tc>
          <w:tcPr>
            <w:tcW w:w="1800" w:type="dxa"/>
            <w:vAlign w:val="bottom"/>
            <w:gridSpan w:val="3"/>
          </w:tcPr>
          <w:p>
            <w:pPr>
              <w:jc w:val="center"/>
              <w:ind w:left="460"/>
              <w:spacing w:after="0" w:line="150" w:lineRule="exact"/>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3"/>
                <w:szCs w:val="13"/>
                <w:color w:val="auto"/>
              </w:rPr>
            </w:pPr>
          </w:p>
        </w:tc>
      </w:t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(Amounts in thousands)</w:t>
            </w:r>
          </w:p>
        </w:tc>
        <w:tc>
          <w:tcPr>
            <w:tcW w:w="340" w:type="dxa"/>
            <w:vAlign w:val="bottom"/>
          </w:tcPr>
          <w:p>
            <w:pPr>
              <w:spacing w:after="0"/>
              <w:rPr>
                <w:sz w:val="21"/>
                <w:szCs w:val="21"/>
                <w:color w:val="auto"/>
              </w:rPr>
            </w:pPr>
          </w:p>
        </w:tc>
        <w:tc>
          <w:tcPr>
            <w:tcW w:w="266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56,184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189,328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321</w:t>
            </w:r>
          </w:p>
        </w:tc>
      </w:tr>
      <w:tr>
        <w:trPr>
          <w:trHeight w:val="27"/>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56,108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164,649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189,649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0"/>
          </w:cols>
          <w:pgMar w:left="240" w:top="661" w:right="1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164,245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189,328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on sales of businesses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original issuance discount on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 on extinguishment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disposition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Transaction costs on acquisitions and dispositions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(38,052)</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398,934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252,019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(1,110,011)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(981,625)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debt issuance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212,396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405,027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26,394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79,352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69,224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661" w:right="239" w:bottom="92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61" w:right="239" w:bottom="921" w:gutter="0" w:footer="0" w:header="0"/>
          <w:type w:val="continuous"/>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300" w:right="212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December 31, 2012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and its agencies in the defense, intelligence, and civil markets. The Company offers clients functional knowledge spanning strategy and organization, analytics, technology, engineering, and operations, which it combines with specialized expertise in clients’ mission and domain areas to help solve critical problems. The Company reports operating results and financial data in one operating segment. The Company is headquartered in McLean, Virginia, with approximately 24,800 employees as of December 31,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2012 filed with the Securities and Exchange Commission on May 30, 2012, or Annual Report, and policies stated within this Form 10-Q. The Company’s fiscal year ends on March 31 and unless otherwise noted, references to fiscal year or fiscal are for fiscal years ended March 31.</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nine months ended December 31, 2012 are not necessarily indicative of results to be expected for the full fiscal year.</w:t>
      </w:r>
    </w:p>
    <w:p>
      <w:pPr>
        <w:spacing w:after="0" w:line="12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 and Goodwill</w:t>
      </w:r>
    </w:p>
    <w:p>
      <w:pPr>
        <w:spacing w:after="0" w:line="252"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The Company has engaged in business acquisition activity. 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each acquisition, as goodwill presents the excess of the purchase price of an acquired business over the fair value of its net tangible and identifiable intangible assets.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Recent accounting pronouncements issued by the FASB during the nine months ended December 31, 2012, and through the filing date did not or are not believed by management to have a material impact on the Company's present or historical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364"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 entitled to participate in dividends or other distributions. These unvested shares participated in the Company's dividends declared and paid in the first, second and third quarters of fiscal 2013, and as such, EPS is calculated using the two-class method, whereby earnings are reduced by distributed and undistributed earnings, if available, that the restricted shareholders may participate in. No such dividends were paid in the first, second and third quarters of fiscal 2012, as such EPS is calculated using the treasury stock method. A reconciliation of the income used to compute basic and diluted EPS for the periods presented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5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254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9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189,328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5"/>
              </w:rPr>
              <w:t>132,125,447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w w:val="93"/>
              </w:rPr>
              <w:t>127,108,438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129,902,993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125,319,720</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1,932,004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2,711,157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2,857,308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1,215,102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1,660,262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1,311,015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1,796,304</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Total weighted-average common shares outstanding for basic computations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135,272,553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131,479,857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133,495,008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129,973,332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Earnings for diluted computations (a)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55,734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62,860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155,285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189,328</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9,790,962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10,319,868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10,621,049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11,023,279</w:t>
            </w: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w w:val="95"/>
              </w:rPr>
              <w:t>Average number of common shares outstanding for diluted computations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145,063,515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141,799,725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3"/>
              </w:rPr>
              <w:t>144,116,057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140,996,611</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1.46</w:t>
            </w:r>
          </w:p>
        </w:tc>
      </w:tr>
      <w:tr>
        <w:trPr>
          <w:trHeight w:val="67"/>
        </w:trPr>
        <w:tc>
          <w:tcPr>
            <w:tcW w:w="59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8"/>
        <w:spacing w:after="0" w:line="297"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three and nine months ended December 31, 2012 approximately 1.2 million participating securities were paid dividends totaling $104,000 and $9.0 million respectively. Additionally, for the three months ended December 31, 2012 there was undistributed earnings of $371,000 and $349,000 allocated to the participating class of securities in basic and diluted earnings per share, respectively. The allocated earnings and the dividends paid for the three months ended December 31, 2012 comprise the difference from net income presented on the condensed consolidated statements of operations while only the dividends paid comprise the difference in net income for the nine months ended December 31, 2012 as there were no excess undistributed earnings.</w:t>
      </w:r>
    </w:p>
    <w:p>
      <w:pPr>
        <w:spacing w:after="0" w:line="32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the EPS calculation for the three and nine months ended December 31, 2012, 782,000 and 328,000 options, respectively, were not included in the EPS calculation as their impact was anti-dilutive. For the three and nine months ended December 31, 2011, 2.4 million options were not included in the EPS calculation as their impact was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November 30, 2012 Booz Allen Hamilton Engineering Holding Co., LLC, a wholly owned subsidiary of the Company, acquired the Defense Systems Engineering and Support, or DSES, division of ARINC Incorporated, or ARINC, by acquiring 100% of the membership interests of ARINC Engineering Services, LLC, a wholly owned subsidiary of ARINC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8" w:name="page9"/>
    <w:bookmarkEnd w:id="8"/>
    <w:p>
      <w:pPr>
        <w:ind w:right="140"/>
        <w:spacing w:after="0" w:line="264" w:lineRule="auto"/>
        <w:rPr>
          <w:sz w:val="20"/>
          <w:szCs w:val="20"/>
          <w:color w:val="auto"/>
        </w:rPr>
      </w:pPr>
      <w:r>
        <w:rPr>
          <w:rFonts w:ascii="Arial" w:cs="Arial" w:eastAsia="Arial" w:hAnsi="Arial"/>
          <w:sz w:val="18"/>
          <w:szCs w:val="18"/>
          <w:color w:val="auto"/>
        </w:rPr>
        <w:t>owns DSES. DSES is a provider of advanced aviation and maritime engineering, advanced weapons modernization and sustainment, and advanced systems engineering and integration. DSES has approximately 900 employees. The acquisition aligns with the Company's strategic initiatives to expand existing engineering capabilities and defense market position.</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acquisition of DSES was accounted for under the acquisition method of accounting which requires the total purchase price consideration to be allocated to the assets acquired and liabilities assumed based on estimates of fair value. The Company paid approximately $155.1 million in cash to ARINC for DSES on November 30, 2012, which includes a preliminary purchase price per the agreement of $154.0 million and an estimated $1.1 million as a preliminary working capital adjustment. Under the terms of the purchase agreement, ARINC has ninety days after the closing date to provide DSES' final balance sheet and net working capital as of the closing date. The Company used preliminary information obtained in connection with the acquisition to complete the purchase price allocations related to the acquisition. The Company expects to recover an estimated $2.8 million from ARINC as the preliminary net working capital is lower than that paid. Therefore the Company has accounted for this return of consideration and the purchase price allocation was adjusted to assume a purchase price of $152.2 million. The final purchase price allocations will be completed after the information has been finalized and agreed upon by both parties of the transaction. Preliminary transaction costs were approximately $4.0 million, which were recorded as general and administrative expense as incurred.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represents the preliminary purchase price allocations of DSES' assets and liabilities at fair value:</w:t>
      </w:r>
    </w:p>
    <w:p>
      <w:pPr>
        <w:spacing w:after="0" w:line="375" w:lineRule="exact"/>
        <w:rPr>
          <w:sz w:val="20"/>
          <w:szCs w:val="20"/>
          <w:color w:val="auto"/>
        </w:rPr>
      </w:pPr>
    </w:p>
    <w:tbl>
      <w:tblPr>
        <w:tblLayout w:type="fixed"/>
        <w:tblInd w:w="3120" w:type="dxa"/>
        <w:tblCellMar>
          <w:top w:w="0" w:type="dxa"/>
          <w:left w:w="0" w:type="dxa"/>
          <w:bottom w:w="0" w:type="dxa"/>
          <w:right w:w="0" w:type="dxa"/>
        </w:tblCellMar>
      </w:tblPr>
      <w:tr>
        <w:trPr>
          <w:trHeight w:val="27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75,669</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80" w:type="dxa"/>
            <w:vAlign w:val="bottom"/>
          </w:tcPr>
          <w:p>
            <w:pPr>
              <w:jc w:val="right"/>
              <w:spacing w:after="0"/>
              <w:rPr>
                <w:sz w:val="20"/>
                <w:szCs w:val="20"/>
                <w:color w:val="auto"/>
              </w:rPr>
            </w:pPr>
            <w:r>
              <w:rPr>
                <w:rFonts w:ascii="Arial" w:cs="Arial" w:eastAsia="Arial" w:hAnsi="Arial"/>
                <w:sz w:val="18"/>
                <w:szCs w:val="18"/>
                <w:color w:val="auto"/>
              </w:rPr>
              <w:t>(39,504)</w:t>
            </w:r>
          </w:p>
        </w:tc>
      </w:tr>
      <w:tr>
        <w:trPr>
          <w:trHeight w:val="27"/>
        </w:trPr>
        <w:tc>
          <w:tcPr>
            <w:tcW w:w="33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tangible assets</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33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86,180</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26,500</w:t>
            </w:r>
          </w:p>
        </w:tc>
      </w:tr>
    </w:tbl>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goodwill of $86.2 million is largely attributed to the specialized workforce and the expected synergies between the Company and DSES. Substantially all of the goodwill is expected to be deductible for tax purposes. The value attributed to the identifiable intangible assets of $26.5 million is expected to be amortized over the estimated useful life of 7 years.</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Pursuant to the purchase agreement, the Company entered into a transition services agreement, or TSA, with ARINC. The TSA requires ARINC to provide certain support services to the Company for up to 12 months following November 30, 2012. Expenses incurred by the Company under the TSA are not material to the Company's consolidated results of operations.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December 31, 2012 the Company closed an acquisition of an immaterial engineering services company that will also be accounted for using the acquisition method of accounting.</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Proforma results of operations for these acquisitions are not presented because neither are material to the Company's consolidated results of operations.</w:t>
      </w:r>
    </w:p>
    <w:p>
      <w:pPr>
        <w:spacing w:after="0" w:line="200" w:lineRule="exact"/>
        <w:rPr>
          <w:sz w:val="20"/>
          <w:szCs w:val="20"/>
          <w:color w:val="auto"/>
        </w:rPr>
      </w:pPr>
    </w:p>
    <w:p>
      <w:pPr>
        <w:spacing w:after="0" w:line="210" w:lineRule="exact"/>
        <w:rPr>
          <w:sz w:val="20"/>
          <w:szCs w:val="20"/>
          <w:color w:val="auto"/>
        </w:rPr>
      </w:pPr>
    </w:p>
    <w:p>
      <w:pPr>
        <w:ind w:right="7800" w:firstLine="8"/>
        <w:spacing w:after="0" w:line="34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December 31, 2012 and March 31, 2012, goodwill was $1,276.6 million and $1,188.0 million, respectively. The increase in the carrying amount of goodwill is attributable to the Company's acquisitions as discussed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368"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ind w:left="380"/>
              <w:spacing w:after="0"/>
              <w:rPr>
                <w:sz w:val="20"/>
                <w:szCs w:val="20"/>
                <w:color w:val="auto"/>
              </w:rPr>
            </w:pPr>
            <w:r>
              <w:rPr>
                <w:rFonts w:ascii="Arial" w:cs="Arial" w:eastAsia="Arial" w:hAnsi="Arial"/>
                <w:sz w:val="16"/>
                <w:szCs w:val="16"/>
                <w:b w:val="1"/>
                <w:bCs w:val="1"/>
                <w:color w:val="auto"/>
              </w:rPr>
              <w:t>As of December 31, 2012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As of March 31, 2012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9"/>
        </w:trPr>
        <w:tc>
          <w:tcPr>
            <w:tcW w:w="1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3"/>
        </w:trPr>
        <w:tc>
          <w:tcPr>
            <w:tcW w:w="196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Value</w:t>
            </w:r>
          </w:p>
        </w:tc>
      </w:tr>
      <w:tr>
        <w:trPr>
          <w:trHeight w:val="33"/>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Amortizable intangible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7"/>
        </w:trPr>
        <w:tc>
          <w:tcPr>
            <w:tcW w:w="1960" w:type="dxa"/>
            <w:vAlign w:val="bottom"/>
          </w:tcPr>
          <w:p>
            <w:pPr>
              <w:ind w:left="280"/>
              <w:spacing w:after="0"/>
              <w:rPr>
                <w:sz w:val="20"/>
                <w:szCs w:val="20"/>
                <w:color w:val="auto"/>
              </w:rPr>
            </w:pPr>
            <w:r>
              <w:rPr>
                <w:rFonts w:ascii="Arial" w:cs="Arial" w:eastAsia="Arial" w:hAnsi="Arial"/>
                <w:sz w:val="16"/>
                <w:szCs w:val="16"/>
                <w:color w:val="auto"/>
              </w:rPr>
              <w:t>Contract backlog</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160,615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27,143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136,988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50,770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160,615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127,265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33,350</w:t>
            </w:r>
          </w:p>
        </w:tc>
      </w:tr>
      <w:tr>
        <w:trPr>
          <w:trHeight w:val="33"/>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Favorable leases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31"/>
        </w:trPr>
        <w:tc>
          <w:tcPr>
            <w:tcW w:w="196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163,415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27,143</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139,717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50,841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163,415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129,781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33,634</w:t>
            </w:r>
          </w:p>
        </w:tc>
      </w:tr>
      <w:tr>
        <w:trPr>
          <w:trHeight w:val="33"/>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1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Unamortizable intangible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3"/>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name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190,200</w:t>
            </w:r>
          </w:p>
        </w:tc>
      </w:tr>
      <w:tr>
        <w:trPr>
          <w:trHeight w:val="244"/>
        </w:trPr>
        <w:tc>
          <w:tcPr>
            <w:tcW w:w="196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353,615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27,143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139,717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241,041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353,615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129,781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223,834</w:t>
            </w:r>
          </w:p>
        </w:tc>
      </w:tr>
      <w:tr>
        <w:trPr>
          <w:trHeight w:val="20"/>
        </w:trPr>
        <w:tc>
          <w:tcPr>
            <w:tcW w:w="1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addition to the carrying amount of contract backlog is attributable to the Company's acquisitions as discussed in Note 4. Intangible assets are primarily amortized on an accelerated basis over periods ranging from 5 years to 9 years. The weighted-average remaining period of amortization for all contract backlog is 5.6 years. The remaining balance for favorable leases will be fully amortized as of March 31, 2013.</w:t>
      </w:r>
    </w:p>
    <w:p>
      <w:pPr>
        <w:spacing w:after="0" w:line="19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Amortization expense for the three months ended December 31, 2012 and 2011 was $3.7 million and $4.1 million, respectively, and $9.9 million and $12.3 million for the nine months ended December 31, 2012 and 2011, respectively. Expected amortization expense for intangible assets for the remainder of the fiscal year ending March 31, 2013, and each of the fiscal years thereafter is as follows:</w:t>
      </w:r>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Fiscal Year Ending March 31,</w:t>
            </w:r>
          </w:p>
        </w:tc>
        <w:tc>
          <w:tcPr>
            <w:tcW w:w="400" w:type="dxa"/>
            <w:vAlign w:val="bottom"/>
          </w:tcPr>
          <w:p>
            <w:pPr>
              <w:spacing w:after="0"/>
              <w:rPr>
                <w:sz w:val="16"/>
                <w:szCs w:val="16"/>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Amount</w:t>
            </w:r>
          </w:p>
        </w:tc>
      </w:tr>
      <w:tr>
        <w:trPr>
          <w:trHeight w:val="48"/>
        </w:trPr>
        <w:tc>
          <w:tcPr>
            <w:tcW w:w="9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r>
      <w:tr>
        <w:trPr>
          <w:trHeight w:val="237"/>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2013 (three months)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4,821</w:t>
            </w:r>
          </w:p>
        </w:tc>
      </w:tr>
      <w:tr>
        <w:trPr>
          <w:trHeight w:val="224"/>
        </w:trPr>
        <w:tc>
          <w:tcPr>
            <w:tcW w:w="9100" w:type="dxa"/>
            <w:vAlign w:val="bottom"/>
          </w:tcPr>
          <w:p>
            <w:pPr>
              <w:ind w:left="20"/>
              <w:spacing w:after="0"/>
              <w:rPr>
                <w:sz w:val="20"/>
                <w:szCs w:val="20"/>
                <w:color w:val="auto"/>
              </w:rPr>
            </w:pPr>
            <w:r>
              <w:rPr>
                <w:rFonts w:ascii="Arial" w:cs="Arial" w:eastAsia="Arial" w:hAnsi="Arial"/>
                <w:sz w:val="16"/>
                <w:szCs w:val="16"/>
                <w:color w:val="auto"/>
              </w:rPr>
              <w:t>2014</w:t>
            </w:r>
          </w:p>
        </w:tc>
        <w:tc>
          <w:tcPr>
            <w:tcW w:w="400" w:type="dxa"/>
            <w:vAlign w:val="bottom"/>
          </w:tcPr>
          <w:p>
            <w:pPr>
              <w:spacing w:after="0"/>
              <w:rPr>
                <w:sz w:val="19"/>
                <w:szCs w:val="19"/>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14,915</w:t>
            </w:r>
          </w:p>
        </w:tc>
      </w:tr>
      <w:tr>
        <w:trPr>
          <w:trHeight w:val="33"/>
        </w:trPr>
        <w:tc>
          <w:tcPr>
            <w:tcW w:w="9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4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9,721</w:t>
            </w:r>
          </w:p>
        </w:tc>
      </w:tr>
      <w:tr>
        <w:trPr>
          <w:trHeight w:val="224"/>
        </w:trPr>
        <w:tc>
          <w:tcPr>
            <w:tcW w:w="9100" w:type="dxa"/>
            <w:vAlign w:val="bottom"/>
          </w:tcPr>
          <w:p>
            <w:pPr>
              <w:ind w:left="20"/>
              <w:spacing w:after="0"/>
              <w:rPr>
                <w:sz w:val="20"/>
                <w:szCs w:val="20"/>
                <w:color w:val="auto"/>
              </w:rPr>
            </w:pPr>
            <w:r>
              <w:rPr>
                <w:rFonts w:ascii="Arial" w:cs="Arial" w:eastAsia="Arial" w:hAnsi="Arial"/>
                <w:sz w:val="16"/>
                <w:szCs w:val="16"/>
                <w:color w:val="auto"/>
              </w:rPr>
              <w:t>2016</w:t>
            </w:r>
          </w:p>
        </w:tc>
        <w:tc>
          <w:tcPr>
            <w:tcW w:w="400" w:type="dxa"/>
            <w:vAlign w:val="bottom"/>
          </w:tcPr>
          <w:p>
            <w:pPr>
              <w:spacing w:after="0"/>
              <w:rPr>
                <w:sz w:val="19"/>
                <w:szCs w:val="19"/>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8,751</w:t>
            </w:r>
          </w:p>
        </w:tc>
      </w:tr>
      <w:tr>
        <w:trPr>
          <w:trHeight w:val="33"/>
        </w:trPr>
        <w:tc>
          <w:tcPr>
            <w:tcW w:w="9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4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7,782</w:t>
            </w:r>
          </w:p>
        </w:tc>
      </w:tr>
      <w:tr>
        <w:trPr>
          <w:trHeight w:val="224"/>
        </w:trPr>
        <w:tc>
          <w:tcPr>
            <w:tcW w:w="91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00" w:type="dxa"/>
            <w:vAlign w:val="bottom"/>
          </w:tcPr>
          <w:p>
            <w:pPr>
              <w:spacing w:after="0"/>
              <w:rPr>
                <w:sz w:val="19"/>
                <w:szCs w:val="19"/>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4,851</w:t>
            </w:r>
          </w:p>
        </w:tc>
      </w:tr>
      <w:tr>
        <w:trPr>
          <w:trHeight w:val="33"/>
        </w:trPr>
        <w:tc>
          <w:tcPr>
            <w:tcW w:w="9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amortization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50,841</w:t>
            </w: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452,150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436,314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641,800</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1,077,315</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Long-term</w:t>
            </w: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Unbilled receivables related to retainage and holdbacks</w:t>
            </w:r>
          </w:p>
        </w:tc>
        <w:tc>
          <w:tcPr>
            <w:tcW w:w="2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237"/>
        </w:trPr>
        <w:tc>
          <w:tcPr>
            <w:tcW w:w="458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0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1,000,239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1,101,478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40" w:type="dxa"/>
            <w:vAlign w:val="bottom"/>
            <w:vMerge w:val="restart"/>
          </w:tcPr>
          <w:p>
            <w:pPr>
              <w:jc w:val="right"/>
              <w:ind w:right="165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0" w:name="page11"/>
    <w:bookmarkEnd w:id="10"/>
    <w:p>
      <w:pPr>
        <w:jc w:val="both"/>
        <w:ind w:right="60" w:firstLine="648"/>
        <w:spacing w:after="0" w:line="259" w:lineRule="auto"/>
        <w:rPr>
          <w:sz w:val="20"/>
          <w:szCs w:val="20"/>
          <w:color w:val="auto"/>
        </w:rPr>
      </w:pPr>
      <w:r>
        <w:rPr>
          <w:rFonts w:ascii="Arial" w:cs="Arial" w:eastAsia="Arial" w:hAnsi="Arial"/>
          <w:sz w:val="18"/>
          <w:szCs w:val="18"/>
          <w:color w:val="auto"/>
        </w:rPr>
        <w:t>The Company recognized a provision (benefit) for doubtful accounts of $(497,000) and $1.2 million for the three months ended December 31, 2012 and 2011, respectively, and $349,000 and $4.1 million for the nine months ended December 31, 2012 and 2011, respectively. Long-term unbilled receivables related to retainage, holdbacks, and long-term rate settlements to be billed at contract closeout are included in other long-term assets as accounts receivable in the accompanying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83,464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161,318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86,723</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143,154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12)</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49,317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8,936</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35,595</w:t>
            </w: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409,940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357,872</w:t>
            </w:r>
          </w:p>
        </w:tc>
      </w:tr>
      <w:tr>
        <w:trPr>
          <w:trHeight w:val="27"/>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accrued compensation and benefits includes a restructuring liability of $1.2 million at December 31, 2012 and $11.1 million at March 31, 2012,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835"/>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2012</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A Loans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715,153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472,870</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Tranche B Loans</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1,011,242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492,555</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1,726,395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965,425</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(51,031)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(42,500)</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1,675,364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922,925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On July 31, 2012, the Company consummated a recapitalization transaction, or Recapitalization Transaction, which included the refinancing and termination of the Company's existing senior secured credit agreement with the proceeds of the borrowings under the Company's new senior secured credit agreement, or Credit Agreement. The Credit Agreement provided the Company with a $725.0 million Term Loan A tranche and a $1,025.0 million Term Loan B tranche, and a $500.0 million revolving credit facility, with a sublimit for letters of credit of $100.0 million. The outstanding obligations under the Credit Agreement are secured by a security interest in substantially all of the assets of the Company, subject to certain exceptions set forth in the Credit Agreement and related documentation.</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13.0%,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 As of December 31, 2012 and March 31, 2012, there were no amounts outstanding on the revolving credit facility.</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interest rate on borrowings under Tranche A is LIBOR plus 2.75%, and will range from 2.00% to 2.75% based on the Company's total leverage ratio. The interest rate on borrowings under Tranche B is LIBOR plus 3.5% with a 1% floor. The revolving credit facility margin and commitment fee are subject to the leveraged based pricing grid, as set forth in the Credit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1" w:name="page12"/>
    <w:bookmarkEnd w:id="11"/>
    <w:p>
      <w:pPr>
        <w:ind w:right="160" w:firstLine="648"/>
        <w:spacing w:after="0" w:line="259" w:lineRule="auto"/>
        <w:rPr>
          <w:sz w:val="20"/>
          <w:szCs w:val="20"/>
          <w:color w:val="auto"/>
        </w:rPr>
      </w:pPr>
      <w:r>
        <w:rPr>
          <w:rFonts w:ascii="Arial" w:cs="Arial" w:eastAsia="Arial" w:hAnsi="Arial"/>
          <w:sz w:val="18"/>
          <w:szCs w:val="18"/>
          <w:color w:val="auto"/>
        </w:rPr>
        <w:t>Prior to the Recapitalization Transaction, the Company maintained a senior secured credit agreement, as amended, with a syndicate of lenders. The senior secured credit agreement, as amended, provided for $1.0 billion in term loans ($500.0 million of Tranche A Loans and $500.0 million of Tranche B Loans) and a $275.0 million revolving credit facility. The loans under the senior secured credit agreement, as amended, were secured by substantially all of the Company’s assets.</w:t>
      </w:r>
    </w:p>
    <w:p>
      <w:pPr>
        <w:spacing w:after="0" w:line="13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$12.0 million and $4.6 million as of December 31, 2012 and March 31, 2012,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2012 and March 31, 2012, the Company was in compliance with all of its debt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Company’s effective income tax rate was 40.9% and 27.2% for the three months ended December 31, 2012 and 2011, respectively, and 40.2% and 26.4% for the nine months ended December 31, 2012 and 2011, respectively. The three and nine month effective tax rates of 40.9% and 40.2%, respectively, differ from the statutory rate of 35.0% due to state and foreign taxes and the effect of permanent rate differences, which primarily relate to meals and entertainment.</w:t>
      </w:r>
    </w:p>
    <w:p>
      <w:pPr>
        <w:spacing w:after="0" w:line="13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is subject to taxes imposed by various taxing authorities including federal, state and foreign jurisdictions. Tax years related to state and foreign jurisdictions that remain open and subject to examination are not considered to be material, or will be indemnified under the merger agreement as described in the Company's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for the three months ended December 31, 2012 and 2011 was $54.9 million and $58.2 million, respectively, and $173.7 million and $172.9 million for the nine months ended December 31, 2012 and 2011, respectively. The Company-paid contributions for the three months ended December 31, 2012 and 2011 were $27.8 million and $26.2 million, respectively, and $99.1 million and $96.2 million for the nine months ended December 31, 2012 and 2011, respectively.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and administers a postretirement medical plan and a defined benefit retirement plan for current, retired, and resigned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33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r>
      <w:tr>
        <w:trPr>
          <w:trHeight w:val="192"/>
        </w:trPr>
        <w:tc>
          <w:tcPr>
            <w:tcW w:w="3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2,934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2,240</w:t>
            </w:r>
          </w:p>
        </w:tc>
      </w:tr>
      <w:tr>
        <w:trPr>
          <w:trHeight w:val="27"/>
        </w:trPr>
        <w:tc>
          <w:tcPr>
            <w:tcW w:w="3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postretirement medical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1,725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2012 and March 31, 2012, the unfunded status of the Officer Medical Plan was $68.0 million and $63.6 million, respectively, which is included in other long-term liabilities in the accompanying condensed consolidated balance sheets.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Total expense for the Company’s Retired Officers’ Bonus Plan was $186,000 and $217,000 for the three months ended December 31, 2012 and 2011, respectively, and $557,000 and $651,000 for the nine months ended December 31, 2012 and 2011, respectively. The Retired Officers’ Bonus Plan is an unfunded plan and contributions are made as benefits are paid. As of December 31, 2012 and March 31, 2012, the accumulated liability of $5.0 million and $4.6 million, respectively, included in other long-term liabilities in the accompanying condensed consolidated balance sheets is unfunded.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68" w:right="259" w:bottom="1440" w:gutter="0" w:footer="0" w:header="0"/>
        </w:sectPr>
      </w:pPr>
    </w:p>
    <w:bookmarkStart w:id="12" w:name="page13"/>
    <w:bookmarkEnd w:id="12"/>
    <w:p>
      <w:pPr>
        <w:ind w:left="340" w:right="8820" w:hanging="332"/>
        <w:spacing w:after="0" w:line="346" w:lineRule="auto"/>
        <w:tabs>
          <w:tab w:leader="none" w:pos="2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2011</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122,784,835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3,053,130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12,348,860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1,080,245</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3,799,989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(2,208,793)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1,061,255</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(566,005)</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(495,250)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2012</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128,726,324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2,487,125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1,533,020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10,140,067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1,068,818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4,845,436</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(2,661,545)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1,325,359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(1,029,775)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(295,584)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55,546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135,965,937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1,457,350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1,237,436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7,478,522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389,321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shares repurchased during the three months ended September 30, 2011 associated with the share surrender program that was limited to Rollover Options (see Note 12) that were required to be exercised between June 30, 2011 and September 15, 2011.</w:t>
      </w: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shares repurchased on July 2, 2012 to cover for the withholding taxes on restricted stock awards that vested on June 30, 2012.</w:t>
      </w:r>
    </w:p>
    <w:p>
      <w:pPr>
        <w:spacing w:after="0" w:line="16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For the Company's Employee Stock Purchase Plan, or ESPP, quarterly offering period that closed on December 31, 2012, 118,550 Class A Common Stock shares were purchased by employees under the ESPP. As of the program's inception, 905,355 shares have been purchased by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5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4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r>
      <w:tr>
        <w:trPr>
          <w:trHeight w:val="192"/>
        </w:trPr>
        <w:tc>
          <w:tcPr>
            <w:tcW w:w="34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34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3,948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4,273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17,452</w:t>
            </w:r>
          </w:p>
        </w:tc>
      </w:tr>
      <w:tr>
        <w:trPr>
          <w:trHeight w:val="27"/>
        </w:trPr>
        <w:tc>
          <w:tcPr>
            <w:tcW w:w="3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5,496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As of December 31, 2012, there was $25.3 million of total unrecognized compensation cost related to unvested stock-based compensation agreements. The unrecognized compensation cost as of December 31, 2012 is expected to be amortized over 4.5 years.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the three and nine months ended December 31, 2012, 0 and 136,200 shares of Class C Restricted Common Stock, or Class C Restricted Stock, vested, respectively. Total compensation expense recorded in conjunction with all Class C Restricted Stock for the three months ended December 31, 2012 and 2011 was $59,000 and $144,000, respectively, and $252,000 and $884,000 for the nine months ended December 31, 2012 and 2011, respectively. Future compensation cost related to non-vested Class C Restricted Stock not yet recognized in the condensed consolidated statements of operations was $119,000, and is expected to be fully recognized by June 30,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3" w:name="page14"/>
    <w:bookmarkEnd w:id="13"/>
    <w:p>
      <w:pPr>
        <w:ind w:firstLine="648"/>
        <w:spacing w:after="0" w:line="255" w:lineRule="auto"/>
        <w:rPr>
          <w:sz w:val="20"/>
          <w:szCs w:val="20"/>
          <w:color w:val="auto"/>
        </w:rPr>
      </w:pPr>
      <w:r>
        <w:rPr>
          <w:rFonts w:ascii="Arial" w:cs="Arial" w:eastAsia="Arial" w:hAnsi="Arial"/>
          <w:sz w:val="18"/>
          <w:szCs w:val="18"/>
          <w:color w:val="auto"/>
        </w:rPr>
        <w:t>A portion of the old stock rights held by Booz Allen Hamilton Inc.’s U.S. government consulting partners issued under the stock rights plan that existed for Booz Allen Hamilton Inc.’s officers prior to the merger transaction, as described in the Company’s Annual Report, were exchanged for new options, or Rollover Options. As of December 31, 2012, there were 7,244,094 Rollover Options outstanding, of which 1,879,375 were unvested. Total compensation expense recorded in conjunction with all Rollover Options for the three months ended December 31, 2012 and 2011 was $578,000 and $1.7 million, respectively, and $2.4 million and $8.8 million for the nine months ended December 31, 2012 and 2011, respectively. Future compensation cost related to non-vested Rollover Options not yet recognized in the condensed consolidated statements of operations was $1.2 million, and is expected to be fully recognized by June 30, 2013.</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November 1, 2012, 110,000 options were granted under the EIP. The estimated fair value of our Class A Common Stock on November 1, 2012 at the time of the option grant, was $14.21.</w:t>
      </w:r>
    </w:p>
    <w:p>
      <w:pPr>
        <w:spacing w:after="0" w:line="116"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December 31, 2012, there were 9,436,396 EIP options outstanding, of which 5,596,402 were unvested. Total compensation expense recorded in conjunction with EIP options for the three months ended December 31, 2012 and 2011 was $2.5 million and $2.8 million, respectively, and $8.8 million and $10.8 million for the nine months ended December 31, 2012 and 2011, respectively. Future compensation cost related to non-vested EIP options not yet recognized in the condensed consolidated statements of operations was $13.4 million, and is expected to be recognized over 4.5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June 29, 2012, the Board of Directors granted 674,456 shares of Class A Restricted Stock in conjunction with the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the aggregate value was estimated at $10.3 million based on the stock price of $15.28 on the grant date. On August 2, 2012, the Board of Directors granted 24,251 shares of Class A Restricted Stock to certain members of the Board of Directors.</w:t>
      </w:r>
    </w:p>
    <w:p>
      <w:pPr>
        <w:spacing w:after="0" w:line="135"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Total compensation expense recorded in conjunction with Class A Restricted Stock for the three months ended December 31, 2012 and 2011 was $2.3 million and $1.4 million respectively, and $6.1 million and $3.9 million for the nine months ended December 31, 2012 and 2011, respectively. Future compensation cost related to this award not yet recognized in the condensed consolidated statements of operations was $9.1 million and is expected to be recognized over 2.5 years.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May 29, 2012, our Board of Directors authorized and declared a regular quarterly cash dividend in the amount of $0.09 per share. In addition, the Board of Directors declared a special cash dividend of $1.50 per share. Both the quarterly and special dividend were paid on June 29, 2012 to stockholders of record on June 11, 2012. The Compensation Committee, as the Administrator of the Officers' Rollover Stock Plan and the EIP, made a required adjustment to the outstanding options under each plan by granting holders of the Rollover Options a cash payment equal to the amount of the special dividend on the options' mandatory exercise date and by granting the holders of EIP options a dividend equivalent equal to the special dividend and payable on June 29, 2012 or the vesting of the EIP option, whichever is later.</w:t>
      </w:r>
    </w:p>
    <w:p>
      <w:pPr>
        <w:spacing w:after="0" w:line="27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July 30, 2012, our Board of Directors authorized and declared a special cash dividend of $6.50 per share and a regular quarterly cash dividend in the amount of $0.09 per share. The dividends were accounted for on July 31, 2012, the declaration date, by reducing retained earnings to zero with the remainder being recorded as a reduction to additional paid-in capital. The dividends were paid on August 31, 2012 to stockholders of record on August 13, 2012 for the special cash dividend and August 14, 2012 for the regular quarterly cash dividend. The Board of Directors, as the Administrator of the Officers' Rollover Stock Plan and the EIP, made a determination to adjust the outstanding options under each plan.</w:t>
      </w:r>
    </w:p>
    <w:p>
      <w:pPr>
        <w:spacing w:after="0" w:line="25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Holders of the Rollover Options received a cash payment equal to the amount of the special dividend on the options' mandatory exercise date. On August 31, 2012 and December 31, 2012, Rollover Options holders received a dividend equivalent payment of $9.0 million and $12.0 million, respectively, related to the special dividends. Holders of EIP options with a pre-dividend exercise price less than $11.00 per share received a dividend equivalent equal to the amount of the special dividend payable on August 31, 2012 or the vesting of the EIP option, whichever is later. On August 31, 2012, vested outstanding EIP options received a dividend equivalent payment of $28.7 million related to the special dividends. All other EIP options were adjusted, based on authorization from the Board of Directors, by reducing the exercise price by $6.36 which is equal to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color w:val="auto"/>
        </w:rPr>
        <w:t>difference between the pre-dividend closing fair market value of our Class A Common Stock and the post-dividend opening fair market value of our Class A Common Stock as noted on the New York Stock Exchange. Payment of the dividend equivalents and adjustments to option exercise prices were accounted for as modifications resulting in incremental benefit to the option holders resulting in additional compensation expense of $3.8 million. Total compensation expense recorded in conjunction with the payment of the dividend equivalent to holders of unvested EIP options for the three and nine months ended December 31, 2012 was $117,000 and $2.3 million, respectively. Future compensation cost related to payment of the dividend equivalents to holders of EIP options not yet recognized in the statement of operations is $1.5 million and is expected to be recognized over 4.5 years.</w:t>
      </w:r>
    </w:p>
    <w:p>
      <w:pPr>
        <w:spacing w:after="0" w:line="17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October 29, 2012, our Board of Directors authorized and declared a regular quarterly cash dividend in the amount of $0.09 per share. The quarterly dividend was paid on November 30, 2012 to stockholders of record on November 13, 2012.</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total payout of the dividend and the dividend equivalents have been presented as a financing activity within the Condensed Consolidated Statement of Cash Flows.</w:t>
      </w:r>
    </w:p>
    <w:p>
      <w:pPr>
        <w:spacing w:after="0" w:line="25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As of December 31, 2012 and March 31, 2012, the Company calculated a total recorded and unrecorded stock-based compensation liability of $106.9 million and $38.3 million, respectively, related to the special dividends paid in December 2009, June 2012, and August 2012, as follows: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0"/>
              </w:rPr>
              <w:t>December 31, 2012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Rollover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Rollover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EIP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Options</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Current portion of liability</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r>
      <w:tr>
        <w:trPr>
          <w:trHeight w:val="270"/>
        </w:trPr>
        <w:tc>
          <w:tcPr>
            <w:tcW w:w="3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Long-term portion of liability</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13,909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47,924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61,833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27,724</w:t>
            </w: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Included in accrued compensation and benefits (Note 7).</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Included in other long-term liabilities.</w:t>
      </w:r>
    </w:p>
    <w:p>
      <w:pPr>
        <w:spacing w:after="0" w:line="2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December 31, 2012, $5.4 million related to Rollover Options and $5.6 million related to EIP Options will be recorded as liabilities as the related compensation expense is recognized over the next two quarters for Rollover Options and 4.5 years for EIP Options. As of March 31, 2012, there was a similar unrecognized liability of $1.6 million related to Rollover Options.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2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fair value of the Company's cash and cash equivalents, trade accounts receivable, and accounts payable approximates its carrying value at December 31, 2012 and March 31, 2012 because of the short-term nature of these amounts. The fair value of the Company's debt instruments approximates its carrying value at December 31, 2012 and March 31, 2012. The fair value of debt is determined based on interest rates available for debt with terms and maturities similar to the Company's existing debt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9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December 31, 2012 were $78,000 and $58,000, respectively, and $423,000 and $386,000 for the nine months ended December 31, 2012, respectively. Revenue and cost associated with these related parties for the three months ended December 31, 2011 were $376,000 and $341,000, respectively, and $1.3 million and $1.2 million for the nine months ended December 31, 2011, respectively.</w:t>
      </w:r>
    </w:p>
    <w:p>
      <w:pPr>
        <w:spacing w:after="0" w:line="10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December 31, 2012 and 2011, the Company incurred $250,000 in advisory fees. For the nine months ended December 31, 2012 and 2011, the Company incurred $750,000 in advisory fees.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49" w:right="259" w:bottom="1440" w:gutter="0" w:footer="0" w:header="0"/>
        </w:sectPr>
      </w:pPr>
    </w:p>
    <w:bookmarkStart w:id="15" w:name="page16"/>
    <w:bookmarkEnd w:id="15"/>
    <w:p>
      <w:pPr>
        <w:ind w:left="340" w:right="7660" w:hanging="332"/>
        <w:spacing w:after="0" w:line="346" w:lineRule="auto"/>
        <w:tabs>
          <w:tab w:leader="none" w:pos="28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a result of the July 2008 merger transaction,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Houston, Cleveland and Dallas leases, which expired, the Company remains liable under the terms of the original leases should Booz &amp; Co. default on its obligations. There were no events of default under these leases as of December 31, 2012 or March 31, 2012. The maximum potential amount of undiscounted future payments is $27.6 million, and the leases expire at different dates between February 2013 and March 2017. Based on the Company’s assessment of the likelihood of future payment, no amounts have been recorded related to the Company’s contingent liability on such leases.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 the three and nine months ended December 31, 2012, approximately 99% of the Company’s revenue was generated from contracts with U.S. government agencies or other U.S. government contractors, and approximately 98% for the three and nine months ended December 31, 2011.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2006. Audits of subsequent years may result in cost reductions and/or penalties. Management believes it has adequately reserved for any losses that may be experienced from any such reductions and/or penalties. As of December 31, 2012 and March 31, 2012, the Company has recorded a liability of approximately $149.9 million and $127.2 million, respectively, for its current best estimate of amounts to be refunded to customers for potential adjustments from such audits or reviews of contract costs incurred subsequent to fiscal year 2006.</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have a reasonably estimated outcome within that range,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December 31, 2012 and March 31, 2012,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36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16. SUBSEQUENT EVENTS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January 29, 2013, our Board of Directors authorized and declared a regular quarterly cash dividend in the amount of $0.09 per share. The quarterly dividend is payable on February 28, 2013 to shareholders of record on February 11, 2013.</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00"/>
          </w:cols>
          <w:pgMar w:left="240" w:top="580" w:right="85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2012 filed with the Securities and Exchange Commission on May 30, 2012,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leading provider of management and technology consulting services to the U.S. government in the defense, intelligence, and civil markets. Additionally, we provide management and technology consulting services to major corporations, institutions, and not for profit organizations. As the needs of our clients have grown more complex, we have developed deep expertise in strategy and organization, analytics, technology, engineering, and operations. Our acquisition of the Defense Systems Engineering and Support, or DSES, division of ARINC Incorporated, effective November 30, 2012, will further enhance our existing engineering capabilities and defense market position. Leveraging our 99-year consulting heritage and a talent base of approximately 24,800 people, we deploy our deep domain knowledge, functional expertise, and experience to help our clients achieve their objectives.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Revenue decreased 3.5% from the three months ended December 31, 2011 to the three months ended December 31, 2012 and decreased 2.5% from the nine months ended December 31, 2011 to the nine months ended December 31, 2012. We continue to focus on cost reduction efforts and efficiency initiatives which includes effective management of our capacity and efficient management of our costs. Capacity management and other cost reduction activities continued throughout the current period, and may influence future periods, due to the continuing trends of fiscal uncertainty and cost cutting in our principal markets. The outcome of these efforts in the three and nine months ended December 31, 2012 have resulted in a net decline in our headcount, which has led to declines in billable hours and therefore a decline in our direct labor. Each of these factors directly results in revenue declines. In this environment, we have also continued to focus on the effective deployment of our consulting staff to minimize the amount of time our staff spend on non-revenue producing activities. This reduction in unbillable time along with efficient use of our indirect costs, contributes to lower indirect costs, and most importantly a lower ratio of indirect costs to direct labor. Reductions in indirect costs have a direct correlation to a reduction of revenue recognized on our large portfolio of cost-reimbursable contracts. Substantially all of our revenue and backlog continues to be derived from services and solutions provided to client organizations across the U.S. government, primarily by our consulting staff and, to a lesser extent, our subcontractors. The mix of revenue generated by our consulting staff and subcontractors affects our operating margin, as the portion of our operating income derived from fees we earn on services provided by our subcontractors is significantly less than the operating income derived from direct consulting staff labor. The decline in our revenue described above was partially offset by revenue from our acquisition of DSES that closed on November 30, 2012.</w:t>
      </w:r>
    </w:p>
    <w:p>
      <w:pPr>
        <w:spacing w:after="0" w:line="11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Operating income grew 18.7% to $116.6 million in the three months ended December 31, 2012 from $98.2 million in the three months ended December 31, 2011, which reflects a 160 basis point increase in operating margin to 8.4% from 6.8% in the comparable periods. Operating income grew 15.0% to $333.4 million in the nine months ended December 31, 2012 from $290.0 million in the nine months ended December 31, 2011, which reflects a 120 basis point increase in operating margin to 7.9% from 6.7% in the comparable period. The improvement in operating margin was due to increased contract profitability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364" w:right="27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due to disciplined cost management of indirect spending, as described above, as well as decreases in incentive compensation costs. Our effective management of other indirect costs and lower ratio of indirect costs to direct labor produces higher margins on our time-and-material contracts and ultimately produces higher margins on our fixed-price contracts. The factors contributing to the increased operating margin were partially offset by increases in depreciation expense due to facility expansion in previous years, causing a higher increase in depreciation for fiscal 2013, and transaction costs incurred in connection with the acquisition of DSES.</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Cash provided by operations increased $146.9 million to $398.9 million for the nine months ended December 31, 2012 from $252.0 million for the nine months ended December 31, 2011. The increase in cash provided by operations was a result of overall profitability of our contracts, our ability to invoice and collect from clients in a timely manner, and our effective management of vendor payments.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00" w:lineRule="exact"/>
        <w:rPr>
          <w:sz w:val="20"/>
          <w:szCs w:val="20"/>
          <w:color w:val="auto"/>
        </w:rPr>
      </w:pPr>
    </w:p>
    <w:p>
      <w:pPr>
        <w:spacing w:after="0" w:line="244" w:lineRule="exact"/>
        <w:rPr>
          <w:sz w:val="20"/>
          <w:szCs w:val="20"/>
          <w:color w:val="auto"/>
        </w:rPr>
      </w:pPr>
    </w:p>
    <w:p>
      <w:pPr>
        <w:ind w:left="1300" w:right="40" w:hanging="644"/>
        <w:spacing w:after="0" w:line="30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right="20" w:hanging="644"/>
        <w:spacing w:after="0" w:line="297"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40" w:hanging="644"/>
        <w:spacing w:after="0" w:line="293"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9" w:name="page20"/>
    <w:bookmarkEnd w:id="19"/>
    <w:p>
      <w:pPr>
        <w:ind w:left="130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92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5"/>
              </w:rPr>
              <w:t>(Unaudited)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7"/>
              </w:rPr>
              <w:t>(Unaudited)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116,596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98,188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333,361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289,975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8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120,807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104,697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350,414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313,837</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56,184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62,860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164,245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189,328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67,971</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21,597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58,480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32,676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55,924</w:t>
            </w:r>
          </w:p>
        </w:tc>
        <w:tc>
          <w:tcPr>
            <w:tcW w:w="0" w:type="dxa"/>
            <w:vAlign w:val="bottom"/>
          </w:tcPr>
          <w:p>
            <w:pPr>
              <w:spacing w:after="0"/>
              <w:rPr>
                <w:sz w:val="1"/>
                <w:szCs w:val="1"/>
                <w:color w:val="auto"/>
              </w:rPr>
            </w:pPr>
          </w:p>
        </w:tc>
      </w:tr>
      <w:tr>
        <w:trPr>
          <w:trHeight w:val="237"/>
        </w:trPr>
        <w:tc>
          <w:tcPr>
            <w:tcW w:w="4680" w:type="dxa"/>
            <w:vAlign w:val="bottom"/>
          </w:tcPr>
          <w:p>
            <w:pPr>
              <w:ind w:left="72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134,723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117,718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387,604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345,899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395,273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357,488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164,245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189,328</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Amortization or write-off of debt issuance costs and write-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 of original issue discount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11,493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29"/>
        </w:trPr>
        <w:tc>
          <w:tcPr>
            <w:tcW w:w="4680" w:type="dxa"/>
            <w:vAlign w:val="bottom"/>
          </w:tcPr>
          <w:p>
            <w:pPr>
              <w:ind w:left="380"/>
              <w:spacing w:after="0"/>
              <w:rPr>
                <w:sz w:val="20"/>
                <w:szCs w:val="20"/>
                <w:color w:val="auto"/>
              </w:rPr>
            </w:pPr>
            <w:r>
              <w:rPr>
                <w:rFonts w:ascii="Arial" w:cs="Arial" w:eastAsia="Arial" w:hAnsi="Arial"/>
                <w:sz w:val="18"/>
                <w:szCs w:val="18"/>
                <w:color w:val="auto"/>
                <w:w w:val="92"/>
              </w:rPr>
              <w:t>Net gain on sale of state and local transportation business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80"/>
              <w:spacing w:after="0"/>
              <w:rPr>
                <w:sz w:val="20"/>
                <w:szCs w:val="20"/>
                <w:color w:val="auto"/>
              </w:rPr>
            </w:pPr>
            <w:r>
              <w:rPr>
                <w:rFonts w:ascii="Arial" w:cs="Arial" w:eastAsia="Arial" w:hAnsi="Arial"/>
                <w:sz w:val="18"/>
                <w:szCs w:val="18"/>
                <w:color w:val="auto"/>
              </w:rPr>
              <w:t>(d)</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 of income tax reserves (e)</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(35,133)</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Adjustments for tax effect (f)</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181,372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164,993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Weighted-average number of diluted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145,063,515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141,799,725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144,116,057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140,996,611</w:t>
            </w:r>
          </w:p>
        </w:tc>
        <w:tc>
          <w:tcPr>
            <w:tcW w:w="0" w:type="dxa"/>
            <w:vAlign w:val="bottom"/>
          </w:tcPr>
          <w:p>
            <w:pPr>
              <w:spacing w:after="0"/>
              <w:rPr>
                <w:sz w:val="1"/>
                <w:szCs w:val="1"/>
                <w:color w:val="auto"/>
              </w:rPr>
            </w:pP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Adjusted Net Income Per Diluted Share (g)</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9,186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74,902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398,934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252,019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(65,558)</w:t>
            </w:r>
          </w:p>
        </w:tc>
        <w:tc>
          <w:tcPr>
            <w:tcW w:w="0" w:type="dxa"/>
            <w:vAlign w:val="bottom"/>
          </w:tcPr>
          <w:p>
            <w:pPr>
              <w:spacing w:after="0"/>
              <w:rPr>
                <w:sz w:val="1"/>
                <w:szCs w:val="1"/>
                <w:color w:val="auto"/>
              </w:rPr>
            </w:pPr>
          </w:p>
        </w:tc>
      </w:tr>
      <w:tr>
        <w:trPr>
          <w:trHeight w:val="237"/>
        </w:trPr>
        <w:tc>
          <w:tcPr>
            <w:tcW w:w="468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378,277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38"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638" w:right="259" w:bottom="1440" w:gutter="0" w:footer="0" w:header="0"/>
          <w:type w:val="continuous"/>
        </w:sectPr>
      </w:pPr>
    </w:p>
    <w:bookmarkStart w:id="20" w:name="page21"/>
    <w:bookmarkEnd w:id="20"/>
    <w:p>
      <w:pPr>
        <w:ind w:left="660" w:right="80" w:hanging="652"/>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Recapitalization Transaction consummated on July 31, 2012.</w:t>
      </w:r>
    </w:p>
    <w:p>
      <w:pPr>
        <w:spacing w:after="0" w:line="9" w:lineRule="exact"/>
        <w:rPr>
          <w:rFonts w:ascii="Arial" w:cs="Arial" w:eastAsia="Arial" w:hAnsi="Arial"/>
          <w:sz w:val="18"/>
          <w:szCs w:val="18"/>
          <w:color w:val="auto"/>
        </w:rPr>
      </w:pPr>
    </w:p>
    <w:p>
      <w:pPr>
        <w:ind w:left="660" w:right="3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Nine months ended December 31, 2011 reflects the gain on sale of our state and local transportation business, net of the associated tax benefit of $1.6 million.</w:t>
      </w: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release of income tax reserves.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580" w:hanging="652"/>
        <w:spacing w:after="0" w:line="29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an adjustment of approximately $475,000 and $9.0 million of net earnings for the three and nine months ended December 31, 2012, respectively, associated with the application of the two-class method for computing diluted 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recent developments occurred after December 31, 2012, which may cause our future results of operations to differ from our historical results of operations discussed under “— Results of Operations.”</w:t>
      </w:r>
    </w:p>
    <w:p>
      <w:pPr>
        <w:spacing w:after="0" w:line="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January 29, 2013, our Board of Directors authorized and declared a regular quarterly cash dividend in the amount of $0.09 per share. The quarterly dividend is payable on February 28, 2013 to shareholders of record on February 11,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cutting and efficiency initiatives and other efforts to streamline the U.S. defense and intelligence infrastructure, including the initiatives implemented by the Secretary of Defense or reductions in defense budgets resulting from Congressional action;</w:t>
      </w:r>
    </w:p>
    <w:p>
      <w:pPr>
        <w:spacing w:after="0" w:line="116" w:lineRule="exact"/>
        <w:rPr>
          <w:rFonts w:ascii="Arial" w:cs="Arial" w:eastAsia="Arial" w:hAnsi="Arial"/>
          <w:sz w:val="18"/>
          <w:szCs w:val="18"/>
          <w:color w:val="auto"/>
        </w:rPr>
      </w:pPr>
    </w:p>
    <w:p>
      <w:pPr>
        <w:ind w:left="1300" w:hanging="644"/>
        <w:spacing w:after="0" w:line="30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Continued uncertainty around the timing, extent and nature of Congressional and other U.S. government action to address budgeting constraints and the U.S. government's ability to incur indebtedness in excess of its current limit and the U.S. deficit, including, in the absence of Congressional action to the contrary, material reductions in defense budgets resulting from the commencement on March 2, 2013 of automatic sequestration as required under the Budget Control Act of 2011 (as amended by the American Taxpayer Relief Act of 2012);</w:t>
      </w:r>
    </w:p>
    <w:p>
      <w:pPr>
        <w:spacing w:after="0" w:line="100" w:lineRule="exact"/>
        <w:rPr>
          <w:rFonts w:ascii="Arial" w:cs="Arial" w:eastAsia="Arial" w:hAnsi="Arial"/>
          <w:sz w:val="16"/>
          <w:szCs w:val="16"/>
          <w:color w:val="auto"/>
        </w:rPr>
      </w:pPr>
    </w:p>
    <w:p>
      <w:pPr>
        <w:ind w:left="1300" w:right="2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existing and proposed fiscal constraints by the U.S. government and uncertainty about the size of future budget reductions may cause clients to invest appropriated funds on a less consistent or rapid basis, or not at all, particularly when considering long-term initiatives, not issue task orders in sufficient volume to reach current contract ceilings, and delay requests for new proposals and contract awards, relying on short-term extensions of current contracts instead;</w:t>
      </w:r>
    </w:p>
    <w:p>
      <w:pPr>
        <w:spacing w:after="0" w:line="13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will continue to drive pockets of insourcing in various agencies, particularly in the intelligence market;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1" w:name="page22"/>
    <w:bookmarkEnd w:id="21"/>
    <w:p>
      <w:pPr>
        <w:ind w:left="1300" w:right="220" w:hanging="644"/>
        <w:spacing w:after="0" w:line="31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 and</w:t>
      </w:r>
    </w:p>
    <w:p>
      <w:pPr>
        <w:spacing w:after="0" w:line="194"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could impose an estimated $500 billion to $600 billion in automatic federal defense spending cuts between 2013 and 2021 to the extent that automatic sequestration required by the act commences on March 2, 2013. A reduction in the amount of services that we are contracted to provide to the Department of Defense could have a material adverse effect on our business and results of operations, and given the uncertainty of how these automatic reductions may be applied, we are unable to predict the nature or magnitude of the potential adverse effect.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60" w:hanging="655"/>
        <w:spacing w:after="0" w:line="291" w:lineRule="auto"/>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9" w:lineRule="exact"/>
        <w:rPr>
          <w:rFonts w:ascii="Arial" w:cs="Arial" w:eastAsia="Arial" w:hAnsi="Arial"/>
          <w:sz w:val="16"/>
          <w:szCs w:val="16"/>
          <w:color w:val="auto"/>
        </w:rPr>
      </w:pPr>
    </w:p>
    <w:p>
      <w:pPr>
        <w:ind w:left="1960" w:hanging="655"/>
        <w:spacing w:after="0" w:line="259" w:lineRule="auto"/>
        <w:tabs>
          <w:tab w:leader="none" w:pos="19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78" w:lineRule="exact"/>
        <w:rPr>
          <w:rFonts w:ascii="Arial" w:cs="Arial" w:eastAsia="Arial" w:hAnsi="Arial"/>
          <w:sz w:val="18"/>
          <w:szCs w:val="18"/>
          <w:i w:val="1"/>
          <w:iCs w:val="1"/>
          <w:color w:val="auto"/>
        </w:rPr>
      </w:pPr>
    </w:p>
    <w:p>
      <w:pPr>
        <w:ind w:left="1960" w:right="120" w:hanging="655"/>
        <w:spacing w:after="0" w:line="264" w:lineRule="auto"/>
        <w:tabs>
          <w:tab w:leader="none" w:pos="19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costs vary from the estimates upon which the price was negotiated, we will generate more or less profit, or could incur a loss. Some fixed-price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30" w:right="239" w:bottom="1440" w:gutter="0" w:footer="0" w:header="0"/>
        </w:sectPr>
      </w:pPr>
    </w:p>
    <w:bookmarkStart w:id="22" w:name="page23"/>
    <w:bookmarkEnd w:id="22"/>
    <w:p>
      <w:pPr>
        <w:ind w:left="1960" w:right="200"/>
        <w:spacing w:after="0" w:line="311" w:lineRule="auto"/>
        <w:rPr>
          <w:sz w:val="20"/>
          <w:szCs w:val="20"/>
          <w:color w:val="auto"/>
        </w:rPr>
      </w:pPr>
      <w:r>
        <w:rPr>
          <w:rFonts w:ascii="Arial" w:cs="Arial" w:eastAsia="Arial" w:hAnsi="Arial"/>
          <w:sz w:val="18"/>
          <w:szCs w:val="18"/>
          <w:color w:val="auto"/>
        </w:rPr>
        <w:t>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over the last twelve months we have experienced a shift from time-and-materials contracts to cost-reimbursable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220980</wp:posOffset>
            </wp:positionV>
            <wp:extent cx="395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2"/>
        </w:trPr>
        <w:tc>
          <w:tcPr>
            <w:tcW w:w="1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3"/>
        </w:trPr>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680" w:type="dxa"/>
            <w:vAlign w:val="bottom"/>
            <w:gridSpan w:val="3"/>
          </w:tcPr>
          <w:p>
            <w:pPr>
              <w:ind w:left="1280"/>
              <w:spacing w:after="0"/>
              <w:rPr>
                <w:sz w:val="20"/>
                <w:szCs w:val="20"/>
                <w:color w:val="auto"/>
              </w:rPr>
            </w:pPr>
            <w:r>
              <w:rPr>
                <w:rFonts w:ascii="Arial" w:cs="Arial" w:eastAsia="Arial" w:hAnsi="Arial"/>
                <w:sz w:val="14"/>
                <w:szCs w:val="14"/>
                <w:b w:val="1"/>
                <w:bCs w:val="1"/>
                <w:color w:val="auto"/>
              </w:rPr>
              <w:t>2011</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2011</w:t>
            </w: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Cost-reimbursable (1)</w:t>
            </w:r>
          </w:p>
        </w:tc>
        <w:tc>
          <w:tcPr>
            <w:tcW w:w="8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94"/>
              </w:rPr>
              <w:t>58%</w:t>
            </w:r>
          </w:p>
        </w:tc>
        <w:tc>
          <w:tcPr>
            <w:tcW w:w="1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4"/>
              </w:rPr>
              <w:t>57%</w:t>
            </w: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2800" w:type="dxa"/>
            <w:vAlign w:val="bottom"/>
            <w:gridSpan w:val="2"/>
          </w:tcPr>
          <w:p>
            <w:pPr>
              <w:spacing w:after="0"/>
              <w:rPr>
                <w:sz w:val="20"/>
                <w:szCs w:val="20"/>
                <w:color w:val="auto"/>
              </w:rPr>
            </w:pPr>
            <w:r>
              <w:rPr>
                <w:rFonts w:ascii="Arial" w:cs="Arial" w:eastAsia="Arial" w:hAnsi="Arial"/>
                <w:sz w:val="18"/>
                <w:szCs w:val="18"/>
                <w:color w:val="auto"/>
              </w:rPr>
              <w:t>Time-and-materials</w:t>
            </w:r>
          </w:p>
        </w:tc>
        <w:tc>
          <w:tcPr>
            <w:tcW w:w="580" w:type="dxa"/>
            <w:vAlign w:val="bottom"/>
          </w:tcPr>
          <w:p>
            <w:pPr>
              <w:ind w:left="220"/>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w w:val="94"/>
              </w:rPr>
              <w:t>28%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2800" w:type="dxa"/>
            <w:vAlign w:val="bottom"/>
            <w:gridSpan w:val="2"/>
          </w:tcPr>
          <w:p>
            <w:pPr>
              <w:spacing w:after="0"/>
              <w:rPr>
                <w:sz w:val="20"/>
                <w:szCs w:val="20"/>
                <w:color w:val="auto"/>
              </w:rPr>
            </w:pPr>
            <w:r>
              <w:rPr>
                <w:rFonts w:ascii="Arial" w:cs="Arial" w:eastAsia="Arial" w:hAnsi="Arial"/>
                <w:sz w:val="18"/>
                <w:szCs w:val="18"/>
                <w:color w:val="auto"/>
              </w:rPr>
              <w:t>Fixed-price (2)</w:t>
            </w:r>
          </w:p>
        </w:tc>
        <w:tc>
          <w:tcPr>
            <w:tcW w:w="580" w:type="dxa"/>
            <w:vAlign w:val="bottom"/>
          </w:tcPr>
          <w:p>
            <w:pPr>
              <w:ind w:left="220"/>
              <w:spacing w:after="0"/>
              <w:rPr>
                <w:sz w:val="20"/>
                <w:szCs w:val="20"/>
                <w:color w:val="auto"/>
              </w:rPr>
            </w:pPr>
            <w:r>
              <w:rPr>
                <w:rFonts w:ascii="Arial" w:cs="Arial" w:eastAsia="Arial" w:hAnsi="Arial"/>
                <w:sz w:val="18"/>
                <w:szCs w:val="18"/>
                <w:color w:val="auto"/>
                <w:w w:val="94"/>
              </w:rPr>
              <w:t>15%</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w w:val="94"/>
              </w:rPr>
              <w:t>15%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December 31, 2012 and 2011, we employed approximately 24,800 and 25,800 people, respectively, of which approximately 22,400 and 23,300, respectively, were consulting staff. Our headcount as of December 31, 2012 is inclusive of the approximately 900 employees that joined us as a result of the DSES acquisition.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03" w:right="259" w:bottom="1440" w:gutter="0" w:footer="0" w:header="0"/>
        </w:sectPr>
      </w:pPr>
    </w:p>
    <w:bookmarkStart w:id="23" w:name="page24"/>
    <w:bookmarkEnd w:id="23"/>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200" w:hanging="644"/>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value of our contract backlog at the respective dates presented, which includes acquired backlog from the Company's acquisition of DSES made during the three months ended December 31, 2012:</w:t>
      </w:r>
    </w:p>
    <w:p>
      <w:pPr>
        <w:spacing w:after="0" w:line="297"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20"/>
        <w:spacing w:after="0"/>
        <w:tabs>
          <w:tab w:leader="none" w:pos="90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Backlog:</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36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0"/>
        </w:trPr>
        <w:tc>
          <w:tcPr>
            <w:tcW w:w="5340" w:type="dxa"/>
            <w:vAlign w:val="bottom"/>
          </w:tcPr>
          <w:p>
            <w:pPr>
              <w:ind w:left="360"/>
              <w:spacing w:after="0"/>
              <w:rPr>
                <w:sz w:val="20"/>
                <w:szCs w:val="20"/>
                <w:color w:val="auto"/>
              </w:rPr>
            </w:pPr>
            <w:r>
              <w:rPr>
                <w:rFonts w:ascii="Arial" w:cs="Arial" w:eastAsia="Arial" w:hAnsi="Arial"/>
                <w:sz w:val="18"/>
                <w:szCs w:val="18"/>
                <w:color w:val="auto"/>
              </w:rPr>
              <w:t>Unfunded (1)</w:t>
            </w: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70"/>
        </w:trPr>
        <w:tc>
          <w:tcPr>
            <w:tcW w:w="5340" w:type="dxa"/>
            <w:vAlign w:val="bottom"/>
          </w:tcPr>
          <w:p>
            <w:pPr>
              <w:ind w:left="36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68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12,922</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right="62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including backlog from the DSES acquisition of $1.53 billion, increased by 5.8% from December 31, 2011 to December 31, 2012. Funded backlog of $3.15 billion, including funded backlog from the DSES acquisition of $247.3 million, increased by 6.1% from December 31, 2011 to December 31, 2012. Conversions to funded backlog during the twelve months ended December 31, 2012, excluding the impact of funded backlog from acquisitions, totaled $5.7 billion in comparison to $6.0 billion for the comparable period, with the decrease due to a lower conversion of unfunded backlog to funded backlog, the award of new contracts and task orders under which funding was appropriated,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40" w:right="25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the exercise and subsequent funding of priced options. We report internally on our backlog on a monthly basis and review backlog upon occurrence of certain events to determine if any adjustments are necessary.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5.8% of funded backlog as of the end of any of the eight fiscal quarters preceding the fiscal quarter ended December 31, 2012.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of Directors adopted a new equity compensation plan. The equity compensation component of the new plan has reduced officer-related compensation expense included in cost of revenue and general and administrative expenses over the near term with such expense reduction to reverse over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5" w:name="page26"/>
    <w:bookmarkEnd w:id="25"/>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engaged in business acquisition activity. 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each acquisition, as goodwill presents the excess of the purchase price of an acquired business over the fair value of its net tangible and identifiable intangible assets.</w:t>
      </w:r>
    </w:p>
    <w:p>
      <w:pPr>
        <w:spacing w:after="0" w:line="3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Except for the above, 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completed our acquisition of DSES on November 30, 2012. The operating results of DSES were included in our condensed consolidated statements of operations from the date of closing through December 31, 2012. The following table sets forth items from our condensed consolidated statements of operations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3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1,392,695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1,442,718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4,212,769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4,318,598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729,977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2,122,356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2,172,450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382,520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370,540</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1,114,424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1,143,641</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182,532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224,483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588,385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656,608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w w:val="99"/>
              </w:rPr>
              <w:t>Depreciation and amortization</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19,530</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54,243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55,924</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1,276,099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1,344,530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3,879,408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4,028,623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116,596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98,188</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333,361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289,975</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3,847</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86,391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257,299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38,815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23,531</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110,636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67,971</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62,860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189,328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28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December 31, 2012 Compared to Three Months Ended December 31, 2011 </w:t>
      </w:r>
      <w:r>
        <w:rPr>
          <w:rFonts w:ascii="Arial" w:cs="Arial" w:eastAsia="Arial" w:hAnsi="Arial"/>
          <w:sz w:val="18"/>
          <w:szCs w:val="18"/>
          <w:i w:val="1"/>
          <w:iCs w:val="1"/>
          <w:color w:val="auto"/>
        </w:rPr>
        <w:t>Revenue</w:t>
      </w:r>
    </w:p>
    <w:p>
      <w:pPr>
        <w:spacing w:after="0" w:line="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Revenue decreased to $1,392.7 million from $1,442.7 million, or a 3.5% decrease. The decrease was primarily driven by a lower rate of indirect expenses which had a direct correlation to the reduction of revenue on our large portfolio of cost-reimbursable contracts. The lower rate of indirect expenses is primarily attributable to the cost reduction actions the Company implemented in late fiscal 2012 and continued focus on effective capacity and cost management, partially offset by revenue from the acquisition of DSES. Conversions to funded backlog during the twelve months ended December 31, 2012, excluding the impact of any funded backlog from acquisitions, totaled $5.7 billion in comparison to $6.0 billion for the comparable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40" w:right="239" w:bottom="1440" w:gutter="0" w:footer="0" w:header="0"/>
        </w:sectPr>
      </w:pPr>
    </w:p>
    <w:bookmarkStart w:id="26" w:name="page27"/>
    <w:bookmarkEnd w:id="26"/>
    <w:p>
      <w:pPr>
        <w:ind w:right="440"/>
        <w:spacing w:after="0" w:line="342" w:lineRule="auto"/>
        <w:rPr>
          <w:sz w:val="20"/>
          <w:szCs w:val="20"/>
          <w:color w:val="auto"/>
        </w:rPr>
      </w:pPr>
      <w:r>
        <w:rPr>
          <w:rFonts w:ascii="Arial" w:cs="Arial" w:eastAsia="Arial" w:hAnsi="Arial"/>
          <w:sz w:val="16"/>
          <w:szCs w:val="16"/>
          <w:color w:val="auto"/>
        </w:rPr>
        <w:t>period, with the decrease due to challenging and uncertain market conditions which is contributing to a lower conversion of unfunded backlog to funded backlog, the award of new contracts and task orders under which funding was appropriated, and the exercise and subsequent funding of priced options.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Cost of revenue decreased to $692.9 million from $730.0 million, or a 5.1% decrease. This decrease was primarily due to a decrease in salaries and salary related benefits of $32.6 million, a decrease in incentive compensation costs of $13.8 million, and a decrease in employer retirement plan contributions of $3.9 million. The decreases were offset by increases in other direct consulting staff expenses of $13.4 million. The decrease in incentive compensation costs was due to reduced headcount in the senior ranks associated with the cost restructuring plan that was implemented during fiscal 2012, and a decrease in the incentive compensation accrual rates in fiscal 2013 as compared to fiscal 2012 largely in response to lower revenue growth due to the challenging and uncertain market conditions for government contractors, which has had an impact on our achievement of our annual incentive plan targets. The decrease in employer retirement plan contributions was due to a decrease in the number of employees who completed one year of service and became eligible to participate in our defined contribution plan, the Employees' Capital Accumulation Plan, or ECAP. Cost of revenue as a percentage of revenue was 49.8% and 50.6% in the three months ended December 31, 2012 and 2011,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Billable expenses increased to $382.5 million from $370.5 million, or a 3.2% increase. This increase was primarily due to increases in subcontractor-related expenses of $25.2 million offset by decreases in other billable expenses of $13.2 million incurred to perform on contracts. The increase in direct subcontractor-related expenses was in support of growth on existing and new contracts and task orders during the three months ended December 31, 2012. Billable expenses as a percentage of revenue were 27.5% and 25.7% in the three months ended December 31, 2012 and 2011,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and administrative expenses decreased to $182.5 million from $224.5 million, or an 18.7% decrease. This decrease was primarily due to a decrease of $36.0 million in other business-related expenses and professional fees attributable to the Company's disciplined management of corporate-related expenditures, a decrease in salaries and salary-related benefits of $3.7 million, and a decrease in incentive compensation costs of $2.3 million. The decrease in incentive compensation costs was due to reduced headcount in the senior ranks associated with the cost restructuring plan that was implemented during fiscal 2012, and a decrease in the incentive compensation accrual rates in fiscal 2013 as compared to fiscal 2012 for the same reasons described above under Cost of Revenue. General and administrative expenses as a percentage of revenue were 13.1% and 15.6% for the three months ended December 31, 2012 and 2011,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Depreciation and amortization decreased to $18.1 million from $19.5 million, or a 7.2% decrease. This decrease was primarily due to decreased capital expenditures due to the additional facility expansion to support the increase in headcount in fiscal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Interest expense increased to $21.7 million from $12.0 million, or an 80.6% increase, primarily due to debt incurred in connection with the Recapitalization Transaction consummated on July 31, 2012, offset slightly by a decrease in the interest expense related to the deferred payment obligation due to payments made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Income tax expense increased to $38.8 million from $23.5 million or a 65.0% increase. The effective tax rate increased from 27.2% to 40.9% primarily due to the release of uncertain tax position reserves in the prior year.</w:t>
      </w:r>
    </w:p>
    <w:p>
      <w:pPr>
        <w:spacing w:after="0" w:line="184" w:lineRule="exact"/>
        <w:rPr>
          <w:sz w:val="20"/>
          <w:szCs w:val="20"/>
          <w:color w:val="auto"/>
        </w:rPr>
      </w:pPr>
    </w:p>
    <w:p>
      <w:pPr>
        <w:ind w:right="4440"/>
        <w:spacing w:after="0" w:line="305" w:lineRule="auto"/>
        <w:rPr>
          <w:sz w:val="20"/>
          <w:szCs w:val="20"/>
          <w:color w:val="auto"/>
        </w:rPr>
      </w:pPr>
      <w:r>
        <w:rPr>
          <w:rFonts w:ascii="Arial" w:cs="Arial" w:eastAsia="Arial" w:hAnsi="Arial"/>
          <w:sz w:val="18"/>
          <w:szCs w:val="18"/>
          <w:b w:val="1"/>
          <w:bCs w:val="1"/>
          <w:i w:val="1"/>
          <w:iCs w:val="1"/>
          <w:color w:val="auto"/>
        </w:rPr>
        <w:t xml:space="preserve">Nine Months Ended December 31, 2012 Compared to Nine Months Ended December 31, 2011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 decreased to $4,212.8 million from $4,318.6 million, or a 2.5% decrease. The decrease was primarily driven by a decrease in revenue attributable to billable expenses and a lower rate of indirect expenses which has a direct correlation to the reduction of revenue on our large portfolio of cost reimbursable contracts. The lower rate of indirect expenses is primarily attributable to the cost reduction actions the Company implemented in late fiscal 2012 and continued focus on effective capacity and cost management, partially offset by revenue from the acquisition of DSES. Conversions to funded backlog during the twelve months ended December 31, 2012, excluding the impact of any funded backlog from acquisitions, totaled $5.7 billion in comparison to $6.0 billion for the comparable period, with the decrease due to challenging and uncertain market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7" w:name="page28"/>
    <w:bookmarkEnd w:id="27"/>
    <w:p>
      <w:pPr>
        <w:ind w:right="500"/>
        <w:spacing w:after="0" w:line="277" w:lineRule="auto"/>
        <w:rPr>
          <w:sz w:val="20"/>
          <w:szCs w:val="20"/>
          <w:color w:val="auto"/>
        </w:rPr>
      </w:pPr>
      <w:r>
        <w:rPr>
          <w:rFonts w:ascii="Arial" w:cs="Arial" w:eastAsia="Arial" w:hAnsi="Arial"/>
          <w:sz w:val="18"/>
          <w:szCs w:val="18"/>
          <w:color w:val="auto"/>
        </w:rPr>
        <w:t>conditions which is contributing to a lower conversion of unfunded backlog to funded backlog, the award of new contracts and task orders under which funding was appropriated, and the exercise and subsequent funding of priced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Cost of revenue decreased to $2,122.4 million from $2,172.5 million, or a 2.3% decrease. This decrease was primarily due to a decrease in salaries and salary related benefits of $54.4 million and a decrease of $13.8 million in incentive compensation costs, offset by an increase in other direct consulting staff expenses of $21.2 million. The decrease in incentive compensation costs was due to reduced headcount in the senior ranks associated with the cost restructuring plan that was implemented during fiscal 2012, and a decrease in the incentive compensation accrual rates in fiscal 2013 as compared to fiscal 2012 largely in response to lower revenue growth due to the challenging and uncertain market conditions for government contractors, which has had an impact on our achievement of our annual incentive plan targets. Cost of revenue as a percentage of revenue was 50.4% and 50.3% in the nine months ended December 31, 2012 and 2011,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Billable expenses decreased to $1,114.4 million from $1,143.6 million, or a 2.6% decrease. This decrease was primarily due to decreases in other billable expenses of $30.4 million incurred to perform on contracts offset by increases in subcontractor-related expenses of $1.2 million. The increase in direct subcontractor-related expenses was in support of growth on existing and new contracts and task orders during the nine months ended December 31, 2012. Billable expenses as a percentage of revenue were 26.5% in the nine months ended December 31, 2012 and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General and administrative expenses decreased to $588.4 million from $656.6 million, or a 10.4% decrease. This decrease was primarily due to a decrease of $58.1 million in other business-related expenses and professional fees attributable to the Company's disciplined management of corporate-related expenditures, a decrease of $8.8 million in salaries and salary-related benefits, a decrease in stock-based compensation of $3.3 million, and a decrease of $0.6 million in incentive compensation costs. The decrease in incentive compensation costs was due to reduced headcount in the senior ranks associated with the cost restructuring plan that was implemented during fiscal 2012, and a decrease in the incentive compensation accrual rates in fiscal 2013 as compared to fiscal 2012 for the same reasons described above under Cost of Revenue. These decreases were offset by an increase of $2.5 million in employer retirement plan contributions due to an increase in the number of employees who completed one year of service and became eligible to participate in our defined contribution plan, the ECAP. General and administrative expenses as a percentage of revenue were 14.0% and 15.2% for the nine months ended December 31, 2012 and 2011,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Depreciation and amortization decreased to $54.2 million from $55.9 million, or a 3.0% decrease. This decrease in depreciation and amortization expense was primarily due to a decrease of $2.3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$9.9 million for the nine months ended December 31, 2012 compared to $12.3 million for the nine months ended December 31,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expense increased to $50.8 million from $36.5 million, or a 39.1% increase, primarily due to debt incurred in connection with the Recapitalization Transaction consummated on July 31, 2012, offset slightly by a decrease in the interest expense related to the Deferred Payment Obligation, or DPO, due to payments made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Income tax expense increased to $110.6 million from $68.0 million or a 62.8% increase. The effective tax rate increased from 26.4% to 40.2% primarily due to the release of uncertain tax position reserves in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historically been able to generate sufficient cash to fund our operations, debt payments, capital expenditures, and discretionary funding needs. We had $317.6 million and $484.4 million in cash and cash equivalents as of December 31, 2012 and March 31, 2012 respectively, and our debt totaled $1,726.4 million and $965.4 million as of December 31, 2012 and March 31, 2012 respectively. Due to fluctuations in cash flows and the growth in operations, it may be necessary from time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8" w:name="page29"/>
    <w:bookmarkEnd w:id="28"/>
    <w:p>
      <w:pPr>
        <w:jc w:val="both"/>
        <w:ind w:right="160"/>
        <w:spacing w:after="0" w:line="264" w:lineRule="auto"/>
        <w:rPr>
          <w:sz w:val="20"/>
          <w:szCs w:val="20"/>
          <w:color w:val="auto"/>
        </w:rPr>
      </w:pPr>
      <w:r>
        <w:rPr>
          <w:rFonts w:ascii="Arial" w:cs="Arial" w:eastAsia="Arial" w:hAnsi="Arial"/>
          <w:sz w:val="18"/>
          <w:szCs w:val="18"/>
          <w:color w:val="auto"/>
        </w:rPr>
        <w:t>time in the future to borrow under our senior secured loan facilities to meet cash demands. We anticipate that cash provided by operating activities, cash and cash equivalents, and borrowing capacity under our revolving credit facility will be sufficient to meet our anticipated cash requirements for the next twelve months, which primarily include:</w:t>
      </w:r>
    </w:p>
    <w:p>
      <w:pPr>
        <w:spacing w:after="0" w:line="23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From time to time we evaluate alternative uses for excess cash resources including debt prepayments, payment of dividends, share repurchases or funding acquisitions.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30, 2012 the Company acquired DSES for approximately $155.1 million in cash. Additionally, on December 31, 2012 the Company acquired an engineering services company for an immaterial amount.</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Effective July 31, 2012, the Company consummated the Recapitalization Transaction whereby our debt under the new senior credit facilities total $1.75 billion ($725 million Tranche A and $1,025 million Tranche B) and includes a $500 million revolving credit facility. See "-- Indebtedness."</w:t>
      </w:r>
    </w:p>
    <w:p>
      <w:pPr>
        <w:spacing w:after="0" w:line="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As of December 31, 2012, no shares have been repurchased under the program.</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three and nine months ended December 31, 2012, we declared recurring cash dividends totaling $12.2 million ($0.09 per share) and $36.3 million ($0.27 per share). Additionally, during the nine months ended December 31, 2012, we declared special cash dividends totaling $1,112.1 million ($8.00 per share). No cash dividends were declared for the three and nine months ended December 31, 2011.</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special dividend declared, the Compensation Committee, as Administrator of the Officers' Rollover Stock Plan and the Equity Incentive Plan, as amended, is required to make a determination under the respective plan's antidilution provision to adjust the outstanding options. For both the $1.50 and $6.50 special dividends, holders of the Rollover Options received a cash payment equal to the amount of the special dividend on the options' mandatory exercise date. For the $1.50 special dividend, holders of EIP options were granted a dividend equivalent equal to the special dividend payable on June 29, 2012 or the vesting of the EIP option, whichever is later. For the $6.50 special dividend, holders of EIP options with a pre-dividend exercise price less than $11.00 per share received a dividend equivalent equal to the amount of the special dividend payable on August 31, 2012 or the vesting of the EIP option, whichever is later. All other EIP options were adjusted by reducing the exercise price by $6.36 which is equal to the difference between the pre-dividend closing fair market value of our Class A Common Stock and the post-dividend opening fair market value of our Class A Common Stock as noted on the New York Stock Exchange.</w:t>
      </w:r>
    </w:p>
    <w:p>
      <w:pPr>
        <w:spacing w:after="0" w:line="12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Associated with the payment of the dividends, and in connection with the authorization of the special dividends, the Company paid accrued interest on the DPO of $4.0 million for the nine months ended December 31, 2012. No such payments were made for the same periods in fiscal 2012.</w:t>
      </w:r>
    </w:p>
    <w:p>
      <w:pPr>
        <w:spacing w:after="0" w:line="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January 29, 2013, our Board of Directors authorized and declared a regular quarterly cash dividend in the amount of $0.09 per share. The quarterly dividend is payable on February 28, 2013 to shareholders of record on February 11,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8"/>
          <w:szCs w:val="18"/>
          <w:color w:val="auto"/>
        </w:rPr>
        <w:t>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63 as of December 31, 2012 and 65 as of March 31,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6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2011</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398,934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252,019</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(178,027)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(42,226)</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(387,697)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2,603</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(decrease) / increase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(166,790)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212,396</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 our ability to manage our vendor payments. Net cash provided by operations was $398.9 million in the nine months ended December 31, 2012 compared to $252.0 million in the same prior year period, or a 58.3% increase. The increase in net cash provided by operations was primarily due to a higher volume in cash collections during the U.S. government's fiscal year end, which resulted in a decrease in accounts receivable. Our higher cash collections were due to more timely payments by our customers than in the same prior year period, due in part to the U.S. Government's Office of Management and Budget's July 2012 temporary requirement to pay Department of Defense prime contractors within 15 days, which allows small business contractors and subcontractors to receive payments earlier. As a result, we experienced earlier receipt of monies than in the same prior 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Net cash used in investing activities was $178.0 million in the nine months ended December 31, 2012 compared to $42.2 million in the same prior year period, or a 321.6% increase. The increase in net cash used in investing activities was primarily due to the $155.1 million in cash paid to ARINC for the acquisition of DSES on November 30,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Net cash used in financing activities was $387.7 million in the nine months ended December 31, 2012 compared to net cash provided by financing activities of $2.6 million in the same prior year period. The increase in net cash used in financing activities was primarily due to the payment of regular and special dividends and associated dividend equivalents, partially offset by the net proceeds of the Recapitalization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debt totaled $1,726.4 million and $965.4 million as of December 31, 2012 and March 31, 2012, respectively. The interest rate in effect for Tranche A was 2.96% and for Tranche B was 4.50% as of December 31, 2012. The interest rate in effect under our prior credit facility was 2.49% and 3.75% for loans under Tranche A and Tranche B, respectively, as of March 31, 2012. As of December 31, 2012 and March 31, 2012, there were no amounts outstanding under our revolving credit facilities of $500 million and $275 million respectively. As of December 31, 2012 the Company was in compliance with all of its financial covenants under its credit facilities.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49" w:right="259" w:bottom="1440" w:gutter="0" w:footer="0" w:header="0"/>
        </w:sectPr>
      </w:pPr>
    </w:p>
    <w:bookmarkStart w:id="30" w:name="page31"/>
    <w:bookmarkEnd w:id="30"/>
    <w:p>
      <w:pPr>
        <w:ind w:right="20"/>
        <w:spacing w:after="0" w:line="276" w:lineRule="auto"/>
        <w:rPr>
          <w:sz w:val="20"/>
          <w:szCs w:val="20"/>
          <w:color w:val="auto"/>
        </w:rPr>
      </w:pPr>
      <w:r>
        <w:rPr>
          <w:rFonts w:ascii="Arial" w:cs="Arial" w:eastAsia="Arial" w:hAnsi="Arial"/>
          <w:sz w:val="17"/>
          <w:szCs w:val="17"/>
          <w:color w:val="auto"/>
        </w:rPr>
        <w:t xml:space="preserve">On July 31, 2012, the Company consummated the Recapitalization Transaction, which included the refinancing and termination of the Company's existing senior secured credit agreement with the proceeds of the borrowings under the Company's new senior secured credit agreement. Additionally the net proceeds of the recapitalization were used to pay the special dividend on August 31, 2012, as described above under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The new senior secured credit agreement, or the Credit Agreement, provided the Company with a $725.0 million Term Loan A tranche and a $1,025.0 million Term Loan B tranche, and a $500.0 million revolving credit facility with a $100.0 million sublimit for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Tranche A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12,033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2,839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675</w:t>
            </w:r>
          </w:p>
        </w:tc>
      </w:tr>
      <w:tr>
        <w:trPr>
          <w:trHeight w:val="27"/>
        </w:trPr>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B Loans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4,417</w:t>
            </w: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9,790</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1,962</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w:t>
            </w:r>
          </w:p>
        </w:tc>
        <w:tc>
          <w:tcPr>
            <w:tcW w:w="2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1,474</w:t>
            </w:r>
          </w:p>
        </w:tc>
      </w:tr>
      <w:tr>
        <w:trPr>
          <w:trHeight w:val="27"/>
        </w:trPr>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6,566</w:t>
            </w:r>
          </w:p>
        </w:tc>
      </w:tr>
      <w:tr>
        <w:trPr>
          <w:trHeight w:val="20"/>
        </w:trPr>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 on borrowings under Tranche A is LIBOR plus 2.75%, and will range from 2.00% to 2.75% based on the Company's total leverage ratio. The interest rate on borrowings under Tranche B is LIBOR plus 3.5% with a 1% floor. The revolving credit facility margin and commitment fee are subject to the leveraged based pricing grid, as set forth in the Credit Agreement.</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loans under the Credit Agreement are secured by substantially all of our assets and none of such assets will be available to satisfy the claims of our general creditors. The Credit Agreement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December 31, 2012 we were compliant with these covenants.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stockholders’ equity amounted to $184.5 million as of December 31, 2012, a decrease of $1,000.7 million compared to stockholders’ equity of $1,185.2 million as of March 31, 2012, primarily due to the payment of special dividends on June 29, 2012 and August 31, 2012, offset by the net increase for the nine month period from common stock issuances, stock option exercises, net income of $164.2 million in the nine months ended December 31, 2012, and stock-based compensation expense of $19.9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did not have any off-balance sheet arrangements.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3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2012 and 2011 were $20.7 million and $65.6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15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risks and other factors include: cost cutting and efficiency initiatives and other efforts to reduce U.S. government spending, including automatic sequestration required by the Budget Control Act of 2011 (as amended by the American Taxpayer Relief Act of 2012), which could reduce or delay funding for orders for services especially in the current political environment; delayed funding of our contracts due to delays in the completion of the U.S. government's budgeting process and the use of continuing resolutions by the U.S. government to fund its operations or related changes in the pattern or timing of government funding and spending; continued uncertainty around the timing, extent and nature of Congressional and other U.S. government action to address budgeting constraints and the U.S. government's ability to incur indebtedness in excess of its current limit and the U.S. deficit; any issue that compromises our relationships with the U.S. government or damages our professional reputation; changes in U.S. government spending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23" w:right="23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t>operations; risks related to our indebtedness and credit facilities which contain financial and operating covenants; the adoption by the U.S. government of new laws, rules, and regulations, such as those relating to organizational conflicts of interest issues; our ability to realize the expected benefits from our acquisition of the DSES division of ARINC Incorporated; risks related to future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13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2012 filed with the Securities and Exchange Commission on May 30, 2012.</w:t>
      </w: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our Form 10-K for the fiscal year ended March 31, 2012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during the period covered by this Quarterly Report on Form 10-Q to the risk factors disclosed in Part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1A, of our Annual Report on Form 10-K for the fiscal year ended March 31, 2012 filed with the Securities and Exchange Commission on May 30, 2012.</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364"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Stockholders Agreement (Incorporated by reference to Exhibit 4.3 to the Company’s Quarterly Report for the period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5"/>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360"/>
          </w:cols>
          <w:pgMar w:left="240" w:top="364" w:right="29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674"/>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530"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80" w:top="530" w:right="279" w:bottom="1440" w:gutter="0" w:footer="0" w:header="0"/>
          <w:type w:val="continuous"/>
        </w:sectPr>
      </w:pPr>
    </w:p>
    <w:bookmarkStart w:id="36" w:name="page37"/>
    <w:bookmarkEnd w:id="36"/>
    <w:p>
      <w:pPr>
        <w:ind w:left="960" w:hanging="925"/>
        <w:spacing w:after="0" w:line="270"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Quarterly Report on Form 10-Q for the three months ended December 31, 2012, formatted in XBRL (eXtensible Business Reporting Language): (i) Condensed Consolidated Statements of Operations for the three and nine months ended December 31, 2012 and 2011; (ii) Condensed Consolidated Statements of Comprehensive Income for the three and nine months ended December 31, 2012 and 2011; (iii) Condensed Consolidated Balance Sheets at December 31, 2012 and March 31, 2012; (iv) Condensed Consolidated Statements of Cash Flows for the nine months ended December 31, 2012 and 2011;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40" w:hanging="652"/>
        <w:spacing w:after="0" w:line="277"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530" w:right="33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January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364"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8"/>
          <w:szCs w:val="18"/>
          <w:color w:val="auto"/>
        </w:rPr>
      </w:pPr>
    </w:p>
    <w:p>
      <w:pPr>
        <w:ind w:right="540" w:firstLine="8"/>
        <w:spacing w:after="0" w:line="30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3" w:lineRule="exact"/>
        <w:rPr>
          <w:sz w:val="20"/>
          <w:szCs w:val="20"/>
          <w:color w:val="auto"/>
        </w:rPr>
      </w:pPr>
    </w:p>
    <w:p>
      <w:pPr>
        <w:ind w:right="66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January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8"/>
          <w:szCs w:val="18"/>
          <w:color w:val="auto"/>
        </w:rPr>
      </w:pPr>
    </w:p>
    <w:p>
      <w:pPr>
        <w:ind w:right="540" w:firstLine="8"/>
        <w:spacing w:after="0" w:line="308" w:lineRule="auto"/>
        <w:tabs>
          <w:tab w:leader="none" w:pos="2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3" w:lineRule="exact"/>
        <w:rPr>
          <w:sz w:val="20"/>
          <w:szCs w:val="20"/>
          <w:color w:val="auto"/>
        </w:rPr>
      </w:pPr>
    </w:p>
    <w:p>
      <w:pPr>
        <w:ind w:right="66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January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2012,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January 30, 2013</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2012,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January 30, 2013</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decimal"/>
      <w:start w:val="5"/>
    </w:lvl>
  </w:abstractNum>
  <w:abstractNum w:abstractNumId="4">
    <w:nsid w:val="3F2DBA31"/>
    <w:multiLevelType w:val="hybridMultilevel"/>
    <w:lvl w:ilvl="0">
      <w:lvlJc w:val="left"/>
      <w:lvlText w:val="%1."/>
      <w:numFmt w:val="decimal"/>
      <w:start w:val="1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bullet"/>
      <w:start w:val="1"/>
    </w:lvl>
  </w:abstractNum>
  <w:abstractNum w:abstractNumId="7">
    <w:nsid w:val="62BBD95A"/>
    <w:multiLevelType w:val="hybridMultilevel"/>
    <w:lvl w:ilvl="0">
      <w:lvlJc w:val="left"/>
      <w:lvlText w:val="%1."/>
      <w:numFmt w:val="decimal"/>
      <w:start w:val="15"/>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0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2019-12-07T19:17:33Z</dcterms:created>
  <dcterms:modified xsi:type="dcterms:W3CDTF">2019-12-07T19:17:33Z</dcterms:modified>
</cp:coreProperties>
</file>