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662940</wp:posOffset>
            </wp:positionV>
            <wp:extent cx="6892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-224155</wp:posOffset>
            </wp:positionV>
            <wp:extent cx="689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___________________________________</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480" w:hanging="652"/>
        <w:spacing w:after="0" w:line="254"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March 31, 2020</w:t>
      </w:r>
    </w:p>
    <w:p>
      <w:pPr>
        <w:spacing w:after="0" w:line="12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057" w:right="339" w:bottom="1440" w:gutter="0" w:footer="0" w:header="0"/>
        </w:sectPr>
      </w:pPr>
    </w:p>
    <w:p>
      <w:pPr>
        <w:spacing w:after="0" w:line="153"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26-2634160</w:t>
      </w:r>
    </w:p>
    <w:p>
      <w:pPr>
        <w:spacing w:after="0" w:line="82" w:lineRule="exact"/>
        <w:rPr>
          <w:sz w:val="24"/>
          <w:szCs w:val="24"/>
          <w:color w:val="auto"/>
        </w:rPr>
      </w:pPr>
    </w:p>
    <w:p>
      <w:pPr>
        <w:sectPr>
          <w:pgSz w:w="11900" w:h="16838" w:orient="portrait"/>
          <w:cols w:equalWidth="0" w:num="2">
            <w:col w:w="8240" w:space="720"/>
            <w:col w:w="2280"/>
          </w:cols>
          <w:pgMar w:left="320" w:top="1057" w:right="339" w:bottom="1440" w:gutter="0" w:footer="0" w:header="0"/>
          <w:type w:val="continuous"/>
        </w:sectPr>
      </w:pPr>
    </w:p>
    <w:p>
      <w:pPr>
        <w:ind w:left="12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2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8100" w:space="720"/>
            <w:col w:w="2420"/>
          </w:cols>
          <w:pgMar w:left="320" w:top="1057" w:right="339" w:bottom="1440" w:gutter="0" w:footer="0" w:header="0"/>
          <w:type w:val="continuous"/>
        </w:sectPr>
      </w:pPr>
    </w:p>
    <w:p>
      <w:pPr>
        <w:ind w:left="280"/>
        <w:spacing w:after="0"/>
        <w:rPr>
          <w:sz w:val="20"/>
          <w:szCs w:val="20"/>
          <w:color w:val="auto"/>
        </w:rPr>
      </w:pPr>
      <w:r>
        <w:rPr>
          <w:rFonts w:ascii="Arial" w:cs="Arial" w:eastAsia="Arial" w:hAnsi="Arial"/>
          <w:sz w:val="16"/>
          <w:szCs w:val="16"/>
          <w:b w:val="1"/>
          <w:bCs w:val="1"/>
          <w:color w:val="auto"/>
        </w:rPr>
        <w:t>8283 Greensboro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McLean,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22102</w:t>
      </w:r>
    </w:p>
    <w:p>
      <w:pPr>
        <w:spacing w:after="0" w:line="81" w:lineRule="exact"/>
        <w:rPr>
          <w:sz w:val="24"/>
          <w:szCs w:val="24"/>
          <w:color w:val="auto"/>
        </w:rPr>
      </w:pPr>
    </w:p>
    <w:p>
      <w:pPr>
        <w:sectPr>
          <w:pgSz w:w="11900" w:h="16838" w:orient="portrait"/>
          <w:cols w:equalWidth="0" w:num="4">
            <w:col w:w="2100" w:space="460"/>
            <w:col w:w="680" w:space="280"/>
            <w:col w:w="4920" w:space="720"/>
            <w:col w:w="2080"/>
          </w:cols>
          <w:pgMar w:left="320" w:top="1057" w:right="339" w:bottom="1440" w:gutter="0" w:footer="0" w:header="0"/>
          <w:type w:val="continuous"/>
        </w:sectPr>
      </w:pPr>
    </w:p>
    <w:p>
      <w:pPr>
        <w:ind w:left="9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84" w:lineRule="exact"/>
        <w:rPr>
          <w:sz w:val="24"/>
          <w:szCs w:val="24"/>
          <w:color w:val="auto"/>
        </w:rPr>
      </w:pPr>
    </w:p>
    <w:p>
      <w:pPr>
        <w:sectPr>
          <w:pgSz w:w="11900" w:h="16838" w:orient="portrait"/>
          <w:cols w:equalWidth="0" w:num="2">
            <w:col w:w="8340" w:space="720"/>
            <w:col w:w="2180"/>
          </w:cols>
          <w:pgMar w:left="320" w:top="1057"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Trading Symbol</w:t>
            </w:r>
          </w:p>
        </w:tc>
        <w:tc>
          <w:tcPr>
            <w:tcW w:w="318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0" w:type="dxa"/>
            <w:vAlign w:val="bottom"/>
            <w:gridSpan w:val="3"/>
          </w:tcPr>
          <w:p>
            <w:pPr>
              <w:jc w:val="center"/>
              <w:ind w:left="1676"/>
              <w:spacing w:after="0"/>
              <w:rPr>
                <w:sz w:val="20"/>
                <w:szCs w:val="20"/>
                <w:color w:val="auto"/>
              </w:rPr>
            </w:pPr>
            <w:r>
              <w:rPr>
                <w:rFonts w:ascii="Arial" w:cs="Arial" w:eastAsia="Arial" w:hAnsi="Arial"/>
                <w:sz w:val="18"/>
                <w:szCs w:val="18"/>
                <w:color w:val="auto"/>
                <w:w w:val="90"/>
              </w:rPr>
              <w:t>Class A Common Stock</w:t>
            </w:r>
          </w:p>
        </w:tc>
        <w:tc>
          <w:tcPr>
            <w:tcW w:w="1440" w:type="dxa"/>
            <w:vAlign w:val="bottom"/>
          </w:tcPr>
          <w:p>
            <w:pPr>
              <w:spacing w:after="0"/>
              <w:rPr>
                <w:sz w:val="24"/>
                <w:szCs w:val="2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color w:val="auto"/>
              </w:rPr>
              <w:t>BAH</w:t>
            </w:r>
          </w:p>
        </w:tc>
        <w:tc>
          <w:tcPr>
            <w:tcW w:w="3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5"/>
          </w:tcPr>
          <w:p>
            <w:pPr>
              <w:jc w:val="center"/>
              <w:ind w:right="3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None.</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3"/>
          </w:tcPr>
          <w:p>
            <w:pPr>
              <w:jc w:val="center"/>
              <w:ind w:left="879"/>
              <w:spacing w:after="0"/>
              <w:rPr>
                <w:sz w:val="20"/>
                <w:szCs w:val="20"/>
                <w:color w:val="auto"/>
              </w:rPr>
            </w:pPr>
            <w:r>
              <w:rPr>
                <w:rFonts w:ascii="Arial" w:cs="Arial" w:eastAsia="Arial" w:hAnsi="Arial"/>
                <w:sz w:val="16"/>
                <w:szCs w:val="16"/>
                <w:color w:val="auto"/>
                <w:w w:val="91"/>
              </w:rPr>
              <w:t>__________________</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5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60" w:type="dxa"/>
            <w:vAlign w:val="bottom"/>
            <w:gridSpan w:val="8"/>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5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380"/>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400"/>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80"/>
        <w:spacing w:after="0" w:line="32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68"/>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04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1057" w:right="339" w:bottom="1440" w:gutter="0" w:footer="0" w:header="0"/>
          <w:type w:val="continuous"/>
        </w:sectPr>
      </w:pPr>
    </w:p>
    <w:bookmarkStart w:id="1" w:name="page2"/>
    <w:bookmarkEnd w:id="1"/>
    <w:p>
      <w:pPr>
        <w:ind w:right="980"/>
        <w:spacing w:after="0" w:line="275" w:lineRule="auto"/>
        <w:rPr>
          <w:sz w:val="20"/>
          <w:szCs w:val="20"/>
          <w:color w:val="auto"/>
        </w:rPr>
      </w:pPr>
      <w:r>
        <w:rPr>
          <w:rFonts w:ascii="Arial" w:cs="Arial" w:eastAsia="Arial" w:hAnsi="Arial"/>
          <w:sz w:val="16"/>
          <w:szCs w:val="16"/>
          <w:color w:val="auto"/>
        </w:rPr>
        <w:t>As of September 30, 2019, the market value of the voting and non-voting common equity held by non-affiliates based on the closing price as of that day was $9,760,433,437.</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7"/>
          <w:szCs w:val="17"/>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520" w:type="dxa"/>
            <w:vAlign w:val="bottom"/>
          </w:tcPr>
          <w:p>
            <w:pPr>
              <w:jc w:val="center"/>
              <w:ind w:left="3342"/>
              <w:spacing w:after="0"/>
              <w:rPr>
                <w:sz w:val="20"/>
                <w:szCs w:val="20"/>
                <w:color w:val="auto"/>
              </w:rPr>
            </w:pPr>
            <w:r>
              <w:rPr>
                <w:rFonts w:ascii="Arial" w:cs="Arial" w:eastAsia="Arial" w:hAnsi="Arial"/>
                <w:sz w:val="14"/>
                <w:szCs w:val="14"/>
                <w:b w:val="1"/>
                <w:bCs w:val="1"/>
                <w:color w:val="auto"/>
                <w:w w:val="91"/>
              </w:rPr>
              <w:t>Shares Outstanding</w:t>
            </w:r>
          </w:p>
        </w:tc>
      </w:tr>
      <w:tr>
        <w:trPr>
          <w:trHeight w:val="192"/>
        </w:trPr>
        <w:tc>
          <w:tcPr>
            <w:tcW w:w="5620" w:type="dxa"/>
            <w:vAlign w:val="bottom"/>
          </w:tcPr>
          <w:p>
            <w:pPr>
              <w:spacing w:after="0"/>
              <w:rPr>
                <w:sz w:val="16"/>
                <w:szCs w:val="16"/>
                <w:color w:val="auto"/>
              </w:rPr>
            </w:pPr>
          </w:p>
        </w:tc>
        <w:tc>
          <w:tcPr>
            <w:tcW w:w="5520" w:type="dxa"/>
            <w:vAlign w:val="bottom"/>
          </w:tcPr>
          <w:p>
            <w:pPr>
              <w:jc w:val="center"/>
              <w:ind w:left="3342"/>
              <w:spacing w:after="0"/>
              <w:rPr>
                <w:sz w:val="20"/>
                <w:szCs w:val="20"/>
                <w:color w:val="auto"/>
              </w:rPr>
            </w:pPr>
            <w:r>
              <w:rPr>
                <w:rFonts w:ascii="Arial" w:cs="Arial" w:eastAsia="Arial" w:hAnsi="Arial"/>
                <w:sz w:val="14"/>
                <w:szCs w:val="14"/>
                <w:b w:val="1"/>
                <w:bCs w:val="1"/>
                <w:color w:val="auto"/>
                <w:w w:val="93"/>
              </w:rPr>
              <w:t>as of May 20, 2020</w:t>
            </w: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137,938,100</w:t>
            </w:r>
          </w:p>
        </w:tc>
      </w:tr>
      <w:tr>
        <w:trPr>
          <w:trHeight w:val="27"/>
        </w:trPr>
        <w:tc>
          <w:tcPr>
            <w:tcW w:w="56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163195</wp:posOffset>
            </wp:positionV>
            <wp:extent cx="6892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-127635</wp:posOffset>
            </wp:positionV>
            <wp:extent cx="6892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July 29, 2020 are incorporated by reference into Part III.</w:t>
      </w:r>
    </w:p>
    <w:p>
      <w:pPr>
        <w:sectPr>
          <w:pgSz w:w="11900" w:h="16838" w:orient="portrait"/>
          <w:cols w:equalWidth="0" w:num="1">
            <w:col w:w="11140"/>
          </w:cols>
          <w:pgMar w:left="320" w:top="69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740" w:type="dxa"/>
            <w:vAlign w:val="bottom"/>
            <w:gridSpan w:val="2"/>
          </w:tcPr>
          <w:p>
            <w:pPr>
              <w:ind w:left="234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567"/>
        </w:trPr>
        <w:tc>
          <w:tcPr>
            <w:tcW w:w="10020" w:type="dxa"/>
            <w:vAlign w:val="bottom"/>
            <w:gridSpan w:val="4"/>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INTRODUCTORY NOTE</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1</w:t>
              </w:r>
            </w:hyperlink>
          </w:p>
        </w:tc>
      </w:tr>
      <w:tr>
        <w:trPr>
          <w:trHeight w:val="391"/>
        </w:trPr>
        <w:tc>
          <w:tcPr>
            <w:tcW w:w="154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tc>
        <w:tc>
          <w:tcPr>
            <w:tcW w:w="7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3</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Business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3</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Risk Factors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13</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1B.</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Unresolved Staff Comments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37</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Properties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37</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Legal Proceedings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37</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Mine Safety Disclosures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38</w:t>
              </w:r>
            </w:hyperlink>
          </w:p>
        </w:tc>
      </w:tr>
      <w:tr>
        <w:trPr>
          <w:trHeight w:val="392"/>
        </w:trPr>
        <w:tc>
          <w:tcPr>
            <w:tcW w:w="15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w:t>
              </w:r>
            </w:hyperlink>
          </w:p>
        </w:tc>
        <w:tc>
          <w:tcPr>
            <w:tcW w:w="7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40</w:t>
              </w:r>
            </w:hyperlink>
          </w:p>
        </w:tc>
      </w:tr>
      <w:tr>
        <w:trPr>
          <w:trHeight w:val="35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788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43">
              <w:r>
                <w:rPr>
                  <w:rFonts w:ascii="Arial" w:cs="Arial" w:eastAsia="Arial" w:hAnsi="Arial"/>
                  <w:sz w:val="18"/>
                  <w:szCs w:val="18"/>
                  <w:b w:val="1"/>
                  <w:bCs w:val="1"/>
                  <w:color w:val="0000EE"/>
                  <w:w w:val="90"/>
                </w:rPr>
                <w:t>Market for Registrant's Common Equity, Related Stockholder Matters and Issuer Purchases of Equity</w:t>
              </w:r>
            </w:hyperlink>
          </w:p>
        </w:tc>
        <w:tc>
          <w:tcPr>
            <w:tcW w:w="60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40</w:t>
              </w:r>
            </w:hyperlink>
          </w:p>
        </w:tc>
      </w:tr>
      <w:tr>
        <w:trPr>
          <w:trHeight w:val="196"/>
        </w:trPr>
        <w:tc>
          <w:tcPr>
            <w:tcW w:w="1540" w:type="dxa"/>
            <w:vAlign w:val="bottom"/>
          </w:tcPr>
          <w:p>
            <w:pPr>
              <w:spacing w:after="0"/>
              <w:rPr>
                <w:sz w:val="17"/>
                <w:szCs w:val="17"/>
                <w:color w:val="auto"/>
              </w:rPr>
            </w:pPr>
          </w:p>
        </w:tc>
        <w:tc>
          <w:tcPr>
            <w:tcW w:w="8480" w:type="dxa"/>
            <w:vAlign w:val="bottom"/>
            <w:gridSpan w:val="3"/>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Securities</w:t>
              </w:r>
            </w:hyperlink>
          </w:p>
        </w:tc>
        <w:tc>
          <w:tcPr>
            <w:tcW w:w="86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Selected Financial Data</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41</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7.</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43</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7A.</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Quantitative and Qualitative Disclosures About Market Risk</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64</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8.</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Financial Statements and Supplementary Data</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F-1</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9.</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Changes in and Disagreements With Accountants on Accounting and Financial Disclosure</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65</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9A.</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Controls and Procedures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65</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9B.</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Other Information</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67</w:t>
              </w:r>
            </w:hyperlink>
          </w:p>
        </w:tc>
      </w:tr>
      <w:tr>
        <w:trPr>
          <w:trHeight w:val="392"/>
        </w:trPr>
        <w:tc>
          <w:tcPr>
            <w:tcW w:w="1540" w:type="dxa"/>
            <w:vAlign w:val="bottom"/>
          </w:tcPr>
          <w:p>
            <w:pPr>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PART III</w:t>
              </w:r>
            </w:hyperlink>
          </w:p>
        </w:tc>
        <w:tc>
          <w:tcPr>
            <w:tcW w:w="7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67</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10.</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Directors, Executive Officers and Corporate Governance</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67</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11.</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Executive Compensation</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67</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12.</w:t>
            </w:r>
          </w:p>
        </w:tc>
        <w:tc>
          <w:tcPr>
            <w:tcW w:w="8480" w:type="dxa"/>
            <w:vAlign w:val="bottom"/>
            <w:gridSpan w:val="3"/>
          </w:tcPr>
          <w:p>
            <w:pPr>
              <w:spacing w:after="0"/>
              <w:rPr>
                <w:rFonts w:ascii="Arial" w:cs="Arial" w:eastAsia="Arial" w:hAnsi="Arial"/>
                <w:sz w:val="18"/>
                <w:szCs w:val="18"/>
                <w:b w:val="1"/>
                <w:bCs w:val="1"/>
                <w:u w:val="single" w:color="auto"/>
                <w:color w:val="0000EE"/>
                <w:w w:val="98"/>
              </w:rPr>
            </w:pPr>
            <w:hyperlink w:anchor="page116">
              <w:r>
                <w:rPr>
                  <w:rFonts w:ascii="Arial" w:cs="Arial" w:eastAsia="Arial" w:hAnsi="Arial"/>
                  <w:sz w:val="18"/>
                  <w:szCs w:val="18"/>
                  <w:b w:val="1"/>
                  <w:bCs w:val="1"/>
                  <w:u w:val="single" w:color="auto"/>
                  <w:color w:val="0000EE"/>
                  <w:w w:val="98"/>
                </w:rPr>
                <w:t>Security Ownership of Certain Beneficial Owners and Management and Related Stockholder Matters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68</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13.</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Certain Relationships and Related Transactions, and Director Independence</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68</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14.</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Principal Accounting Fees and Services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68</w:t>
              </w:r>
            </w:hyperlink>
          </w:p>
        </w:tc>
      </w:tr>
      <w:tr>
        <w:trPr>
          <w:trHeight w:val="392"/>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15.</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Exhibits, Financial Statement Schedules</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68</w:t>
              </w:r>
            </w:hyperlink>
          </w:p>
        </w:tc>
      </w:tr>
      <w:tr>
        <w:trPr>
          <w:trHeight w:val="391"/>
        </w:trPr>
        <w:tc>
          <w:tcPr>
            <w:tcW w:w="1540" w:type="dxa"/>
            <w:vAlign w:val="bottom"/>
          </w:tcPr>
          <w:p>
            <w:pPr>
              <w:ind w:left="340"/>
              <w:spacing w:after="0"/>
              <w:rPr>
                <w:sz w:val="20"/>
                <w:szCs w:val="20"/>
                <w:color w:val="auto"/>
              </w:rPr>
            </w:pPr>
            <w:r>
              <w:rPr>
                <w:rFonts w:ascii="Arial" w:cs="Arial" w:eastAsia="Arial" w:hAnsi="Arial"/>
                <w:sz w:val="18"/>
                <w:szCs w:val="18"/>
                <w:b w:val="1"/>
                <w:bCs w:val="1"/>
                <w:color w:val="auto"/>
              </w:rPr>
              <w:t>Item 16.</w:t>
            </w:r>
          </w:p>
        </w:tc>
        <w:tc>
          <w:tcPr>
            <w:tcW w:w="8480" w:type="dxa"/>
            <w:vAlign w:val="bottom"/>
            <w:gridSpan w:val="3"/>
          </w:tcPr>
          <w:p>
            <w:pPr>
              <w:spacing w:after="0"/>
              <w:rPr>
                <w:rFonts w:ascii="Arial" w:cs="Arial" w:eastAsia="Arial" w:hAnsi="Arial"/>
                <w:sz w:val="18"/>
                <w:szCs w:val="18"/>
                <w:b w:val="1"/>
                <w:bCs w:val="1"/>
                <w:u w:val="single" w:color="auto"/>
                <w:color w:val="0000EE"/>
              </w:rPr>
            </w:pPr>
            <w:hyperlink w:anchor="page122">
              <w:r>
                <w:rPr>
                  <w:rFonts w:ascii="Arial" w:cs="Arial" w:eastAsia="Arial" w:hAnsi="Arial"/>
                  <w:sz w:val="18"/>
                  <w:szCs w:val="18"/>
                  <w:b w:val="1"/>
                  <w:bCs w:val="1"/>
                  <w:u w:val="single" w:color="auto"/>
                  <w:color w:val="0000EE"/>
                </w:rPr>
                <w:t>Form 10-K Summary</w:t>
              </w:r>
            </w:hyperlink>
          </w:p>
        </w:tc>
        <w:tc>
          <w:tcPr>
            <w:tcW w:w="860" w:type="dxa"/>
            <w:vAlign w:val="bottom"/>
          </w:tcPr>
          <w:p>
            <w:pPr>
              <w:jc w:val="right"/>
              <w:spacing w:after="0"/>
              <w:rPr>
                <w:rFonts w:ascii="Arial" w:cs="Arial" w:eastAsia="Arial" w:hAnsi="Arial"/>
                <w:sz w:val="18"/>
                <w:szCs w:val="18"/>
                <w:b w:val="1"/>
                <w:bCs w:val="1"/>
                <w:u w:val="single" w:color="auto"/>
                <w:color w:val="0000EE"/>
              </w:rPr>
            </w:pPr>
            <w:hyperlink w:anchor="page122">
              <w:r>
                <w:rPr>
                  <w:rFonts w:ascii="Arial" w:cs="Arial" w:eastAsia="Arial" w:hAnsi="Arial"/>
                  <w:sz w:val="18"/>
                  <w:szCs w:val="18"/>
                  <w:b w:val="1"/>
                  <w:bCs w:val="1"/>
                  <w:u w:val="single" w:color="auto"/>
                  <w:color w:val="0000EE"/>
                </w:rPr>
                <w:t>74</w:t>
              </w:r>
            </w:hyperlink>
          </w:p>
        </w:tc>
      </w:tr>
    </w:tbl>
    <w:p>
      <w:pPr>
        <w:sectPr>
          <w:pgSz w:w="11900" w:h="16838" w:orient="portrait"/>
          <w:cols w:equalWidth="0" w:num="1">
            <w:col w:w="10880"/>
          </w:cols>
          <w:pgMar w:left="360" w:top="904" w:right="6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Unless the context otherwise indicates or requires, as used in this Annual Report on Form 10-K for the fiscal year ended March 31, 2020,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2020. We have made rounding adjustments to reach some of the figures included in this Annual Report and, unless otherwise indicated, percentages presented in this Annual Report are approximate.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4" w:lineRule="exact"/>
        <w:rPr>
          <w:sz w:val="20"/>
          <w:szCs w:val="20"/>
          <w:color w:val="auto"/>
        </w:rPr>
      </w:pPr>
    </w:p>
    <w:p>
      <w:pPr>
        <w:ind w:left="540" w:right="58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8" w:lineRule="exact"/>
        <w:rPr>
          <w:rFonts w:ascii="Arial" w:cs="Arial" w:eastAsia="Arial" w:hAnsi="Arial"/>
          <w:sz w:val="18"/>
          <w:szCs w:val="18"/>
          <w:color w:val="auto"/>
        </w:rPr>
      </w:pPr>
    </w:p>
    <w:p>
      <w:pPr>
        <w:ind w:left="540" w:right="300" w:hanging="316"/>
        <w:spacing w:after="0" w:line="29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right="12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8" w:lineRule="exact"/>
        <w:rPr>
          <w:rFonts w:ascii="Arial" w:cs="Arial" w:eastAsia="Arial" w:hAnsi="Arial"/>
          <w:sz w:val="18"/>
          <w:szCs w:val="18"/>
          <w:color w:val="auto"/>
        </w:rPr>
      </w:pPr>
    </w:p>
    <w:p>
      <w:pPr>
        <w:ind w:left="540" w:right="260" w:hanging="316"/>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spacing w:after="0" w:line="21"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63" w:lineRule="exact"/>
        <w:rPr>
          <w:rFonts w:ascii="Arial" w:cs="Arial" w:eastAsia="Arial" w:hAnsi="Arial"/>
          <w:sz w:val="18"/>
          <w:szCs w:val="18"/>
          <w:color w:val="auto"/>
        </w:rPr>
      </w:pPr>
    </w:p>
    <w:p>
      <w:pPr>
        <w:ind w:left="540" w:right="140" w:hanging="316"/>
        <w:spacing w:after="0" w:line="29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ind w:left="540" w:right="8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outbreak, and other pandemics or widespread health epidemics, including disruptions to our workforce and the impact on government spending and demand for our solutions;</w:t>
      </w:r>
    </w:p>
    <w:p>
      <w:pPr>
        <w:spacing w:after="0" w:line="8" w:lineRule="exact"/>
        <w:rPr>
          <w:rFonts w:ascii="Arial" w:cs="Arial" w:eastAsia="Arial" w:hAnsi="Arial"/>
          <w:sz w:val="18"/>
          <w:szCs w:val="18"/>
          <w:color w:val="auto"/>
        </w:rPr>
      </w:pPr>
    </w:p>
    <w:p>
      <w:pPr>
        <w:ind w:left="540" w:right="38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8"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8" w:lineRule="exact"/>
        <w:rPr>
          <w:rFonts w:ascii="Arial" w:cs="Arial" w:eastAsia="Arial" w:hAnsi="Arial"/>
          <w:sz w:val="18"/>
          <w:szCs w:val="18"/>
          <w:color w:val="auto"/>
        </w:rPr>
      </w:pPr>
    </w:p>
    <w:p>
      <w:pPr>
        <w:ind w:left="540" w:right="78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63"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8"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661" w:right="359" w:bottom="1440" w:gutter="0" w:footer="0" w:header="0"/>
        </w:sectPr>
      </w:pPr>
    </w:p>
    <w:bookmarkStart w:id="4" w:name="page5"/>
    <w:bookmarkEnd w:id="4"/>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63"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63"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63" w:lineRule="exact"/>
        <w:rPr>
          <w:rFonts w:ascii="Arial" w:cs="Arial" w:eastAsia="Arial" w:hAnsi="Arial"/>
          <w:sz w:val="18"/>
          <w:szCs w:val="18"/>
          <w:color w:val="auto"/>
        </w:rPr>
      </w:pPr>
    </w:p>
    <w:p>
      <w:pPr>
        <w:ind w:left="540" w:right="60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8" w:lineRule="exact"/>
        <w:rPr>
          <w:rFonts w:ascii="Arial" w:cs="Arial" w:eastAsia="Arial" w:hAnsi="Arial"/>
          <w:sz w:val="18"/>
          <w:szCs w:val="18"/>
          <w:color w:val="auto"/>
        </w:rPr>
      </w:pPr>
    </w:p>
    <w:p>
      <w:pPr>
        <w:ind w:left="540" w:right="620" w:hanging="316"/>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21"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86" w:lineRule="exact"/>
        <w:rPr>
          <w:rFonts w:ascii="Arial" w:cs="Arial" w:eastAsia="Arial" w:hAnsi="Arial"/>
          <w:sz w:val="16"/>
          <w:szCs w:val="16"/>
          <w:color w:val="auto"/>
        </w:rPr>
      </w:pPr>
    </w:p>
    <w:p>
      <w:pPr>
        <w:ind w:left="540" w:right="8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8"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by the U.S. government of new laws, rules, and regulations, such as those relating to organizational conflicts of interest issues or limits;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63" w:lineRule="exact"/>
        <w:rPr>
          <w:rFonts w:ascii="Arial" w:cs="Arial" w:eastAsia="Arial" w:hAnsi="Arial"/>
          <w:sz w:val="18"/>
          <w:szCs w:val="18"/>
          <w:color w:val="auto"/>
        </w:rPr>
      </w:pPr>
    </w:p>
    <w:p>
      <w:pPr>
        <w:ind w:left="540" w:right="80" w:hanging="316"/>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21"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63"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63"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719"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the communities in which we live and work. This is our heritage, and it is as true today as when the Company was founded in 1914.</w:t>
      </w:r>
    </w:p>
    <w:p>
      <w:pPr>
        <w:spacing w:after="0" w:line="6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 collaborative culture is an integral part of our unique operating model, which encourages our people to bring a diversity of ideas and talent to every client engagement. Building on our legacy of passionate client service and guided by our comprehensive Vision 2020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215"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aerospace, financial services, health and life sciences, energy, and transportation. Our international clients are primarily in Europe, the Middle East and Southeast Asia.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Corporate Structure</w:t>
      </w:r>
    </w:p>
    <w:p>
      <w:pPr>
        <w:spacing w:after="0" w:line="12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7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Institution and Operating Model</w:t>
      </w:r>
    </w:p>
    <w:p>
      <w:pPr>
        <w:spacing w:after="0" w:line="12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firm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5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2020 on new and re-competed contracts of 61% and 90%, respectively, as compared to 60% and 83%, respectively, in fiscal 2019 demonstrate the strength of this approach.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deliver lasting value and results to our clients has always been, and continues to be, a product of the strong character, expertise and tremendous passion of our people. Our approximately 27,200 employees work to solve hard problems by making our clients’ missions their own, combining decades of consulting and domain expertise with functional expertise in areas such as analytics, digital solutions, engineering, and cybersecurity. Our talented people are supported by a culture of innovation, diversity, and inclusion.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people at a glance:</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81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Nearly 29% are veterans, including 18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Approximately 86% hold bachelor’s degrees; approximately 40% hold master’s degrees; and approximately 3% hold doctoral degrees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66% hold security clearances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attract and retain the best people by providing them with opportunities to grow, build skills, and be appreciated for their contributions as they work on our clients’ toughest challenges. We continuously invest in elements of our employee value proposition to ensure we remain an employer of choice in a highly competitive talent marketplace. This value proposition creates a virtuous circle in which our employees know they are making a difference while growing their careers, which furthers their commitment to Booz Allen and makes them ambassadors for future talent. Booz Allen has always recognized the importance of our people and culture, and we continue to build on that strong legacy as we support our employees to meet their full potential.</w:t>
      </w:r>
    </w:p>
    <w:p>
      <w:pPr>
        <w:spacing w:after="0" w:line="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foster the spirit of innovation through events, partnerships, programs, and tools that facilitate collaboration to tackle a common challenge or pitch new products and capabilities. It is the diversity of our employees that fuels this innovation and enhances the way we work by bringing a wealth of experiences and expertise to any challenge. We celebrate difference in all forms, building an environment of diversity and inclusion regardless of ethnicity, religion, gender, sexual orientation, age or disability.</w:t>
      </w:r>
    </w:p>
    <w:p>
      <w:pPr>
        <w:spacing w:after="0" w:line="7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importance we place on our people continues to receive external recognition. Ethisphere, a global leader in defining and advancing ethical business practices, has recognized Booz Allen as one of the World’s Most Ethical Companies in 2020. For the tenth consecutive year, Booz Allen has received a perfect score on the Corporate Equality Index (CEI), a national benchmarking survey on corporate policies and practices related to LGBTQ workplace equality administered by the Human Rights Campaign Foundation. In addition, for the fifth consecutive year, Booz Allen received a perfect score on the 2019 Disability Equality Index (DEI), and has been named a DEI "Best Place to Work for Disability Inclusion." Fortune named us as one of the World’s Most Admired Companies for the ninth consecutive year and Forbes selected us as one of the Best Employers for Diversity, a Best Management Consulting Firm, and a Best Employer for New Grads in 2019. We have also been honored with industry awards that showcase our employer brand, including Washington Business Journal’s “Business of Pride”, Mental Health America’s “Corporate Excellence Award”, U.S. Small Business Association’s Dwight D. Eisenhower “Award for Excellence”, "Top-Rated Workplace" and #13 ranked "Top-Rated Workplaces for Work-Life Balance" by Indeed, “Top 10 Military Spouse Friendly Employers” by MilitarySpouse, "Best for Vets" by Military Times, "Working Mother Top 100", #10 ranked "Best Places to Work in IT" by Computer World and #23 ranked "Largest Global Defense Contractor" by DefenseNews.</w:t>
      </w:r>
    </w:p>
    <w:p>
      <w:pPr>
        <w:spacing w:after="0" w:line="7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Beyond their client work, our people and our Company demonstrate passionate service in their commitment to our country, military, and communities. Our social impact strategy connects people, organizations, and communities with transformational innovation and technological solutions that power human potential and wider social impact in a spirit of passionate service. For example, we support a variety of organizations assisting veterans and military families, including supporting training in cyber and science, technology, engineering, and math (STEM) careers, and providing data analytics and other technology solutions in support of operations. Our partners include United Service Organization (USO) of Metropolitan Washington-Baltimore, the Hiring Our Heroes program of the U.S. Chamber of Commerce, and the Elizabeth Dole Foundation.</w:t>
      </w:r>
    </w:p>
    <w:p>
      <w:pPr>
        <w:spacing w:after="0" w:line="7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 the past year, we issued 478 "dollars for doers" volunteer service grants to approximately 390 nonprofit groups and schools to recognize employees who volunteered more than 40 hours per year to each of these organizations. Employees recorded more than 83,000 total hours of service during the year and donated generously through the Booz Allen Cares Employee Giving Campaign. The campaign included matching donations to eligible organizations of our employees’ choice, with the highest number of employees donating to The Booz Allen Employee Resilience Fund, Booz Allen Foundation, The Marine Toys for Tots Foundation, and St. Jude Children’s Research Hospital. We deployed employees to use their technical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09"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consulting skills to help nonprofits solve their biggest problems through pro bono initiatives for organizations such as the Thurgood Marshall College Fund, American Society of Civil Engineers, and Support the Enlisted Project.</w:t>
      </w:r>
    </w:p>
    <w:p>
      <w:pPr>
        <w:spacing w:after="0" w:line="6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i w:val="1"/>
          <w:iCs w:val="1"/>
          <w:color w:val="auto"/>
        </w:rPr>
        <w:t>Purpose and Values</w:t>
      </w:r>
      <w:r>
        <w:rPr>
          <w:rFonts w:ascii="Arial" w:cs="Arial" w:eastAsia="Arial" w:hAnsi="Arial"/>
          <w:sz w:val="18"/>
          <w:szCs w:val="18"/>
          <w:color w:val="auto"/>
        </w:rPr>
        <w:t>. As one of the first organizations in the United States to adopt a formal code of business ethics, we have always believed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doing what’s right and holding ourselves and others accountable is the only way to do business. Our people exemplify our purpose to "empower people to change the world" and live our values:</w:t>
      </w:r>
    </w:p>
    <w:p>
      <w:pPr>
        <w:spacing w:after="0" w:line="22" w:lineRule="exact"/>
        <w:rPr>
          <w:sz w:val="20"/>
          <w:szCs w:val="20"/>
          <w:color w:val="auto"/>
        </w:rPr>
      </w:pPr>
    </w:p>
    <w:p>
      <w:pPr>
        <w:ind w:left="700" w:hanging="30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Ferocious Integrity: Do right; hold ourselves accountable</w:t>
      </w:r>
    </w:p>
    <w:p>
      <w:pPr>
        <w:spacing w:after="0" w:line="103" w:lineRule="exact"/>
        <w:rPr>
          <w:rFonts w:ascii="Arial" w:cs="Arial" w:eastAsia="Arial" w:hAnsi="Arial"/>
          <w:sz w:val="18"/>
          <w:szCs w:val="18"/>
          <w:color w:val="auto"/>
        </w:rPr>
      </w:pPr>
    </w:p>
    <w:p>
      <w:pPr>
        <w:ind w:left="700" w:hanging="30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Unflinching Courage: Speak truth to power; maintain convictions; bring bold thinking</w:t>
      </w:r>
    </w:p>
    <w:p>
      <w:pPr>
        <w:spacing w:after="0" w:line="103" w:lineRule="exact"/>
        <w:rPr>
          <w:rFonts w:ascii="Arial" w:cs="Arial" w:eastAsia="Arial" w:hAnsi="Arial"/>
          <w:sz w:val="18"/>
          <w:szCs w:val="18"/>
          <w:color w:val="auto"/>
        </w:rPr>
      </w:pPr>
    </w:p>
    <w:p>
      <w:pPr>
        <w:ind w:left="700" w:hanging="301"/>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Passionate Service: Embrace the mission; build community through generosity; make meaningful connections; listen and act with empathy</w:t>
      </w:r>
    </w:p>
    <w:p>
      <w:pPr>
        <w:spacing w:after="0" w:line="115" w:lineRule="exact"/>
        <w:rPr>
          <w:rFonts w:ascii="Arial" w:cs="Arial" w:eastAsia="Arial" w:hAnsi="Arial"/>
          <w:sz w:val="17"/>
          <w:szCs w:val="17"/>
          <w:color w:val="auto"/>
        </w:rPr>
      </w:pPr>
    </w:p>
    <w:p>
      <w:pPr>
        <w:ind w:right="20" w:firstLine="399"/>
        <w:spacing w:after="0" w:line="360" w:lineRule="auto"/>
        <w:tabs>
          <w:tab w:leader="none" w:pos="697"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Collective Ingenuity: Find the biggest problem and solve it; be resourceful and creative; seek to make the biggest difference; harness the power of diversity; be devoted to the team</w:t>
      </w:r>
    </w:p>
    <w:p>
      <w:pPr>
        <w:ind w:left="700" w:hanging="30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Champion’s Heart: Crave being the best; bring joy to the pursuit; learn from failure; compete with passion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Service Offerings</w:t>
      </w:r>
    </w:p>
    <w:p>
      <w:pPr>
        <w:spacing w:after="0" w:line="121"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We offer five functional service offerings, which are supported by continued investment and innovation, that drive our capacity to meet market demand today and into the future. We provide a range of technological capabilities that have had an enduring impact for our clients, our people, and the communities where we live and work.</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functional service offerings are summarized below:</w:t>
      </w:r>
    </w:p>
    <w:p>
      <w:pPr>
        <w:spacing w:after="0" w:line="117" w:lineRule="exact"/>
        <w:rPr>
          <w:sz w:val="20"/>
          <w:szCs w:val="20"/>
          <w:color w:val="auto"/>
        </w:rPr>
      </w:pPr>
    </w:p>
    <w:p>
      <w:pPr>
        <w:ind w:left="660" w:right="38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Consulting </w:t>
      </w:r>
      <w:r>
        <w:rPr>
          <w:rFonts w:ascii="Arial" w:cs="Arial" w:eastAsia="Arial" w:hAnsi="Arial"/>
          <w:sz w:val="16"/>
          <w:szCs w:val="16"/>
          <w:color w:val="auto"/>
        </w:rPr>
        <w:t>focuses on the talent and expertise needed to solve client problems and develop mission-oriented solutions for specific domains,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strategies, human capital, and operations through new and innovative approaches. We help clients boost organizational performance, deploy new technologies in smart ways, and change and streamline processes to achieve better outcomes.</w:t>
      </w:r>
    </w:p>
    <w:p>
      <w:pPr>
        <w:spacing w:after="0" w:line="40" w:lineRule="exact"/>
        <w:rPr>
          <w:rFonts w:ascii="Arial" w:cs="Arial" w:eastAsia="Arial" w:hAnsi="Arial"/>
          <w:sz w:val="16"/>
          <w:szCs w:val="16"/>
          <w:color w:val="auto"/>
        </w:rPr>
      </w:pPr>
    </w:p>
    <w:p>
      <w:pPr>
        <w:jc w:val="both"/>
        <w:ind w:left="660" w:right="24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Analytics </w:t>
      </w:r>
      <w:r>
        <w:rPr>
          <w:rFonts w:ascii="Arial" w:cs="Arial" w:eastAsia="Arial" w:hAnsi="Arial"/>
          <w:sz w:val="16"/>
          <w:szCs w:val="16"/>
          <w:color w:val="auto"/>
        </w:rPr>
        <w:t>focuses on delivering transformational solutions in the areas of decision analytics (including operations research and cost estimation),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automation, and data science (including predictive modeling and machine learning) as well as new or emerging areas such as deep learning and artificial intelligence. We pioneer new approaches to apply analytical technology to clients' problems, draft industry-defining publications, and introduce transformative products such as graphics processing unit (GPU) accelerated deep learning software to the market.</w:t>
      </w:r>
    </w:p>
    <w:p>
      <w:pPr>
        <w:spacing w:after="0" w:line="103" w:lineRule="exact"/>
        <w:rPr>
          <w:rFonts w:ascii="Arial" w:cs="Arial" w:eastAsia="Arial" w:hAnsi="Arial"/>
          <w:sz w:val="16"/>
          <w:szCs w:val="16"/>
          <w:color w:val="auto"/>
        </w:rPr>
      </w:pPr>
    </w:p>
    <w:p>
      <w:pPr>
        <w:ind w:left="660" w:right="18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Solutions </w:t>
      </w:r>
      <w:r>
        <w:rPr>
          <w:rFonts w:ascii="Arial" w:cs="Arial" w:eastAsia="Arial" w:hAnsi="Arial"/>
          <w:sz w:val="17"/>
          <w:szCs w:val="17"/>
          <w:color w:val="auto"/>
        </w:rPr>
        <w:t>combines the power of modern systems development techniques and cloud platforms with the power of machine learning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customer and mission experiences. We blend in-depth client mission understanding and digital technical expertise with a consultative approach. We develop, design, and implement powerful solutions built on contemporary methodologies and modern architectures. We accelerate clients to open, cloud native environments, where capability can be securely developed and deployed at scale, and effort allocated toward data management challenges is redirected to analysis and insights.</w:t>
      </w:r>
    </w:p>
    <w:p>
      <w:pPr>
        <w:spacing w:after="0" w:line="68" w:lineRule="exact"/>
        <w:rPr>
          <w:rFonts w:ascii="Arial" w:cs="Arial" w:eastAsia="Arial" w:hAnsi="Arial"/>
          <w:sz w:val="17"/>
          <w:szCs w:val="17"/>
          <w:color w:val="auto"/>
        </w:rPr>
      </w:pPr>
    </w:p>
    <w:p>
      <w:pPr>
        <w:ind w:left="660" w:right="30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Engineering </w:t>
      </w:r>
      <w:r>
        <w:rPr>
          <w:rFonts w:ascii="Arial" w:cs="Arial" w:eastAsia="Arial" w:hAnsi="Arial"/>
          <w:sz w:val="17"/>
          <w:szCs w:val="17"/>
          <w:color w:val="auto"/>
        </w:rPr>
        <w:t>delivers engineering services and solutions to define, develop, implement, sustain, and modernize complex physical systems.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mature engineering methodologies to solve our clients' most complex problems. We bring a holistic understanding of client needs and technical strategy as well as policy experts to deliver purpose-fit solutions to problems. Our engineering capabilities include external industry standard certifications (e.g., International Organization for Standardization 90001 and AS9100).</w:t>
      </w:r>
    </w:p>
    <w:p>
      <w:pPr>
        <w:spacing w:after="0" w:line="63" w:lineRule="exact"/>
        <w:rPr>
          <w:rFonts w:ascii="Arial" w:cs="Arial" w:eastAsia="Arial" w:hAnsi="Arial"/>
          <w:sz w:val="17"/>
          <w:szCs w:val="17"/>
          <w:color w:val="auto"/>
        </w:rPr>
      </w:pPr>
    </w:p>
    <w:p>
      <w:pPr>
        <w:ind w:left="660" w:right="8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Cyber </w:t>
      </w:r>
      <w:r>
        <w:rPr>
          <w:rFonts w:ascii="Arial" w:cs="Arial" w:eastAsia="Arial" w:hAnsi="Arial"/>
          <w:sz w:val="18"/>
          <w:szCs w:val="18"/>
          <w:color w:val="auto"/>
        </w:rPr>
        <w:t>focuses on active prevention, detection, and cost effectiveness. Active prevention includes methods of securing platforms and enterprises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cyber attacks. Detection is the instrumentation of networks to provide lead indicators of penetrations. Cost effectiveness includes our integrated engineering capabilities. Our cyber capabilities are rooted in decades of service to the U.S. federal intelligence community and today afford us the opportunity to maintain technical expertise in network security. With decades of mission intelligence combined with the most advanced tools available, we help clients understand the business value of cyber risk management and prepare for future cybersecurity needs with a lens toward efficiency and effectiveness.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and Solutions</w:t>
      </w:r>
    </w:p>
    <w:p>
      <w:pPr>
        <w:spacing w:after="0" w:line="121"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We are developing transformative solutions that build lasting value for our clients and drive focused innovation to seed next generation businesses in the areas of artificial intelligence, immersive technologies, secure mobility, advanced engineering (such as directed energy), and customer-centric modern digital platforms. We are advancing and creating the infrastructure and mechanics for new and disruptive business models by enabling a vibrant innovation culture, bringing a solutions mindset to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73" w:right="339" w:bottom="1440" w:gutter="0" w:footer="0" w:header="0"/>
        </w:sectPr>
      </w:pPr>
    </w:p>
    <w:bookmarkStart w:id="8" w:name="page9"/>
    <w:bookmarkEnd w:id="8"/>
    <w:p>
      <w:pPr>
        <w:ind w:right="100"/>
        <w:spacing w:after="0" w:line="311" w:lineRule="auto"/>
        <w:rPr>
          <w:sz w:val="20"/>
          <w:szCs w:val="20"/>
          <w:color w:val="auto"/>
        </w:rPr>
      </w:pPr>
      <w:r>
        <w:rPr>
          <w:rFonts w:ascii="Arial" w:cs="Arial" w:eastAsia="Arial" w:hAnsi="Arial"/>
          <w:sz w:val="16"/>
          <w:szCs w:val="16"/>
          <w:color w:val="auto"/>
        </w:rPr>
        <w:t>marketplace and sales force, and by building the Company’s presence and brand in the external innovation ecosystem. As a gateway to driving innovation, our solutions combine market-prioritized needs with the Company’s capabilities and products. These solutions enhance future revenue opportunities, monetize the firm's intellectual property, and create differentiated business models and sales channels to drive greater value for our clients.</w:t>
      </w:r>
    </w:p>
    <w:p>
      <w:pPr>
        <w:spacing w:after="0" w:line="4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we are an essential partner in regional innovation communities all over the country. Through our innovation ecosystem, we are focused on solution co-creation and technology scouting, and are physically co-locating, co-creating, mentoring, incubating, contributing, and investing with organizations in Washington, D.C.; Boston, Massachusetts; Austin, Texas; San Francisco, California; and from Seattle, Washington to San Diego, California (the corridor of venture capitalists and digital powerhouses), with hubs in Herndon, Virginia; Laurel, Maryland; and Charleston, South Carolina. We harness next-generation technologies being created in academic, startup, and big technology firms to imagine and incubate new offerings, solutions, and growth for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Vision 2020 is a comprehensive strategy to transform Booz Allen and create sustainable quality growth for the Company. Fiscal 2020 was the seventh year of implementing the strategy, but its design reaches back to before the government market began to contract in 2011 and 2012. We anticipated the market downturn and set in place a strategy that would allow us to emerge in a strong position vis-à-vis our competitors. Under Vision 2020, we are:</w:t>
      </w:r>
    </w:p>
    <w:p>
      <w:pPr>
        <w:spacing w:after="0" w:line="4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Moving closer to the center of our clients’ core missions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the technical content of our work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and retaining superior talent in diverse areas of expertise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Leveraging innovation to deliver complex, differentiated, end-to-end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Creating a broad network of external partners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into the commercial and international markets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strategy can be seen in:</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Backlog growth, which achieved record levels during fiscal 2020 for the second consecutive year</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Headcount growth and a corresponding shift in our talent portfolio to more technical expertise in disciplines such as systems development, cyber, and analytics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Accelerating, industry-leading organic revenue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Enhanced profitability and margin expansion</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To support our success against our Vision 2020 long-term strategy, we are considering and have taken steps in preparation for the implementation of new financial management systems to, among other things, support business growth and facilitate the exploration of new lines of business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jc w:val="both"/>
        <w:ind w:right="360" w:firstLine="405"/>
        <w:spacing w:after="0" w:line="277" w:lineRule="auto"/>
        <w:rPr>
          <w:sz w:val="20"/>
          <w:szCs w:val="20"/>
          <w:color w:val="auto"/>
        </w:rPr>
      </w:pPr>
      <w:r>
        <w:rPr>
          <w:rFonts w:ascii="Arial" w:cs="Arial" w:eastAsia="Arial" w:hAnsi="Arial"/>
          <w:sz w:val="18"/>
          <w:szCs w:val="18"/>
          <w:color w:val="auto"/>
        </w:rPr>
        <w:t>Booz Allen is committed to solving our clients’ toughest challenges, and we work with a diverse base of public and private sector clients across a number of industries, in the U.S. and internationally.</w:t>
      </w:r>
    </w:p>
    <w:p>
      <w:pPr>
        <w:spacing w:after="0" w:line="62"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76" w:lineRule="exact"/>
        <w:rPr>
          <w:sz w:val="20"/>
          <w:szCs w:val="20"/>
          <w:color w:val="auto"/>
        </w:rPr>
      </w:pPr>
    </w:p>
    <w:p>
      <w:pPr>
        <w:jc w:val="both"/>
        <w:ind w:right="680" w:firstLine="405"/>
        <w:spacing w:after="0" w:line="311" w:lineRule="auto"/>
        <w:rPr>
          <w:sz w:val="20"/>
          <w:szCs w:val="20"/>
          <w:color w:val="auto"/>
        </w:rPr>
      </w:pPr>
      <w:r>
        <w:rPr>
          <w:rFonts w:ascii="Arial" w:cs="Arial" w:eastAsia="Arial" w:hAnsi="Arial"/>
          <w:sz w:val="16"/>
          <w:szCs w:val="16"/>
          <w:color w:val="auto"/>
        </w:rPr>
        <w:t>Our government clients include substantially all of the cabinet-level departments of the U.S government. We serve commercial clients across industries including financial services, health and life sciences, energy, and transportation to solve their hardest and most sophisticated challenges, including cybersecurity challenges, and have a thriving portfolio of international clients in the Middle East and Southeast Asia.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Large Addressable Market</w:t>
      </w:r>
    </w:p>
    <w:p>
      <w:pPr>
        <w:spacing w:after="0" w:line="117"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We believe that the U.S government is the world’s largest consumer of management and technology consulting services. The U.S. government’s total spending for its fiscal year ended September 30, 2019 was close to $4.4 trillion, excluding authorizations from Overseas Contingency Operations and supplemental funding for the Department of Defense. Of this amount, approximately $1.4 trillion was for discretionary budget authority, including $719 billion for the Department of Defense and intelligence community and $658 billion for civil agencies. Based on data from the Federal Procurement Data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9" w:name="page10"/>
    <w:bookmarkEnd w:id="9"/>
    <w:p>
      <w:pPr>
        <w:ind w:right="60"/>
        <w:spacing w:after="0" w:line="275" w:lineRule="auto"/>
        <w:rPr>
          <w:sz w:val="20"/>
          <w:szCs w:val="20"/>
          <w:color w:val="auto"/>
        </w:rPr>
      </w:pPr>
      <w:r>
        <w:rPr>
          <w:rFonts w:ascii="Arial" w:cs="Arial" w:eastAsia="Arial" w:hAnsi="Arial"/>
          <w:sz w:val="17"/>
          <w:szCs w:val="17"/>
          <w:color w:val="auto"/>
        </w:rPr>
        <w:t>System, approximately $595 billion of the U.S. government’s fiscal year 2019 discretionary outlays were non-intelligence agency funding-related products and services procured from private contractors. We estimate that $145.4 billion of the spending directed toward private contractors in U.S. government fiscal year 2019 was for management, technology, and engineering services, with $85.1 billion spent by the Department of Defense and $60.3 billion spent by civil agencies. The agencies of the U.S. intelligence community that we serve represent an additional market. These numbers also exclude a large addressable market for our services and capabilities in the global commercial markets where we have a modest footprint.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Highlights of Booz Allen’s fiscal 2020 are as follows: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derived 96% of our revenue from contracts where the end client was an agency or department of the U.S. government.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delivered services under 4,589 contracts and task orders.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derived 92% of our revenue in fiscal 2020 from engagements for which we acted as the prime contractor.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derived 13% of our revenue in fiscal 2020 from the Navy Marine Corps, which was the single largest client that we served in that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Long-Term Client Relationships</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8"/>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U.S. Navy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U.S. Army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Department of Energy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U.S. Air Force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Department of Health and Human Services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Intelligence Clients</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help our military services take on new missions, tackle acquisition and budgeting challenges, and address the medical needs of soldiers in combat. We also help our defense and intelligence clients adopt innovative technologies by bringing tools, techniques, and expertise to challenges and applying them in innovative ways.</w:t>
      </w:r>
    </w:p>
    <w:p>
      <w:pPr>
        <w:spacing w:after="0" w:line="76"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The men and women we hire have served their country and have the experience and determination to help our defense clients keep our nation safe. Our technologists and innovators work alongside our experts in strategy development, acquisition, and operations to help commanders and their staffs in the field share mission-critical information and make crucial battlefield decisions.</w:t>
      </w:r>
    </w:p>
    <w:p>
      <w:pPr>
        <w:spacing w:after="0" w:line="76"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We count among our many defense and intelligence clients all four branches of the U.S. military, the Office of the Secretary of Defense, the Joint Staff and members of the intelligence community. Our key defense clients include the Army, Navy/Marine Corps, Air Force, and Joint Combatant Commands. Our key intelligence clients include U.S.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National Security Agency, National Geospatial-Intelligence Agency, and National Reconnaissance Office, and military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Defense Intelligence Agency, Service Intelligence Centers, and Intelligence Surveillance Reconnaissance units.</w:t>
      </w:r>
    </w:p>
    <w:p>
      <w:pPr>
        <w:spacing w:after="0" w:line="8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Revenue generated from defense clients was $3.6 billion, or approximately 47.3% of our revenue in fiscal 2020 as compared to $3.1 billion, or approximately 46.6% of our revenue in fiscal 2019. Revenue generated from defense clients also includes foreign military sales to non-U.S. government clients. Revenue generated from intelligence clients was $1.6 billion, or approximately 21.6% of our revenue in fiscal 2020 as compared to $1.6 billion, or approximately 23.4% of our revenue in fiscal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77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Civil Clients</w:t>
      </w:r>
    </w:p>
    <w:p>
      <w:pPr>
        <w:spacing w:after="0" w:line="117"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Whether ensuring the safety, security, and well-being of citizens, or boosting national competitiveness, we work with leaders in civil government to support their public service missions. We excel at tackling the most complex challenges from reforming financial regulatory oversight and evolving our healthcare system to improving information sharing among law enforcement organizations and supporting green building initiatives.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work with leaders so they make better decisions and foster better user experiences both inside and outside of their organizations.</w:t>
      </w:r>
    </w:p>
    <w:p>
      <w:pPr>
        <w:spacing w:after="0" w:line="11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Our work spans the full breadth of civil government, including energy and the environment, financial services, health, homeland security, law enforcement, transportation, grants, international development and diplomacy, and benefits and entitlements. Our major civil government clients include the Departments of Homeland Security, Health and Human Services, Veterans Affairs, Treasury, and Justice.</w:t>
      </w:r>
    </w:p>
    <w:p>
      <w:pPr>
        <w:spacing w:after="0" w:line="7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Revenue generated from civil government was $2.0 billion, or approximately 27.1% of our revenue in fiscal 2020 as compared to $1.8 billion, or approximately 26.3% of our revenue in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Commercial Clients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commercial clients are comprised of U.S. commercial and international clients.</w:t>
      </w:r>
    </w:p>
    <w:p>
      <w:pPr>
        <w:spacing w:after="0" w:line="117" w:lineRule="exact"/>
        <w:rPr>
          <w:sz w:val="20"/>
          <w:szCs w:val="20"/>
          <w:color w:val="auto"/>
        </w:rPr>
      </w:pPr>
    </w:p>
    <w:p>
      <w:pPr>
        <w:ind w:right="500" w:firstLine="405"/>
        <w:spacing w:after="0" w:line="311" w:lineRule="auto"/>
        <w:rPr>
          <w:sz w:val="20"/>
          <w:szCs w:val="20"/>
          <w:color w:val="auto"/>
        </w:rPr>
      </w:pPr>
      <w:r>
        <w:rPr>
          <w:rFonts w:ascii="Arial" w:cs="Arial" w:eastAsia="Arial" w:hAnsi="Arial"/>
          <w:sz w:val="16"/>
          <w:szCs w:val="16"/>
          <w:color w:val="auto"/>
        </w:rPr>
        <w:t>For our commercial clients, we combine our consulting heritage with cybersecurity practitioner experience gained from cyber incidents and challenges in the public and private sectors to deliver market-leading cyber defense solutions that include consulting and managed service. We serve commercial clients in a variety of industries including aerospace, financial services, health and life sciences, and energy and transportation.</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our international clients, we work alongside public and private sector leaders to help shape and execute their critical agendas.</w:t>
      </w:r>
    </w:p>
    <w:p>
      <w:pPr>
        <w:spacing w:after="0" w:line="117" w:lineRule="exact"/>
        <w:rPr>
          <w:sz w:val="20"/>
          <w:szCs w:val="20"/>
          <w:color w:val="auto"/>
        </w:rPr>
      </w:pPr>
    </w:p>
    <w:p>
      <w:pPr>
        <w:jc w:val="both"/>
        <w:ind w:right="200" w:firstLine="405"/>
        <w:spacing w:after="0" w:line="279" w:lineRule="auto"/>
        <w:rPr>
          <w:sz w:val="20"/>
          <w:szCs w:val="20"/>
          <w:color w:val="auto"/>
        </w:rPr>
      </w:pPr>
      <w:r>
        <w:rPr>
          <w:rFonts w:ascii="Arial" w:cs="Arial" w:eastAsia="Arial" w:hAnsi="Arial"/>
          <w:sz w:val="17"/>
          <w:szCs w:val="17"/>
          <w:color w:val="auto"/>
        </w:rPr>
        <w:t>Following the 2011 expiration of our non-competition agreement with our spun-off commercial business, we re-entered the Middle East and North Africa (MENA) and Southeast Asia (SEA) markets. We originally established our international offices located in MENA more than six decades ago and our offices in SEA more than three decades ago. Since re-entering these markets, our strategy and technology consultants have empowered our clients in these regions with the knowledge and experience they need to build their own local resources and capabilities.</w:t>
      </w:r>
    </w:p>
    <w:p>
      <w:pPr>
        <w:spacing w:after="0" w:line="6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Revenue generated from global commercial clients was $261.6 million, or approximately 4.0% of our revenue in fiscal 2020 as compared to $261.6 million, or approximately 3.8% of our revenue in fiscal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21"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79% of our revenue for fiscal 2020 was derived from 3,745 active task orders under indefinite delivery/indefinite quantity (IDIQ) contract vehicles. Our two top IDIQ contract vehicles each represented approximately 11.6% of our revenue in fiscal 2020. Our largest task order under an IDIQ contract vehicle accounted for approximately 2.3% of our revenue in fiscal 2020. Our largest definite contract represented approximately 2.9% of our revenue in fiscal 2020.</w:t>
      </w:r>
    </w:p>
    <w:p>
      <w:pPr>
        <w:spacing w:after="0" w:line="5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U.S. government procures services through two predominant contracting methods: indefinite contract vehicles and definite contracts. Each of these is described below:</w:t>
      </w:r>
    </w:p>
    <w:p>
      <w:pPr>
        <w:spacing w:after="0" w:line="62" w:lineRule="exact"/>
        <w:rPr>
          <w:sz w:val="20"/>
          <w:szCs w:val="20"/>
          <w:color w:val="auto"/>
        </w:rPr>
      </w:pPr>
    </w:p>
    <w:p>
      <w:pPr>
        <w:ind w:left="640" w:hanging="322"/>
        <w:spacing w:after="0" w:line="27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69" w:lineRule="exact"/>
        <w:rPr>
          <w:rFonts w:ascii="Arial" w:cs="Arial" w:eastAsia="Arial" w:hAnsi="Arial"/>
          <w:sz w:val="17"/>
          <w:szCs w:val="17"/>
          <w:color w:val="auto"/>
        </w:rPr>
      </w:pPr>
    </w:p>
    <w:p>
      <w:pPr>
        <w:ind w:left="640" w:right="100" w:hanging="322"/>
        <w:spacing w:after="0" w:line="301"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773" w:right="379" w:bottom="1440" w:gutter="0" w:footer="0" w:header="0"/>
        </w:sectPr>
      </w:pPr>
    </w:p>
    <w:bookmarkStart w:id="11" w:name="page12"/>
    <w:bookmarkEnd w:id="11"/>
    <w:p>
      <w:pPr>
        <w:ind w:left="640" w:right="100"/>
        <w:spacing w:after="0" w:line="342" w:lineRule="auto"/>
        <w:rPr>
          <w:sz w:val="20"/>
          <w:szCs w:val="20"/>
          <w:color w:val="auto"/>
        </w:rPr>
      </w:pPr>
      <w:r>
        <w:rPr>
          <w:rFonts w:ascii="Arial" w:cs="Arial" w:eastAsia="Arial" w:hAnsi="Arial"/>
          <w:sz w:val="16"/>
          <w:szCs w:val="16"/>
          <w:color w:val="auto"/>
        </w:rPr>
        <w:t>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Listed below are our top IDIQ contracts for fiscal 2020 and the number of active task orders under these contracts as of March 31, 2020</w:t>
      </w:r>
      <w:r>
        <w:rPr>
          <w:rFonts w:ascii="Arial" w:cs="Arial" w:eastAsia="Arial" w:hAnsi="Arial"/>
          <w:sz w:val="15"/>
          <w:szCs w:val="15"/>
          <w:color w:val="auto"/>
        </w:rPr>
        <w:t>.</w:t>
      </w:r>
    </w:p>
    <w:p>
      <w:pPr>
        <w:spacing w:after="0" w:line="27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Task Orders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of</w:t>
            </w:r>
          </w:p>
        </w:tc>
        <w:tc>
          <w:tcPr>
            <w:tcW w:w="1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 xml:space="preserve">Expiration Date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2020 Revenue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Booz Allen Engineering Services - Alliant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 Acquisition Solution for Integrated Services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9/2/2024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System Engineering and Analysis/Advanced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Defense Systems Technical Area Tasks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6/22/2019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 Schedule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9/30/2035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9"/>
              </w:rPr>
              <w:t>Transformation Twenty-One Total Technology Next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Generation</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3/6/2026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Information officer - Solutions &amp; Partners 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5/31/2022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Information Technology Schedule 70 (Successor)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6/28/2036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Technology Schedule 70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Booz Allen Engineering Services - Alliant 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6/30/2028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Expiration date applies to the IDIQ vehicle. Task orders awarded under the IDIQ can run past the expiration of the IDIQ itself.</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Under their Category Management initiative, the General Services Administration (GSA) has undertaken an effort to improve its professional service schedule offerings. As a result of this initiative, GSA consolidated multiple contract vehicles under the schedule program. The result for Booz Allen has been the consolidation of the scope of six schedules into one professional services schedule contract. The GSA Schedule contracts to be consolidated under the new professional services schedule are: Advertising and Integrated Marketing Solutions (AIMS), Environmental Services (ES), Financial and Business Services (FABS), Logistics Worldwide (LOGWORLD), Mission Oriented Business Integrated Services (MOBIS), and Professional Engineering Services (PES).</w:t>
      </w:r>
    </w:p>
    <w:p>
      <w:pPr>
        <w:spacing w:after="0" w:line="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Booz Allen’s migration request was accepted in October 2015 and, as a result, our individual schedules included in the GSA’s consolidation will remain in place through the end of the current option period of each individual contract to prevent the interruption of services. The revenue generated under these individual schedules will begin to decrease during this transition period. We anticipate that the decrease in revenue on the individual schedules will be offset by growth under the new professional service schedule. We anticipate this transition will have negligible impact on future revenues.</w:t>
      </w:r>
    </w:p>
    <w:p>
      <w:pPr>
        <w:spacing w:after="0" w:line="4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Listed below for each specified revenue band is the number of task orders, revenue derived from the task orders, and average duration of the task orders as of March 31, 2020. The table includes revenue earned during fiscal 2020 under all task orders that were active during fiscal 2020 under these IDIQ contracts and the number of active task orders on which this revenue was earned. Average duration reflected in the table below is calculated based on the inception date of the task order, which may be prior to the beginning of fiscal 2020, and the completion date which may have been prior or subsequent to March 31, 2020. As a result, the actual average remaining duration for task orders included in this table may be less than the average duration shown in the table, and task orders included in the table may have been complete on March 31,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77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 Order by Revenue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Task</w:t>
            </w:r>
          </w:p>
        </w:tc>
        <w:tc>
          <w:tcPr>
            <w:tcW w:w="120" w:type="dxa"/>
            <w:vAlign w:val="bottom"/>
          </w:tcPr>
          <w:p>
            <w:pPr>
              <w:spacing w:after="0"/>
              <w:rPr>
                <w:sz w:val="14"/>
                <w:szCs w:val="14"/>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Fiscal 2020 Revenue (in</w:t>
            </w:r>
          </w:p>
        </w:tc>
        <w:tc>
          <w:tcPr>
            <w:tcW w:w="124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5"/>
              </w:rPr>
              <w:t>% of Total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Orders Active During</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Fiscal 2020</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2020</w:t>
            </w:r>
          </w:p>
        </w:tc>
        <w:tc>
          <w:tcPr>
            <w:tcW w:w="1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124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Revenue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69"/>
        </w:trPr>
        <w:tc>
          <w:tcPr>
            <w:tcW w:w="38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58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5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3,222.8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5,887.6</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right="480" w:firstLine="648"/>
        <w:spacing w:after="0" w:line="277" w:lineRule="auto"/>
        <w:rPr>
          <w:sz w:val="20"/>
          <w:szCs w:val="20"/>
          <w:color w:val="auto"/>
        </w:rPr>
      </w:pPr>
      <w:r>
        <w:rPr>
          <w:rFonts w:ascii="Arial" w:cs="Arial" w:eastAsia="Arial" w:hAnsi="Arial"/>
          <w:sz w:val="18"/>
          <w:szCs w:val="18"/>
          <w:color w:val="auto"/>
        </w:rPr>
        <w:t>Listed below are our top definite contracts for fiscal 2020 and revenue recognized under these contracts. Classified contracts that cannot be named are noted generically in the table: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16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2020 Revenue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9/30/2021</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3/7/2023</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Transition Assistance Program Support Services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5/16/2022</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6/30/2025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9/30/2020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9/17/2020</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Recreation One Stop Support Services</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9/30/2027</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8/31/2021</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4/30/2020</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660" w:right="4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funding has not been appropriated or otherwise authorized.</w:t>
      </w:r>
    </w:p>
    <w:p>
      <w:pPr>
        <w:spacing w:after="0" w:line="62" w:lineRule="exact"/>
        <w:rPr>
          <w:rFonts w:ascii="Arial" w:cs="Arial" w:eastAsia="Arial" w:hAnsi="Arial"/>
          <w:sz w:val="18"/>
          <w:szCs w:val="18"/>
          <w:i w:val="1"/>
          <w:iCs w:val="1"/>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6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as of the respective dates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March 31,</w:t>
            </w:r>
          </w:p>
        </w:tc>
        <w:tc>
          <w:tcPr>
            <w:tcW w:w="1280" w:type="dxa"/>
            <w:vAlign w:val="bottom"/>
            <w:tcBorders>
              <w:bottom w:val="single" w:sz="8" w:color="auto"/>
            </w:tcBorders>
          </w:tcPr>
          <w:p>
            <w:pPr>
              <w:spacing w:after="0"/>
              <w:rPr>
                <w:sz w:val="16"/>
                <w:szCs w:val="16"/>
                <w:color w:val="auto"/>
              </w:rPr>
            </w:pPr>
          </w:p>
        </w:tc>
      </w:tr>
      <w:tr>
        <w:trPr>
          <w:trHeight w:val="263"/>
        </w:trPr>
        <w:tc>
          <w:tcPr>
            <w:tcW w:w="6100" w:type="dxa"/>
            <w:vAlign w:val="bottom"/>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r>
      <w:tr>
        <w:trPr>
          <w:trHeight w:val="250"/>
        </w:trPr>
        <w:tc>
          <w:tcPr>
            <w:tcW w:w="6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1"/>
                <w:szCs w:val="21"/>
                <w:color w:val="auto"/>
              </w:rPr>
            </w:pPr>
          </w:p>
        </w:tc>
      </w:tr>
      <w:tr>
        <w:trPr>
          <w:trHeight w:val="256"/>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3,436</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Unfunded</w:t>
            </w:r>
          </w:p>
        </w:tc>
        <w:tc>
          <w:tcPr>
            <w:tcW w:w="1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3,687</w:t>
            </w:r>
          </w:p>
        </w:tc>
      </w:tr>
      <w:tr>
        <w:trPr>
          <w:trHeight w:val="27"/>
        </w:trPr>
        <w:tc>
          <w:tcPr>
            <w:tcW w:w="6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12,198</w:t>
            </w:r>
          </w:p>
        </w:tc>
      </w:tr>
      <w:tr>
        <w:trPr>
          <w:trHeight w:val="236"/>
        </w:trPr>
        <w:tc>
          <w:tcPr>
            <w:tcW w:w="610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0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20,729</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19,321</w:t>
            </w:r>
          </w:p>
        </w:tc>
      </w:tr>
      <w:tr>
        <w:trPr>
          <w:trHeight w:val="27"/>
        </w:trPr>
        <w:tc>
          <w:tcPr>
            <w:tcW w:w="6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and Trends Affecting Our Results of Operations — Sources of Revenue—</w:t>
      </w:r>
    </w:p>
    <w:p>
      <w:pPr>
        <w:sectPr>
          <w:pgSz w:w="11900" w:h="16838" w:orient="portrait"/>
          <w:cols w:equalWidth="0" w:num="1">
            <w:col w:w="11200"/>
          </w:cols>
          <w:pgMar w:left="320" w:top="914" w:right="379" w:bottom="1440" w:gutter="0" w:footer="0" w:header="0"/>
        </w:sectPr>
      </w:pP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20" w:top="914" w:right="379" w:bottom="1440" w:gutter="0" w:footer="0" w:header="0"/>
          <w:type w:val="continuous"/>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Contract Backlog” for additional disclosure regarding our backlog. See also “Item 1A. Risk Factors—Risks Related to Our Business—We may not realize the full value of our backlog, which may result in lower than expected revenue.”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79" w:lineRule="exact"/>
        <w:rPr>
          <w:sz w:val="20"/>
          <w:szCs w:val="20"/>
          <w:color w:val="auto"/>
        </w:rPr>
      </w:pPr>
    </w:p>
    <w:p>
      <w:pPr>
        <w:ind w:right="140" w:firstLine="432"/>
        <w:spacing w:after="0" w:line="275" w:lineRule="auto"/>
        <w:rPr>
          <w:sz w:val="20"/>
          <w:szCs w:val="20"/>
          <w:color w:val="auto"/>
        </w:rPr>
      </w:pPr>
      <w:r>
        <w:rPr>
          <w:rFonts w:ascii="Arial" w:cs="Arial" w:eastAsia="Arial" w:hAnsi="Arial"/>
          <w:sz w:val="17"/>
          <w:szCs w:val="17"/>
          <w:color w:val="auto"/>
        </w:rPr>
        <w:t>Changing government policies and market dynamics are impacting the competitive landscape. In the past, the government’s focus on organizational conflicts of interest has driven divestitures, which have changed the competitive landscape. More recently,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6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5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proprietary 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February 2021, while the earliest renewal for our trademarks outside of the United States is December 2020.</w:t>
      </w:r>
    </w:p>
    <w:p>
      <w:pPr>
        <w:spacing w:after="0" w:line="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7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77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79" w:lineRule="exact"/>
        <w:rPr>
          <w:sz w:val="20"/>
          <w:szCs w:val="20"/>
          <w:color w:val="auto"/>
        </w:rPr>
      </w:pPr>
    </w:p>
    <w:p>
      <w:pPr>
        <w:ind w:left="640" w:hanging="322"/>
        <w:spacing w:after="0" w:line="25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79" w:lineRule="exact"/>
        <w:rPr>
          <w:rFonts w:ascii="Arial" w:cs="Arial" w:eastAsia="Arial" w:hAnsi="Arial"/>
          <w:sz w:val="18"/>
          <w:szCs w:val="18"/>
          <w:color w:val="auto"/>
        </w:rPr>
      </w:pPr>
    </w:p>
    <w:p>
      <w:pPr>
        <w:ind w:left="640" w:right="20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62" w:lineRule="exact"/>
        <w:rPr>
          <w:rFonts w:ascii="Arial" w:cs="Arial" w:eastAsia="Arial" w:hAnsi="Arial"/>
          <w:sz w:val="18"/>
          <w:szCs w:val="18"/>
          <w:color w:val="auto"/>
        </w:rPr>
      </w:pPr>
    </w:p>
    <w:p>
      <w:pPr>
        <w:ind w:left="640" w:right="28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44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jc w:val="both"/>
        <w:ind w:left="640" w:right="220" w:hanging="322"/>
        <w:spacing w:after="0" w:line="28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40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8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420" w:hanging="322"/>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right="22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180" w:hanging="322"/>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220" w:hanging="322"/>
        <w:spacing w:after="0" w:line="263"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5" w:lineRule="exact"/>
        <w:rPr>
          <w:rFonts w:ascii="Arial" w:cs="Arial" w:eastAsia="Arial" w:hAnsi="Arial"/>
          <w:sz w:val="18"/>
          <w:szCs w:val="18"/>
          <w:color w:val="auto"/>
        </w:rPr>
      </w:pPr>
    </w:p>
    <w:p>
      <w:pPr>
        <w:ind w:left="640" w:right="1080" w:hanging="322"/>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Given the magnitude of our revenue derived from contracts with the Department of Defense, the Defense Contract Audit Agency, or DCAA, is our cognizant government audit agency. The DCAA audits the adequacy of our internal control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69" w:right="33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t>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other business systems, such as our purchasing system. See “Item 1A. Risk Factors — Risk Related to Our Industry — 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84"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68"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5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84" w:lineRule="exact"/>
        <w:rPr>
          <w:sz w:val="20"/>
          <w:szCs w:val="20"/>
          <w:color w:val="auto"/>
        </w:rPr>
      </w:pPr>
    </w:p>
    <w:p>
      <w:pPr>
        <w:ind w:right="80" w:firstLine="432"/>
        <w:spacing w:after="0" w:line="311" w:lineRule="auto"/>
        <w:rPr>
          <w:sz w:val="20"/>
          <w:szCs w:val="20"/>
          <w:color w:val="auto"/>
        </w:rPr>
      </w:pPr>
      <w:r>
        <w:rPr>
          <w:rFonts w:ascii="Arial" w:cs="Arial" w:eastAsia="Arial" w:hAnsi="Arial"/>
          <w:sz w:val="16"/>
          <w:szCs w:val="16"/>
          <w:color w:val="auto"/>
        </w:rPr>
        <w:t>See “Item 1A. Risk Factors—Risks Related to Our Business—We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6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U.S. government is our primary client, with revenue from contracts and task orders, either as a prime or a subcontractor, with U.S. government agencies accounting for 96% of our revenue for fiscal 2020. Our belief is that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73" w:right="33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6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b w:val="1"/>
          <w:bCs w:val="1"/>
          <w:i w:val="1"/>
          <w:iCs w:val="1"/>
          <w:color w:val="auto"/>
        </w:rPr>
        <w:t>U.S. government spending and mission priorities could change in a manner that adversely affects our future revenue and limits our growth prospects.</w:t>
      </w:r>
    </w:p>
    <w:p>
      <w:pPr>
        <w:spacing w:after="0" w:line="6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have been affected by the U.S. government’s efforts to improve efficiency and reduce costs affecting U.S. government programs generally. Our business, prospects, financial condition, or operating results could be materially harmed, among other causes, by the following:</w:t>
      </w:r>
    </w:p>
    <w:p>
      <w:pPr>
        <w:spacing w:after="0" w:line="79" w:lineRule="exact"/>
        <w:rPr>
          <w:sz w:val="20"/>
          <w:szCs w:val="20"/>
          <w:color w:val="auto"/>
        </w:rPr>
      </w:pPr>
    </w:p>
    <w:p>
      <w:pPr>
        <w:ind w:left="640" w:right="280" w:hanging="322"/>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117" w:lineRule="exact"/>
        <w:rPr>
          <w:rFonts w:ascii="Arial" w:cs="Arial" w:eastAsia="Arial" w:hAnsi="Arial"/>
          <w:sz w:val="18"/>
          <w:szCs w:val="18"/>
          <w:color w:val="auto"/>
        </w:rPr>
      </w:pPr>
    </w:p>
    <w:p>
      <w:pPr>
        <w:jc w:val="both"/>
        <w:ind w:left="640" w:right="340" w:hanging="322"/>
        <w:spacing w:after="0" w:line="263"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75"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delays in U.S. government programs that we support or related requirements;</w:t>
      </w:r>
    </w:p>
    <w:p>
      <w:pPr>
        <w:spacing w:after="0" w:line="117" w:lineRule="exact"/>
        <w:rPr>
          <w:rFonts w:ascii="Arial" w:cs="Arial" w:eastAsia="Arial" w:hAnsi="Arial"/>
          <w:sz w:val="18"/>
          <w:szCs w:val="18"/>
          <w:color w:val="auto"/>
        </w:rPr>
      </w:pPr>
    </w:p>
    <w:p>
      <w:pPr>
        <w:ind w:left="640" w:right="300" w:hanging="322"/>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 and other potential delays in the appropriations process;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117" w:lineRule="exact"/>
        <w:rPr>
          <w:rFonts w:ascii="Arial" w:cs="Arial" w:eastAsia="Arial" w:hAnsi="Arial"/>
          <w:sz w:val="18"/>
          <w:szCs w:val="18"/>
          <w:color w:val="auto"/>
        </w:rPr>
      </w:pPr>
    </w:p>
    <w:p>
      <w:pPr>
        <w:ind w:left="640" w:hanging="322"/>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U.S. government’s debt ceiling, a credit downgrade of U.S. government obligations or for any other reason; and</w:t>
      </w:r>
    </w:p>
    <w:p>
      <w:pPr>
        <w:spacing w:after="0" w:line="62" w:lineRule="exact"/>
        <w:rPr>
          <w:rFonts w:ascii="Arial" w:cs="Arial" w:eastAsia="Arial" w:hAnsi="Arial"/>
          <w:sz w:val="18"/>
          <w:szCs w:val="18"/>
          <w:color w:val="auto"/>
        </w:rPr>
      </w:pPr>
    </w:p>
    <w:p>
      <w:pPr>
        <w:ind w:left="640" w:right="20" w:hanging="322"/>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the political climate and general economic conditions, including a slowdown of the economy or unstable economic conditions and responses to the COVID-19 outbreak or other conditions, such as emergency spending, that reduce funds available for other government priorities.</w:t>
      </w:r>
    </w:p>
    <w:p>
      <w:pPr>
        <w:spacing w:after="0" w:line="16"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In addition, any disruption in the functioning of U.S. government agencies, including as a result of U.S. government closures and shutdowns, terrorism, war, international conflicts, natural disasters, public health crises (such as the COVID-19 outbreak),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6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773" w:right="359" w:bottom="1440" w:gutter="0" w:footer="0" w:header="0"/>
        </w:sectPr>
      </w:pPr>
    </w:p>
    <w:bookmarkStart w:id="17" w:name="page18"/>
    <w:bookmarkEnd w:id="17"/>
    <w:p>
      <w:pPr>
        <w:ind w:right="60"/>
        <w:spacing w:after="0" w:line="279" w:lineRule="auto"/>
        <w:rPr>
          <w:sz w:val="20"/>
          <w:szCs w:val="20"/>
          <w:color w:val="auto"/>
        </w:rPr>
      </w:pPr>
      <w:r>
        <w:rPr>
          <w:rFonts w:ascii="Arial" w:cs="Arial" w:eastAsia="Arial" w:hAnsi="Arial"/>
          <w:sz w:val="17"/>
          <w:szCs w:val="17"/>
          <w:color w:val="auto"/>
        </w:rPr>
        <w:t>reduction in the amount of, or delays or cancellations of funding for, services that we are contracted to provide as a result of any of these related initiatives, legislation or otherwise could have a material adverse effect on our business and results of operations. In addition, government agencies have reduced management support services spending in recent years. If federal awards for management support services continue to decline, our revenue and operating profits may materially decline and could have a material and adverse effect on our business and results of operations.</w:t>
      </w:r>
    </w:p>
    <w:p>
      <w:pPr>
        <w:spacing w:after="0" w:line="63"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7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63" w:lineRule="exact"/>
        <w:rPr>
          <w:sz w:val="20"/>
          <w:szCs w:val="20"/>
          <w:color w:val="auto"/>
        </w:rPr>
      </w:pPr>
    </w:p>
    <w:p>
      <w:pPr>
        <w:ind w:left="640" w:hanging="322"/>
        <w:spacing w:after="0" w:line="25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79" w:lineRule="exact"/>
        <w:rPr>
          <w:rFonts w:ascii="Arial" w:cs="Arial" w:eastAsia="Arial" w:hAnsi="Arial"/>
          <w:sz w:val="18"/>
          <w:szCs w:val="18"/>
          <w:color w:val="auto"/>
        </w:rPr>
      </w:pPr>
    </w:p>
    <w:p>
      <w:pPr>
        <w:ind w:left="640" w:right="20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62" w:lineRule="exact"/>
        <w:rPr>
          <w:rFonts w:ascii="Arial" w:cs="Arial" w:eastAsia="Arial" w:hAnsi="Arial"/>
          <w:sz w:val="18"/>
          <w:szCs w:val="18"/>
          <w:color w:val="auto"/>
        </w:rPr>
      </w:pPr>
    </w:p>
    <w:p>
      <w:pPr>
        <w:ind w:left="640" w:right="28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44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jc w:val="both"/>
        <w:ind w:left="640" w:right="220" w:hanging="322"/>
        <w:spacing w:after="0" w:line="28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46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8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420" w:hanging="322"/>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73" w:right="339" w:bottom="1440" w:gutter="0" w:footer="0" w:header="0"/>
        </w:sectPr>
      </w:pPr>
    </w:p>
    <w:bookmarkStart w:id="18" w:name="page19"/>
    <w:bookmarkEnd w:id="18"/>
    <w:p>
      <w:pPr>
        <w:ind w:left="640" w:right="160" w:hanging="322"/>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120" w:hanging="322"/>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160" w:hanging="322"/>
        <w:spacing w:after="0" w:line="26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5" w:lineRule="exact"/>
        <w:rPr>
          <w:rFonts w:ascii="Arial" w:cs="Arial" w:eastAsia="Arial" w:hAnsi="Arial"/>
          <w:sz w:val="18"/>
          <w:szCs w:val="18"/>
          <w:color w:val="auto"/>
        </w:rPr>
      </w:pPr>
    </w:p>
    <w:p>
      <w:pPr>
        <w:ind w:left="640" w:right="640" w:hanging="322"/>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7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60"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773" w:right="399" w:bottom="1440" w:gutter="0" w:footer="0" w:header="0"/>
        </w:sectPr>
      </w:pPr>
    </w:p>
    <w:bookmarkStart w:id="19" w:name="page20"/>
    <w:bookmarkEnd w:id="19"/>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The effects of a pandemic or widespread health epidemic such as the coronavirus outbreak could have a material adverse effect on our business and results of operations.</w:t>
      </w:r>
    </w:p>
    <w:p>
      <w:pPr>
        <w:spacing w:after="0" w:line="62"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On March 11, 2020, the World Health Organization declared the outbreak of the novel coronavirus COVID-19 first identified in Wuhan, China as a pandemic, and on March 13, 2020, the President of the U.S. declared that the COVID-19 outbreak constituted a national emergency. This outbreak has continued to spread across the globe and is continuing to impact worldwide economic activity and financial markets. In light of the uncertain and rapidly evolving situation relating to the spread of COVID-19, we have taken precautionary measures intended to minimize the risk of the virus to our employees, our clients and the communities in which we operate, which could negatively impact our business. We have implemented a mandatory telework policy for those employees whose assignments and clients permit working remotely and suspended non-essential travel worldwide for our employees. While we have a distributed workforce and our employees are accustomed to working remotely or working with other remote employees, our workforce is not fully remote and we may be unable to address technological or other challenges inherent in a remote working environment. Many of our employees are unable to work remotely because of unique client requirements. Some of our employees, clients and subcontractors are located in foreign countries, which may be impacted differently from the United States, including through more severe or prolonged restrictions on working or traveling. Although we continue to monitor the situation in each of the jurisdictions in which we operate and may adjust our current policies as more information and public health guidance become available, temporarily suspending travel and doing business in person could challenge our ability to enter into or perform under contracts in a timely manner, slow down our recruiting efforts, or create operational or other challenges, any of which could harm our business and results of operations. Although the Company has business continuity plans and other safeguards in place, there is no assurance that such plans and safeguards will be effective or that such measures will not adversely affect our operations or long-term plans. In addition, when local conditions and regulations ultimately permit the return of employees to business generally, our workforce may not be able to return to work in person immediately, if at all, including as a result of transportation, childcare and ongoing health issues, which could negatively affect our business.</w:t>
      </w:r>
    </w:p>
    <w:p>
      <w:pPr>
        <w:spacing w:after="0" w:line="66"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More generally, the COVID-19 outbreak could continue to adversely affect economies and financial markets globally, potentially leading to an economic downturn, which could decrease government spending and adversely affect demand for our solutions and harm our business and results of operations. While the U.S. and local government agencies have enacted several emergency relief programs designed to combat the economic impact of the outbreak, the long-term effect of such spending is inherently uncertain and could result in future budgetary restrictions.</w:t>
      </w:r>
    </w:p>
    <w:p>
      <w:pPr>
        <w:spacing w:after="0" w:line="63"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In addition, COVID-19 may disrupt the operations of our suppliers, vendors, service providers and subcontractors for an indefinite period of time, including as a result of travel restrictions, business shutdowns or lack of access to financial markets, all of which could negatively impact our business and results of operations. Any inability to develop alternative sources of supply on a cost-effective and timely basis could materially impair our ability to manufacture and deliver products, systems and services to our clients. We are also subject to federal and state laws and regulations enacted in response to the outbreak, such as the Coronavirus Aid, Relief and Economic Security Act (the "CARES Act"), which contains a provision that allows U.S. government contractors to seek specified reimbursement for certain employees who are unable to perform their contract requirements at their designated work locations due to facility closures or restrictions as a result of COVID-19 and cannot perform such work remotely. The legislation enables but does not mandate reimbursement for such costs and agency guidance has imposed certain restrictions. Further, the relief contemplated under the provision does not extend past September 30, 2020. As a result, we believe that some of our costs for certain employees who are unable to perform their contract requirements due to government restrictions will not be reimbursed. In addition, we expect that approximately $6 million per month for the fee on certain contracts involving such employees may not be reimbursed or may exceed reimbursements.</w:t>
      </w:r>
    </w:p>
    <w:p>
      <w:pPr>
        <w:spacing w:after="0" w:line="6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expect COVID-19 to continue to negatively impact our business and results of operation and are unable to predict how long or with what degree of severity that impact will continue. The duration and extent of the COVID-19 outbreak will depend on future developments outside of our control, including the availability of effective treatments or a widely accessible vaccine and the evolutionary development of the COVID-19 or related viruses, which are highly uncertain and cannot be predicted.</w:t>
      </w:r>
    </w:p>
    <w:p>
      <w:pPr>
        <w:spacing w:after="0" w:line="79"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76"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773" w:right="359" w:bottom="1440" w:gutter="0" w:footer="0" w:header="0"/>
        </w:sectPr>
      </w:pPr>
    </w:p>
    <w:bookmarkStart w:id="20" w:name="page21"/>
    <w:bookmarkEnd w:id="20"/>
    <w:p>
      <w:pPr>
        <w:ind w:left="640" w:right="60" w:hanging="322"/>
        <w:spacing w:after="0" w:line="263"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75"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117" w:lineRule="exact"/>
        <w:rPr>
          <w:rFonts w:ascii="Arial" w:cs="Arial" w:eastAsia="Arial" w:hAnsi="Arial"/>
          <w:sz w:val="18"/>
          <w:szCs w:val="18"/>
          <w:color w:val="auto"/>
        </w:rPr>
      </w:pPr>
    </w:p>
    <w:p>
      <w:pPr>
        <w:ind w:left="640" w:right="180" w:hanging="322"/>
        <w:spacing w:after="0" w:line="263"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75"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opportunity cost of not bidding and winning other contracts we might have otherwise pursued.</w:t>
      </w:r>
    </w:p>
    <w:p>
      <w:pPr>
        <w:spacing w:after="0" w:line="117"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6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A significant majority of our revenue is derived from task orders under indefinite delivery/indefinite quantity, or IDIQ, contract vehicles where we perform in either a prime or subcontract position.</w:t>
      </w:r>
    </w:p>
    <w:p>
      <w:pPr>
        <w:spacing w:after="0" w:line="6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believe that one of the key elements of our success is our position as the holder of 3,745 active task orders under IDIQ contract vehicles as of March 31, 2020.</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5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7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6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76"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773" w:right="359" w:bottom="1440" w:gutter="0" w:footer="0" w:header="0"/>
        </w:sectPr>
      </w:pPr>
    </w:p>
    <w:bookmarkStart w:id="21" w:name="page22"/>
    <w:bookmarkEnd w:id="21"/>
    <w:p>
      <w:pPr>
        <w:ind w:right="660"/>
        <w:spacing w:after="0" w:line="277" w:lineRule="auto"/>
        <w:rPr>
          <w:sz w:val="20"/>
          <w:szCs w:val="20"/>
          <w:color w:val="auto"/>
        </w:rPr>
      </w:pPr>
      <w:r>
        <w:rPr>
          <w:rFonts w:ascii="Arial" w:cs="Arial" w:eastAsia="Arial" w:hAnsi="Arial"/>
          <w:sz w:val="18"/>
          <w:szCs w:val="18"/>
          <w:color w:val="auto"/>
        </w:rPr>
        <w:t>further applied the newly reduced limitation to all employees. In addition, there is an increased risk of compensation being deemed unallowable or payments being withheld as a result of U.S. government audit, review or investigation.</w:t>
      </w:r>
    </w:p>
    <w:p>
      <w:pPr>
        <w:spacing w:after="0" w:line="62"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38"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70" w:lineRule="exact"/>
        <w:rPr>
          <w:sz w:val="20"/>
          <w:szCs w:val="20"/>
          <w:color w:val="auto"/>
        </w:rPr>
      </w:pPr>
    </w:p>
    <w:p>
      <w:pPr>
        <w:ind w:right="420" w:firstLine="405"/>
        <w:spacing w:after="0" w:line="263" w:lineRule="auto"/>
        <w:rPr>
          <w:sz w:val="20"/>
          <w:szCs w:val="20"/>
          <w:color w:val="auto"/>
        </w:rPr>
      </w:pPr>
      <w:r>
        <w:rPr>
          <w:rFonts w:ascii="Arial" w:cs="Arial" w:eastAsia="Arial" w:hAnsi="Arial"/>
          <w:sz w:val="18"/>
          <w:szCs w:val="18"/>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7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b w:val="1"/>
          <w:bCs w:val="1"/>
          <w:i w:val="1"/>
          <w:iCs w:val="1"/>
          <w:color w:val="auto"/>
        </w:rPr>
        <w:t>We use estimates in recognizing revenue and if we make changes to estimates used in recognizing revenue, our profitability may be adversely affected.</w:t>
      </w:r>
    </w:p>
    <w:p>
      <w:pPr>
        <w:spacing w:after="0" w:line="62"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70"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773" w:right="35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t>additional disclosure regarding our backlog, please see "Item 7. Management's Discussion and Analysis of Financial Condition and Results of Operations - Factors and Trends Affecting Our Results of Operations - Sources of Revenue - Contract Backlog."</w:t>
      </w:r>
    </w:p>
    <w:p>
      <w:pPr>
        <w:spacing w:after="0" w:line="6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historically have not realized all of the revenue included in our total backlog, and we may not realize all of the revenue included in our total backlog in the future.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6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To the extent the U.S. Congress is unable to approve the annual federal budget on a timely basis, and enacts a continuing resolution, funding for new projects may not be available and funding on contracts we are already performing may be delayed.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U.S. government shutdown, which could result in us incurring substantial costs without reimbursement under our contracts and the delay or cancellation of key programs or the delay of contract payments and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6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including personally identifiable, health and financial information.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 clients or hinder future contract win rates.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5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Certain services we provide and technologies we develop are designed to detect and monitor threats to our clients and may expose our staff to financial loss or physical or reputational harm.</w:t>
      </w:r>
    </w:p>
    <w:p>
      <w:pPr>
        <w:spacing w:after="0" w:line="62"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financial loss, or physical or reputational harm.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773" w:right="359" w:bottom="1440" w:gutter="0" w:footer="0" w:header="0"/>
        </w:sectPr>
      </w:pPr>
    </w:p>
    <w:bookmarkStart w:id="23" w:name="page24"/>
    <w:bookmarkEnd w:id="23"/>
    <w:p>
      <w:pPr>
        <w:ind w:right="60" w:firstLine="405"/>
        <w:spacing w:after="0" w:line="263" w:lineRule="auto"/>
        <w:rPr>
          <w:sz w:val="20"/>
          <w:szCs w:val="20"/>
          <w:color w:val="auto"/>
        </w:rPr>
      </w:pPr>
      <w:r>
        <w:rPr>
          <w:rFonts w:ascii="Arial" w:cs="Arial" w:eastAsia="Arial" w:hAnsi="Arial"/>
          <w:sz w:val="18"/>
          <w:szCs w:val="18"/>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76"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constantly evolving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6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62" w:lineRule="exact"/>
        <w:rPr>
          <w:sz w:val="20"/>
          <w:szCs w:val="20"/>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7" w:lineRule="exact"/>
        <w:rPr>
          <w:rFonts w:ascii="Arial" w:cs="Arial" w:eastAsia="Arial" w:hAnsi="Arial"/>
          <w:sz w:val="18"/>
          <w:szCs w:val="18"/>
          <w:color w:val="auto"/>
        </w:rPr>
      </w:pPr>
    </w:p>
    <w:p>
      <w:pPr>
        <w:ind w:left="640" w:right="620" w:hanging="322"/>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spacing w:after="0" w:line="62" w:lineRule="exact"/>
        <w:rPr>
          <w:rFonts w:ascii="Arial" w:cs="Arial" w:eastAsia="Arial" w:hAnsi="Arial"/>
          <w:sz w:val="18"/>
          <w:szCs w:val="18"/>
          <w:color w:val="auto"/>
        </w:rPr>
      </w:pPr>
    </w:p>
    <w:p>
      <w:pPr>
        <w:ind w:left="640" w:right="140" w:hanging="322"/>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 party information; or</w:t>
      </w:r>
    </w:p>
    <w:p>
      <w:pPr>
        <w:spacing w:after="0" w:line="62" w:lineRule="exact"/>
        <w:rPr>
          <w:rFonts w:ascii="Arial" w:cs="Arial" w:eastAsia="Arial" w:hAnsi="Arial"/>
          <w:sz w:val="18"/>
          <w:szCs w:val="18"/>
          <w:color w:val="auto"/>
        </w:rPr>
      </w:pPr>
    </w:p>
    <w:p>
      <w:pPr>
        <w:ind w:left="640" w:right="560" w:hanging="322"/>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6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6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b w:val="1"/>
          <w:bCs w:val="1"/>
          <w:i w:val="1"/>
          <w:iCs w:val="1"/>
          <w:color w:val="auto"/>
        </w:rPr>
        <w:t>Implementation of various data privacy and cybersecurity laws, regulations and standards could require significant investment into ongoing compliance activities, trigger potential liability, and limit our ability to use personal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73" w:right="339" w:bottom="1440" w:gutter="0" w:footer="0" w:header="0"/>
        </w:sectPr>
      </w:pPr>
    </w:p>
    <w:bookmarkStart w:id="24" w:name="page25"/>
    <w:bookmarkEnd w:id="24"/>
    <w:p>
      <w:pPr>
        <w:ind w:right="160" w:firstLine="432"/>
        <w:spacing w:after="0" w:line="269" w:lineRule="auto"/>
        <w:rPr>
          <w:sz w:val="20"/>
          <w:szCs w:val="20"/>
          <w:color w:val="auto"/>
        </w:rPr>
      </w:pPr>
      <w:r>
        <w:rPr>
          <w:rFonts w:ascii="Arial" w:cs="Arial" w:eastAsia="Arial" w:hAnsi="Arial"/>
          <w:sz w:val="17"/>
          <w:szCs w:val="17"/>
          <w:color w:val="auto"/>
        </w:rPr>
        <w:t>Any failure by us, our vendors or other business partners to comply with international, federal, or state laws regarding data privacy or cybersecurity could result in regulatory actions or lawsuits against us, legal liability, fines, damages and other costs. We may also incur substantial expenses in implementing and maintaining compliance with such laws. For example, the General Data Protection Regulation (“GDPR”) has created new compliance obligations for companies that process data in the EU, which require investment into ongoing data protection activities and documentation requirements, and creates the potential for significantly increased fines for noncompliance. In addition, the California Consumer Protection Privacy Act of 2018 (“CCPA”), which took effect on January 1, 2020, provides new consumer privacy rights to natural persons residing in California. It is possible that the CCPA or similar laws will be deemed applicable to some aspects of our business, which would impose new compliance obligations and require additional investment into data protection activities. Any obligations that may be imposed on us under CCPA or similar laws may be different from or in addition to those required by GDPR, which may cause additional expense for compliance across various jurisdictions. GDPR, California law, and the laws of other U.S. states also impose obligations to maintain a cybersecurity program at a certain level of quality, as well as obligations to give notice to affected individuals and to certain regulators in the event of a data breach.</w:t>
      </w:r>
    </w:p>
    <w:p>
      <w:pPr>
        <w:spacing w:after="0" w:line="7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addition, as a contractor supporting defense and national security clients, we are also subject to certain additional regulatory compliance requirements relating to data privacy and cybersecurity. Under the Defense Federal Acquisition Regulation Supplement and other federal regulations, our networks and IT systems are required to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which could have a material adverse effect on our business and financial results and lead to reputational harm. We are also subject to the Department of Defense Cybersecurity Maturity Model Certification ("CMMC") requirements, which will require all contractors to receive specific third-party certifications relating to specified cybersecurity standards in order to be eligible for contract awards. The Department of Defense expects that all new contracts will be required to comply with the CMMC by 2026, with initial requests for information beginning in June 2020 and requests for proposal beginning in September 2020. We are in the process of evaluating our readiness and preparing for the CMMC, but to the extent we are unable to achieve certification in advance of contract awards that specify the requirement, we will be unable to bid on such contract awards or on follow-on awards for existing work with the Department of Defense, depending on the level of standard as required for each solicitation, which could adversely impact our revenue and profitability. In addition, any obligations that may be imposed on us under the CMMC may be different from or in addition to those otherwise required by applicable laws and regulations, which may cause additional expense for compliance.</w:t>
      </w:r>
    </w:p>
    <w:p>
      <w:pPr>
        <w:spacing w:after="0" w:line="6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The potential implementation and operation of new financial management systems may have an adverse effect on our business and results of operations.</w:t>
      </w:r>
    </w:p>
    <w:p>
      <w:pPr>
        <w:spacing w:after="0" w:line="62"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We, from time to time, modernize and upgrade our management systems. In particular, we are considering and have taken steps in preparation for the implementation of new financial management systems that would be designed to enhance our financial systems and cost accounting practices in order to modernize our financial infrastructure through minimizing manual processes, increasing automation, and providing enhanced business analytics. Preparing for implementation and operation of the new systems requires significant investment of human and financial resources. Should we implement the new systems, we would also expect to incur additional expenses and experience certain one-time impacts to profitability related to the roll-out and operation of the new financial systems, including costs related to training. In addition, any significant difficulties in the implementation or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 adverse effect on our business, consolidated financial condition or results of operations. We also face the challenge of supporting our legacy systems and implementing necessary upgrades to those systems to support routine government and financial audits while and after we implement our new systems.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73" w:right="339" w:bottom="1440" w:gutter="0" w:footer="0" w:header="0"/>
        </w:sectPr>
      </w:pPr>
    </w:p>
    <w:bookmarkStart w:id="25" w:name="page26"/>
    <w:bookmarkEnd w:id="25"/>
    <w:p>
      <w:pPr>
        <w:ind w:right="300" w:firstLine="405"/>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62" w:lineRule="exact"/>
        <w:rPr>
          <w:sz w:val="20"/>
          <w:szCs w:val="20"/>
          <w:color w:val="auto"/>
        </w:rPr>
      </w:pPr>
    </w:p>
    <w:p>
      <w:pPr>
        <w:ind w:right="24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spacing w:after="0" w:line="268" w:lineRule="auto"/>
        <w:rPr>
          <w:sz w:val="20"/>
          <w:szCs w:val="20"/>
          <w:color w:val="auto"/>
        </w:rPr>
      </w:pPr>
      <w:r>
        <w:rPr>
          <w:rFonts w:ascii="Arial" w:cs="Arial" w:eastAsia="Arial" w:hAnsi="Arial"/>
          <w:sz w:val="17"/>
          <w:szCs w:val="17"/>
          <w:color w:val="auto"/>
        </w:rPr>
        <w:t>U.S. government contractors, the U.S. government, and private industry, and such competition is intense. Personnel with the requisite skills, qualifications, or security clearance may be in short supply or generally unavailable. 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73" w:lineRule="exact"/>
        <w:rPr>
          <w:sz w:val="20"/>
          <w:szCs w:val="20"/>
          <w:color w:val="auto"/>
        </w:rPr>
      </w:pPr>
    </w:p>
    <w:p>
      <w:pPr>
        <w:ind w:right="180" w:firstLine="432"/>
        <w:spacing w:after="0" w:line="301"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may fail to obtain and maintain necessary security clearances which may adversely affect our ability to perform on certain contracts.</w:t>
      </w:r>
    </w:p>
    <w:p>
      <w:pPr>
        <w:spacing w:after="0" w:line="14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in a timely manner,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62" w:lineRule="exact"/>
        <w:rPr>
          <w:sz w:val="20"/>
          <w:szCs w:val="20"/>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117" w:lineRule="exact"/>
        <w:rPr>
          <w:rFonts w:ascii="Arial" w:cs="Arial" w:eastAsia="Arial" w:hAnsi="Arial"/>
          <w:sz w:val="18"/>
          <w:szCs w:val="18"/>
          <w:color w:val="auto"/>
        </w:rPr>
      </w:pPr>
    </w:p>
    <w:p>
      <w:pPr>
        <w:ind w:left="640" w:right="220" w:hanging="322"/>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17"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38"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773" w:right="359" w:bottom="1440" w:gutter="0" w:footer="0" w:header="0"/>
        </w:sectPr>
      </w:pPr>
    </w:p>
    <w:bookmarkStart w:id="26" w:name="page27"/>
    <w:bookmarkEnd w:id="26"/>
    <w:p>
      <w:pPr>
        <w:ind w:right="620" w:firstLine="405"/>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8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6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40"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53" w:lineRule="exact"/>
        <w:rPr>
          <w:sz w:val="20"/>
          <w:szCs w:val="20"/>
          <w:color w:val="auto"/>
        </w:rPr>
      </w:pPr>
    </w:p>
    <w:p>
      <w:pPr>
        <w:ind w:left="640" w:right="420" w:hanging="322"/>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117" w:lineRule="exact"/>
        <w:rPr>
          <w:rFonts w:ascii="Arial" w:cs="Arial" w:eastAsia="Arial" w:hAnsi="Arial"/>
          <w:sz w:val="18"/>
          <w:szCs w:val="18"/>
          <w:color w:val="auto"/>
        </w:rPr>
      </w:pPr>
    </w:p>
    <w:p>
      <w:pPr>
        <w:ind w:left="640" w:right="180" w:hanging="322"/>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62"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49" w:lineRule="exact"/>
        <w:rPr>
          <w:sz w:val="20"/>
          <w:szCs w:val="20"/>
          <w:color w:val="auto"/>
        </w:rPr>
      </w:pPr>
    </w:p>
    <w:p>
      <w:pPr>
        <w:ind w:right="120" w:firstLine="405"/>
        <w:spacing w:after="0" w:line="375"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1"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27" w:name="page28"/>
    <w:bookmarkEnd w:id="27"/>
    <w:p>
      <w:pPr>
        <w:ind w:right="40" w:firstLine="432"/>
        <w:spacing w:after="0" w:line="253" w:lineRule="auto"/>
        <w:rPr>
          <w:sz w:val="20"/>
          <w:szCs w:val="20"/>
          <w:color w:val="auto"/>
        </w:rPr>
      </w:pPr>
      <w:r>
        <w:rPr>
          <w:rFonts w:ascii="Arial" w:cs="Arial" w:eastAsia="Arial" w:hAnsi="Arial"/>
          <w:sz w:val="18"/>
          <w:szCs w:val="18"/>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5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6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and criminal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clients and contractors, intellectual property disputes, and other business matters. Any such claims, proceedings or investigations may be time-consuming, costly, divert management resources, or otherwise have a material adverse effect on our result of operations.</w:t>
      </w:r>
    </w:p>
    <w:p>
      <w:pPr>
        <w:spacing w:after="0" w:line="7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legal proceedings described under “Item 3. Legal Proceedings” are subject to future developments and management’s view of these matters may change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face certain significant risk exposures and potential liabilities that may not be adequately covered by indemnity or insurance.</w:t>
      </w:r>
    </w:p>
    <w:p>
      <w:pPr>
        <w:spacing w:after="0" w:line="1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 significant portion of our business relates to designing, developing, and implementing advanced defense and technology systems and products, including cybersecurity products and services. New technologies may be untested or unproven.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73"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1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6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80"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62"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various data privacy and cybersecurity laws could require significant investment into ongoing compliance activities, trigger potential liability under such laws,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8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ability to grow our business by leveraging our operating model to efficiently and effectively deploy our people across our client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79"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73" w:right="339" w:bottom="1440" w:gutter="0" w:footer="0" w:header="0"/>
        </w:sectPr>
      </w:pPr>
    </w:p>
    <w:bookmarkStart w:id="29" w:name="page30"/>
    <w:bookmarkEnd w:id="29"/>
    <w:p>
      <w:pPr>
        <w:ind w:right="420"/>
        <w:spacing w:after="0" w:line="277" w:lineRule="auto"/>
        <w:rPr>
          <w:sz w:val="20"/>
          <w:szCs w:val="20"/>
          <w:color w:val="auto"/>
        </w:rPr>
      </w:pPr>
      <w:r>
        <w:rPr>
          <w:rFonts w:ascii="Arial" w:cs="Arial" w:eastAsia="Arial" w:hAnsi="Arial"/>
          <w:sz w:val="18"/>
          <w:szCs w:val="18"/>
          <w:color w:val="auto"/>
        </w:rPr>
        <w:t>each of these and any future locations. Any inability to ensure any of the foregoing could have a material adverse effect on our business and results of operations.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operating internationally.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operations are subject to a variety of risks associated with conducting business internationally, including:</w:t>
      </w:r>
    </w:p>
    <w:p>
      <w:pPr>
        <w:spacing w:after="0" w:line="117" w:lineRule="exact"/>
        <w:rPr>
          <w:sz w:val="20"/>
          <w:szCs w:val="20"/>
          <w:color w:val="auto"/>
        </w:rPr>
      </w:pPr>
    </w:p>
    <w:p>
      <w:pPr>
        <w:ind w:left="1300" w:hanging="33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interpretations of laws or policies that may adversely affect the performance of our services;</w:t>
      </w:r>
    </w:p>
    <w:p>
      <w:pPr>
        <w:spacing w:after="0" w:line="117" w:lineRule="exact"/>
        <w:rPr>
          <w:rFonts w:ascii="Arial" w:cs="Arial" w:eastAsia="Arial" w:hAnsi="Arial"/>
          <w:sz w:val="18"/>
          <w:szCs w:val="18"/>
          <w:color w:val="auto"/>
        </w:rPr>
      </w:pPr>
    </w:p>
    <w:p>
      <w:pPr>
        <w:ind w:left="1300" w:hanging="33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in foreign countries;</w:t>
      </w:r>
    </w:p>
    <w:p>
      <w:pPr>
        <w:spacing w:after="0" w:line="117" w:lineRule="exact"/>
        <w:rPr>
          <w:rFonts w:ascii="Arial" w:cs="Arial" w:eastAsia="Arial" w:hAnsi="Arial"/>
          <w:sz w:val="18"/>
          <w:szCs w:val="18"/>
          <w:color w:val="auto"/>
        </w:rPr>
      </w:pPr>
    </w:p>
    <w:p>
      <w:pPr>
        <w:ind w:left="1300" w:hanging="33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inconsistent or contradictory laws or regulations;</w:t>
      </w:r>
    </w:p>
    <w:p>
      <w:pPr>
        <w:spacing w:after="0" w:line="117" w:lineRule="exact"/>
        <w:rPr>
          <w:rFonts w:ascii="Arial" w:cs="Arial" w:eastAsia="Arial" w:hAnsi="Arial"/>
          <w:sz w:val="18"/>
          <w:szCs w:val="18"/>
          <w:color w:val="auto"/>
        </w:rPr>
      </w:pPr>
    </w:p>
    <w:p>
      <w:pPr>
        <w:ind w:left="1300" w:right="480" w:hanging="33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Reliance on the U.S. or other governments to authorize us to export products, technology, and services to clients and other business partners;</w:t>
      </w:r>
    </w:p>
    <w:p>
      <w:pPr>
        <w:spacing w:after="0" w:line="62" w:lineRule="exact"/>
        <w:rPr>
          <w:rFonts w:ascii="Arial" w:cs="Arial" w:eastAsia="Arial" w:hAnsi="Arial"/>
          <w:sz w:val="18"/>
          <w:szCs w:val="18"/>
          <w:color w:val="auto"/>
        </w:rPr>
      </w:pPr>
    </w:p>
    <w:p>
      <w:pPr>
        <w:ind w:left="1300" w:hanging="33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business in places where laws, business practices, and customs are unfamiliar or unknown; and</w:t>
      </w:r>
    </w:p>
    <w:p>
      <w:pPr>
        <w:spacing w:after="0" w:line="117" w:lineRule="exact"/>
        <w:rPr>
          <w:rFonts w:ascii="Arial" w:cs="Arial" w:eastAsia="Arial" w:hAnsi="Arial"/>
          <w:sz w:val="18"/>
          <w:szCs w:val="18"/>
          <w:color w:val="auto"/>
        </w:rPr>
      </w:pPr>
    </w:p>
    <w:p>
      <w:pPr>
        <w:ind w:left="1300" w:hanging="33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limitations on or increase of withholding and other taxes on payments by foreign subsidiaries or joint ventures;</w:t>
      </w:r>
    </w:p>
    <w:p>
      <w:pPr>
        <w:spacing w:after="0" w:line="117" w:lineRule="exact"/>
        <w:rPr>
          <w:rFonts w:ascii="Arial" w:cs="Arial" w:eastAsia="Arial" w:hAnsi="Arial"/>
          <w:sz w:val="18"/>
          <w:szCs w:val="18"/>
          <w:color w:val="auto"/>
        </w:rPr>
      </w:pPr>
    </w:p>
    <w:p>
      <w:pPr>
        <w:ind w:left="1300" w:right="180" w:hanging="33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foreign currencies if the United Kingdom exits from the European Union, particularly in countries where the Company has substantial activities; and</w:t>
      </w:r>
    </w:p>
    <w:p>
      <w:pPr>
        <w:spacing w:after="0" w:line="62" w:lineRule="exact"/>
        <w:rPr>
          <w:rFonts w:ascii="Arial" w:cs="Arial" w:eastAsia="Arial" w:hAnsi="Arial"/>
          <w:sz w:val="18"/>
          <w:szCs w:val="18"/>
          <w:color w:val="auto"/>
        </w:rPr>
      </w:pPr>
    </w:p>
    <w:p>
      <w:pPr>
        <w:ind w:left="1300" w:right="40" w:hanging="33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tariffs or embargoes, export controls and other trade restrictions, including the recent tariffs imposed by the U.S. and China and the possibility of additional tariffs or other trade restrictions relating to trade.</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6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7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62"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79"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773" w:right="359" w:bottom="1440" w:gutter="0" w:footer="0" w:header="0"/>
        </w:sectPr>
      </w:pPr>
    </w:p>
    <w:bookmarkStart w:id="30" w:name="page31"/>
    <w:bookmarkEnd w:id="30"/>
    <w:p>
      <w:pPr>
        <w:ind w:right="520" w:firstLine="405"/>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62"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6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5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62"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76" w:lineRule="exact"/>
        <w:rPr>
          <w:sz w:val="20"/>
          <w:szCs w:val="20"/>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1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consummate acquisitions, investments, joint ventures and divestitures, which involve numerous risks and uncertainties.</w:t>
      </w:r>
    </w:p>
    <w:p>
      <w:pPr>
        <w:spacing w:after="0" w:line="12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part of our operating strategy, we selectively pursue acquisitions, investments, partnerships and joint ventures. These transactions pose many risks, including:</w:t>
      </w:r>
    </w:p>
    <w:p>
      <w:pPr>
        <w:spacing w:after="0" w:line="62" w:lineRule="exact"/>
        <w:rPr>
          <w:sz w:val="20"/>
          <w:szCs w:val="20"/>
          <w:color w:val="auto"/>
        </w:rPr>
      </w:pPr>
    </w:p>
    <w:p>
      <w:pPr>
        <w:ind w:left="640" w:hanging="32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and investment candidates at prices we consider attractive;</w:t>
      </w:r>
    </w:p>
    <w:p>
      <w:pPr>
        <w:spacing w:after="0" w:line="117" w:lineRule="exact"/>
        <w:rPr>
          <w:rFonts w:ascii="Arial" w:cs="Arial" w:eastAsia="Arial" w:hAnsi="Arial"/>
          <w:sz w:val="18"/>
          <w:szCs w:val="18"/>
          <w:color w:val="auto"/>
        </w:rPr>
      </w:pPr>
    </w:p>
    <w:p>
      <w:pPr>
        <w:ind w:left="640" w:right="540" w:hanging="322"/>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and investment candidates, complete acquisitions and investments, or accurately estimate the financial effect of acquisitions and investments on our business;</w:t>
      </w:r>
    </w:p>
    <w:p>
      <w:pPr>
        <w:spacing w:after="0" w:line="62" w:lineRule="exact"/>
        <w:rPr>
          <w:rFonts w:ascii="Arial" w:cs="Arial" w:eastAsia="Arial" w:hAnsi="Arial"/>
          <w:sz w:val="18"/>
          <w:szCs w:val="18"/>
          <w:color w:val="auto"/>
        </w:rPr>
      </w:pPr>
    </w:p>
    <w:p>
      <w:pPr>
        <w:ind w:left="640" w:right="700" w:hanging="322"/>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acquisitions and investments may require us to issue common stock or spend significant cash, resulting in dilution of ownership or additional debt leverage;</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difficulty integrating personnel from the acquired company with our people and our core values;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773" w:right="359" w:bottom="1440" w:gutter="0" w:footer="0" w:header="0"/>
        </w:sectPr>
      </w:pPr>
    </w:p>
    <w:bookmarkStart w:id="31" w:name="page32"/>
    <w:bookmarkEnd w:id="31"/>
    <w:p>
      <w:pPr>
        <w:ind w:left="640" w:right="380" w:hanging="32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and investments, resulting in unforeseen difficulties, such as incompatible accounting, information management, or other control systems, and greater expenses than expected;</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and investments may disrupt our business or distract our management from other responsibilities;</w:t>
      </w:r>
    </w:p>
    <w:p>
      <w:pPr>
        <w:spacing w:after="0" w:line="117" w:lineRule="exact"/>
        <w:rPr>
          <w:rFonts w:ascii="Arial" w:cs="Arial" w:eastAsia="Arial" w:hAnsi="Arial"/>
          <w:sz w:val="18"/>
          <w:szCs w:val="18"/>
          <w:color w:val="auto"/>
        </w:rPr>
      </w:pPr>
    </w:p>
    <w:p>
      <w:pPr>
        <w:ind w:left="640" w:right="460" w:hanging="32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an acquisition or investment, we may incur additional debt and we may need to record write-downs from future impairments of intangible assets, each of which could reduce our future reported earnings; and</w:t>
      </w:r>
    </w:p>
    <w:p>
      <w:pPr>
        <w:spacing w:after="0" w:line="62" w:lineRule="exact"/>
        <w:rPr>
          <w:rFonts w:ascii="Arial" w:cs="Arial" w:eastAsia="Arial" w:hAnsi="Arial"/>
          <w:sz w:val="18"/>
          <w:szCs w:val="18"/>
          <w:color w:val="auto"/>
        </w:rPr>
      </w:pPr>
    </w:p>
    <w:p>
      <w:pPr>
        <w:ind w:left="640" w:right="200" w:hanging="32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partnerships, or we may be exposed to certain liabilities if our partners do not fulfill their obligations.</w:t>
      </w:r>
    </w:p>
    <w:p>
      <w:pPr>
        <w:spacing w:after="0" w:line="62" w:lineRule="exact"/>
        <w:rPr>
          <w:sz w:val="20"/>
          <w:szCs w:val="20"/>
          <w:color w:val="auto"/>
        </w:rPr>
      </w:pPr>
    </w:p>
    <w:p>
      <w:pPr>
        <w:ind w:right="20" w:firstLine="432"/>
        <w:spacing w:after="0" w:line="301" w:lineRule="auto"/>
        <w:rPr>
          <w:sz w:val="20"/>
          <w:szCs w:val="20"/>
          <w:color w:val="auto"/>
        </w:rPr>
      </w:pPr>
      <w:r>
        <w:rPr>
          <w:rFonts w:ascii="Arial" w:cs="Arial" w:eastAsia="Arial" w:hAnsi="Arial"/>
          <w:sz w:val="16"/>
          <w:szCs w:val="16"/>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4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 addition, we may be unable to complete strategic divestitures on satisfactory terms and conditions, including non-competition arrangements, or within expected time frames.</w:t>
      </w:r>
    </w:p>
    <w:p>
      <w:pPr>
        <w:spacing w:after="0" w:line="8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6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As of March 31, 2020, the value of our goodwill was $1.6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Changes in tax law or judgments by management related to complex tax matters could adversely impact our results of operations.</w:t>
      </w:r>
    </w:p>
    <w:p>
      <w:pPr>
        <w:spacing w:after="0" w:line="129"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we will continue to assess the effect of the Tax Cuts and Jobs Act (the "2017 Tax Act") on our business as it relates to taxes on low taxed intangible foreign income as well as deduction for foreign derived intangible income. For additional information regarding the 2017 Tax Act, see "Item 7. Management's Discussion and Analysis of Financial Condition and Results of Operations".</w:t>
      </w:r>
    </w:p>
    <w:p>
      <w:pPr>
        <w:spacing w:after="0" w:line="5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 materially affect our tax obligations and effective tax rate. For example, during fiscal 2020, we recorded additional uncertain tax positions of approximately $45.0 million related to research and development credits that we have claimed, or will soon claim. Any increase to the liability we established as of March 31, 2020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and Note 14 to our accompanying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773"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7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62" w:lineRule="exact"/>
        <w:rPr>
          <w:sz w:val="20"/>
          <w:szCs w:val="20"/>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117" w:lineRule="exact"/>
        <w:rPr>
          <w:rFonts w:ascii="Arial" w:cs="Arial" w:eastAsia="Arial" w:hAnsi="Arial"/>
          <w:sz w:val="18"/>
          <w:szCs w:val="18"/>
          <w:color w:val="auto"/>
        </w:rPr>
      </w:pPr>
    </w:p>
    <w:p>
      <w:pPr>
        <w:ind w:left="640" w:right="140" w:hanging="322"/>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spacing w:after="0" w:line="62" w:lineRule="exact"/>
        <w:rPr>
          <w:rFonts w:ascii="Arial" w:cs="Arial" w:eastAsia="Arial" w:hAnsi="Arial"/>
          <w:sz w:val="18"/>
          <w:szCs w:val="18"/>
          <w:color w:val="auto"/>
        </w:rPr>
      </w:pPr>
    </w:p>
    <w:p>
      <w:pPr>
        <w:ind w:left="640" w:hanging="322"/>
        <w:spacing w:after="0" w:line="26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75"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117" w:lineRule="exact"/>
        <w:rPr>
          <w:rFonts w:ascii="Arial" w:cs="Arial" w:eastAsia="Arial" w:hAnsi="Arial"/>
          <w:sz w:val="18"/>
          <w:szCs w:val="18"/>
          <w:color w:val="auto"/>
        </w:rPr>
      </w:pPr>
    </w:p>
    <w:p>
      <w:pPr>
        <w:jc w:val="both"/>
        <w:ind w:left="640" w:right="240" w:hanging="322"/>
        <w:spacing w:after="0" w:line="26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75" w:lineRule="exact"/>
        <w:rPr>
          <w:rFonts w:ascii="Arial" w:cs="Arial" w:eastAsia="Arial" w:hAnsi="Arial"/>
          <w:sz w:val="18"/>
          <w:szCs w:val="18"/>
          <w:color w:val="auto"/>
        </w:rPr>
      </w:pPr>
    </w:p>
    <w:p>
      <w:pPr>
        <w:ind w:left="640" w:right="120" w:hanging="322"/>
        <w:spacing w:after="0" w:line="26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75" w:lineRule="exact"/>
        <w:rPr>
          <w:rFonts w:ascii="Arial" w:cs="Arial" w:eastAsia="Arial" w:hAnsi="Arial"/>
          <w:sz w:val="18"/>
          <w:szCs w:val="18"/>
          <w:color w:val="auto"/>
        </w:rPr>
      </w:pPr>
    </w:p>
    <w:p>
      <w:pPr>
        <w:ind w:left="640" w:right="380" w:hanging="322"/>
        <w:spacing w:after="0" w:line="263"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75"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Recent and potential future budget cuts and recent efforts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6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w:t>
      </w:r>
    </w:p>
    <w:p>
      <w:pPr>
        <w:spacing w:after="0" w:line="62"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U.S. government agencies routinely audit, review, and investigate government contracts and government contractors’ administrative processes and systems.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Defense Federal Acquisition Regulation Supplement ("DFARS") required business systems, which are comprised of our 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769" w:right="399" w:bottom="1440" w:gutter="0" w:footer="0" w:header="0"/>
        </w:sectPr>
      </w:pPr>
    </w:p>
    <w:bookmarkStart w:id="33" w:name="page34"/>
    <w:bookmarkEnd w:id="33"/>
    <w:p>
      <w:pPr>
        <w:jc w:val="both"/>
        <w:ind w:right="60"/>
        <w:spacing w:after="0" w:line="287" w:lineRule="auto"/>
        <w:rPr>
          <w:sz w:val="20"/>
          <w:szCs w:val="20"/>
          <w:color w:val="auto"/>
        </w:rPr>
      </w:pPr>
      <w:r>
        <w:rPr>
          <w:rFonts w:ascii="Arial" w:cs="Arial" w:eastAsia="Arial" w:hAnsi="Arial"/>
          <w:sz w:val="16"/>
          <w:szCs w:val="16"/>
          <w:color w:val="auto"/>
        </w:rPr>
        <w:t>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costs found to be unallowable under a contract will not be reimbursed, and any such costs already reimbursed must be refunded. Further, the amount of any such refund may exceed the provision of claimed indirect costs, which is based on management's estimates and assumptions that are inherently uncertain and may not cover actual losses. For example, DCAA audits may result in, and have historically resulted in, the Company's inability to retain certain claimed indirect costs, including executive and employee compensation, due to differing views of the allowability and reasonableness of such costs. As of March 31, 2020, years subsequent to the Company's fiscal year 2011 remained subject to audit and final resolution. The Company recognized a liability of $224.6 million for estimated adjustments to claimed indirect costs based on its historical DCAA audit results, including the final resolution of such audits with the DCMA. Determining the provision for claimed indirect costs is complex and subject to management's estimate of adjustments to claimed indirect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Moreover, if any of the administrative processes and business systems, some of which are currently certified as effective, are found not to comply with government imposed requirements, we may be subjected to increased government scrutiny and approval that could delay or otherwise adversely affect our ability to compete for or perform contracts or to be paid timely. Unfavorable U.S. government audit, review, or investigation results could subject us to civil or criminal penalties or administrative sanctions, require us to retroactively and prospectively adjust previously agreed to billing or pricing rates for our work, and could harm our reputation and relationships with our clients and impair our ability to be awarded new contracts, which could affect our future sales and profitability by preventing us, by operation of law or in practice, from receiving new government contracts for some period of time. In addition,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We could also suffer serious reputational harm if allegations of impropriety were made against us.</w:t>
      </w:r>
    </w:p>
    <w:p>
      <w:pPr>
        <w:spacing w:after="0" w:line="76" w:lineRule="exact"/>
        <w:rPr>
          <w:sz w:val="20"/>
          <w:szCs w:val="20"/>
          <w:color w:val="auto"/>
        </w:rPr>
      </w:pPr>
    </w:p>
    <w:p>
      <w:pPr>
        <w:ind w:right="180" w:firstLine="432"/>
        <w:spacing w:after="0" w:line="275" w:lineRule="auto"/>
        <w:rPr>
          <w:sz w:val="20"/>
          <w:szCs w:val="20"/>
          <w:color w:val="auto"/>
        </w:rPr>
      </w:pPr>
      <w:r>
        <w:rPr>
          <w:rFonts w:ascii="Arial" w:cs="Arial" w:eastAsia="Arial" w:hAnsi="Arial"/>
          <w:sz w:val="17"/>
          <w:szCs w:val="17"/>
          <w:color w:val="auto"/>
        </w:rPr>
        <w:t>In addition, we are currently considering and have taken steps in preparation for the implementation of new financial management systems, which would likely involve certain changes to our cost accounting practices. This may negatively impact our profitability. In particular, changes to our cost accounting practices could require us to estimate changes in costs for certain contracts at the time of implementation and make payments in connection with such estimates that could be material and not recoverable. To the extent we are unable to fully mitigate the costs associated with changes to our cost accounting practices if we implement the new systems, our business and financial results may be adversely affected.</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117" w:lineRule="exact"/>
        <w:rPr>
          <w:sz w:val="20"/>
          <w:szCs w:val="20"/>
          <w:color w:val="auto"/>
        </w:rPr>
      </w:pPr>
    </w:p>
    <w:p>
      <w:pPr>
        <w:ind w:left="640" w:right="180" w:hanging="322"/>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128" w:lineRule="exact"/>
        <w:rPr>
          <w:rFonts w:ascii="Arial" w:cs="Arial" w:eastAsia="Arial" w:hAnsi="Arial"/>
          <w:sz w:val="17"/>
          <w:szCs w:val="17"/>
          <w:color w:val="auto"/>
        </w:rPr>
      </w:pPr>
    </w:p>
    <w:p>
      <w:pPr>
        <w:ind w:left="640" w:hanging="32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117" w:lineRule="exact"/>
        <w:rPr>
          <w:rFonts w:ascii="Arial" w:cs="Arial" w:eastAsia="Arial" w:hAnsi="Arial"/>
          <w:sz w:val="18"/>
          <w:szCs w:val="18"/>
          <w:color w:val="auto"/>
        </w:rPr>
      </w:pPr>
    </w:p>
    <w:p>
      <w:pPr>
        <w:ind w:left="640" w:right="80" w:hanging="322"/>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spacing w:after="0" w:line="62" w:lineRule="exact"/>
        <w:rPr>
          <w:rFonts w:ascii="Arial" w:cs="Arial" w:eastAsia="Arial" w:hAnsi="Arial"/>
          <w:sz w:val="18"/>
          <w:szCs w:val="18"/>
          <w:color w:val="auto"/>
        </w:rPr>
      </w:pPr>
    </w:p>
    <w:p>
      <w:pPr>
        <w:ind w:left="640" w:right="480" w:hanging="322"/>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 contracts on a technically acceptable/lowest cost basis in order to reduce expenditures, and we may not be the lowest cost provider of services;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procurement opportunities to small, disadvantaged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773" w:right="379" w:bottom="1440" w:gutter="0" w:footer="0" w:header="0"/>
        </w:sectPr>
      </w:pPr>
    </w:p>
    <w:bookmarkStart w:id="34" w:name="page35"/>
    <w:bookmarkEnd w:id="34"/>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17" w:lineRule="exact"/>
        <w:rPr>
          <w:sz w:val="20"/>
          <w:szCs w:val="20"/>
          <w:color w:val="auto"/>
        </w:rPr>
      </w:pPr>
    </w:p>
    <w:p>
      <w:pPr>
        <w:ind w:right="160" w:firstLine="432"/>
        <w:spacing w:after="0" w:line="301" w:lineRule="auto"/>
        <w:rPr>
          <w:sz w:val="20"/>
          <w:szCs w:val="20"/>
          <w:color w:val="auto"/>
        </w:rPr>
      </w:pPr>
      <w:r>
        <w:rPr>
          <w:rFonts w:ascii="Arial" w:cs="Arial" w:eastAsia="Arial" w:hAnsi="Arial"/>
          <w:sz w:val="16"/>
          <w:szCs w:val="16"/>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U.S. government may prefer minority-owned, small and small disadvantaged businesses; therefore, we may have fewer opportunities to bid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t>
      </w:r>
    </w:p>
    <w:p>
      <w:pPr>
        <w:spacing w:after="0" w:line="10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6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As of March 31, 2020, we had total indebtedness of approximately $2.2 billion and $399.1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41" w:lineRule="exact"/>
        <w:rPr>
          <w:sz w:val="20"/>
          <w:szCs w:val="20"/>
          <w:color w:val="auto"/>
        </w:rPr>
      </w:pPr>
    </w:p>
    <w:p>
      <w:pPr>
        <w:ind w:left="640" w:right="220" w:hanging="322"/>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Secured Credit Facility, consisting of a $1,364 million term loan facility (“Term Loan A”), a $388 million term loan facility (“Term Loan B” and, together with Term Loan A, the “Term Loans”), a $500 million Revolving Credit Facility, with a sublimit for letters of credit of $100 million, our $350 million in aggregate principal amount of 5.125% Senior Notes due 2025 (the “Senior Notes”) and our other debt;</w:t>
      </w:r>
    </w:p>
    <w:p>
      <w:pPr>
        <w:spacing w:after="0" w:line="78" w:lineRule="exact"/>
        <w:rPr>
          <w:rFonts w:ascii="Arial" w:cs="Arial" w:eastAsia="Arial" w:hAnsi="Arial"/>
          <w:sz w:val="18"/>
          <w:szCs w:val="18"/>
          <w:color w:val="auto"/>
        </w:rPr>
      </w:pPr>
    </w:p>
    <w:p>
      <w:pPr>
        <w:ind w:left="640" w:right="480" w:hanging="322"/>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62" w:lineRule="exact"/>
        <w:rPr>
          <w:rFonts w:ascii="Arial" w:cs="Arial" w:eastAsia="Arial" w:hAnsi="Arial"/>
          <w:sz w:val="18"/>
          <w:szCs w:val="18"/>
          <w:color w:val="auto"/>
        </w:rPr>
      </w:pPr>
    </w:p>
    <w:p>
      <w:pPr>
        <w:ind w:left="640" w:right="180" w:hanging="322"/>
        <w:spacing w:after="0" w:line="30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38" w:lineRule="exact"/>
        <w:rPr>
          <w:rFonts w:ascii="Arial" w:cs="Arial" w:eastAsia="Arial" w:hAnsi="Arial"/>
          <w:sz w:val="17"/>
          <w:szCs w:val="17"/>
          <w:color w:val="auto"/>
        </w:rPr>
      </w:pPr>
    </w:p>
    <w:p>
      <w:pPr>
        <w:ind w:left="640" w:hanging="32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640" w:right="140" w:hanging="322"/>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under the Secured Credit Facility, are at variable rates of interest;</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117" w:lineRule="exact"/>
        <w:rPr>
          <w:rFonts w:ascii="Arial" w:cs="Arial" w:eastAsia="Arial" w:hAnsi="Arial"/>
          <w:sz w:val="18"/>
          <w:szCs w:val="18"/>
          <w:color w:val="auto"/>
        </w:rPr>
      </w:pPr>
    </w:p>
    <w:p>
      <w:pPr>
        <w:ind w:left="640" w:right="340" w:hanging="322"/>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or competitors with comparable debt and more favorable terms and thereby affecting our ability to compete; and</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Although the Secured Credit Facility and the indenture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$500 million, which as of March 31, 2020, had availability of $399.1 million. Additionally, the used portion as it pertains to open standby letters of credit and bank guarantees totaled $0.9 million. Furthermore, subject to specified conditions, without the consent of the then-existing lenders (but subject to the receipt of commitments), the indebtedness under the Secured Credit Facility may be increased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the pro forma consolidated net secured leverage ratio is equal to or less than 3.50:1.00. If new debt is added to our current debt levels, the related risks that we and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7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guarantors now face would increase and we may not be able to meet all our debt obligations, including the repayment of the Senior Notes.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Business.”</w:t>
      </w:r>
    </w:p>
    <w:p>
      <w:pPr>
        <w:spacing w:after="0" w:line="8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6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6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If we cannot make scheduled payments on our debt, we would be in default and the following events could occur: lenders under our Secured Credit Facility and holders of the Senior Notes could declare all outstanding principal and interest to be due and payable; lenders under the Revolving Credit Facility could terminate their commitments to provide loans; and lenders could foreclose against the assets securing their loans. All of these events could force us into bankruptcy or liquidation and result in investors' losing some or all of the value of their investment.</w:t>
      </w:r>
    </w:p>
    <w:p>
      <w:pPr>
        <w:spacing w:after="0" w:line="6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62"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The Secured Credit Facility and the indenture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16" w:lineRule="exact"/>
        <w:rPr>
          <w:sz w:val="20"/>
          <w:szCs w:val="20"/>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or issue disqualified stock or preferred stock;</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on or make other distributions in respect of, or repurchase or redeem, our capital stock;</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subordinated indebtedness;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liens securing indebtedness;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enter into agreements restricting our subsidiaries’ ability to pay dividends to us or the guarantors or make other intercompany transfers;</w:t>
      </w:r>
    </w:p>
    <w:p>
      <w:pPr>
        <w:spacing w:after="0" w:line="128" w:lineRule="exact"/>
        <w:rPr>
          <w:rFonts w:ascii="Arial" w:cs="Arial" w:eastAsia="Arial" w:hAnsi="Arial"/>
          <w:sz w:val="17"/>
          <w:szCs w:val="17"/>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or any guarantor’s assets;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certain lines of business.</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These covenants are subject to a number of important exceptions and qualifications. In addition, the restrictive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773" w:right="379" w:bottom="1440" w:gutter="0" w:footer="0" w:header="0"/>
        </w:sectPr>
      </w:pPr>
    </w:p>
    <w:bookmarkStart w:id="36" w:name="page37"/>
    <w:bookmarkEnd w:id="36"/>
    <w:p>
      <w:pPr>
        <w:ind w:right="60"/>
        <w:spacing w:after="0" w:line="298" w:lineRule="auto"/>
        <w:rPr>
          <w:sz w:val="20"/>
          <w:szCs w:val="20"/>
          <w:color w:val="auto"/>
        </w:rPr>
      </w:pPr>
      <w:r>
        <w:rPr>
          <w:rFonts w:ascii="Arial" w:cs="Arial" w:eastAsia="Arial" w:hAnsi="Arial"/>
          <w:sz w:val="17"/>
          <w:szCs w:val="17"/>
          <w:color w:val="auto"/>
        </w:rPr>
        <w:t>covenants in the Secured Credit Facility require us to maintain a consolidated net total leverage ratio and a consolidated net interest coverage ratio that will each be tested at the end of each fiscal quarter. Our ability to satisfy such financial ratio tests may be affected by events beyond our control.</w:t>
      </w:r>
    </w:p>
    <w:p>
      <w:pPr>
        <w:spacing w:after="0" w:line="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all of these restrictions, we may be:</w:t>
      </w:r>
    </w:p>
    <w:p>
      <w:pPr>
        <w:spacing w:after="0" w:line="117" w:lineRule="exact"/>
        <w:rPr>
          <w:sz w:val="20"/>
          <w:szCs w:val="20"/>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right="4620" w:hanging="274"/>
        <w:spacing w:after="0" w:line="42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unable to compete effectively or to take advantage of new business opportunities. These restrictions might hinder our ability to grow in accordance with our strategy.</w:t>
      </w:r>
    </w:p>
    <w:p>
      <w:pPr>
        <w:ind w:left="66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Borrowings under the Secured Credit Facility are at variable rates of interest and expose us to interest rate risk. While interest rates are currently at historically low levels, if interest rates were to increase,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Based on Term Loans outstanding as of March 31, 2020 and assuming all revolving loans are fully drawn, and after considering interest rate swaps that fixed the interest rate on $1 billion of principal of our variable rate debt each quarter point change in interest rates would result in a $3.1 million change in our projected annual interest expense on our indebtedness under the Secured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1"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addition, a transition away from the London Interbank Offering Rate (“LIBOR”) as a benchmark for establishing the applicable interest rate may affect the cost of servicing our debt under the Secured Credit Facility and the Revolving Credit Facility. As of March 31, 2020, we had $2.2 billion outstanding under the Secured Credit Facility and $399.1 million of availability under the Revolving Credit Facility, each of which incurs interest based on LIBOR. The Financial Conduct Authority of the United Kingdom has announced that it plans to phase out LIBOR by the end of calendar year 2021. Although these borrowing arrangements provide for alternative base rates, such alternative base rates may or may not be related to LIBOR, and the consequences of the phase out of LIBOR cannot be entirely predicted at this time. For example, if any alternative base rate or means of calculating interest with respect to our outstanding variable rate indebtedness leads to an increase in the interest rates charged, it could result in an increase in the cost of such indebtedness, impact our ability to refinance some or all of our existing indebtedness or otherwise have a material adverse impact on our business, financial condition and results of operations.</w:t>
      </w:r>
    </w:p>
    <w:p>
      <w:pPr>
        <w:spacing w:after="0" w:line="19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indebtedness has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19" w:right="339" w:bottom="1440" w:gutter="0" w:footer="0" w:header="0"/>
        </w:sectPr>
      </w:pPr>
    </w:p>
    <w:bookmarkStart w:id="37" w:name="page38"/>
    <w:bookmarkEnd w:id="37"/>
    <w:p>
      <w:pPr>
        <w:ind w:right="20" w:firstLine="432"/>
        <w:spacing w:after="0" w:line="257" w:lineRule="auto"/>
        <w:rPr>
          <w:sz w:val="20"/>
          <w:szCs w:val="20"/>
          <w:color w:val="auto"/>
        </w:rPr>
      </w:pPr>
      <w:r>
        <w:rPr>
          <w:rFonts w:ascii="Arial" w:cs="Arial" w:eastAsia="Arial" w:hAnsi="Arial"/>
          <w:sz w:val="18"/>
          <w:szCs w:val="18"/>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 governing the Senior Notes significantly restricts the ability of our subsidiaries to pay dividends or otherwise transfer assets to us. In addition, Delaware law may impose requirements that may restrict our ability to pay dividends to holders of our common stock.</w:t>
      </w:r>
    </w:p>
    <w:p>
      <w:pPr>
        <w:spacing w:after="0" w:line="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62"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76" w:lineRule="exact"/>
        <w:rPr>
          <w:sz w:val="20"/>
          <w:szCs w:val="20"/>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140" w:lineRule="exact"/>
        <w:rPr>
          <w:rFonts w:ascii="Arial" w:cs="Arial" w:eastAsia="Arial" w:hAnsi="Arial"/>
          <w:sz w:val="16"/>
          <w:szCs w:val="16"/>
          <w:color w:val="auto"/>
        </w:rPr>
      </w:pPr>
    </w:p>
    <w:p>
      <w:pPr>
        <w:ind w:left="640" w:right="220" w:hanging="322"/>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117" w:lineRule="exact"/>
        <w:rPr>
          <w:rFonts w:ascii="Arial" w:cs="Arial" w:eastAsia="Arial" w:hAnsi="Arial"/>
          <w:sz w:val="18"/>
          <w:szCs w:val="18"/>
          <w:color w:val="auto"/>
        </w:rPr>
      </w:pPr>
    </w:p>
    <w:p>
      <w:pPr>
        <w:ind w:left="640" w:right="340" w:hanging="322"/>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11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board of directors (the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773" w:right="379" w:bottom="1440" w:gutter="0" w:footer="0" w:header="0"/>
        </w:sectPr>
      </w:pPr>
    </w:p>
    <w:bookmarkStart w:id="38" w:name="page39"/>
    <w:bookmarkEnd w:id="38"/>
    <w:p>
      <w:pPr>
        <w:jc w:val="both"/>
        <w:ind w:right="100" w:firstLine="405"/>
        <w:spacing w:after="0" w:line="263"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76" w:lineRule="exact"/>
        <w:rPr>
          <w:sz w:val="20"/>
          <w:szCs w:val="20"/>
          <w:color w:val="auto"/>
        </w:rPr>
      </w:pPr>
    </w:p>
    <w:p>
      <w:pPr>
        <w:ind w:right="360" w:firstLine="432"/>
        <w:spacing w:after="0" w:line="293" w:lineRule="auto"/>
        <w:rPr>
          <w:sz w:val="20"/>
          <w:szCs w:val="20"/>
          <w:color w:val="auto"/>
        </w:rPr>
      </w:pPr>
      <w:r>
        <w:rPr>
          <w:rFonts w:ascii="Arial" w:cs="Arial" w:eastAsia="Arial" w:hAnsi="Arial"/>
          <w:sz w:val="16"/>
          <w:szCs w:val="16"/>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including our financial, accounting, and information systems.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5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Any failure by such third parties to provide us with accurate or timely information or implement and maintain effective controls may cause us to fail to meet our reporting obligations as a publicly traded company. In addition, if we implement new financial management systems, we could experience deficiencies in its operation that could have an adverse effect on the effectiveness of our internal control over financial reporting.</w:t>
      </w:r>
    </w:p>
    <w:p>
      <w:pPr>
        <w:spacing w:after="0" w:line="7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80"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62"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76" w:lineRule="exact"/>
        <w:rPr>
          <w:sz w:val="20"/>
          <w:szCs w:val="20"/>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w:t>
      </w:r>
    </w:p>
    <w:p>
      <w:pPr>
        <w:spacing w:after="0" w:line="117" w:lineRule="exact"/>
        <w:rPr>
          <w:rFonts w:ascii="Arial" w:cs="Arial" w:eastAsia="Arial" w:hAnsi="Arial"/>
          <w:sz w:val="18"/>
          <w:szCs w:val="18"/>
          <w:color w:val="auto"/>
        </w:rPr>
      </w:pPr>
    </w:p>
    <w:p>
      <w:pPr>
        <w:ind w:left="640" w:right="40" w:hanging="322"/>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establishment of advance notice requirements for stockholder proposals and nominations for election to the Board at stockholder meetings;</w:t>
      </w:r>
    </w:p>
    <w:p>
      <w:pPr>
        <w:spacing w:after="0" w:line="140" w:lineRule="exact"/>
        <w:rPr>
          <w:rFonts w:ascii="Arial" w:cs="Arial" w:eastAsia="Arial" w:hAnsi="Arial"/>
          <w:sz w:val="16"/>
          <w:szCs w:val="16"/>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w:t>
      </w:r>
    </w:p>
    <w:p>
      <w:pPr>
        <w:spacing w:after="0" w:line="11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73" w:right="339" w:bottom="1440" w:gutter="0" w:footer="0" w:header="0"/>
        </w:sectPr>
      </w:pPr>
    </w:p>
    <w:bookmarkStart w:id="39" w:name="page40"/>
    <w:bookmarkEnd w:id="39"/>
    <w:p>
      <w:pPr>
        <w:ind w:right="20" w:firstLine="432"/>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market for our Class A Common Stock may be adversely affected by the performance of other companies in the government services market.</w:t>
      </w:r>
    </w:p>
    <w:p>
      <w:pPr>
        <w:spacing w:after="0" w:line="152"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2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Bethesda, Maryland; Laurel, Maryland; 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2.50 million square feet. We believe our facilities meet our current needs.</w:t>
      </w: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2020 and 2019, there were no material amounts accrued in the consolidated financial statements related to these proceedings.</w:t>
      </w:r>
    </w:p>
    <w:p>
      <w:pPr>
        <w:spacing w:after="0" w:line="5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73" w:right="33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8"/>
          <w:szCs w:val="18"/>
          <w:color w:val="auto"/>
        </w:rPr>
        <w:t>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7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As a status conference on October 31, 2019, the court ordered the parties to meet and confer and submit a status report by November 29, 2019. On December 12, 2019, the court ordered that the stay remain in effect. At this stage of the lawsuit, the Company is not able to reasonably estimate the expected amount or range of cost or any loss associated with the lawsuit.</w:t>
      </w:r>
    </w:p>
    <w:p>
      <w:pPr>
        <w:spacing w:after="0" w:line="2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the date hereof:</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jc w:val="center"/>
              <w:ind w:left="312"/>
              <w:spacing w:after="0"/>
              <w:rPr>
                <w:sz w:val="20"/>
                <w:szCs w:val="20"/>
                <w:color w:val="auto"/>
              </w:rPr>
            </w:pPr>
            <w:r>
              <w:rPr>
                <w:rFonts w:ascii="Arial" w:cs="Arial" w:eastAsia="Arial" w:hAnsi="Arial"/>
                <w:sz w:val="14"/>
                <w:szCs w:val="14"/>
                <w:b w:val="1"/>
                <w:bCs w:val="1"/>
                <w:color w:val="auto"/>
                <w:w w:val="90"/>
              </w:rPr>
              <w:t>Age</w:t>
            </w:r>
          </w:p>
        </w:tc>
        <w:tc>
          <w:tcPr>
            <w:tcW w:w="5320" w:type="dxa"/>
            <w:vAlign w:val="bottom"/>
          </w:tcPr>
          <w:p>
            <w:pPr>
              <w:ind w:left="48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40" w:type="dxa"/>
            <w:vAlign w:val="bottom"/>
          </w:tcPr>
          <w:p>
            <w:pPr>
              <w:spacing w:after="0"/>
              <w:rPr>
                <w:sz w:val="20"/>
                <w:szCs w:val="20"/>
                <w:color w:val="auto"/>
              </w:rPr>
            </w:pPr>
            <w:r>
              <w:rPr>
                <w:rFonts w:ascii="Arial" w:cs="Arial" w:eastAsia="Arial" w:hAnsi="Arial"/>
                <w:sz w:val="18"/>
                <w:szCs w:val="18"/>
                <w:color w:val="auto"/>
              </w:rPr>
              <w:t>Horacio D. Rozanski</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52</w:t>
            </w:r>
          </w:p>
        </w:tc>
        <w:tc>
          <w:tcPr>
            <w:tcW w:w="5320" w:type="dxa"/>
            <w:vAlign w:val="bottom"/>
          </w:tcPr>
          <w:p>
            <w:pPr>
              <w:ind w:left="48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Lloyd W. Howell, Jr.</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53</w:t>
            </w:r>
          </w:p>
        </w:tc>
        <w:tc>
          <w:tcPr>
            <w:tcW w:w="5320" w:type="dxa"/>
            <w:vAlign w:val="bottom"/>
          </w:tcPr>
          <w:p>
            <w:pPr>
              <w:ind w:left="480"/>
              <w:spacing w:after="0"/>
              <w:rPr>
                <w:sz w:val="20"/>
                <w:szCs w:val="20"/>
                <w:color w:val="auto"/>
              </w:rPr>
            </w:pPr>
            <w:r>
              <w:rPr>
                <w:rFonts w:ascii="Arial" w:cs="Arial" w:eastAsia="Arial" w:hAnsi="Arial"/>
                <w:sz w:val="18"/>
                <w:szCs w:val="18"/>
                <w:color w:val="auto"/>
                <w:w w:val="95"/>
              </w:rPr>
              <w:t>Executive Vice President, Chief Financial Officer and Treasurer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Kristine Martin Anderson</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51</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Karen M. Dahut</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56</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Judith Dotson</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56</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Nancy J. Laben</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58</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Gary D. Labovich</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60</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Susan L. Penfield</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58</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 and Chief Innovation Officer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Elizabeth M. Thompson</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65</w:t>
            </w:r>
          </w:p>
        </w:tc>
        <w:tc>
          <w:tcPr>
            <w:tcW w:w="5320" w:type="dxa"/>
            <w:vAlign w:val="bottom"/>
          </w:tcPr>
          <w:p>
            <w:pPr>
              <w:ind w:left="480"/>
              <w:spacing w:after="0"/>
              <w:rPr>
                <w:sz w:val="20"/>
                <w:szCs w:val="20"/>
                <w:color w:val="auto"/>
              </w:rPr>
            </w:pPr>
            <w:r>
              <w:rPr>
                <w:rFonts w:ascii="Arial" w:cs="Arial" w:eastAsia="Arial" w:hAnsi="Arial"/>
                <w:sz w:val="18"/>
                <w:szCs w:val="18"/>
                <w:color w:val="auto"/>
              </w:rPr>
              <w:t>Executive Vice President and Chief People Officer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Laura S. Adams</w:t>
            </w:r>
          </w:p>
        </w:tc>
        <w:tc>
          <w:tcPr>
            <w:tcW w:w="1600" w:type="dxa"/>
            <w:vAlign w:val="bottom"/>
          </w:tcPr>
          <w:p>
            <w:pPr>
              <w:jc w:val="center"/>
              <w:ind w:left="332"/>
              <w:spacing w:after="0"/>
              <w:rPr>
                <w:sz w:val="20"/>
                <w:szCs w:val="20"/>
                <w:color w:val="auto"/>
              </w:rPr>
            </w:pPr>
            <w:r>
              <w:rPr>
                <w:rFonts w:ascii="Arial" w:cs="Arial" w:eastAsia="Arial" w:hAnsi="Arial"/>
                <w:sz w:val="18"/>
                <w:szCs w:val="18"/>
                <w:color w:val="auto"/>
                <w:w w:val="89"/>
              </w:rPr>
              <w:t>47</w:t>
            </w:r>
          </w:p>
        </w:tc>
        <w:tc>
          <w:tcPr>
            <w:tcW w:w="5320" w:type="dxa"/>
            <w:vAlign w:val="bottom"/>
          </w:tcPr>
          <w:p>
            <w:pPr>
              <w:ind w:left="480"/>
              <w:spacing w:after="0"/>
              <w:rPr>
                <w:sz w:val="20"/>
                <w:szCs w:val="20"/>
                <w:color w:val="auto"/>
              </w:rPr>
            </w:pPr>
            <w:r>
              <w:rPr>
                <w:rFonts w:ascii="Arial" w:cs="Arial" w:eastAsia="Arial" w:hAnsi="Arial"/>
                <w:sz w:val="18"/>
                <w:szCs w:val="18"/>
                <w:color w:val="auto"/>
                <w:w w:val="92"/>
              </w:rPr>
              <w:t>Vice President, Corporate Controller and Chief Accounting Officer</w:t>
            </w:r>
          </w:p>
        </w:tc>
      </w:tr>
    </w:tbl>
    <w:p>
      <w:pPr>
        <w:spacing w:after="0" w:line="121" w:lineRule="exact"/>
        <w:rPr>
          <w:sz w:val="20"/>
          <w:szCs w:val="20"/>
          <w:color w:val="auto"/>
        </w:rPr>
      </w:pPr>
    </w:p>
    <w:p>
      <w:pPr>
        <w:ind w:right="120" w:firstLine="432"/>
        <w:spacing w:after="0" w:line="296" w:lineRule="auto"/>
        <w:rPr>
          <w:sz w:val="20"/>
          <w:szCs w:val="20"/>
          <w:color w:val="auto"/>
        </w:rPr>
      </w:pPr>
      <w:r>
        <w:rPr>
          <w:rFonts w:ascii="Arial" w:cs="Arial" w:eastAsia="Arial" w:hAnsi="Arial"/>
          <w:sz w:val="16"/>
          <w:szCs w:val="16"/>
          <w:i w:val="1"/>
          <w:iCs w:val="1"/>
          <w:color w:val="auto"/>
        </w:rPr>
        <w:t xml:space="preserve">Horacio D. Rozanski </w:t>
      </w:r>
      <w:r>
        <w:rPr>
          <w:rFonts w:ascii="Arial" w:cs="Arial" w:eastAsia="Arial" w:hAnsi="Arial"/>
          <w:sz w:val="16"/>
          <w:szCs w:val="16"/>
          <w:color w:val="auto"/>
        </w:rPr>
        <w:t>is our President and Chief Executive Officer and served as our Chief Operating Officer until January 1, 2015. Mr. Rozanski</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Chief 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boards of directors of the United States Holocaust Memorial Museum's Committee on Conscience and the Children's National Medical Center and as Vice Chair of the Corporate Fund for the John F. Kennedy Center for the Performing Arts.</w:t>
      </w:r>
    </w:p>
    <w:p>
      <w:pPr>
        <w:spacing w:after="0" w:line="53"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i w:val="1"/>
          <w:iCs w:val="1"/>
          <w:color w:val="auto"/>
        </w:rPr>
        <w:t xml:space="preserve">Lloyd W. Howell, Jr. </w:t>
      </w:r>
      <w:r>
        <w:rPr>
          <w:rFonts w:ascii="Arial" w:cs="Arial" w:eastAsia="Arial" w:hAnsi="Arial"/>
          <w:sz w:val="17"/>
          <w:szCs w:val="17"/>
          <w:color w:val="auto"/>
        </w:rPr>
        <w:t>is an Executive Vice President of our Company and our Chief Financial Officer and Treasurer since July 1, 2016. Mr. Howell</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the group leader for our Civil Commercial Group. Mr. Howell joined our Company in 1988, left in 1991, rejoined in 1995 and became an Executive Vice President in 2005. He served as chairman of our Ethics &amp; Compliance Committee for over seven years, until April 2014. Mr. Howell serves on the boards of directors of Integra Life Sciences, and the Partnership for Public Service. Mr. Howell also serves on the board of overseers for the School of Engineering and Applied Science and as a Trustee at the University of Pennsylvania.</w:t>
      </w:r>
    </w:p>
    <w:p>
      <w:pPr>
        <w:spacing w:after="0" w:line="6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Kristine Martin Anderson </w:t>
      </w:r>
      <w:r>
        <w:rPr>
          <w:rFonts w:ascii="Arial" w:cs="Arial" w:eastAsia="Arial" w:hAnsi="Arial"/>
          <w:sz w:val="18"/>
          <w:szCs w:val="18"/>
          <w:color w:val="auto"/>
        </w:rPr>
        <w:t>is an Executive Vice President and is the group leader for the Company's Civilian Services Group after leading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civil health business since April 2015. Prior to joining Booz Allen in 2006, she was vice president for operations and strategy at CareScience, a software solutions Company. Ms. Anderson currently serves on the eHealth Initiative's board of directors. In addition, she serves on the Cost and Resource Use Standing Committee of the National Quality Forum.</w:t>
      </w:r>
    </w:p>
    <w:p>
      <w:pPr>
        <w:spacing w:after="0" w:line="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 xml:space="preserve">Karen M. Dahut </w:t>
      </w:r>
      <w:r>
        <w:rPr>
          <w:rFonts w:ascii="Arial" w:cs="Arial" w:eastAsia="Arial" w:hAnsi="Arial"/>
          <w:sz w:val="18"/>
          <w:szCs w:val="18"/>
          <w:color w:val="auto"/>
        </w:rPr>
        <w:t>is an Executive Vice President and is the group leader for the Company's Global Defense Group. Ms. Dahut joined our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and became a Senior Vice President in 2004. Ms. Dahut led the Company's Strategic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3" w:right="339" w:bottom="144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t>Innovations Group from 2012 to April 2016 and the Civil Commercial Group from 2016 to March 2018. Previously, she also led the Company's Analytics business and its US Navy and Marine Corps business. Ms. Dahut is a board member of the Tech Data Corporation and serves on its Audit and CyberTechnology Committees. She also serves on the board of the Northern Virginia Technology Council and the Smithsonian National Air and Space Museum.</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Judith Dotson </w:t>
      </w:r>
      <w:r>
        <w:rPr>
          <w:rFonts w:ascii="Arial" w:cs="Arial" w:eastAsia="Arial" w:hAnsi="Arial"/>
          <w:sz w:val="16"/>
          <w:szCs w:val="16"/>
          <w:color w:val="auto"/>
        </w:rPr>
        <w:t>is an Executive Vice President and is the group leader for the Company's National Security Group. Ms. Dotson joined our Company in</w:t>
      </w:r>
    </w:p>
    <w:p>
      <w:pPr>
        <w:spacing w:after="0" w:line="46"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1989 and became a Senior Vice President in 2004. Ms. Dotson led the Company's Finance, Economic Development, and Energy business from 2014 to March 2017 and the Joint Combatant Command business from 2017 to March 2020. Previously, she led the firm's Enterprise Integration Capability Development Team, the Defense System Development Capability Team, and the Environment &amp; Energy Technology Team. Ms. Dotson served on the board of directors for the Nature Generation, a not-for-profit that inspires and empowers environmental stewardship in youth.</w:t>
      </w:r>
    </w:p>
    <w:p>
      <w:pPr>
        <w:spacing w:after="0" w:line="5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Nancy J. Laben </w:t>
      </w:r>
      <w:r>
        <w:rPr>
          <w:rFonts w:ascii="Arial" w:cs="Arial" w:eastAsia="Arial" w:hAnsi="Arial"/>
          <w:sz w:val="18"/>
          <w:szCs w:val="18"/>
          <w:color w:val="auto"/>
        </w:rPr>
        <w:t>is an Executive Vice President of our Company and our Chief Legal Officer. She also served as the Secretary until August 2019.</w:t>
      </w:r>
      <w:r>
        <w:rPr>
          <w:rFonts w:ascii="Arial" w:cs="Arial" w:eastAsia="Arial" w:hAnsi="Arial"/>
          <w:sz w:val="18"/>
          <w:szCs w:val="18"/>
          <w:i w:val="1"/>
          <w:iCs w:val="1"/>
          <w:color w:val="auto"/>
        </w:rPr>
        <w:t xml:space="preserve"> </w:t>
      </w:r>
      <w:r>
        <w:rPr>
          <w:rFonts w:ascii="Arial" w:cs="Arial" w:eastAsia="Arial" w:hAnsi="Arial"/>
          <w:sz w:val="18"/>
          <w:szCs w:val="18"/>
          <w:color w:val="auto"/>
        </w:rPr>
        <w:t>Ms. Laben joined our Company in September 2013. She oversees the Legal functions, Ethics &amp; Compliance and Corporate Affairs.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8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i w:val="1"/>
          <w:iCs w:val="1"/>
          <w:color w:val="auto"/>
        </w:rPr>
        <w:t xml:space="preserve">Gary Labovich </w:t>
      </w:r>
      <w:r>
        <w:rPr>
          <w:rFonts w:ascii="Arial" w:cs="Arial" w:eastAsia="Arial" w:hAnsi="Arial"/>
          <w:sz w:val="16"/>
          <w:szCs w:val="16"/>
          <w:color w:val="auto"/>
        </w:rPr>
        <w:t>is an Executive Vice President and leads the modernization of our management systems as the Next Generation Modernization Lead.</w:t>
      </w:r>
      <w:r>
        <w:rPr>
          <w:rFonts w:ascii="Arial" w:cs="Arial" w:eastAsia="Arial" w:hAnsi="Arial"/>
          <w:sz w:val="16"/>
          <w:szCs w:val="16"/>
          <w:i w:val="1"/>
          <w:iCs w:val="1"/>
          <w:color w:val="auto"/>
        </w:rPr>
        <w:t xml:space="preserve"> </w:t>
      </w:r>
      <w:r>
        <w:rPr>
          <w:rFonts w:ascii="Arial" w:cs="Arial" w:eastAsia="Arial" w:hAnsi="Arial"/>
          <w:sz w:val="16"/>
          <w:szCs w:val="16"/>
          <w:color w:val="auto"/>
        </w:rPr>
        <w:t>He joined Booz Allen in July 2004. Mr. Labovich has led the Company's systems delivery and digital businesses as well as the delivery of the Company's financial services capabilities and service offerings to both federal and private sector clients. Prior to joining the Company, Mr. Labovich spent 18 years at American Management Systems in key roles as both an entrepreneur and a senior executive specializing in systems development and strategic consulting for federal, state, local and commercial organizations. Mr. Labovich is a former chair and a member of the board of trustees for the Greater DC Maryland Chapter of the National Multiple Sclerosis Society and serves on the board of trustees for Clark University.</w:t>
      </w:r>
    </w:p>
    <w:p>
      <w:pPr>
        <w:spacing w:after="0" w:line="56"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i w:val="1"/>
          <w:iCs w:val="1"/>
          <w:color w:val="auto"/>
        </w:rPr>
        <w:t xml:space="preserve">Susan L. Penfield </w:t>
      </w:r>
      <w:r>
        <w:rPr>
          <w:rFonts w:ascii="Arial" w:cs="Arial" w:eastAsia="Arial" w:hAnsi="Arial"/>
          <w:sz w:val="16"/>
          <w:szCs w:val="16"/>
          <w:color w:val="auto"/>
        </w:rPr>
        <w:t>is an Executive Vice President and our Chief Innovation Officer, and leads our Strategic Innovation Group. Ms. Penfield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on the board of directors of the Children's Inn at the National Institutes of Health and Seed Spot. Ms. Penfield is a member of the National Association for Female Executives (NAFE), and was recognized by the NAFE as its 2015 Digital Trailblazer.</w:t>
      </w:r>
    </w:p>
    <w:p>
      <w:pPr>
        <w:spacing w:after="0" w:line="53"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i w:val="1"/>
          <w:iCs w:val="1"/>
          <w:color w:val="auto"/>
        </w:rPr>
        <w:t xml:space="preserve">Elizabeth M. Thompson </w:t>
      </w:r>
      <w:r>
        <w:rPr>
          <w:rFonts w:ascii="Arial" w:cs="Arial" w:eastAsia="Arial" w:hAnsi="Arial"/>
          <w:sz w:val="18"/>
          <w:szCs w:val="18"/>
          <w:color w:val="auto"/>
        </w:rPr>
        <w:t>is an Executive Vice President of our Company and serves as our Chief People Officer. Ms. Thompson joined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Ms. Thompson served as Vice President of Human Resources for Fannie Mae from 2000 to 2008. Ms. Thompson sits on the board of the Society for Human Resource Management.</w:t>
      </w:r>
    </w:p>
    <w:p>
      <w:pPr>
        <w:spacing w:after="0" w:line="7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Laura S. Adams </w:t>
      </w:r>
      <w:r>
        <w:rPr>
          <w:rFonts w:ascii="Arial" w:cs="Arial" w:eastAsia="Arial" w:hAnsi="Arial"/>
          <w:sz w:val="18"/>
          <w:szCs w:val="18"/>
          <w:color w:val="auto"/>
        </w:rPr>
        <w:t>is a Vice President of our Company and our Corporate Controller and Chief Accounting Officer. Ms. Adams joined Booz Allen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2009 and has served as the Company’s Controller since July 2014 and Chief Accounting Officer since 2016. Ms. Adams brings more than 25 years of finance and accounting specialty and industry experience, primarily in aerospace and defense and government and commercial IT management consulting services. Before joining Booz Allen, Ms. Adams was a senior manager in the audit and assurance practice of Ernst &amp; Young from 1995 through 2008.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73"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Our Class A Common Stock began trading on the New York Stock Exchange on November 17, 2010. On May 18, 2020, there were 142,864 beneficial holders of our Class A Common Stock. Our Class A Common Stock is listed on the New York Stock Exchange under the ticker symbol "BAH".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and will depend, among other factors, upon our earnings, liquidity, financial condition, alternate capital allocation opportunities, or any other factors the Board deems relevant. On May 26, 2020, the Company announced that the Board had declared a quarterly cash dividend of $0.31 per share. Payment of the dividend will be made on June 30, 2020 to stockholders of record at the close of business on June 15,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March 31, 2020: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Value of Shares that</w:t>
            </w: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Price Paid per</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740" w:type="dxa"/>
            <w:vAlign w:val="bottom"/>
            <w:gridSpan w:val="2"/>
          </w:tcPr>
          <w:p>
            <w:pPr>
              <w:ind w:left="1580"/>
              <w:spacing w:after="0"/>
              <w:rPr>
                <w:sz w:val="20"/>
                <w:szCs w:val="20"/>
                <w:color w:val="auto"/>
              </w:rPr>
            </w:pPr>
            <w:r>
              <w:rPr>
                <w:rFonts w:ascii="Arial" w:cs="Arial" w:eastAsia="Arial" w:hAnsi="Arial"/>
                <w:sz w:val="16"/>
                <w:szCs w:val="16"/>
                <w:b w:val="1"/>
                <w:bCs w:val="1"/>
                <w:color w:val="auto"/>
              </w:rPr>
              <w:t>Period</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Programs (1)</w:t>
            </w:r>
          </w:p>
        </w:tc>
      </w:tr>
      <w:tr>
        <w:trPr>
          <w:trHeight w:val="3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138,983</w:t>
            </w:r>
          </w:p>
        </w:tc>
        <w:tc>
          <w:tcPr>
            <w:tcW w:w="19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138,983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619,795,782</w:t>
            </w: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February 2020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476,158</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$73.50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476,158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584,795,913</w:t>
            </w: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1,501,762</w:t>
            </w:r>
          </w:p>
        </w:tc>
        <w:tc>
          <w:tcPr>
            <w:tcW w:w="19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$66.58</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1,501,762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484,813,926</w:t>
            </w:r>
          </w:p>
        </w:tc>
      </w:tr>
      <w:tr>
        <w:trPr>
          <w:trHeight w:val="257"/>
        </w:trPr>
        <w:tc>
          <w:tcPr>
            <w:tcW w:w="3740" w:type="dxa"/>
            <w:vAlign w:val="bottom"/>
            <w:gridSpan w:val="2"/>
          </w:tcPr>
          <w:p>
            <w:pPr>
              <w:ind w:left="32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2,116,903</w:t>
            </w: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2,116,903</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652"/>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12, 2011, the Board approved a $30.0 million share repurchase program, which was further increased by the Board on (i) January 27, 2015 to $180.0 million, (ii) January 25, 2017 to $410.0 million, (iii) November 2, 2017 to $610.0 million, (iv) May 24, 2018 to $910.0 million, and (v) May 23, 2019 to $1,310.0 million. As of March 31, 2020, the Company had approximately $484.8 million remaining under the repurchase program. A special committee of the Board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graph set forth below compares the cumulative shareholder return on our Class A Common Stock between March 31, 2015 and March 31, 2020,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2015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45720</wp:posOffset>
            </wp:positionV>
            <wp:extent cx="5846445" cy="3651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$100 INVESTED ON MARCH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3/31/2015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3/31/2016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3/31/2017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3/31/2018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3/31/2019</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3/31/2020</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Booz Allen Hamilton Holding Corp.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259.44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Russell 1000 Index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100.50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118.02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134.52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147.03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135.23</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Software &amp; Services Select Industry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156.08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172.16</w:t>
            </w:r>
          </w:p>
        </w:tc>
      </w:tr>
      <w:tr>
        <w:trPr>
          <w:trHeight w:val="27"/>
        </w:trPr>
        <w:tc>
          <w:tcPr>
            <w:tcW w:w="5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selected consolidated statements of operations data for fiscal 2020, fiscal 2019, and fiscal 2018 and the selected consolidated balance sheet data as of March 31, 2020 and 2019 have been derived from our audited consolidated financial statements included elsewhere in this Annual Report. The selected consolidated statement of operations data for fiscal 2017 and fiscal 2016 and the selected consolidated balance sheet data as of March 31, 2018, 2017 and 2016 have been derived from audited consolidated financial statements which are not included in this Annual Report. Our historical results are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661" w:right="339" w:bottom="1440" w:gutter="0" w:footer="0" w:header="0"/>
        </w:sectPr>
      </w:pPr>
    </w:p>
    <w:bookmarkStart w:id="44" w:name="page45"/>
    <w:bookmarkEnd w:id="44"/>
    <w:p>
      <w:pPr>
        <w:jc w:val="both"/>
        <w:ind w:right="400"/>
        <w:spacing w:after="0" w:line="263" w:lineRule="auto"/>
        <w:rPr>
          <w:sz w:val="20"/>
          <w:szCs w:val="20"/>
          <w:color w:val="auto"/>
        </w:rPr>
      </w:pPr>
      <w:r>
        <w:rPr>
          <w:rFonts w:ascii="Arial" w:cs="Arial" w:eastAsia="Arial" w:hAnsi="Arial"/>
          <w:sz w:val="18"/>
          <w:szCs w:val="18"/>
          <w:color w:val="auto"/>
        </w:rPr>
        <w:t>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Fiscal Year Ended March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4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177"/>
        </w:trPr>
        <w:tc>
          <w:tcPr>
            <w:tcW w:w="534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0891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General and administrative expenses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operating costs and expenses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common share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7,463,841</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6,704,037</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6,167,600</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5,809,491</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5,405,738</w:t>
            </w:r>
          </w:p>
        </w:tc>
      </w:tr>
      <w:tr>
        <w:trPr>
          <w:trHeight w:val="540"/>
        </w:trPr>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3,379,180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3,100,466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2,866,268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2,678,715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2,580,026</w:t>
            </w:r>
          </w:p>
        </w:tc>
      </w:tr>
      <w:tr>
        <w:trPr>
          <w:trHeight w:val="270"/>
        </w:trPr>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2,298,413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2,004,664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1,861,312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1,751,077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1,513,083</w:t>
            </w:r>
          </w:p>
        </w:tc>
      </w:tr>
      <w:tr>
        <w:trPr>
          <w:trHeight w:val="270"/>
        </w:trPr>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1,035,965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927,938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855,541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814,141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806,509</w:t>
            </w:r>
          </w:p>
        </w:tc>
      </w:tr>
      <w:tr>
        <w:trPr>
          <w:trHeight w:val="276"/>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81,081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68,575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64,756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59,544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61,536</w:t>
            </w:r>
          </w:p>
        </w:tc>
      </w:tr>
      <w:tr>
        <w:trPr>
          <w:trHeight w:val="250"/>
        </w:trPr>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6,794,639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6,101,643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5,647,877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5,303,477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4,961,154</w:t>
            </w:r>
          </w:p>
        </w:tc>
      </w:tr>
      <w:tr>
        <w:trPr>
          <w:trHeight w:val="244"/>
        </w:trPr>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669,202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602,394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519,723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506,014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444,584</w:t>
            </w:r>
          </w:p>
        </w:tc>
      </w:tr>
      <w:tr>
        <w:trPr>
          <w:trHeight w:val="270"/>
        </w:trPr>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(96,960)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(89,517)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(82,269)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(62,298)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(70,815)</w:t>
            </w:r>
          </w:p>
        </w:tc>
      </w:tr>
      <w:tr>
        <w:trPr>
          <w:trHeight w:val="276"/>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5,693</w:t>
            </w:r>
          </w:p>
        </w:tc>
      </w:tr>
      <w:tr>
        <w:trPr>
          <w:trHeight w:val="244"/>
        </w:trPr>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579,434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515,403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430,036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425,657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379,462</w:t>
            </w:r>
          </w:p>
        </w:tc>
      </w:tr>
      <w:tr>
        <w:trPr>
          <w:trHeight w:val="276"/>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96,831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96,874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128,344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164,832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85,368</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482,603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418,529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301,692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260,825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294,094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-1902460</wp:posOffset>
            </wp:positionV>
            <wp:extent cx="70891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-1559560</wp:posOffset>
            </wp:positionV>
            <wp:extent cx="70891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-1216660</wp:posOffset>
            </wp:positionV>
            <wp:extent cx="70891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-873760</wp:posOffset>
            </wp:positionV>
            <wp:extent cx="70891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0891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-187960</wp:posOffset>
            </wp:positionV>
            <wp:extent cx="7089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171450</wp:posOffset>
            </wp:positionV>
            <wp:extent cx="7089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60" w:space="720"/>
            <w:col w:w="5860"/>
          </w:cols>
          <w:pgMar w:left="320" w:top="746" w:right="3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Weighted average common shares outstanding (1):</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540"/>
        </w:trPr>
        <w:tc>
          <w:tcPr>
            <w:tcW w:w="1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140,059,494</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w w:val="95"/>
              </w:rPr>
              <w:t>141,910,799</w:t>
            </w: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145,964,574</w:t>
            </w:r>
          </w:p>
        </w:tc>
        <w:tc>
          <w:tcPr>
            <w:tcW w:w="28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148,218,968</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146,494,407</w:t>
            </w:r>
          </w:p>
        </w:tc>
      </w:tr>
      <w:tr>
        <w:trPr>
          <w:trHeight w:val="270"/>
        </w:trPr>
        <w:tc>
          <w:tcPr>
            <w:tcW w:w="1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141,238,135</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w w:val="95"/>
              </w:rPr>
              <w:t>143,156,176</w:t>
            </w: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147,750,022</w:t>
            </w:r>
          </w:p>
        </w:tc>
        <w:tc>
          <w:tcPr>
            <w:tcW w:w="28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150,274,640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149,719,137</w:t>
            </w:r>
          </w:p>
        </w:tc>
      </w:tr>
      <w:tr>
        <w:trPr>
          <w:trHeight w:val="270"/>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0.70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0.62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-677545</wp:posOffset>
            </wp:positionV>
            <wp:extent cx="70891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-334645</wp:posOffset>
            </wp:positionV>
            <wp:extent cx="70891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23495</wp:posOffset>
            </wp:positionV>
            <wp:extent cx="4551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680" w:space="720"/>
            <w:col w:w="5840"/>
          </w:cols>
          <w:pgMar w:left="320" w:top="746"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741,901</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283,990</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286,958</w:t>
            </w:r>
          </w:p>
        </w:tc>
        <w:tc>
          <w:tcPr>
            <w:tcW w:w="10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217,417</w:t>
            </w:r>
          </w:p>
        </w:tc>
        <w:tc>
          <w:tcPr>
            <w:tcW w:w="10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187,529</w:t>
            </w:r>
          </w:p>
        </w:tc>
        <w:tc>
          <w:tcPr>
            <w:tcW w:w="0" w:type="dxa"/>
            <w:vAlign w:val="bottom"/>
          </w:tcPr>
          <w:p>
            <w:pPr>
              <w:spacing w:after="0"/>
              <w:rPr>
                <w:sz w:val="1"/>
                <w:szCs w:val="1"/>
                <w:color w:val="auto"/>
              </w:rPr>
            </w:pPr>
          </w:p>
        </w:tc>
      </w:tr>
      <w:tr>
        <w:trPr>
          <w:trHeight w:val="73"/>
        </w:trPr>
        <w:tc>
          <w:tcPr>
            <w:tcW w:w="40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1,000,510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520,101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463,205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211,701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249,858</w:t>
            </w:r>
          </w:p>
        </w:tc>
        <w:tc>
          <w:tcPr>
            <w:tcW w:w="0" w:type="dxa"/>
            <w:vAlign w:val="bottom"/>
          </w:tcPr>
          <w:p>
            <w:pPr>
              <w:spacing w:after="0"/>
              <w:rPr>
                <w:sz w:val="1"/>
                <w:szCs w:val="1"/>
                <w:color w:val="auto"/>
              </w:rPr>
            </w:pPr>
          </w:p>
        </w:tc>
      </w:tr>
      <w:tr>
        <w:trPr>
          <w:trHeight w:val="79"/>
        </w:trPr>
        <w:tc>
          <w:tcPr>
            <w:tcW w:w="4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4,793,966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3,831,841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3,606,619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3,378,693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3,010,171</w:t>
            </w:r>
          </w:p>
        </w:tc>
        <w:tc>
          <w:tcPr>
            <w:tcW w:w="0" w:type="dxa"/>
            <w:vAlign w:val="bottom"/>
          </w:tcPr>
          <w:p>
            <w:pPr>
              <w:spacing w:after="0"/>
              <w:rPr>
                <w:sz w:val="1"/>
                <w:szCs w:val="1"/>
                <w:color w:val="auto"/>
              </w:rPr>
            </w:pPr>
          </w:p>
        </w:tc>
      </w:tr>
      <w:tr>
        <w:trPr>
          <w:trHeight w:val="73"/>
        </w:trPr>
        <w:tc>
          <w:tcPr>
            <w:tcW w:w="4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2,007,979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1,701,837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1,755,479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1,470,174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1,484,448</w:t>
            </w:r>
          </w:p>
        </w:tc>
        <w:tc>
          <w:tcPr>
            <w:tcW w:w="0" w:type="dxa"/>
            <w:vAlign w:val="bottom"/>
          </w:tcPr>
          <w:p>
            <w:pPr>
              <w:spacing w:after="0"/>
              <w:rPr>
                <w:sz w:val="1"/>
                <w:szCs w:val="1"/>
                <w:color w:val="auto"/>
              </w:rPr>
            </w:pPr>
          </w:p>
        </w:tc>
      </w:tr>
      <w:tr>
        <w:trPr>
          <w:trHeight w:val="79"/>
        </w:trPr>
        <w:tc>
          <w:tcPr>
            <w:tcW w:w="4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856,356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675,366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562,491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584,873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408,488</w:t>
            </w:r>
          </w:p>
        </w:tc>
        <w:tc>
          <w:tcPr>
            <w:tcW w:w="0" w:type="dxa"/>
            <w:vAlign w:val="bottom"/>
          </w:tcPr>
          <w:p>
            <w:pPr>
              <w:spacing w:after="0"/>
              <w:rPr>
                <w:sz w:val="1"/>
                <w:szCs w:val="1"/>
                <w:color w:val="auto"/>
              </w:rPr>
            </w:pPr>
          </w:p>
        </w:tc>
      </w:tr>
      <w:tr>
        <w:trPr>
          <w:trHeight w:val="67"/>
        </w:trPr>
        <w:tc>
          <w:tcPr>
            <w:tcW w:w="4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640"/>
        <w:spacing w:after="0" w:line="273" w:lineRule="auto"/>
        <w:rPr>
          <w:sz w:val="20"/>
          <w:szCs w:val="20"/>
          <w:color w:val="auto"/>
        </w:rPr>
      </w:pPr>
      <w:r>
        <w:rPr>
          <w:rFonts w:ascii="Arial" w:cs="Arial" w:eastAsia="Arial" w:hAnsi="Arial"/>
          <w:sz w:val="14"/>
          <w:szCs w:val="14"/>
          <w:color w:val="auto"/>
        </w:rPr>
        <w:t xml:space="preserve">On April 1, 2019 (fiscal 2020), we adopted Accounting Standard Codification (ASC) No.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(Topic 842), using the modified retrospective transition approach and, as a result, comparative information for the prior fiscal years have not been retrospectively adjusted.</w:t>
      </w:r>
    </w:p>
    <w:p>
      <w:pPr>
        <w:spacing w:after="0" w:line="120" w:lineRule="exact"/>
        <w:rPr>
          <w:sz w:val="20"/>
          <w:szCs w:val="20"/>
          <w:color w:val="auto"/>
        </w:rPr>
      </w:pPr>
    </w:p>
    <w:p>
      <w:pPr>
        <w:ind w:left="60" w:right="100"/>
        <w:spacing w:after="0" w:line="252" w:lineRule="auto"/>
        <w:rPr>
          <w:sz w:val="20"/>
          <w:szCs w:val="20"/>
          <w:color w:val="auto"/>
        </w:rPr>
      </w:pPr>
      <w:r>
        <w:rPr>
          <w:rFonts w:ascii="Arial" w:cs="Arial" w:eastAsia="Arial" w:hAnsi="Arial"/>
          <w:sz w:val="14"/>
          <w:szCs w:val="14"/>
          <w:color w:val="auto"/>
        </w:rPr>
        <w:t xml:space="preserve">On April 1, 2018 (fiscal 2019), the Company adopted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using the full retrospective transition method and adopted retrospectively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Fiscal 2019, fiscal 2018 and fiscal 2017 results reflect the impact of the adoption of the two standards. fiscal 2016 has not been restated for the adoption of Topic 606 and ASU 2017-07, in accordance with the standard, and is therefore not comparable to the results from fiscal 2020, fiscal 2019, fiscal 2018 and fiscal 2017.</w:t>
      </w:r>
    </w:p>
    <w:p>
      <w:pPr>
        <w:spacing w:after="0" w:line="134" w:lineRule="exact"/>
        <w:rPr>
          <w:sz w:val="20"/>
          <w:szCs w:val="20"/>
          <w:color w:val="auto"/>
        </w:rPr>
      </w:pPr>
    </w:p>
    <w:p>
      <w:pPr>
        <w:ind w:left="460" w:right="120" w:hanging="331"/>
        <w:spacing w:after="0" w:line="249"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Basic earnings per share for the Company has been computed using the weighted average number of shares of Class A Common Stock outstanding during the period. The Company’s diluted earnings per share has been computed using the weighted average number of shares of Class A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746" w:right="339" w:bottom="1440" w:gutter="0" w:footer="0" w:header="0"/>
          <w:type w:val="continuous"/>
        </w:sectPr>
      </w:pPr>
    </w:p>
    <w:bookmarkStart w:id="45" w:name="page46"/>
    <w:bookmarkEnd w:id="45"/>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30"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27,200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3"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aerospace, financial services, health and life sciences, energy, and transportation. Our international clients are primarily in Europe, the Middle East and Southeast Asia.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66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Effective April 1, 2019, the Company adopted Accounting Standard Codification (ASC) No. 842 Leases (Topic 842), using the modified retrospective transition approach and, as a result, comparative information for the prior fiscal years have not been retrospectively adjusted. See Note 2 to our accompanying consolidated financial statements for more information on the impact of the adoption of this accounting standard.</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During fiscal 2020, the Company generated its highest annual revenue since its initial public offering and reported increases in headcount and backlog for the year. Revenue increased 11.3% from fiscal 2019 to fiscal 2020 primarily driven by sustained client demand and increased client staff headcount to meet that demand. Revenue also benefited from higher billable expenses as compared to the prior year.</w:t>
      </w:r>
    </w:p>
    <w:p>
      <w:pPr>
        <w:spacing w:after="0" w:line="11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Operating income increased 11.1% to $669.2 million in fiscal 2020 from $602.4 million in fiscal 2019, while operating margin was 9.0% in both years. The increase in operating income was primarily driven by the same factors driving revenue growth as well as strong contract performance. These increases in operating income were partially offset by approximately $10.0 million in COVID-19 related expenses, including transitional costs, temporary reductions in billability during the month of March of fiscal 2020, and charges related to certain contracts involving a ready workforce that we believe we may not be able to recover. During fiscal 2019 the Company also benefited from an $11.2 million reduction in expense as a result of an amendment and associated revaluation of our long term disability plan liability. The Company also incurred incremental legal costs during fiscal 2019 and 2020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140"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We are monitoring the evolving situation related to the COVID-19 outbreak and we continue to work with our stakeholders to assess further possible implications to our business and to take actions in an effort to mitigate adverse consequences. To protect employee health and safety while COVID-19 remains a threat, we plan to continue to deliver a majority of our services to clients via telework for the foreseeable future. In cases where telework options or effectiveness are limited, we are working closely with clients to achieve safe return plans guided by federal, state and local policies and advice from other experts. We are also working closely with our clients, where classified work is concentrated, to retain continuity of service and ensure a ready workforce. We expect to continue to be impacted by the inability of certain employees to perform their contract requirements at their designated work locations due to facility closures or restrictions as a result of COVID-19 and cannot perform such work remotely. While the CARES Act contains a provision that allows federal contractors to seek specified reimbursement for certain employees who are unable to perform their contract requirements due to government restrictions, such provision does not require the government to reimburse a contractor and reimbursements are also subject to limitations and do not extend past September 30, 2020. As a result, we believe that some of our costs for certain employees who are unable to perform their contract requirements due to government restrictions will not be reimbursed and we expect that approximately $6 million per month for the fee on certain contracts involving a ready workforce may not be reimbursed or may exceed reimbursements in the near term. Although we cannot currently predict the overall impact of the COVID-19 outbreak, the longer the duration of the event, the more likely it is that it could have an adverse effect on our business, financial position, results of operations and/or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82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5" w:lineRule="exact"/>
        <w:rPr>
          <w:sz w:val="20"/>
          <w:szCs w:val="20"/>
          <w:color w:val="auto"/>
        </w:rPr>
      </w:pPr>
    </w:p>
    <w:p>
      <w:pPr>
        <w:ind w:left="1300" w:hanging="644"/>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20" w:hanging="644"/>
        <w:spacing w:after="0" w:line="279"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"Adjusted Operating Income" represents operating income before transaction costs, fees, losses, and expenses, including fees associated with debt prepayments and supplemental employee benefits due to the COVID-19 outbreak.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63" w:lineRule="exact"/>
        <w:rPr>
          <w:rFonts w:ascii="Arial" w:cs="Arial" w:eastAsia="Arial" w:hAnsi="Arial"/>
          <w:sz w:val="17"/>
          <w:szCs w:val="17"/>
          <w:color w:val="auto"/>
        </w:rPr>
      </w:pPr>
    </w:p>
    <w:p>
      <w:pPr>
        <w:ind w:left="1300" w:right="60" w:hanging="644"/>
        <w:spacing w:after="0" w:line="271"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and supplemental employee benefits due to the COVID-19 outbreak.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70" w:lineRule="exact"/>
        <w:rPr>
          <w:rFonts w:ascii="Arial" w:cs="Arial" w:eastAsia="Arial" w:hAnsi="Arial"/>
          <w:sz w:val="17"/>
          <w:szCs w:val="17"/>
          <w:color w:val="auto"/>
        </w:rPr>
      </w:pPr>
    </w:p>
    <w:p>
      <w:pPr>
        <w:ind w:left="1300" w:right="60" w:hanging="644"/>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transaction costs, fees, losses, and expenses, including fees associated with debt prepayments, (ii) supplemental employee benefits due to the COVID-19 outbreak, (iii) tax credits, net of reserves for uncertain tax positions, (iv) amortization or write-off of debt issuance costs and write-off of original issue discount, (v) release of income tax reserves, and (vi) 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823" w:right="359" w:bottom="1440" w:gutter="0" w:footer="0" w:header="0"/>
        </w:sectPr>
      </w:pPr>
    </w:p>
    <w:bookmarkStart w:id="48" w:name="page49"/>
    <w:bookmarkEnd w:id="48"/>
    <w:p>
      <w:pPr>
        <w:ind w:left="644"/>
        <w:spacing w:after="0" w:line="293" w:lineRule="auto"/>
        <w:rPr>
          <w:sz w:val="20"/>
          <w:szCs w:val="20"/>
          <w:color w:val="auto"/>
        </w:rPr>
      </w:pPr>
      <w:r>
        <w:rPr>
          <w:rFonts w:ascii="Arial" w:cs="Arial" w:eastAsia="Arial" w:hAnsi="Arial"/>
          <w:sz w:val="16"/>
          <w:szCs w:val="16"/>
          <w:color w:val="auto"/>
        </w:rPr>
        <w:t>measurement of deferred tax assets and liabilities as a result of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56" w:lineRule="exact"/>
        <w:rPr>
          <w:sz w:val="20"/>
          <w:szCs w:val="20"/>
          <w:color w:val="auto"/>
        </w:rPr>
      </w:pPr>
    </w:p>
    <w:p>
      <w:pPr>
        <w:jc w:val="both"/>
        <w:ind w:left="644" w:right="40" w:hanging="644"/>
        <w:spacing w:after="0" w:line="263"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75" w:lineRule="exact"/>
        <w:rPr>
          <w:rFonts w:ascii="Arial" w:cs="Arial" w:eastAsia="Arial" w:hAnsi="Arial"/>
          <w:sz w:val="18"/>
          <w:szCs w:val="18"/>
          <w:color w:val="auto"/>
        </w:rPr>
      </w:pPr>
    </w:p>
    <w:p>
      <w:pPr>
        <w:ind w:left="644" w:right="260" w:hanging="644"/>
        <w:spacing w:after="0" w:line="277"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"Free Cash Flow" represents the net cash generated from operating activities less the impact of purchases of property, equipment, and software.</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24"/>
          </w:cols>
          <w:pgMar w:left="976" w:top="773" w:right="399" w:bottom="1440" w:gutter="0" w:footer="0" w:header="0"/>
        </w:sectPr>
      </w:pPr>
    </w:p>
    <w:bookmarkStart w:id="49" w:name="page50"/>
    <w:bookmarkEnd w:id="49"/>
    <w:p>
      <w:pPr>
        <w:jc w:val="both"/>
        <w:ind w:right="200" w:firstLine="405"/>
        <w:spacing w:after="0" w:line="263"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2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1"/>
              </w:rPr>
              <w:t>Fiscal Year Ended March 31,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7,463,841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6,704,037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6,167,600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2,298,413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2,004,664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1,861,312</w:t>
            </w:r>
          </w:p>
        </w:tc>
        <w:tc>
          <w:tcPr>
            <w:tcW w:w="0" w:type="dxa"/>
            <w:vAlign w:val="bottom"/>
          </w:tcPr>
          <w:p>
            <w:pPr>
              <w:spacing w:after="0"/>
              <w:rPr>
                <w:sz w:val="1"/>
                <w:szCs w:val="1"/>
                <w:color w:val="auto"/>
              </w:rPr>
            </w:pPr>
          </w:p>
        </w:tc>
      </w:tr>
      <w:tr>
        <w:trPr>
          <w:trHeight w:val="237"/>
        </w:trPr>
        <w:tc>
          <w:tcPr>
            <w:tcW w:w="578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5,165,428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4,699,373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4,306,288</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669,202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602,394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519,723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COVID-19 supplemental employee benefits (b)</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672,993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606,054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519,723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99"/>
              </w:rPr>
              <w:t>EBITDA, Adjusted EBITDA, Adjusted EBITDA Margin on Revenue &amp;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9"/>
              </w:rPr>
              <w:t>Adjusted EBITDA Margin on Revenue, Excluding Billable Expenses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482,603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418,529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301,692</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96,831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96,874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128,344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(c)</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89,687</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81,081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68,575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64,756</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670,969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584,479</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Transaction expenses (a)</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COVID-19 supplemental employee benefits (b)</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754,074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674,629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584,479</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780" w:type="dxa"/>
            <w:vAlign w:val="bottom"/>
          </w:tcPr>
          <w:p>
            <w:pPr>
              <w:ind w:left="500"/>
              <w:spacing w:after="0"/>
              <w:rPr>
                <w:sz w:val="20"/>
                <w:szCs w:val="20"/>
                <w:color w:val="auto"/>
              </w:rPr>
            </w:pPr>
            <w:r>
              <w:rPr>
                <w:rFonts w:ascii="Arial" w:cs="Arial" w:eastAsia="Arial" w:hAnsi="Arial"/>
                <w:sz w:val="18"/>
                <w:szCs w:val="18"/>
                <w:color w:val="auto"/>
                <w:w w:val="97"/>
              </w:rPr>
              <w:t>Adjusted EBITDA Margin on Revenue, Excluding Billable Expenses</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482,603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418,529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301,692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COVID-19 supplemental employee benefits (b)</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tax credits (d)</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Release of income tax reserves (e)</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deferred tax assets/liabilities (f)</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29"/>
        </w:trPr>
        <w:tc>
          <w:tcPr>
            <w:tcW w:w="5780" w:type="dxa"/>
            <w:vAlign w:val="bottom"/>
          </w:tcPr>
          <w:p>
            <w:pPr>
              <w:ind w:left="280"/>
              <w:spacing w:after="0"/>
              <w:rPr>
                <w:sz w:val="20"/>
                <w:szCs w:val="20"/>
                <w:color w:val="auto"/>
              </w:rPr>
            </w:pPr>
            <w:r>
              <w:rPr>
                <w:rFonts w:ascii="Arial" w:cs="Arial" w:eastAsia="Arial" w:hAnsi="Arial"/>
                <w:sz w:val="18"/>
                <w:szCs w:val="18"/>
                <w:color w:val="auto"/>
                <w:w w:val="97"/>
              </w:rPr>
              <w:t>Amortization or write-off of debt issuance costs and write-off of original</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80"/>
              <w:spacing w:after="0"/>
              <w:rPr>
                <w:sz w:val="20"/>
                <w:szCs w:val="20"/>
                <w:color w:val="auto"/>
              </w:rPr>
            </w:pPr>
            <w:r>
              <w:rPr>
                <w:rFonts w:ascii="Arial" w:cs="Arial" w:eastAsia="Arial" w:hAnsi="Arial"/>
                <w:sz w:val="18"/>
                <w:szCs w:val="18"/>
                <w:color w:val="auto"/>
              </w:rPr>
              <w:t>issue discount</w:t>
            </w:r>
          </w:p>
        </w:tc>
        <w:tc>
          <w:tcPr>
            <w:tcW w:w="38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for tax effect (g)</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7"/>
        </w:trPr>
        <w:tc>
          <w:tcPr>
            <w:tcW w:w="5780" w:type="dxa"/>
            <w:vAlign w:val="bottom"/>
          </w:tcPr>
          <w:p>
            <w:pPr>
              <w:ind w:left="500"/>
              <w:spacing w:after="0"/>
              <w:rPr>
                <w:sz w:val="20"/>
                <w:szCs w:val="20"/>
                <w:color w:val="auto"/>
              </w:rPr>
            </w:pPr>
            <w:r>
              <w:rPr>
                <w:rFonts w:ascii="Arial" w:cs="Arial" w:eastAsia="Arial" w:hAnsi="Arial"/>
                <w:sz w:val="18"/>
                <w:szCs w:val="18"/>
                <w:color w:val="auto"/>
              </w:rPr>
              <w:t>Adjusted Net Income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448,718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395,028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294,271</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38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141,238,135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143,156,176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147,750,022</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Net Income Per Diluted Share (h)</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499,610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369,143</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(128,079)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(94,681)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(78,437)</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423,349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404,929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290,706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65" w:right="35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320" w:top="665" w:right="359" w:bottom="1440" w:gutter="0" w:footer="0" w:header="0"/>
          <w:type w:val="continuous"/>
        </w:sectPr>
      </w:pPr>
    </w:p>
    <w:bookmarkStart w:id="50" w:name="page51"/>
    <w:bookmarkEnd w:id="50"/>
    <w:p>
      <w:pPr>
        <w:ind w:left="660" w:right="8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2020 and fiscal 2019 reflect debt refinancing costs incurred in connection with the refinancing transactions consummated on November 26, 2019 and July 23, 2018, respectively.</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supplemental contribution to employees' dependent care FSA accounts in response to the COVID-19 outbreak.</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combination of Interest expense and Other income (expense), net from the consolidated statement of operations.</w:t>
      </w:r>
    </w:p>
    <w:p>
      <w:pPr>
        <w:spacing w:after="0" w:line="63"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tax credits, net of reserves for uncertain tax positions, recognized in fiscal 2020 related to an increase in research and development credits available for fiscal years 2016 to 2020.</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63"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adjustments made to the provisional income tax benefit associated with the re-measurement of the Company's deferred tax assets and liabilities as a result of the 2017 Tax Act.</w:t>
      </w:r>
    </w:p>
    <w:p>
      <w:pPr>
        <w:spacing w:after="0" w:line="8" w:lineRule="exact"/>
        <w:rPr>
          <w:rFonts w:ascii="Arial" w:cs="Arial" w:eastAsia="Arial" w:hAnsi="Arial"/>
          <w:sz w:val="18"/>
          <w:szCs w:val="18"/>
          <w:color w:val="auto"/>
        </w:rPr>
      </w:pPr>
    </w:p>
    <w:p>
      <w:pPr>
        <w:ind w:left="660" w:hanging="652"/>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the enactment of the 2017 Tax Act, the fiscal 2018 adjustment is reflected using assumed effective tax rate of 36.5%, whereas fiscal 2019 and 2020 adjustments are reflected using an effective tax rate of 26%. These rates approximate the blended federal and state tax rates for fiscal 2018, 2019 and 2020, respectively, and consistently exclude the impact of other tax credits and incentive benefits realized.</w:t>
      </w:r>
    </w:p>
    <w:p>
      <w:pPr>
        <w:spacing w:after="0" w:line="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an adjustment of approximately $1.6 million, $1.8 million, and $1.9 million of net earnings for fiscal 2020, 2019, and 2018, respectively, associated with the application of the two-class method for computing diluted earnings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40" w:hanging="644"/>
        <w:spacing w:after="0" w:line="293"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56" w:lineRule="exact"/>
        <w:rPr>
          <w:rFonts w:ascii="Arial" w:cs="Arial" w:eastAsia="Arial" w:hAnsi="Arial"/>
          <w:sz w:val="16"/>
          <w:szCs w:val="16"/>
          <w:color w:val="auto"/>
        </w:rPr>
      </w:pPr>
    </w:p>
    <w:p>
      <w:pPr>
        <w:ind w:left="1300" w:right="460" w:hanging="644"/>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8" w:lineRule="exact"/>
        <w:rPr>
          <w:rFonts w:ascii="Arial" w:cs="Arial" w:eastAsia="Arial" w:hAnsi="Arial"/>
          <w:sz w:val="17"/>
          <w:szCs w:val="17"/>
          <w:color w:val="auto"/>
        </w:rPr>
      </w:pPr>
    </w:p>
    <w:p>
      <w:pPr>
        <w:ind w:left="1300" w:right="140" w:hanging="644"/>
        <w:spacing w:after="0" w:line="289"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151" w:right="339" w:bottom="1440" w:gutter="0" w:footer="0" w:header="0"/>
        </w:sectPr>
      </w:pPr>
    </w:p>
    <w:bookmarkStart w:id="51" w:name="page52"/>
    <w:bookmarkEnd w:id="51"/>
    <w:p>
      <w:pPr>
        <w:ind w:left="1300" w:right="240" w:hanging="644"/>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8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extent, nature and effect of the COVID-19 outbreak, including the impact on federal budgets, current and pending procurements, supply chains, demand for services, deployment and productivity of our employees and the economic and societal impact of a pandemic;</w:t>
      </w:r>
    </w:p>
    <w:p>
      <w:pPr>
        <w:spacing w:after="0" w:line="15"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75" w:lineRule="exact"/>
        <w:rPr>
          <w:rFonts w:ascii="Arial" w:cs="Arial" w:eastAsia="Arial" w:hAnsi="Arial"/>
          <w:sz w:val="18"/>
          <w:szCs w:val="18"/>
          <w:color w:val="auto"/>
        </w:rPr>
      </w:pPr>
    </w:p>
    <w:p>
      <w:pPr>
        <w:ind w:left="1300" w:right="20" w:hanging="644"/>
        <w:spacing w:after="0" w:line="311"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cost-cutting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40" w:lineRule="exact"/>
        <w:rPr>
          <w:rFonts w:ascii="Arial" w:cs="Arial" w:eastAsia="Arial" w:hAnsi="Arial"/>
          <w:sz w:val="16"/>
          <w:szCs w:val="16"/>
          <w:color w:val="auto"/>
        </w:rPr>
      </w:pPr>
    </w:p>
    <w:p>
      <w:pPr>
        <w:ind w:left="1300" w:right="36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6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5" w:lineRule="exact"/>
        <w:rPr>
          <w:rFonts w:ascii="Arial" w:cs="Arial" w:eastAsia="Arial" w:hAnsi="Arial"/>
          <w:sz w:val="18"/>
          <w:szCs w:val="18"/>
          <w:color w:val="auto"/>
        </w:rPr>
      </w:pPr>
    </w:p>
    <w:p>
      <w:pPr>
        <w:jc w:val="both"/>
        <w:ind w:left="1300" w:right="40" w:hanging="644"/>
        <w:spacing w:after="0" w:line="263"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773" w:right="3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t>the Bipartisan Budget Act of 2015, and the Bipartisan Act of 2018, and the Bipartisan Act of 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fiscal 2020, and $81 billion for fiscal 2021. For non-defense funding, the Bipartisan Budget Act of 2019 raised BCA spending caps by $78 billion for fiscal 2020 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6"/>
        <w:spacing w:after="0" w:line="289" w:lineRule="auto"/>
        <w:tabs>
          <w:tab w:leader="none" w:pos="196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8" w:lineRule="exact"/>
        <w:rPr>
          <w:rFonts w:ascii="Arial" w:cs="Arial" w:eastAsia="Arial" w:hAnsi="Arial"/>
          <w:sz w:val="16"/>
          <w:szCs w:val="16"/>
          <w:i w:val="1"/>
          <w:iCs w:val="1"/>
          <w:color w:val="auto"/>
        </w:rPr>
      </w:pPr>
    </w:p>
    <w:p>
      <w:pPr>
        <w:ind w:left="1960" w:right="40" w:hanging="656"/>
        <w:spacing w:after="0" w:line="255" w:lineRule="auto"/>
        <w:tabs>
          <w:tab w:leader="none" w:pos="1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4" w:lineRule="exact"/>
        <w:rPr>
          <w:rFonts w:ascii="Arial" w:cs="Arial" w:eastAsia="Arial" w:hAnsi="Arial"/>
          <w:sz w:val="18"/>
          <w:szCs w:val="18"/>
          <w:i w:val="1"/>
          <w:iCs w:val="1"/>
          <w:color w:val="auto"/>
        </w:rPr>
      </w:pPr>
    </w:p>
    <w:p>
      <w:pPr>
        <w:ind w:left="1960" w:right="40" w:hanging="656"/>
        <w:spacing w:after="0" w:line="255" w:lineRule="auto"/>
        <w:tabs>
          <w:tab w:leader="none" w:pos="1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73" w:right="3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2018</w:t>
            </w:r>
          </w:p>
        </w:tc>
      </w:tr>
      <w:tr>
        <w:trPr>
          <w:trHeight w:val="24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120" w:type="dxa"/>
            <w:vAlign w:val="bottom"/>
            <w:tcBorders>
              <w:bottom w:val="single" w:sz="8" w:color="CCEEFF"/>
            </w:tcBorders>
            <w:shd w:val="clear" w:color="auto" w:fill="CCEEFF"/>
          </w:tcPr>
          <w:p>
            <w:pPr>
              <w:jc w:val="center"/>
              <w:ind w:left="235"/>
              <w:spacing w:after="0"/>
              <w:rPr>
                <w:sz w:val="20"/>
                <w:szCs w:val="20"/>
                <w:color w:val="auto"/>
              </w:rPr>
            </w:pPr>
            <w:r>
              <w:rPr>
                <w:rFonts w:ascii="Arial" w:cs="Arial" w:eastAsia="Arial" w:hAnsi="Arial"/>
                <w:sz w:val="18"/>
                <w:szCs w:val="18"/>
                <w:color w:val="auto"/>
                <w:w w:val="88"/>
              </w:rPr>
              <w:t>57%</w:t>
            </w:r>
          </w:p>
        </w:tc>
        <w:tc>
          <w:tcPr>
            <w:tcW w:w="1860" w:type="dxa"/>
            <w:vAlign w:val="bottom"/>
            <w:tcBorders>
              <w:bottom w:val="single" w:sz="8" w:color="CCEEFF"/>
            </w:tcBorders>
            <w:gridSpan w:val="3"/>
            <w:shd w:val="clear" w:color="auto" w:fill="CCEEFF"/>
          </w:tcPr>
          <w:p>
            <w:pPr>
              <w:jc w:val="center"/>
              <w:ind w:left="355"/>
              <w:spacing w:after="0"/>
              <w:rPr>
                <w:sz w:val="20"/>
                <w:szCs w:val="20"/>
                <w:color w:val="auto"/>
              </w:rPr>
            </w:pPr>
            <w:r>
              <w:rPr>
                <w:rFonts w:ascii="Arial" w:cs="Arial" w:eastAsia="Arial" w:hAnsi="Arial"/>
                <w:sz w:val="18"/>
                <w:szCs w:val="18"/>
                <w:color w:val="auto"/>
                <w:w w:val="94"/>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4"/>
              </w:rPr>
              <w:t>51%</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20" w:type="dxa"/>
            <w:vAlign w:val="bottom"/>
          </w:tcPr>
          <w:p>
            <w:pPr>
              <w:jc w:val="center"/>
              <w:ind w:left="235"/>
              <w:spacing w:after="0"/>
              <w:rPr>
                <w:sz w:val="20"/>
                <w:szCs w:val="20"/>
                <w:color w:val="auto"/>
              </w:rPr>
            </w:pPr>
            <w:r>
              <w:rPr>
                <w:rFonts w:ascii="Arial" w:cs="Arial" w:eastAsia="Arial" w:hAnsi="Arial"/>
                <w:sz w:val="18"/>
                <w:szCs w:val="18"/>
                <w:color w:val="auto"/>
                <w:w w:val="88"/>
              </w:rPr>
              <w:t>23%</w:t>
            </w:r>
          </w:p>
        </w:tc>
        <w:tc>
          <w:tcPr>
            <w:tcW w:w="1860" w:type="dxa"/>
            <w:vAlign w:val="bottom"/>
            <w:gridSpan w:val="3"/>
          </w:tcPr>
          <w:p>
            <w:pPr>
              <w:jc w:val="center"/>
              <w:ind w:left="355"/>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center"/>
              <w:ind w:right="215"/>
              <w:spacing w:after="0"/>
              <w:rPr>
                <w:sz w:val="20"/>
                <w:szCs w:val="20"/>
                <w:color w:val="auto"/>
              </w:rPr>
            </w:pPr>
            <w:r>
              <w:rPr>
                <w:rFonts w:ascii="Arial" w:cs="Arial" w:eastAsia="Arial" w:hAnsi="Arial"/>
                <w:sz w:val="18"/>
                <w:szCs w:val="18"/>
                <w:color w:val="auto"/>
                <w:w w:val="94"/>
              </w:rPr>
              <w:t>25%</w:t>
            </w:r>
          </w:p>
        </w:tc>
      </w:tr>
      <w:tr>
        <w:trPr>
          <w:trHeight w:val="27"/>
        </w:trPr>
        <w:tc>
          <w:tcPr>
            <w:tcW w:w="6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1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8"/>
              </w:rPr>
              <w:t>20%</w:t>
            </w:r>
          </w:p>
        </w:tc>
        <w:tc>
          <w:tcPr>
            <w:tcW w:w="1860" w:type="dxa"/>
            <w:vAlign w:val="bottom"/>
            <w:gridSpan w:val="3"/>
            <w:shd w:val="clear" w:color="auto" w:fill="CCEEFF"/>
          </w:tcPr>
          <w:p>
            <w:pPr>
              <w:jc w:val="center"/>
              <w:ind w:left="355"/>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5"/>
              <w:spacing w:after="0"/>
              <w:rPr>
                <w:sz w:val="20"/>
                <w:szCs w:val="20"/>
                <w:color w:val="auto"/>
              </w:rPr>
            </w:pPr>
            <w:r>
              <w:rPr>
                <w:rFonts w:ascii="Arial" w:cs="Arial" w:eastAsia="Arial" w:hAnsi="Arial"/>
                <w:sz w:val="18"/>
                <w:szCs w:val="18"/>
                <w:color w:val="auto"/>
                <w:w w:val="94"/>
              </w:rPr>
              <w:t>24%</w:t>
            </w:r>
          </w:p>
        </w:tc>
      </w:tr>
      <w:tr>
        <w:trPr>
          <w:trHeight w:val="27"/>
        </w:trPr>
        <w:tc>
          <w:tcPr>
            <w:tcW w:w="6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left="60" w:right="540"/>
        <w:spacing w:after="0" w:line="277" w:lineRule="auto"/>
        <w:rPr>
          <w:sz w:val="20"/>
          <w:szCs w:val="20"/>
          <w:color w:val="auto"/>
        </w:rPr>
      </w:pPr>
      <w:r>
        <w:rPr>
          <w:rFonts w:ascii="Arial" w:cs="Arial" w:eastAsia="Arial" w:hAnsi="Arial"/>
          <w:sz w:val="18"/>
          <w:szCs w:val="18"/>
          <w:i w:val="1"/>
          <w:iCs w:val="1"/>
          <w:color w:val="auto"/>
        </w:rPr>
        <w:t>Note: Upon the adoption of Topic 606 in fiscal 2019, the contract type descriptions noted above have been aligned to the Revenue by Contract Type descriptions found in Note 3 to our accompanying consolidated financial statements.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2.3% of our revenue in fiscal 2020. No single definite contract accounted for more than 2.9% of our revenue in fiscal 2020.</w:t>
      </w:r>
    </w:p>
    <w:p>
      <w:pPr>
        <w:spacing w:after="0" w:line="6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2020, 2019, and 2018, 92%, 92%, and 91%, respectively, of our revenue was generated by contracts and task orders for which we served as a prime contractor; 8%, 8%, and 9%, respectively, of our revenue was generated by contracts and task orders for which we served as a subcontractor; and approximately 24%, 24%, and 25%,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2020, 2019, and 2018, we employed approximately 27,200, 26,100, and 24,600 people, respectively, of which approximately 24,200, 23,400, and 22,100, respectively, were consulting staff.</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58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773" w:right="3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23495</wp:posOffset>
            </wp:positionV>
            <wp:extent cx="2991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190"/>
        </w:trPr>
        <w:tc>
          <w:tcPr>
            <w:tcW w:w="5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5"/>
        </w:trPr>
        <w:tc>
          <w:tcPr>
            <w:tcW w:w="5980" w:type="dxa"/>
            <w:vAlign w:val="bottom"/>
          </w:tcPr>
          <w:p>
            <w:pPr>
              <w:ind w:left="20"/>
              <w:spacing w:after="0"/>
              <w:rPr>
                <w:sz w:val="20"/>
                <w:szCs w:val="20"/>
                <w:color w:val="auto"/>
              </w:rPr>
            </w:pPr>
            <w:r>
              <w:rPr>
                <w:rFonts w:ascii="Arial" w:cs="Arial" w:eastAsia="Arial" w:hAnsi="Arial"/>
                <w:sz w:val="18"/>
                <w:szCs w:val="18"/>
                <w:color w:val="auto"/>
              </w:rPr>
              <w:t>Backlog:</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2,685</w:t>
            </w: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color w:val="auto"/>
              </w:rPr>
              <w:t>Unfunded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4,161</w:t>
            </w:r>
          </w:p>
        </w:tc>
      </w:tr>
      <w:tr>
        <w:trPr>
          <w:trHeight w:val="27"/>
        </w:trPr>
        <w:tc>
          <w:tcPr>
            <w:tcW w:w="5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12,796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9,174</w:t>
            </w:r>
          </w:p>
        </w:tc>
      </w:tr>
      <w:tr>
        <w:trPr>
          <w:trHeight w:val="237"/>
        </w:trPr>
        <w:tc>
          <w:tcPr>
            <w:tcW w:w="598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20,729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16,020</w:t>
            </w:r>
          </w:p>
        </w:tc>
      </w:tr>
      <w:tr>
        <w:trPr>
          <w:trHeight w:val="27"/>
        </w:trPr>
        <w:tc>
          <w:tcPr>
            <w:tcW w:w="5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total backlog consists of remaining performance obligations, certain orders under contracts for which the period of performance has expired, and unexercised option period and other unexercised optional orders. As of March 31, 2020 and March 31, 2019, the Company had $6.3 billion and $5.8 billion of remaining performance obligations, respectively and we expect to recognize more than half of the remaining performance obligations as of March 31, 2020 as revenue over the next 12 months, and approximately three quarters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7.3% from March 31, 2019 to March 31, 2020 and increased by 20.6% from March 31, 2018 to March 31, 2019. Additions to funded backlog during fiscal 2020 and 2019 both totaled $7.4 billion. We report internally on our backlog on a monthly basis and review backlog upon occurrence of certain events to determine if any adjustments are necessary.</w:t>
      </w:r>
    </w:p>
    <w:p>
      <w:pPr>
        <w:spacing w:after="0" w:line="8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5.2% of total backlog as of March 31, 2020 and any of the four preceding fiscal quarters.</w:t>
      </w:r>
    </w:p>
    <w:p>
      <w:pPr>
        <w:spacing w:after="0" w:line="68"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We expect to recognize revenue from a substantial portion of funded backlog as of March 31, 2020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773" w:right="35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jc w:val="both"/>
        <w:ind w:right="60" w:firstLine="405"/>
        <w:spacing w:after="0" w:line="311"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38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680" w:hanging="644"/>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administrative functions, marketing and bid and proposal costs, and other discretionary spending.</w:t>
      </w:r>
    </w:p>
    <w:p>
      <w:pPr>
        <w:spacing w:after="0" w:line="15" w:lineRule="exact"/>
        <w:rPr>
          <w:rFonts w:ascii="Arial" w:cs="Arial" w:eastAsia="Arial" w:hAnsi="Arial"/>
          <w:sz w:val="16"/>
          <w:szCs w:val="16"/>
          <w:color w:val="auto"/>
        </w:rPr>
      </w:pPr>
    </w:p>
    <w:p>
      <w:pPr>
        <w:ind w:left="1300" w:hanging="644"/>
        <w:spacing w:after="0" w:line="263"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6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17"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 contracts, and fixed-price contracts.</w:t>
      </w:r>
    </w:p>
    <w:p>
      <w:pPr>
        <w:spacing w:after="0" w:line="7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773" w:right="359" w:bottom="1440" w:gutter="0" w:footer="0" w:header="0"/>
        </w:sectPr>
      </w:pPr>
    </w:p>
    <w:bookmarkStart w:id="56" w:name="page57"/>
    <w:bookmarkEnd w:id="56"/>
    <w:p>
      <w:pPr>
        <w:ind w:right="80"/>
        <w:spacing w:after="0" w:line="259" w:lineRule="auto"/>
        <w:rPr>
          <w:sz w:val="20"/>
          <w:szCs w:val="20"/>
          <w:color w:val="auto"/>
        </w:rPr>
      </w:pPr>
      <w:r>
        <w:rPr>
          <w:rFonts w:ascii="Arial" w:cs="Arial" w:eastAsia="Arial" w:hAnsi="Arial"/>
          <w:sz w:val="18"/>
          <w:szCs w:val="18"/>
          <w:color w:val="auto"/>
        </w:rPr>
        <w:t>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79"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Contracts with the U.S. government are subject to the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 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6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We generally include both funded and unfunded portions of customer contracts in this estimation process.</w:t>
      </w:r>
    </w:p>
    <w:p>
      <w:pPr>
        <w:spacing w:after="0" w:line="7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 relates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73" w:right="339" w:bottom="1440" w:gutter="0" w:footer="0" w:header="0"/>
        </w:sectPr>
      </w:pPr>
    </w:p>
    <w:bookmarkStart w:id="57" w:name="page58"/>
    <w:bookmarkEnd w:id="57"/>
    <w:p>
      <w:pPr>
        <w:ind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2019, 2018 and 2017, the aggregate impact of adjustments in contract estimates was not material.</w:t>
      </w:r>
    </w:p>
    <w:p>
      <w:pPr>
        <w:spacing w:after="0" w:line="57"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 We do not consider goodwill, trade name, or any other amortizable intangible assets at risk of impairment.</w:t>
      </w:r>
    </w:p>
    <w:p>
      <w:pPr>
        <w:spacing w:after="0" w:line="70"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6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During the fiscal years ended March 31, 2020, March 31, 2019, and March 31, 2018, the Company did not record any impairment of goodwill and intangible assets.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773" w:right="359" w:bottom="1440" w:gutter="0" w:footer="0" w:header="0"/>
        </w:sectPr>
      </w:pPr>
    </w:p>
    <w:bookmarkStart w:id="58" w:name="page59"/>
    <w:bookmarkEnd w:id="58"/>
    <w:p>
      <w:pPr>
        <w:ind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84"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6"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2020 and 2019 and the Company’s results of operations for fiscal 2020, fiscal 2019, and fiscal 2018.</w:t>
      </w:r>
    </w:p>
    <w:p>
      <w:pPr>
        <w:spacing w:after="0" w:line="76"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 xml:space="preserve">Effective April 1, 2019, the Company adopted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using the modified retrospective transition approach and, as a result, comparative information for the prior fiscal years have not been retrospectively adjusted.</w:t>
      </w:r>
    </w:p>
    <w:p>
      <w:pPr>
        <w:spacing w:after="0" w:line="9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Certain amounts reported in the Company's prior year consolidated financial statements have been reclassified to conform to the current year presentation.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773"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consolidated statements of operations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gridSpan w:val="6"/>
          </w:tcPr>
          <w:p>
            <w:pPr>
              <w:jc w:val="center"/>
              <w:ind w:right="128"/>
              <w:spacing w:after="0"/>
              <w:rPr>
                <w:sz w:val="20"/>
                <w:szCs w:val="20"/>
                <w:color w:val="auto"/>
              </w:rPr>
            </w:pPr>
            <w:r>
              <w:rPr>
                <w:rFonts w:ascii="Arial" w:cs="Arial" w:eastAsia="Arial" w:hAnsi="Arial"/>
                <w:sz w:val="14"/>
                <w:szCs w:val="14"/>
                <w:b w:val="1"/>
                <w:bCs w:val="1"/>
                <w:color w:val="auto"/>
                <w:w w:val="94"/>
              </w:rPr>
              <w:t>Fiscal Year Ended March 31,</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Fiscal 2020</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2019</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Versus</w:t>
            </w: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5"/>
              </w:rPr>
              <w:t>Versus</w:t>
            </w:r>
          </w:p>
        </w:tc>
        <w:tc>
          <w:tcPr>
            <w:tcW w:w="0" w:type="dxa"/>
            <w:vAlign w:val="bottom"/>
          </w:tcPr>
          <w:p>
            <w:pPr>
              <w:spacing w:after="0"/>
              <w:rPr>
                <w:sz w:val="1"/>
                <w:szCs w:val="1"/>
                <w:color w:val="auto"/>
              </w:rPr>
            </w:pPr>
          </w:p>
        </w:tc>
      </w:tr>
      <w:tr>
        <w:trPr>
          <w:trHeight w:val="65"/>
        </w:trPr>
        <w:tc>
          <w:tcPr>
            <w:tcW w:w="3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Fiscal 2019</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2018</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7,463,841</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6,704,037</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6,167,600</w:t>
            </w:r>
          </w:p>
        </w:tc>
        <w:tc>
          <w:tcPr>
            <w:tcW w:w="1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79"/>
        </w:trPr>
        <w:tc>
          <w:tcPr>
            <w:tcW w:w="39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380" w:type="dxa"/>
            <w:vAlign w:val="bottom"/>
            <w:gridSpan w:val="3"/>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Operating costs and expenses: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3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3,379,180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3,100,466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2,866,268</w:t>
            </w:r>
          </w:p>
        </w:tc>
        <w:tc>
          <w:tcPr>
            <w:tcW w:w="1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79"/>
        </w:trPr>
        <w:tc>
          <w:tcPr>
            <w:tcW w:w="3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2,298,413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2,004,664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1,861,312</w:t>
            </w:r>
          </w:p>
        </w:tc>
        <w:tc>
          <w:tcPr>
            <w:tcW w:w="10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14.7 %</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73"/>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1,035,965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927,938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855,541</w:t>
            </w:r>
          </w:p>
        </w:tc>
        <w:tc>
          <w:tcPr>
            <w:tcW w:w="1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81,081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68,575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64,756</w:t>
            </w:r>
          </w:p>
        </w:tc>
        <w:tc>
          <w:tcPr>
            <w:tcW w:w="10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18.2 %</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73"/>
        </w:trPr>
        <w:tc>
          <w:tcPr>
            <w:tcW w:w="39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costs and expenses</w:t>
            </w: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6,794,639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6,101,643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5,647,877</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9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669,202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602,394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519,723</w:t>
            </w: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0" w:type="dxa"/>
            <w:vAlign w:val="bottom"/>
          </w:tcPr>
          <w:p>
            <w:pPr>
              <w:spacing w:after="0"/>
              <w:rPr>
                <w:sz w:val="1"/>
                <w:szCs w:val="1"/>
                <w:color w:val="auto"/>
              </w:rPr>
            </w:pPr>
          </w:p>
        </w:tc>
      </w:tr>
      <w:tr>
        <w:trPr>
          <w:trHeight w:val="73"/>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(96,960)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(82,269)</w:t>
            </w:r>
          </w:p>
        </w:tc>
        <w:tc>
          <w:tcPr>
            <w:tcW w:w="10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16"/>
                <w:szCs w:val="16"/>
                <w:color w:val="auto"/>
              </w:rPr>
            </w:pPr>
          </w:p>
        </w:tc>
        <w:tc>
          <w:tcPr>
            <w:tcW w:w="1520" w:type="dxa"/>
            <w:vAlign w:val="bottom"/>
            <w:gridSpan w:val="2"/>
            <w:vMerge w:val="restart"/>
          </w:tcPr>
          <w:p>
            <w:pPr>
              <w:ind w:left="1000"/>
              <w:spacing w:after="0"/>
              <w:rPr>
                <w:sz w:val="20"/>
                <w:szCs w:val="20"/>
                <w:color w:val="auto"/>
              </w:rPr>
            </w:pPr>
            <w:r>
              <w:rPr>
                <w:rFonts w:ascii="Arial" w:cs="Arial" w:eastAsia="Arial" w:hAnsi="Arial"/>
                <w:sz w:val="14"/>
                <w:szCs w:val="14"/>
                <w:color w:val="auto"/>
              </w:rPr>
              <w:t>NM</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73"/>
        </w:trPr>
        <w:tc>
          <w:tcPr>
            <w:tcW w:w="3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579,434</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515,403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430,036</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3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96,831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96,874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128,344</w:t>
            </w:r>
          </w:p>
        </w:tc>
        <w:tc>
          <w:tcPr>
            <w:tcW w:w="10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73"/>
        </w:trPr>
        <w:tc>
          <w:tcPr>
            <w:tcW w:w="39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418,529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301,692</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0" w:type="dxa"/>
            <w:vAlign w:val="bottom"/>
          </w:tcPr>
          <w:p>
            <w:pPr>
              <w:spacing w:after="0"/>
              <w:rPr>
                <w:sz w:val="1"/>
                <w:szCs w:val="1"/>
                <w:color w:val="auto"/>
              </w:rPr>
            </w:pPr>
          </w:p>
        </w:tc>
      </w:tr>
      <w:tr>
        <w:trPr>
          <w:trHeight w:val="60"/>
        </w:trPr>
        <w:tc>
          <w:tcPr>
            <w:tcW w:w="39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Compared to Fiscal 2019</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Revenue increased to $7,463.8 million from $6,704.0 million, or an 11.3% increase, primarily due to sustained client demand and increased client staff headcount to meet that demand. Revenue growth was also driven by an increase in billable expenses, including subcontractors and direct expenses on behalf of our clients.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Cost of revenue increased to $3,379.2 million from $3,100.5 million, or a 9.0% increase. This increase was primarily due to an increase in salaries and salary-related benefits of $250.4 million, and an increase in employer retirement plan contributions of $12.7 million. The increase in salaries and salary-related benefits was driven by an increase in headcount growth and annual base salary increases. Cost of revenue as a percentage of revenue was 45.3% and 46.2% in fiscal 2020 and fiscal 2019,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Billable expenses increased to $2,298.4 million from $2,004.7 million, or a 14.7% increase. The overall increase was primarily attributable to an increase in use of subcontractors in fiscal 2020 driven by client demand. In addition, contracts which require the Company to incur direct expenses on behalf of clients increased over the prior year. Billable expenses as a percentage of revenue were 30.8% and 29.9% for fiscal 2020 and fiscal 2019,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General and administrative expenses increased to $1,036.0 million from $927.9 million, or an 11.6% increase. The increase was primarily due to salaries and salary-related benefits of $52.0 million, driven by headcount growth as well as annual base salary increases. In addition, other business related expenses and professional fees increased $53.0 million. General and administrative expenses as a percentage of revenue were 13.9% and 13.8% for fiscal 2020 and fiscal 2019,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Depreciation and amortization expense increased to $81.1 million from $68.6 million, or an 18.2% increase, primarily due to increases in depreciation expense resulting from the effects of higher capital expenditures in fiscal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823" w:right="3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Interest expense increased to $97.0 million from $89.5 million, or an 8.3% increase, primarily as a result of the incremental $400 million in debt the Company incurred in April 2019 under the delayed draw facility (the "Delayed Draw Facility"). This was partially offset by a reduction in expense as a result of the repayment of the remaining Deferred Payment Obligation balance in December 2019.</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220" w:firstLine="432"/>
        <w:spacing w:after="0" w:line="296" w:lineRule="auto"/>
        <w:rPr>
          <w:sz w:val="20"/>
          <w:szCs w:val="20"/>
          <w:color w:val="auto"/>
        </w:rPr>
      </w:pPr>
      <w:r>
        <w:rPr>
          <w:rFonts w:ascii="Arial" w:cs="Arial" w:eastAsia="Arial" w:hAnsi="Arial"/>
          <w:sz w:val="16"/>
          <w:szCs w:val="16"/>
          <w:color w:val="auto"/>
        </w:rPr>
        <w:t>Income tax expense decreased to $96.8 million from $96.9 million. The effective tax rate decreased to 16.7% in fiscal 2020 from 18.8% in fiscal 2019. The decrease was primarily due to an increase of $38.4 million in available research and development credits, net of reserves for uncertain tax positions, recognized in fiscal 2020, partially offset by the re-measurement of deferred income taxes of $27.9 million in fiscal 2019. We expect our effective tax rate to increase in relation to fiscal 2020 due to the research and development credits to be recognized being limited to a single tax year. For additional information concerning the research and development credit, see Note 14 to our consolidated financial statements.</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Revenue increased to $6,704.0 million from $6,167.6 million, or an 8.7% increase, primarily due to continued strength in client demand, which led to increased client staff headcount, and an increase in client staff labor, as well as improved contract performance. Revenue growth was also driven by an increase in billable expenses, including subcontractors and direct expenses on behalf of our clients.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Cost of revenue increased to $3,100.5 million from $2,866.3 million, or an 8.2% increase. This increase was primarily due to an increase in salaries and salary-related benefits of $176.2 million, higher incentive compensation of $24.6 million, and an increase in employer retirement plan contributions of $7.2 million. The increase in salaries and salary-related benefits was driven by an increase in headcount growth and annual base salary increases. Cost of revenue as a percentage of revenue was 46.2% and 46.5% in fiscal 2019 and fiscal 2018, respectively.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Billable expenses increased to $2,004.7 million from $1,861.3 million, or a 7.7% increase. The overall increase was primarily attributable to an increase in use of subcontractors in fiscal 2019 driven by client demand. In addition, contracts which require the Company to incur direct and travel expenses on behalf of our clients increased over the prior year. Billable expenses as a percentage of revenue were 29.9% and 30.2% in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General and administrative expenses increased to $927.9 million from $855.5 million, or an 8.5% increase. The increase was primarily due to salaries and salary-related benefits of $32.0 million, driven by headcount growth as well as annual base salary increases. Incentive and stock compensation increased $14.6 million and other business expenses and professional fees increased $23.6 million. General and administrative expenses as a percentage of revenue were 13.8% and 13.9% for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Depreciation and amortization expense increased to $68.6 million from $64.8 million, or a 5.9% increase, primarily due to increases in depreciation expense resulting from the effects of higher capital expenditures in fiscal 2018.</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Interest expense increased to $89.5 million from $82.3 million, or an 8.8% increase, primarily due to an increase in 1 Month LIBOR, the benchmark interest rate under our Secured Credit Facility, which rose approximately 60 basis points during fiscal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Income tax expense decreased to $96.9 million from $128.3 million, or a 24.5% decrease. The effective tax rate decreased to 18.8% in fiscal 2019 from 29.8% in fiscal 2018, primarily due to the 2017 Tax Act's reduction of the U.S. federal corporate tax rate and the re-measurement of deferred 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March 31, 2020, our total liquidity was $1.1 billion, consisting of $741.9 million of cash and cash equivalents and $399.1 million available under the Revolving Credit Facility. During the fourth quarter of fiscal 2020, we drew $100 million 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827"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our Revolving Credit Facility as a precautionary measure to test the availability of funds during this time of uncertainty caused by the outbreak of COVID-</w:t>
      </w:r>
    </w:p>
    <w:p>
      <w:pPr>
        <w:spacing w:after="0" w:line="46" w:lineRule="exact"/>
        <w:rPr>
          <w:sz w:val="20"/>
          <w:szCs w:val="20"/>
          <w:color w:val="auto"/>
        </w:rPr>
      </w:pPr>
    </w:p>
    <w:p>
      <w:pPr>
        <w:ind w:right="80" w:firstLine="8"/>
        <w:spacing w:after="0" w:line="271" w:lineRule="auto"/>
        <w:tabs>
          <w:tab w:leader="none" w:pos="2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financial information for the periods presented:</w:t>
      </w:r>
    </w:p>
    <w:p>
      <w:pPr>
        <w:spacing w:after="0" w:line="379"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4"/>
                <w:szCs w:val="14"/>
                <w:b w:val="1"/>
                <w:bCs w:val="1"/>
                <w:color w:val="auto"/>
                <w:w w:val="94"/>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6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6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741,901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286,958</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2,185,844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1,759,761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1,818,579</w:t>
            </w:r>
          </w:p>
        </w:tc>
      </w:tr>
      <w:tr>
        <w:trPr>
          <w:trHeight w:val="27"/>
        </w:trPr>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6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551,428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499,610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369,143</w:t>
            </w:r>
          </w:p>
        </w:tc>
      </w:tr>
      <w:tr>
        <w:trPr>
          <w:trHeight w:val="27"/>
        </w:trPr>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(96,453)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(203,149)</w:t>
            </w:r>
          </w:p>
        </w:tc>
      </w:tr>
      <w:tr>
        <w:trPr>
          <w:trHeight w:val="27"/>
        </w:trPr>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increase (decrease)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457,911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69,541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8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773" w:right="359" w:bottom="1440" w:gutter="0" w:footer="0" w:header="0"/>
        </w:sectPr>
      </w:pPr>
    </w:p>
    <w:bookmarkStart w:id="62" w:name="page63"/>
    <w:bookmarkEnd w:id="62"/>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64"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$551.4 million in fiscal 2020 compared to $499.6 million in fiscal 2019, or a 10.4% increase. The improvement in operating cash flow over the prior year was primarily due to the collection of our revenue and net income growth. This was partially offset by an increase in income taxes paid in fiscal 2020 as compared to the prior year.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Net cash used in investing activities was $128.1 million in fiscal 2020 compared to $89.2 million in the prior year, or a 43.6% increase. The increase in net cash used in investing activities was primarily due to an increase in capital expenditures over the prior year primarily related to investments in our facilities and infrastructure and information technology.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Net cash provided by financing activities was $34.6 million in fiscal 2020 compared to $413.4 million of net cash used in financing activities in the prior year. The increase in net cash provided by financing activities was primarily due to the following:</w:t>
      </w:r>
    </w:p>
    <w:p>
      <w:pPr>
        <w:spacing w:after="0" w:line="170" w:lineRule="exact"/>
        <w:rPr>
          <w:sz w:val="20"/>
          <w:szCs w:val="20"/>
          <w:color w:val="auto"/>
        </w:rPr>
      </w:pPr>
    </w:p>
    <w:p>
      <w:pPr>
        <w:ind w:left="740" w:right="320" w:hanging="327"/>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proceeds in fiscal 2020 of $500.0 million from the $400.0 million draw on our Delayed Draw Facility and a $100.0 million draw on our Revolving Credit Facility.</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$70.6 million decrease in share repurchases in fiscal 2020 as compared to the prior year.</w:t>
      </w:r>
    </w:p>
    <w:p>
      <w:pPr>
        <w:spacing w:after="0" w:line="225" w:lineRule="exact"/>
        <w:rPr>
          <w:rFonts w:ascii="Arial" w:cs="Arial" w:eastAsia="Arial" w:hAnsi="Arial"/>
          <w:sz w:val="18"/>
          <w:szCs w:val="18"/>
          <w:color w:val="auto"/>
        </w:rPr>
      </w:pPr>
    </w:p>
    <w:p>
      <w:pPr>
        <w:ind w:left="740" w:right="460" w:hanging="327"/>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above was partially offset by the repayment of the remaining deferred payment obligation balance of $80.0 million and a $32.4 million increase in dividends paid compared to the prior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Company paid $1.04 in dividends per share to shareholders of record in fiscal 2020. On May 26, 2020, the Company announced a regular quarterly cash dividend in the amount of $0.31 per share. The quarterly dividend is payable on June 30, 2020 to stockholders of record on June 15, 2020.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00" w:lineRule="exact"/>
        <w:rPr>
          <w:sz w:val="20"/>
          <w:szCs w:val="20"/>
          <w:color w:val="auto"/>
        </w:rPr>
      </w:pPr>
    </w:p>
    <w:p>
      <w:pPr>
        <w:spacing w:after="0" w:line="24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4"/>
              </w:rPr>
              <w:t>Fiscal Year Ended March 31,</w:t>
            </w:r>
          </w:p>
        </w:tc>
        <w:tc>
          <w:tcPr>
            <w:tcW w:w="840" w:type="dxa"/>
            <w:vAlign w:val="bottom"/>
            <w:tcBorders>
              <w:bottom w:val="single" w:sz="8" w:color="auto"/>
            </w:tcBorders>
          </w:tcPr>
          <w:p>
            <w:pPr>
              <w:spacing w:after="0"/>
              <w:rPr>
                <w:sz w:val="16"/>
                <w:szCs w:val="16"/>
                <w:color w:val="auto"/>
              </w:rPr>
            </w:pPr>
          </w:p>
        </w:tc>
      </w:tr>
      <w:tr>
        <w:trPr>
          <w:trHeight w:val="250"/>
        </w:trPr>
        <w:tc>
          <w:tcPr>
            <w:tcW w:w="6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r>
      <w:tr>
        <w:trPr>
          <w:trHeight w:val="250"/>
        </w:trPr>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6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Recurring dividends (1)</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146,602</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color w:val="auto"/>
              </w:rPr>
              <w:t>114,234</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103,411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951</w:t>
            </w:r>
          </w:p>
        </w:tc>
      </w:tr>
      <w:tr>
        <w:trPr>
          <w:trHeight w:val="27"/>
        </w:trPr>
        <w:tc>
          <w:tcPr>
            <w:tcW w:w="696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Total distributions</w:t>
            </w: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FE4FF"/>
          </w:tcPr>
          <w:p>
            <w:pPr>
              <w:jc w:val="right"/>
              <w:ind w:right="17"/>
              <w:spacing w:after="0"/>
              <w:rPr>
                <w:sz w:val="20"/>
                <w:szCs w:val="20"/>
                <w:color w:val="auto"/>
              </w:rPr>
            </w:pPr>
            <w:r>
              <w:rPr>
                <w:rFonts w:ascii="Arial" w:cs="Arial" w:eastAsia="Arial" w:hAnsi="Arial"/>
                <w:sz w:val="18"/>
                <w:szCs w:val="18"/>
                <w:color w:val="auto"/>
              </w:rPr>
              <w:t>146,602</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ind w:right="17"/>
              <w:spacing w:after="0"/>
              <w:rPr>
                <w:sz w:val="20"/>
                <w:szCs w:val="20"/>
                <w:color w:val="auto"/>
              </w:rPr>
            </w:pPr>
            <w:r>
              <w:rPr>
                <w:rFonts w:ascii="Arial" w:cs="Arial" w:eastAsia="Arial" w:hAnsi="Arial"/>
                <w:sz w:val="18"/>
                <w:szCs w:val="18"/>
                <w:color w:val="auto"/>
              </w:rPr>
              <w:t>114,514</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8"/>
                <w:szCs w:val="18"/>
                <w:color w:val="auto"/>
              </w:rPr>
              <w:t>104,362</w:t>
            </w: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773" w:right="339" w:bottom="1440" w:gutter="0" w:footer="0" w:header="0"/>
          <w:type w:val="continuous"/>
        </w:sectPr>
      </w:pPr>
    </w:p>
    <w:bookmarkStart w:id="63" w:name="page64"/>
    <w:bookmarkEnd w:id="63"/>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represent recurring dividends that were declared and paid for during each quarter of fiscal 2020, 2019, and 2018,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December 12, 2011, the Board approved a $30.0 million share repurchase program, which was further increased by the Board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fiscal 2020 and 2019, the Company purchased 2.5 million and 5.1 million shares of the Company’s Class A Common Stock for an aggregate of $173.4 million and $239.8 million, respectively. As of March 31, 2020, the Company had approximately $484.8 million remaining under the repurchase program.</w:t>
      </w:r>
    </w:p>
    <w:p>
      <w:pPr>
        <w:spacing w:after="0" w:line="17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Any determination to pursue one or more of the above alternative uses for excess cash is subject to the discretion of the Board, and will depend upon various factors, including our results of operations, financial condition, liquidity requirements, restrictions that may be imposed by applicable law, our contracts, and our Credit Agreement, as amended, and other factors deemed relevant by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debt totaled $2,185.8 million and $1,759.8 million as of March 31, 2020 and 2019, respectively. Our debt bears interest at specified rates (see Note 11 to our consolidated financial statements).</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dated as of July 31, 2012, as amended (the “Credit Agreement”) with certain institutional lenders, and Bank of America, N.A., as Administrative and Collateral Agents. The Seventh Amendment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19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17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As of March 31, 2020, the Credit Agreement provided Booz Allen Hamilton with a $1,363.7 million Term Loan A, a $388.1 million Term Loan B, and $500.0 million in New Revolving Commitments with a sub-limit for letters of credit of $100.0 million. As of March 31, 2020, the maturity date of Term Loan A and the termination date for the Revolving Credit Facility was June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6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20" w:firstLine="8"/>
        <w:spacing w:after="0" w:line="25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773"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Facility are subject to a quarterly fee ranging from 0.20% to 0.35% based on Booz Allen Hamilton’s consolidated total net leverage ratio.</w:t>
      </w:r>
    </w:p>
    <w:p>
      <w:pPr>
        <w:spacing w:after="0" w:line="225" w:lineRule="exact"/>
        <w:rPr>
          <w:sz w:val="20"/>
          <w:szCs w:val="20"/>
          <w:color w:val="auto"/>
        </w:rPr>
      </w:pPr>
    </w:p>
    <w:p>
      <w:pPr>
        <w:jc w:val="both"/>
        <w:ind w:right="60" w:firstLine="405"/>
        <w:spacing w:after="0" w:line="311" w:lineRule="auto"/>
        <w:rPr>
          <w:sz w:val="20"/>
          <w:szCs w:val="20"/>
          <w:color w:val="auto"/>
        </w:rPr>
      </w:pPr>
      <w:r>
        <w:rPr>
          <w:rFonts w:ascii="Arial" w:cs="Arial" w:eastAsia="Arial" w:hAnsi="Arial"/>
          <w:sz w:val="16"/>
          <w:szCs w:val="16"/>
          <w:color w:val="auto"/>
        </w:rPr>
        <w:t>Booz Allen Hamilton occasionally borrows under the Revolving Credit Facility in anticipation of cash demands. During fiscal 2020 and 2019, Booz Allen Hamilton accessed a total $100.0 million and $110.0 million of its $500.0 million Revolving Credit Facility. As of March 31, 2020, there was $100.0 million outstanding on the Revolving Credit Facility. As of March 31, 2019, there was no outstanding balance on the Revolving Credit Facility.</w:t>
      </w:r>
    </w:p>
    <w:p>
      <w:pPr>
        <w:spacing w:after="0" w:line="14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Booz Allen Hamilton also has agreed to pay customary letter of credit and agency fees. As of March 31, 2020 and 2019, Booz Allen Hamilton was contingently liable under open standby letters of credit and bank guarantees issued by its banks in favor of third parties that totaled $9.7 million and $9.5 million, respectively. These letters of credit and bank guarantees primarily support insurance and bid and performance obligations. At March 31, 2020 and 2019, approximately $0.9 million and $1.0 million, respectively, of these instruments reduced our available borrowings under the Revolving Credit Facility. The remainder is guaranteed under a separate $15.0 million facility established in fiscal 2015, of which $6.2 million and $6.5 million, respectively, was available to Booz Allen Hamilton at March 31, 2020 and 2019. As of March 31, 2020, we had $399.1 million of capacity available for additional borrowings under the Revolving Credit Facility.</w:t>
      </w:r>
    </w:p>
    <w:p>
      <w:pPr>
        <w:spacing w:after="0" w:line="195"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20" w:firstLine="8"/>
        <w:spacing w:after="0" w:line="281" w:lineRule="auto"/>
        <w:tabs>
          <w:tab w:leader="none" w:pos="3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140"/>
        <w:spacing w:after="0" w:line="253" w:lineRule="auto"/>
        <w:rPr>
          <w:rFonts w:ascii="Arial" w:cs="Arial" w:eastAsia="Arial" w:hAnsi="Arial"/>
          <w:sz w:val="16"/>
          <w:szCs w:val="16"/>
          <w:color w:val="auto"/>
        </w:rPr>
      </w:pPr>
      <w:r>
        <w:rPr>
          <w:rFonts w:ascii="Arial" w:cs="Arial" w:eastAsia="Arial" w:hAnsi="Arial"/>
          <w:sz w:val="18"/>
          <w:szCs w:val="18"/>
          <w:color w:val="auto"/>
        </w:rPr>
        <w:t>(f) certain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2020, we were compliant with these covenants.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2020, interest payments of $50.3 million and $15.9 million were made for the Term Loan A and Term Loan B facilities,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2019, interest payments of $41.9 million and $16.8 million were made for the Term Loan A and Term Loan B facilities, respectively.</w:t>
      </w:r>
    </w:p>
    <w:p>
      <w:pPr>
        <w:spacing w:after="0" w:line="22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and debt issuance costs of $16.0 million and $19.0 million as of March 31, 2020 and 2019, respectively.</w:t>
      </w:r>
    </w:p>
    <w:p>
      <w:pPr>
        <w:spacing w:after="0" w:line="170"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(the "Senior Notes")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For both fiscal 2020 and 2019, interest payments of $17.9 million were made for the Senior Notes.</w:t>
      </w:r>
    </w:p>
    <w:p>
      <w:pPr>
        <w:spacing w:after="0" w:line="16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Borrowings under the Term Loans and, if used, the Revolving Credit Facility, incur interest at a variable rate. In accordance with our risk management strategy between April 6, 2017 and April 4, 2019, Booz Allen Hamilton executed a series of interest rate swaps. As of March 31, 2020, we had interest rate swaps with an aggregate notional amount of $1 billion. These instruments hedge the variability of cash outflows for interest payments on the floating portion of our debt. The Company's objectives in using cash flow hedges are to reduce volatility due to interest rate movements and to add stability to interest expense (see Note 12 in our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stockholders’ equity amounted to $856.4 million as of March 31, 2020, an increase of $181.0 million compared to stockholders’ equity of $675.4 million as of March 31, 2019. The increase was primarily due to net income of $482.6 million in fiscal 2020 and stock-based compensation expense of $43.3 million, partially offset by $186.6 million in treasury stock resulting from the repurchase of shares of our Class A Common Stock and $146.6 million in aggregate quarterly dividend payments in fiscal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77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we did not have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2020. For contractual obligations, we included payments that we have an unconditional obligation to make.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0"/>
              </w:rPr>
              <w:t>Payments Due by Fiscal Periods</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1 to 3</w:t>
            </w:r>
          </w:p>
        </w:tc>
        <w:tc>
          <w:tcPr>
            <w:tcW w:w="3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3 to 5</w:t>
            </w:r>
          </w:p>
        </w:tc>
        <w:tc>
          <w:tcPr>
            <w:tcW w:w="180" w:type="dxa"/>
            <w:vAlign w:val="bottom"/>
          </w:tcPr>
          <w:p>
            <w:pPr>
              <w:spacing w:after="0"/>
              <w:rPr>
                <w:sz w:val="13"/>
                <w:szCs w:val="13"/>
                <w:color w:val="auto"/>
              </w:rPr>
            </w:pPr>
          </w:p>
        </w:tc>
        <w:tc>
          <w:tcPr>
            <w:tcW w:w="104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2,101,841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77,865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155,730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1,149,599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718,647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372,258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128,689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95,569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86,100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118,872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Revolver debt</w:t>
            </w:r>
          </w:p>
        </w:tc>
        <w:tc>
          <w:tcPr>
            <w:tcW w:w="2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liabilities for uncertain tax positions (b)</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2,857,937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313,322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403,291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7"/>
              </w:rPr>
              <w:t>1,310,764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830,560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for additional information regarding debt and related matters.</w:t>
      </w:r>
    </w:p>
    <w:p>
      <w:pPr>
        <w:spacing w:after="0" w:line="63"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balance primarily includes an $11.1 million reserve for income tax uncertainties created with the acquisition of eGov Holdings, Inc. in fiscal 2017. Approximately, $45.0 million of gross unrecognized tax benefits were excluded as we are not able to reasonably estimate the timing of future cash flows to such unrecognized tax benefits. See Note 14 to our consolidated financial statements for additional information regarding gross unrecognized tax benefits.</w:t>
      </w:r>
    </w:p>
    <w:p>
      <w:pPr>
        <w:spacing w:after="0" w:line="133"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2020 and 2019 were $128.1 million and $94.7 million, respectively. The increase in capital expenditures over the prior year primarily relates to investments in our facilities and infrastructure, and information technology. We expect capital expenditures to decrease in the near term and overall in fiscal 2021 as compared to fiscal 2020. Given the uncertainty surrounding the COVID-19 outbreak, we may adjust our capital expenditures in fiscal 2021 to support our business operations as we further develop our long term strategy on a safe return to work.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22 to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823" w:right="339" w:bottom="1440" w:gutter="0" w:footer="0" w:header="0"/>
        </w:sectPr>
      </w:pPr>
    </w:p>
    <w:bookmarkStart w:id="66" w:name="page67"/>
    <w:bookmarkEnd w:id="66"/>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Market risk is the potential loss arising from adverse changes in market rates and market prices such as those related to interest rates. Due to the wide-ranging adverse impacts on global financial markets and the current economic crisis caused by the outbreak of COVID-19,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exposure to market risk for changes in interest rates related to our outstanding debt will impact our Secured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Secured Credit Facility by approximately $3.1 million in fiscal 2020 and $3.7 million in fiscal 2019, and likewise decreased our income and cash flows. The year over year increase in interest expense is primarily due to the incremental $400 million in debt the Company incurred in April 2019 under the Delayed Draw Facility. This was partially offset by a 150 basis point reduction in 1 Month LIBOR, the benchmark interest rate used in conjunction with our floating rate debt. Additionally, as part of the Seventh Amendment consummated on November 26, 2019, the Company reduced its credit spread by 25 basis points on the Term Loan B debt tranche, further contributing to offsetting interest expense year over year.</w:t>
      </w:r>
    </w:p>
    <w:p>
      <w:pPr>
        <w:spacing w:after="0" w:line="124"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As of March 31, 2020 and 2019, we had $741.9 million and $284.0 million, respectively, in cash and cash equivalents. The return on our cash and cash equivalents balance as of March 31, 2020 and 2019 was less than 3%. Therefore, the corresponding impact to our interest income, and likewise to our income and cash flow, was not material.</w:t>
      </w:r>
    </w:p>
    <w:p>
      <w:pPr>
        <w:spacing w:after="0" w:line="13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Pursuant to our interest rate risk management strategies, we use interest rate cash flow hedges to add stability to our incurrence of interest rate expense and to manage our exposure to related interest rate movement. See Note 12 to our consolidated financial statements for further discussion. As of March 31, 2020, we had interest rate swaps with an aggregate notional amount of $1 billion. These derivative instruments hedge the variability of cash outflows for interest payments on our variable rate debt and are recorded at fair value on our consolidated balance sheet. As of March 31, 2020, a 25 basis point increase in interest rates would increase the fair value of our interest rate swaps by approximately $6.5 million and a 25 basis point decrease in interest rates would decrease the fair value of our interest rate swaps by approximately $5.8 million.</w:t>
      </w:r>
    </w:p>
    <w:p>
      <w:pPr>
        <w:spacing w:after="0" w:line="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During fiscal 2019, we established a Rabbi trust to provide for the payment of benefits under our non-qualified deferred compensation plan. As of March 31, 2020, fund assets totaled $5.9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Notes 15 and 20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320" w:top="661" w:right="399" w:bottom="1440" w:gutter="0" w:footer="0" w:header="0"/>
        </w:sectPr>
      </w:pPr>
    </w:p>
    <w:bookmarkStart w:id="67" w:name="page68"/>
    <w:bookmarkEnd w:id="67"/>
    <w:p>
      <w:pPr>
        <w:spacing w:after="0"/>
        <w:tabs>
          <w:tab w:leader="none" w:pos="7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9020" w:type="dxa"/>
            <w:vAlign w:val="bottom"/>
          </w:tcPr>
          <w:p>
            <w:pPr>
              <w:ind w:left="206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1220" w:type="dxa"/>
            <w:vAlign w:val="bottom"/>
          </w:tcPr>
          <w:p>
            <w:pPr>
              <w:spacing w:after="0"/>
              <w:rPr>
                <w:sz w:val="20"/>
                <w:szCs w:val="20"/>
                <w:color w:val="auto"/>
              </w:rPr>
            </w:pPr>
          </w:p>
        </w:tc>
      </w:tr>
      <w:tr>
        <w:trPr>
          <w:trHeight w:val="594"/>
        </w:trPr>
        <w:tc>
          <w:tcPr>
            <w:tcW w:w="90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90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Independent Registered Public Accounting Firm</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69">
              <w:r>
                <w:rPr>
                  <w:rFonts w:ascii="Arial" w:cs="Arial" w:eastAsia="Arial" w:hAnsi="Arial"/>
                  <w:sz w:val="18"/>
                  <w:szCs w:val="18"/>
                  <w:u w:val="single" w:color="auto"/>
                  <w:color w:val="0000EE"/>
                  <w:w w:val="96"/>
                </w:rPr>
                <w:t>F-2</w:t>
              </w:r>
            </w:hyperlink>
          </w:p>
        </w:tc>
      </w:tr>
      <w:tr>
        <w:trPr>
          <w:trHeight w:val="391"/>
        </w:trPr>
        <w:tc>
          <w:tcPr>
            <w:tcW w:w="902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Balance Sheets as of March 31, 2020 and 2019</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72">
              <w:r>
                <w:rPr>
                  <w:rFonts w:ascii="Arial" w:cs="Arial" w:eastAsia="Arial" w:hAnsi="Arial"/>
                  <w:sz w:val="18"/>
                  <w:szCs w:val="18"/>
                  <w:u w:val="single" w:color="auto"/>
                  <w:color w:val="0000EE"/>
                  <w:w w:val="96"/>
                </w:rPr>
                <w:t>F-5</w:t>
              </w:r>
            </w:hyperlink>
          </w:p>
        </w:tc>
      </w:tr>
      <w:tr>
        <w:trPr>
          <w:trHeight w:val="392"/>
        </w:trPr>
        <w:tc>
          <w:tcPr>
            <w:tcW w:w="902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Operations for the Fiscal Years Ended March 31, 2020, 2019 and 2018</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73">
              <w:r>
                <w:rPr>
                  <w:rFonts w:ascii="Arial" w:cs="Arial" w:eastAsia="Arial" w:hAnsi="Arial"/>
                  <w:sz w:val="18"/>
                  <w:szCs w:val="18"/>
                  <w:u w:val="single" w:color="auto"/>
                  <w:color w:val="0000EE"/>
                  <w:w w:val="96"/>
                </w:rPr>
                <w:t>F-6</w:t>
              </w:r>
            </w:hyperlink>
          </w:p>
        </w:tc>
      </w:tr>
      <w:tr>
        <w:trPr>
          <w:trHeight w:val="392"/>
        </w:trPr>
        <w:tc>
          <w:tcPr>
            <w:tcW w:w="90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Comprehensive Income for the Fiscal Years Ended March 31, 2020, 2019 and 2018</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74">
              <w:r>
                <w:rPr>
                  <w:rFonts w:ascii="Arial" w:cs="Arial" w:eastAsia="Arial" w:hAnsi="Arial"/>
                  <w:sz w:val="18"/>
                  <w:szCs w:val="18"/>
                  <w:u w:val="single" w:color="auto"/>
                  <w:color w:val="0000EE"/>
                  <w:w w:val="96"/>
                </w:rPr>
                <w:t>F-7</w:t>
              </w:r>
            </w:hyperlink>
          </w:p>
        </w:tc>
      </w:tr>
      <w:tr>
        <w:trPr>
          <w:trHeight w:val="392"/>
        </w:trPr>
        <w:tc>
          <w:tcPr>
            <w:tcW w:w="90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Cash Flows for the Fiscal Years Ended March 31, 2020, 2019 and 2018</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75">
              <w:r>
                <w:rPr>
                  <w:rFonts w:ascii="Arial" w:cs="Arial" w:eastAsia="Arial" w:hAnsi="Arial"/>
                  <w:sz w:val="18"/>
                  <w:szCs w:val="18"/>
                  <w:u w:val="single" w:color="auto"/>
                  <w:color w:val="0000EE"/>
                  <w:w w:val="96"/>
                </w:rPr>
                <w:t>F-8</w:t>
              </w:r>
            </w:hyperlink>
          </w:p>
        </w:tc>
      </w:tr>
      <w:tr>
        <w:trPr>
          <w:trHeight w:val="392"/>
        </w:trPr>
        <w:tc>
          <w:tcPr>
            <w:tcW w:w="90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Stockholders' Equity for the Fiscal Years Ended March 31, 2020, 2019 and 2018</w:t>
              </w:r>
            </w:hyperlink>
          </w:p>
        </w:tc>
        <w:tc>
          <w:tcPr>
            <w:tcW w:w="1220" w:type="dxa"/>
            <w:vAlign w:val="bottom"/>
          </w:tcPr>
          <w:p>
            <w:pPr>
              <w:jc w:val="center"/>
              <w:spacing w:after="0"/>
              <w:rPr>
                <w:rFonts w:ascii="Arial" w:cs="Arial" w:eastAsia="Arial" w:hAnsi="Arial"/>
                <w:sz w:val="18"/>
                <w:szCs w:val="18"/>
                <w:u w:val="single" w:color="auto"/>
                <w:color w:val="0000EE"/>
                <w:w w:val="96"/>
              </w:rPr>
            </w:pPr>
            <w:hyperlink w:anchor="page76">
              <w:r>
                <w:rPr>
                  <w:rFonts w:ascii="Arial" w:cs="Arial" w:eastAsia="Arial" w:hAnsi="Arial"/>
                  <w:sz w:val="18"/>
                  <w:szCs w:val="18"/>
                  <w:u w:val="single" w:color="auto"/>
                  <w:color w:val="0000EE"/>
                  <w:w w:val="96"/>
                </w:rPr>
                <w:t>F-9</w:t>
              </w:r>
            </w:hyperlink>
          </w:p>
        </w:tc>
      </w:tr>
      <w:tr>
        <w:trPr>
          <w:trHeight w:val="391"/>
        </w:trPr>
        <w:tc>
          <w:tcPr>
            <w:tcW w:w="90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Notes to Consolidated Financial Statements</w:t>
              </w:r>
            </w:hyperlink>
          </w:p>
        </w:tc>
        <w:tc>
          <w:tcPr>
            <w:tcW w:w="1220" w:type="dxa"/>
            <w:vAlign w:val="bottom"/>
          </w:tcPr>
          <w:p>
            <w:pPr>
              <w:jc w:val="center"/>
              <w:spacing w:after="0"/>
              <w:rPr>
                <w:rFonts w:ascii="Arial" w:cs="Arial" w:eastAsia="Arial" w:hAnsi="Arial"/>
                <w:sz w:val="18"/>
                <w:szCs w:val="18"/>
                <w:u w:val="single" w:color="auto"/>
                <w:color w:val="0000EE"/>
                <w:w w:val="91"/>
              </w:rPr>
            </w:pPr>
            <w:hyperlink w:anchor="page77">
              <w:r>
                <w:rPr>
                  <w:rFonts w:ascii="Arial" w:cs="Arial" w:eastAsia="Arial" w:hAnsi="Arial"/>
                  <w:sz w:val="18"/>
                  <w:szCs w:val="18"/>
                  <w:u w:val="single" w:color="auto"/>
                  <w:color w:val="0000EE"/>
                  <w:w w:val="91"/>
                </w:rPr>
                <w:t>F-10</w:t>
              </w:r>
            </w:hyperlink>
          </w:p>
        </w:tc>
      </w:tr>
      <w:tr>
        <w:trPr>
          <w:trHeight w:val="675"/>
        </w:trPr>
        <w:tc>
          <w:tcPr>
            <w:tcW w:w="9020" w:type="dxa"/>
            <w:vAlign w:val="bottom"/>
          </w:tcPr>
          <w:p>
            <w:pPr>
              <w:ind w:left="4500"/>
              <w:spacing w:after="0"/>
              <w:rPr>
                <w:sz w:val="20"/>
                <w:szCs w:val="20"/>
                <w:color w:val="auto"/>
              </w:rPr>
            </w:pPr>
            <w:r>
              <w:rPr>
                <w:rFonts w:ascii="Arial" w:cs="Arial" w:eastAsia="Arial" w:hAnsi="Arial"/>
                <w:sz w:val="18"/>
                <w:szCs w:val="18"/>
                <w:color w:val="auto"/>
              </w:rPr>
              <w:t>F-1</w:t>
            </w:r>
          </w:p>
        </w:tc>
        <w:tc>
          <w:tcPr>
            <w:tcW w:w="1220" w:type="dxa"/>
            <w:vAlign w:val="bottom"/>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(the Company) as of March 31, 2020 and 2019, the related consolidated statements of operations, comprehensive income, stockholders' equity and cash flows for each of the three years in the period ended March 31, 2020, and the related notes (collectively referred to as the “consolidated financial statements”). In our opinion, the consolidated financial statements present fairly, in all material respects, the consolidated financial position of the Company at March 31, 2020 and 2019, and the consolidated results of its operations and its cash flows for each of the three years in the period ended March 31, 2020, in conformity with U.S. generally accepted accounting principles.</w:t>
      </w:r>
    </w:p>
    <w:p>
      <w:pPr>
        <w:spacing w:after="0" w:line="19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2020, based on criteria established in Internal Control-Integrated Framework issued by the Committee of Sponsoring Organizations of the Treadway Commission (2013 framework) and our report dated May 26,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leases in fiscal year 2020 due to the adoption of the new leasing standard. The Company adopted the new leasing standard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661" w:right="35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i w:val="1"/>
          <w:iCs w:val="1"/>
          <w:color w:val="auto"/>
        </w:rPr>
        <w:t>Revenue recognition related to the cost-based input method and variable consideration</w:t>
      </w:r>
    </w:p>
    <w:p>
      <w:pPr>
        <w:sectPr>
          <w:pgSz w:w="11900" w:h="16838" w:orient="portrait"/>
          <w:cols w:equalWidth="0" w:num="1">
            <w:col w:w="10600"/>
          </w:cols>
          <w:pgMar w:left="320" w:top="935" w:right="979" w:bottom="1440" w:gutter="0" w:footer="0" w:header="0"/>
        </w:sectPr>
      </w:pPr>
    </w:p>
    <w:p>
      <w:pPr>
        <w:spacing w:after="0" w:line="20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described in Notes 2 and 3 to the consolidated financial statements, the Company generally recognizes revenue over time as services are provided, as most of its contracts involve a continuous transfer of control to the customer. For certain of these contracts, revenue is recognized under a cost-based input method that requires an estimate of total costs at completion of the performance obligation, and certain contracts include variable consideration (e.g., award or incentive fees) that require estimates of the amounts that are probable Estimates of costs at completion and variable consideration are highly subjective to develop and can change over the contract performance period for a variety of reasons and, if significant, these changes could have a material effect on the Company’s results of operations.</w:t>
      </w:r>
    </w:p>
    <w:p>
      <w:pPr>
        <w:spacing w:after="0" w:line="166" w:lineRule="exact"/>
        <w:rPr>
          <w:sz w:val="20"/>
          <w:szCs w:val="20"/>
          <w:color w:val="auto"/>
        </w:rPr>
      </w:pPr>
    </w:p>
    <w:p>
      <w:pPr>
        <w:sectPr>
          <w:pgSz w:w="11900" w:h="16838" w:orient="portrait"/>
          <w:cols w:equalWidth="0" w:num="2">
            <w:col w:w="1340" w:space="620"/>
            <w:col w:w="8640"/>
          </w:cols>
          <w:pgMar w:left="320" w:top="935" w:right="979" w:bottom="1440" w:gutter="0" w:footer="0" w:header="0"/>
          <w:type w:val="continuous"/>
        </w:sectPr>
      </w:pPr>
    </w:p>
    <w:p>
      <w:pPr>
        <w:ind w:left="1960" w:right="120"/>
        <w:spacing w:after="0" w:line="272" w:lineRule="auto"/>
        <w:rPr>
          <w:sz w:val="20"/>
          <w:szCs w:val="20"/>
          <w:color w:val="auto"/>
        </w:rPr>
      </w:pPr>
      <w:r>
        <w:rPr>
          <w:rFonts w:ascii="Arial" w:cs="Arial" w:eastAsia="Arial" w:hAnsi="Arial"/>
          <w:sz w:val="17"/>
          <w:szCs w:val="17"/>
          <w:color w:val="auto"/>
        </w:rPr>
        <w:t>Auditing revenue recognition based on the cost-based input method involved subjective auditor judgment because the Company’s estimates include costs at completion. The estimates of costs at completion are based on management’s assessment of the stage of completion of the performance obligations and the time and materials necessary to fulfill its performance obligations under the contracts. Auditing variable consideration involved subjective auditor judgement because the Company’s estimates include an expectation of award and incentive fees. The estimates of variable consideration for a contract are based on, among other things, the Company’s historical experience earning award or incentive fees on that contract or other similar contracts.</w:t>
      </w:r>
    </w:p>
    <w:p>
      <w:pPr>
        <w:sectPr>
          <w:pgSz w:w="11900" w:h="16838" w:orient="portrait"/>
          <w:cols w:equalWidth="0" w:num="1">
            <w:col w:w="10600"/>
          </w:cols>
          <w:pgMar w:left="320" w:top="935" w:right="979" w:bottom="1440" w:gutter="0" w:footer="0" w:header="0"/>
          <w:type w:val="continuous"/>
        </w:sectPr>
      </w:pPr>
    </w:p>
    <w:p>
      <w:pPr>
        <w:spacing w:after="0" w:line="366" w:lineRule="exact"/>
        <w:rPr>
          <w:sz w:val="20"/>
          <w:szCs w:val="20"/>
          <w:color w:val="auto"/>
        </w:rPr>
      </w:pPr>
    </w:p>
    <w:p>
      <w:pPr>
        <w:ind w:left="4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revenue recognition under the cost-based input method and for variable consideration. For example, we tested controls over the determination of significant assumptions regarding the estimation of costs to be incurred for the performance obligations, controls evaluating the appropriateness of changes in estimated future costs, and controls over estimating the portion of award or incentive fees probable to be earned.</w:t>
      </w:r>
    </w:p>
    <w:p>
      <w:pPr>
        <w:spacing w:after="0" w:line="188" w:lineRule="exact"/>
        <w:rPr>
          <w:sz w:val="20"/>
          <w:szCs w:val="20"/>
          <w:color w:val="auto"/>
        </w:rPr>
      </w:pPr>
    </w:p>
    <w:p>
      <w:pPr>
        <w:sectPr>
          <w:pgSz w:w="11900" w:h="16838" w:orient="portrait"/>
          <w:cols w:equalWidth="0" w:num="2">
            <w:col w:w="1680" w:space="280"/>
            <w:col w:w="8640"/>
          </w:cols>
          <w:pgMar w:left="320" w:top="935" w:right="979" w:bottom="1440" w:gutter="0" w:footer="0" w:header="0"/>
          <w:type w:val="continuous"/>
        </w:sectPr>
      </w:pPr>
    </w:p>
    <w:p>
      <w:pPr>
        <w:ind w:left="1960" w:right="40"/>
        <w:spacing w:after="0" w:line="271" w:lineRule="auto"/>
        <w:rPr>
          <w:sz w:val="20"/>
          <w:szCs w:val="20"/>
          <w:color w:val="auto"/>
        </w:rPr>
      </w:pPr>
      <w:r>
        <w:rPr>
          <w:rFonts w:ascii="Arial" w:cs="Arial" w:eastAsia="Arial" w:hAnsi="Arial"/>
          <w:sz w:val="17"/>
          <w:szCs w:val="17"/>
          <w:color w:val="auto"/>
        </w:rPr>
        <w:t>To test the recognition of revenue under the cost-based input method, our audit procedures included among others, reviewing management’s projected costs for consistency with contract terms, obtaining an understanding of the stage of completion through review of customer correspondence, evidence of stage of completion including discussion with program teams, and comparing actual results to prior management estimates. To test the estimates of the portion of award or incentive fees probable to be earned, our audit procedures included among others, agreeing data from the Company’s calculation to contract documentation supporting fees previously awarded for a contract or other similar contracts, and inspection of customer correspondence and considered the sensitivity of the estimates based on the range of historical experience earning award or incentive fees.</w:t>
      </w:r>
    </w:p>
    <w:p>
      <w:pPr>
        <w:sectPr>
          <w:pgSz w:w="11900" w:h="16838" w:orient="portrait"/>
          <w:cols w:equalWidth="0" w:num="1">
            <w:col w:w="10600"/>
          </w:cols>
          <w:pgMar w:left="320" w:top="935" w:right="979" w:bottom="1440" w:gutter="0" w:footer="0" w:header="0"/>
          <w:type w:val="continuous"/>
        </w:sect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15"/>
          <w:szCs w:val="15"/>
          <w:b w:val="1"/>
          <w:bCs w:val="1"/>
          <w:i w:val="1"/>
          <w:iCs w:val="1"/>
          <w:color w:val="auto"/>
        </w:rPr>
        <w:t>Government Contracting Matters - Provision for Claimed Indirect Costs</w:t>
      </w:r>
    </w:p>
    <w:p>
      <w:pPr>
        <w:sectPr>
          <w:pgSz w:w="11900" w:h="16838" w:orient="portrait"/>
          <w:cols w:equalWidth="0" w:num="1">
            <w:col w:w="10600"/>
          </w:cols>
          <w:pgMar w:left="320" w:top="935" w:right="979" w:bottom="1440" w:gutter="0" w:footer="0" w:header="0"/>
          <w:type w:val="continuous"/>
        </w:sectPr>
      </w:pPr>
    </w:p>
    <w:p>
      <w:pPr>
        <w:spacing w:after="0" w:line="20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discussed in Note 22 to the consolidated financial statements, in the ordinary course of business, agencies of the U.S. government, including the Defense Contract Audit Agency (DCAA), routinely audit the Company’s indirect costs and business practices for compliance with the Cost Accounting Standards and the Federal Acquisition Regulation. Such audits may result in, and have historically resulted in, the Company’s inability to retain certain claimed indirect costs, including executive and employee compensation, due to differing views of the allowability and reasonableness of such costs. As of March 31, 2020, years subsequent to the Company’s fiscal year 2011 remained subject to audit and final resolution. The Company recognized a liability of $224.6 million for estimated adjustments to claimed indirect costs based on its historical DCAA audit results, including the final resolution of such audits with the Defense Contract Management Agency (DCMA) (the provision for claimed indirect costs).</w:t>
      </w:r>
    </w:p>
    <w:p>
      <w:pPr>
        <w:spacing w:after="0" w:line="181" w:lineRule="exact"/>
        <w:rPr>
          <w:sz w:val="20"/>
          <w:szCs w:val="20"/>
          <w:color w:val="auto"/>
        </w:rPr>
      </w:pPr>
    </w:p>
    <w:p>
      <w:pPr>
        <w:sectPr>
          <w:pgSz w:w="11900" w:h="16838" w:orient="portrait"/>
          <w:cols w:equalWidth="0" w:num="2">
            <w:col w:w="1340" w:space="620"/>
            <w:col w:w="8640"/>
          </w:cols>
          <w:pgMar w:left="320" w:top="935" w:right="979" w:bottom="1440" w:gutter="0" w:footer="0" w:header="0"/>
          <w:type w:val="continuous"/>
        </w:sectPr>
      </w:pPr>
    </w:p>
    <w:p>
      <w:pPr>
        <w:ind w:left="1960"/>
        <w:spacing w:after="0" w:line="259" w:lineRule="auto"/>
        <w:rPr>
          <w:sz w:val="20"/>
          <w:szCs w:val="20"/>
          <w:color w:val="auto"/>
        </w:rPr>
      </w:pPr>
      <w:r>
        <w:rPr>
          <w:rFonts w:ascii="Arial" w:cs="Arial" w:eastAsia="Arial" w:hAnsi="Arial"/>
          <w:sz w:val="18"/>
          <w:szCs w:val="18"/>
          <w:color w:val="auto"/>
        </w:rPr>
        <w:t>Auditing the provision for claimed indirect costs was complex due to the inherently judgmental nature of management’s estimate of adjustments to claimed indirect costs based on the number of years that remain open to audit and expected final resolution by agencies of the U.S. government. Significant changes in management’s estimate could have a material effect on the Company’s results of operations.</w:t>
      </w:r>
    </w:p>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600"/>
          </w:cols>
          <w:pgMar w:left="320" w:top="935" w:right="979" w:bottom="1440" w:gutter="0" w:footer="0" w:header="0"/>
          <w:type w:val="continuous"/>
        </w:sectPr>
      </w:pPr>
    </w:p>
    <w:bookmarkStart w:id="70" w:name="page71"/>
    <w:bookmarkEnd w:id="70"/>
    <w:p>
      <w:pPr>
        <w:ind w:left="40"/>
        <w:spacing w:after="0"/>
        <w:tabs>
          <w:tab w:leader="none" w:pos="19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3" w:lineRule="exact"/>
        <w:rPr>
          <w:sz w:val="20"/>
          <w:szCs w:val="20"/>
          <w:color w:val="auto"/>
        </w:rPr>
      </w:pPr>
    </w:p>
    <w:p>
      <w:pPr>
        <w:ind w:left="1960" w:right="200" w:hanging="1916"/>
        <w:spacing w:after="0" w:line="253" w:lineRule="auto"/>
        <w:tabs>
          <w:tab w:leader="none" w:pos="19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determination of its provision for claimed indirect costs. For example, we tested controls over the application of the available historical information from resolution of audits and communications from agencies of the U.S. government utilized in the determination of the estimate. We also tested management’s controls over the completeness and accuracy of the data used.</w:t>
      </w:r>
    </w:p>
    <w:p>
      <w:pPr>
        <w:spacing w:after="0" w:line="193" w:lineRule="exact"/>
        <w:rPr>
          <w:sz w:val="20"/>
          <w:szCs w:val="20"/>
          <w:color w:val="auto"/>
        </w:rPr>
      </w:pPr>
    </w:p>
    <w:p>
      <w:pPr>
        <w:ind w:left="1960" w:right="80"/>
        <w:spacing w:after="0" w:line="296" w:lineRule="auto"/>
        <w:rPr>
          <w:sz w:val="20"/>
          <w:szCs w:val="20"/>
          <w:color w:val="auto"/>
        </w:rPr>
      </w:pPr>
      <w:r>
        <w:rPr>
          <w:rFonts w:ascii="Arial" w:cs="Arial" w:eastAsia="Arial" w:hAnsi="Arial"/>
          <w:sz w:val="16"/>
          <w:szCs w:val="16"/>
          <w:color w:val="auto"/>
        </w:rPr>
        <w:t>To test the provision for claimed indirect costs, we performed audit procedures that included, among others, testing the clerical accuracy of the estimates and the completeness and accuracy of the data utilized in determining the provision. We inspected communications with the DCAA or DCMA including prior audit reports and final resolutions. We also engaged our government contracting specialists to assist in identifying trends and recent experience in DCAA audits to evaluate the data the Company used to estimate the provision for claimed indirect costs.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ectPr>
          <w:pgSz w:w="11900" w:h="16838" w:orient="portrait"/>
          <w:cols w:equalWidth="0" w:num="1">
            <w:col w:w="10600"/>
          </w:cols>
          <w:pgMar w:left="320" w:top="881" w:right="979" w:bottom="1440" w:gutter="0" w:footer="0" w:header="0"/>
        </w:sectPr>
      </w:pPr>
    </w:p>
    <w:p>
      <w:pPr>
        <w:spacing w:after="0" w:line="17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As discussed in Notes 2 and 14 to the consolidated financial statements, the Company is subject to federal, state and foreign taxation in various jurisdictions. The Company reserves for uncertain tax positions related to unrecognized income tax benefits where it is not more likely than not that the Company’s tax position will be sustained. During the year ended March 31, 2020, the Company has recorded additional unrecognized tax benefits of $34.0 million for tax positions related to prior years and $11.0 million related to tax positions in the current year. These reserves involve considerable judgment and estimation and are evaluated by management based on available information.</w:t>
      </w:r>
    </w:p>
    <w:p>
      <w:pPr>
        <w:spacing w:after="0" w:line="164" w:lineRule="exact"/>
        <w:rPr>
          <w:sz w:val="20"/>
          <w:szCs w:val="20"/>
          <w:color w:val="auto"/>
        </w:rPr>
      </w:pPr>
    </w:p>
    <w:p>
      <w:pPr>
        <w:sectPr>
          <w:pgSz w:w="11900" w:h="16838" w:orient="portrait"/>
          <w:cols w:equalWidth="0" w:num="2">
            <w:col w:w="1340" w:space="620"/>
            <w:col w:w="8640"/>
          </w:cols>
          <w:pgMar w:left="320" w:top="881" w:right="979" w:bottom="1440" w:gutter="0" w:footer="0" w:header="0"/>
          <w:type w:val="continuous"/>
        </w:sectPr>
      </w:pPr>
    </w:p>
    <w:p>
      <w:pPr>
        <w:ind w:left="1960" w:right="580"/>
        <w:spacing w:after="0" w:line="308" w:lineRule="auto"/>
        <w:rPr>
          <w:sz w:val="20"/>
          <w:szCs w:val="20"/>
          <w:color w:val="auto"/>
        </w:rPr>
      </w:pPr>
      <w:r>
        <w:rPr>
          <w:rFonts w:ascii="Arial" w:cs="Arial" w:eastAsia="Arial" w:hAnsi="Arial"/>
          <w:sz w:val="17"/>
          <w:szCs w:val="17"/>
          <w:color w:val="auto"/>
        </w:rPr>
        <w:t>Auditing the unrecognized tax benefits was complex due to the significant judgment in applying the tax law and inherent uncertainty involved in predicting the ultimate resolution of the matter with the taxing authority.</w:t>
      </w:r>
    </w:p>
    <w:p>
      <w:pPr>
        <w:sectPr>
          <w:pgSz w:w="11900" w:h="16838" w:orient="portrait"/>
          <w:cols w:equalWidth="0" w:num="1">
            <w:col w:w="10600"/>
          </w:cols>
          <w:pgMar w:left="320" w:top="881" w:right="979" w:bottom="1440" w:gutter="0" w:footer="0" w:header="0"/>
          <w:type w:val="continuous"/>
        </w:sectPr>
      </w:pPr>
    </w:p>
    <w:p>
      <w:pPr>
        <w:spacing w:after="0" w:line="335" w:lineRule="exact"/>
        <w:rPr>
          <w:sz w:val="20"/>
          <w:szCs w:val="20"/>
          <w:color w:val="auto"/>
        </w:rPr>
      </w:pPr>
    </w:p>
    <w:p>
      <w:pPr>
        <w:ind w:left="4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accounting for uncertain tax positions. For example, we tested controls over management’s review of the application of the tax law and the analysis performed to determine the unrecognized tax benefits. We also tested management’s controls over the completeness and accuracy of the data used in the calculation of the liabilities recorded.</w:t>
      </w:r>
    </w:p>
    <w:p>
      <w:pPr>
        <w:spacing w:after="0" w:line="200" w:lineRule="exact"/>
        <w:rPr>
          <w:sz w:val="20"/>
          <w:szCs w:val="20"/>
          <w:color w:val="auto"/>
        </w:rPr>
      </w:pPr>
    </w:p>
    <w:p>
      <w:pPr>
        <w:sectPr>
          <w:pgSz w:w="11900" w:h="16838" w:orient="portrait"/>
          <w:cols w:equalWidth="0" w:num="2">
            <w:col w:w="1680" w:space="280"/>
            <w:col w:w="8640"/>
          </w:cols>
          <w:pgMar w:left="320" w:top="881" w:right="979" w:bottom="1440" w:gutter="0" w:footer="0" w:header="0"/>
          <w:type w:val="continuous"/>
        </w:sectPr>
      </w:pPr>
    </w:p>
    <w:p>
      <w:pPr>
        <w:spacing w:after="0" w:line="65" w:lineRule="exact"/>
        <w:rPr>
          <w:sz w:val="20"/>
          <w:szCs w:val="20"/>
          <w:color w:val="auto"/>
        </w:rPr>
      </w:pPr>
    </w:p>
    <w:p>
      <w:pPr>
        <w:ind w:left="1960" w:right="100"/>
        <w:spacing w:after="0" w:line="291" w:lineRule="auto"/>
        <w:rPr>
          <w:sz w:val="20"/>
          <w:szCs w:val="20"/>
          <w:color w:val="auto"/>
        </w:rPr>
      </w:pPr>
      <w:r>
        <w:rPr>
          <w:rFonts w:ascii="Arial" w:cs="Arial" w:eastAsia="Arial" w:hAnsi="Arial"/>
          <w:sz w:val="16"/>
          <w:szCs w:val="16"/>
          <w:color w:val="auto"/>
        </w:rPr>
        <w:t>To test the unrecognized tax benefits, we performed audit procedures that included, among others, understanding the application of the tax law and rationale used by management and evaluating whether the uncertain tax position met the “more likely than not” recognition threshold. For example, we verified our understanding of the relevant facts by reading the Company's analysis of the application of the tax law. We involved our tax subject matter resources in the assessment of the technical merits of the Company’s tax positions, considering the applicable tax laws, and the methodology applied. We assessed the mathematical accuracy of management’s calculations, reviewed contracts and other source documents and performed sensitivity analyses related to management’s estimate.</w:t>
      </w:r>
    </w:p>
    <w:p>
      <w:pPr>
        <w:sectPr>
          <w:pgSz w:w="11900" w:h="16838" w:orient="portrait"/>
          <w:cols w:equalWidth="0" w:num="1">
            <w:col w:w="10600"/>
          </w:cols>
          <w:pgMar w:left="320" w:top="881"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600"/>
          </w:cols>
          <w:pgMar w:left="320" w:top="881" w:right="97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60" w:type="dxa"/>
            <w:vAlign w:val="bottom"/>
            <w:gridSpan w:val="4"/>
          </w:tcPr>
          <w:p>
            <w:pPr>
              <w:ind w:left="320"/>
              <w:spacing w:after="0" w:line="153" w:lineRule="exact"/>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5"/>
        </w:trPr>
        <w:tc>
          <w:tcPr>
            <w:tcW w:w="822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741,901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283,990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1,330,364</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126,816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84,986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2,328,188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1,699,340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208,077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172,453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300,987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287,051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135,432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91,837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4,793,966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177,865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57,924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664,948</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348,775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325,553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54,006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130,814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1,179,239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2,007,979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1,701,837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reserves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56,130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187,471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230,652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3,937,610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3,156,475</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 (Note 22)</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80"/>
              <w:spacing w:after="0"/>
              <w:rPr>
                <w:sz w:val="20"/>
                <w:szCs w:val="20"/>
                <w:color w:val="auto"/>
              </w:rPr>
            </w:pPr>
            <w:r>
              <w:rPr>
                <w:rFonts w:ascii="Arial" w:cs="Arial" w:eastAsia="Arial" w:hAnsi="Arial"/>
                <w:sz w:val="18"/>
                <w:szCs w:val="18"/>
                <w:color w:val="auto"/>
                <w:w w:val="90"/>
              </w:rPr>
              <w:t>Common stock, Class A — $0.01 par value — authorized, 600,000,000 shares; issued, 161,333,973 shares at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w w:val="91"/>
              </w:rPr>
              <w:t>March 31, 2020 and 159,924,825 shares at March 31, 2019; outstanding, 138,719,921 shares at March 31,</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440"/>
              <w:spacing w:after="0"/>
              <w:rPr>
                <w:sz w:val="20"/>
                <w:szCs w:val="20"/>
                <w:color w:val="auto"/>
              </w:rPr>
            </w:pPr>
            <w:r>
              <w:rPr>
                <w:rFonts w:ascii="Arial" w:cs="Arial" w:eastAsia="Arial" w:hAnsi="Arial"/>
                <w:sz w:val="18"/>
                <w:szCs w:val="18"/>
                <w:color w:val="auto"/>
              </w:rPr>
              <w:t>2020 and 140,027,853 shares at March 31, 2019</w:t>
            </w:r>
          </w:p>
        </w:tc>
        <w:tc>
          <w:tcPr>
            <w:tcW w:w="2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 22,614,052 at March 31, 2020 and 19,896,972 shares at 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(711,450)</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468,027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401,596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1,330,812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994,811</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856,356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675,366</w:t>
            </w:r>
          </w:p>
        </w:tc>
        <w:tc>
          <w:tcPr>
            <w:tcW w:w="0" w:type="dxa"/>
            <w:vAlign w:val="bottom"/>
          </w:tcPr>
          <w:p>
            <w:pPr>
              <w:spacing w:after="0"/>
              <w:rPr>
                <w:sz w:val="1"/>
                <w:szCs w:val="1"/>
                <w:color w:val="auto"/>
              </w:rPr>
            </w:pPr>
          </w:p>
        </w:tc>
      </w:tr>
      <w:tr>
        <w:trPr>
          <w:trHeight w:val="257"/>
        </w:trPr>
        <w:tc>
          <w:tcPr>
            <w:tcW w:w="82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4,793,966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85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40" w:type="dxa"/>
            <w:vAlign w:val="bottom"/>
            <w:gridSpan w:val="8"/>
          </w:tcPr>
          <w:p>
            <w:pPr>
              <w:jc w:val="center"/>
              <w:ind w:right="251"/>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7,463,841</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6,704,037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6,167,600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3,379,180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2,866,268</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2,298,413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2,004,664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1,861,312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855,541</w:t>
            </w:r>
          </w:p>
        </w:tc>
        <w:tc>
          <w:tcPr>
            <w:tcW w:w="0" w:type="dxa"/>
            <w:vAlign w:val="bottom"/>
          </w:tcPr>
          <w:p>
            <w:pPr>
              <w:spacing w:after="0"/>
              <w:rPr>
                <w:sz w:val="1"/>
                <w:szCs w:val="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81,081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64,756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6,794,639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6,101,643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5,647,877</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669,202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602,394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519,723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(82,269)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430,036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128,344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482,603</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418,529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301,692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066"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482,603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418,529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301,692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gain (loss) on derivatives designated as 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(loss) income, net 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447,792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422,445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306,514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1066"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3"/>
              </w:rPr>
              <w:t>Fiscal Year Ended 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0"/>
              </w:rPr>
              <w:t>(Amounts in thousands)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482,603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418,529</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301,692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81,081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68,575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64,756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Noncash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43,290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31,275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23,318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8,956</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5,974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Losses (gains) on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24"/>
        </w:trPr>
        <w:tc>
          <w:tcPr>
            <w:tcW w:w="7320" w:type="dxa"/>
            <w:vAlign w:val="bottom"/>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 of allowance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(126,196)</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Income taxes receivable / payable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(122,977)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21,634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14,119</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(12,394)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11,296</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48,260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107,644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53,527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 reserves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4,762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24,260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551,428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499,610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369,143</w:t>
            </w: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(78,437)</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Payments for businesses acquired, net of proceeds from sales of business</w:t>
            </w:r>
          </w:p>
        </w:tc>
        <w:tc>
          <w:tcPr>
            <w:tcW w:w="2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(19,113)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Insurance proceeds received for damage to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(128,079)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(89,212)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(96,453)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14,987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8,907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(252,824)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(270,318)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(103,411)</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(76,922)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(170,512)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(317,149)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debt issuance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497,891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467,678</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Payment of deferred payment obligation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34,562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(413,366)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(203,149)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457,911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69,541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283,990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286,958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217,417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286,958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84,125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76,731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62,498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128,416</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 repurchases transacted but not settled and paid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9,146</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Noncash financing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3,920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3,033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850" w:right="339" w:bottom="862"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020" w:type="dxa"/>
            <w:vAlign w:val="bottom"/>
            <w:gridSpan w:val="2"/>
          </w:tcPr>
          <w:p>
            <w:pPr>
              <w:jc w:val="center"/>
              <w:ind w:left="525"/>
              <w:spacing w:after="0"/>
              <w:rPr>
                <w:sz w:val="20"/>
                <w:szCs w:val="20"/>
                <w:color w:val="auto"/>
              </w:rPr>
            </w:pPr>
            <w:r>
              <w:rPr>
                <w:rFonts w:ascii="Arial" w:cs="Arial" w:eastAsia="Arial" w:hAnsi="Arial"/>
                <w:sz w:val="13"/>
                <w:szCs w:val="13"/>
                <w:b w:val="1"/>
                <w:bCs w:val="1"/>
                <w:color w:val="auto"/>
                <w:w w:val="87"/>
              </w:rPr>
              <w:t>Class A</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ind w:left="640"/>
              <w:spacing w:after="0"/>
              <w:rPr>
                <w:sz w:val="20"/>
                <w:szCs w:val="20"/>
                <w:color w:val="auto"/>
              </w:rPr>
            </w:pPr>
            <w:r>
              <w:rPr>
                <w:rFonts w:ascii="Arial" w:cs="Arial" w:eastAsia="Arial" w:hAnsi="Arial"/>
                <w:sz w:val="13"/>
                <w:szCs w:val="13"/>
                <w:b w:val="1"/>
                <w:bCs w:val="1"/>
                <w:color w:val="auto"/>
              </w:rPr>
              <w:t>Treasury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70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860" w:type="dxa"/>
            <w:vAlign w:val="bottom"/>
            <w:gridSpan w:val="4"/>
          </w:tcPr>
          <w:p>
            <w:pPr>
              <w:ind w:left="740"/>
              <w:spacing w:after="0" w:line="144" w:lineRule="exact"/>
              <w:rPr>
                <w:sz w:val="20"/>
                <w:szCs w:val="20"/>
                <w:color w:val="auto"/>
              </w:rPr>
            </w:pPr>
            <w:r>
              <w:rPr>
                <w:rFonts w:ascii="Arial" w:cs="Arial" w:eastAsia="Arial" w:hAnsi="Arial"/>
                <w:sz w:val="13"/>
                <w:szCs w:val="13"/>
                <w:b w:val="1"/>
                <w:bCs w:val="1"/>
                <w:color w:val="auto"/>
              </w:rPr>
              <w:t>Stock</w:t>
            </w: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660" w:type="dxa"/>
            <w:vAlign w:val="bottom"/>
          </w:tcPr>
          <w:p>
            <w:pPr>
              <w:jc w:val="right"/>
              <w:ind w:right="184"/>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2"/>
        </w:trPr>
        <w:tc>
          <w:tcPr>
            <w:tcW w:w="412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2"/>
                <w:szCs w:val="2"/>
                <w:color w:val="auto"/>
              </w:rPr>
            </w:pPr>
          </w:p>
        </w:tc>
        <w:tc>
          <w:tcPr>
            <w:tcW w:w="8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4"/>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2017</w:t>
            </w:r>
          </w:p>
        </w:tc>
        <w:tc>
          <w:tcPr>
            <w:tcW w:w="90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3"/>
              </w:rPr>
              <w:t>155,901,485</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$1,559</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(7,013,777)</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(191,900)</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5"/>
              </w:rPr>
              <w:t>$302,907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489,384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(17,077)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9"/>
              </w:rPr>
              <w:t>584,873</w:t>
            </w:r>
          </w:p>
        </w:tc>
        <w:tc>
          <w:tcPr>
            <w:tcW w:w="0" w:type="dxa"/>
            <w:vAlign w:val="bottom"/>
          </w:tcPr>
          <w:p>
            <w:pPr>
              <w:spacing w:after="0"/>
              <w:rPr>
                <w:sz w:val="1"/>
                <w:szCs w:val="1"/>
                <w:color w:val="auto"/>
              </w:rPr>
            </w:pPr>
          </w:p>
        </w:tc>
      </w:tr>
      <w:tr>
        <w:trPr>
          <w:trHeight w:val="67"/>
        </w:trPr>
        <w:tc>
          <w:tcPr>
            <w:tcW w:w="412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12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5"/>
                <w:szCs w:val="15"/>
                <w:color w:val="auto"/>
              </w:rPr>
              <w:t>866,099</w:t>
            </w:r>
          </w:p>
        </w:tc>
        <w:tc>
          <w:tcPr>
            <w:tcW w:w="1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8,899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8,907</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1,261,089</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12,082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12,095</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(7,568,357)</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(269,557)</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(269,557)</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Recognition of liability related to future stock option</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301,692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301,692</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Reclassification of AOCI due to the 2017 Tax Act (Note 16)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Other comprehensive income, net of tax</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4,822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4,822</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of $0.70 per common share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(103,411)</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23,318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23,318</w:t>
            </w:r>
          </w:p>
        </w:tc>
        <w:tc>
          <w:tcPr>
            <w:tcW w:w="0" w:type="dxa"/>
            <w:vAlign w:val="bottom"/>
          </w:tcPr>
          <w:p>
            <w:pPr>
              <w:spacing w:after="0"/>
              <w:rPr>
                <w:sz w:val="1"/>
                <w:szCs w:val="1"/>
                <w:color w:val="auto"/>
              </w:rPr>
            </w:pPr>
          </w:p>
        </w:tc>
      </w:tr>
      <w:tr>
        <w:trPr>
          <w:trHeight w:val="254"/>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2018</w:t>
            </w:r>
          </w:p>
        </w:tc>
        <w:tc>
          <w:tcPr>
            <w:tcW w:w="9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3"/>
              </w:rPr>
              <w:t>158,028,673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$1,580</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(14,582,134)</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(461,457)</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$346,958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690,516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562,491</w:t>
            </w:r>
          </w:p>
        </w:tc>
        <w:tc>
          <w:tcPr>
            <w:tcW w:w="0" w:type="dxa"/>
            <w:vAlign w:val="bottom"/>
          </w:tcPr>
          <w:p>
            <w:pPr>
              <w:spacing w:after="0"/>
              <w:rPr>
                <w:sz w:val="1"/>
                <w:szCs w:val="1"/>
                <w:color w:val="auto"/>
              </w:rPr>
            </w:pPr>
          </w:p>
        </w:tc>
      </w:tr>
      <w:tr>
        <w:trPr>
          <w:trHeight w:val="246"/>
        </w:trPr>
        <w:tc>
          <w:tcPr>
            <w:tcW w:w="412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5"/>
                <w:szCs w:val="15"/>
                <w:color w:val="auto"/>
              </w:rPr>
              <w:t>876,187</w:t>
            </w:r>
          </w:p>
        </w:tc>
        <w:tc>
          <w:tcPr>
            <w:tcW w:w="1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11,257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11,266</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1,019,965</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12,106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12,116</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(5,314,838)</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(249,993)</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(249,993)</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418,529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418,529</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Other comprehensive income, net of tax</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3,916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3,916</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of $0.80 per common share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(114,234)</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31,275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31,275</w:t>
            </w:r>
          </w:p>
        </w:tc>
        <w:tc>
          <w:tcPr>
            <w:tcW w:w="0" w:type="dxa"/>
            <w:vAlign w:val="bottom"/>
          </w:tcPr>
          <w:p>
            <w:pPr>
              <w:spacing w:after="0"/>
              <w:rPr>
                <w:sz w:val="1"/>
                <w:szCs w:val="1"/>
                <w:color w:val="auto"/>
              </w:rPr>
            </w:pPr>
          </w:p>
        </w:tc>
      </w:tr>
      <w:tr>
        <w:trPr>
          <w:trHeight w:val="254"/>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2019</w:t>
            </w:r>
          </w:p>
        </w:tc>
        <w:tc>
          <w:tcPr>
            <w:tcW w:w="9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3"/>
              </w:rPr>
              <w:t>159,924,825</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$1,599</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(19,896,972)</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(711,450)</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$401,596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994,811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(11,190)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675,366</w:t>
            </w:r>
          </w:p>
        </w:tc>
        <w:tc>
          <w:tcPr>
            <w:tcW w:w="0" w:type="dxa"/>
            <w:vAlign w:val="bottom"/>
          </w:tcPr>
          <w:p>
            <w:pPr>
              <w:spacing w:after="0"/>
              <w:rPr>
                <w:sz w:val="1"/>
                <w:szCs w:val="1"/>
                <w:color w:val="auto"/>
              </w:rPr>
            </w:pPr>
          </w:p>
        </w:tc>
      </w:tr>
      <w:tr>
        <w:trPr>
          <w:trHeight w:val="246"/>
        </w:trPr>
        <w:tc>
          <w:tcPr>
            <w:tcW w:w="412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5"/>
                <w:szCs w:val="15"/>
                <w:color w:val="auto"/>
              </w:rPr>
              <w:t>833,258</w:t>
            </w:r>
          </w:p>
        </w:tc>
        <w:tc>
          <w:tcPr>
            <w:tcW w:w="1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14,979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14,987</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575,890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8,919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8,925</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(2,717,080)</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(186,645)</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(186,645)</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Recognition of liability related to future restricted stock units</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vesting</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482,603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482,603</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loss, net of tax</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(34,811)</w:t>
            </w:r>
          </w:p>
        </w:tc>
        <w:tc>
          <w:tcPr>
            <w:tcW w:w="0" w:type="dxa"/>
            <w:vAlign w:val="bottom"/>
          </w:tcPr>
          <w:p>
            <w:pPr>
              <w:spacing w:after="0"/>
              <w:rPr>
                <w:sz w:val="1"/>
                <w:szCs w:val="1"/>
                <w:color w:val="auto"/>
              </w:rPr>
            </w:pPr>
          </w:p>
        </w:tc>
      </w:tr>
      <w:tr>
        <w:trPr>
          <w:trHeight w:val="266"/>
        </w:trPr>
        <w:tc>
          <w:tcPr>
            <w:tcW w:w="4120" w:type="dxa"/>
            <w:vAlign w:val="bottom"/>
          </w:tcPr>
          <w:p>
            <w:pPr>
              <w:ind w:left="180"/>
              <w:spacing w:after="0"/>
              <w:rPr>
                <w:sz w:val="20"/>
                <w:szCs w:val="20"/>
                <w:color w:val="auto"/>
              </w:rPr>
            </w:pPr>
            <w:r>
              <w:rPr>
                <w:rFonts w:ascii="Arial" w:cs="Arial" w:eastAsia="Arial" w:hAnsi="Arial"/>
                <w:sz w:val="15"/>
                <w:szCs w:val="15"/>
                <w:color w:val="auto"/>
              </w:rPr>
              <w:t>Dividends paid of $1.04 per common share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(146,602)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(146,602)</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Stock-based compensation expense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43,290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43,290</w:t>
            </w:r>
          </w:p>
        </w:tc>
        <w:tc>
          <w:tcPr>
            <w:tcW w:w="0" w:type="dxa"/>
            <w:vAlign w:val="bottom"/>
          </w:tcPr>
          <w:p>
            <w:pPr>
              <w:spacing w:after="0"/>
              <w:rPr>
                <w:sz w:val="1"/>
                <w:szCs w:val="1"/>
                <w:color w:val="auto"/>
              </w:rPr>
            </w:pPr>
          </w:p>
        </w:tc>
      </w:tr>
      <w:tr>
        <w:trPr>
          <w:trHeight w:val="233"/>
        </w:trPr>
        <w:tc>
          <w:tcPr>
            <w:tcW w:w="4120" w:type="dxa"/>
            <w:vAlign w:val="bottom"/>
          </w:tcPr>
          <w:p>
            <w:pPr>
              <w:ind w:left="40"/>
              <w:spacing w:after="0"/>
              <w:rPr>
                <w:sz w:val="20"/>
                <w:szCs w:val="20"/>
                <w:color w:val="auto"/>
              </w:rPr>
            </w:pPr>
            <w:r>
              <w:rPr>
                <w:rFonts w:ascii="Arial" w:cs="Arial" w:eastAsia="Arial" w:hAnsi="Arial"/>
                <w:sz w:val="15"/>
                <w:szCs w:val="15"/>
                <w:b w:val="1"/>
                <w:bCs w:val="1"/>
                <w:color w:val="auto"/>
              </w:rPr>
              <w:t>Balance at March 31, 2020</w:t>
            </w:r>
          </w:p>
        </w:tc>
        <w:tc>
          <w:tcPr>
            <w:tcW w:w="9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93"/>
              </w:rPr>
              <w:t>161,333,973</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$1,613</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8"/>
              </w:rPr>
              <w:t>(22,614,052)</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3"/>
              </w:rPr>
              <w:t>$</w:t>
            </w:r>
            <w:r>
              <w:rPr>
                <w:rFonts w:ascii="Arial" w:cs="Arial" w:eastAsia="Arial" w:hAnsi="Arial"/>
                <w:sz w:val="15"/>
                <w:szCs w:val="15"/>
                <w:color w:val="auto"/>
                <w:w w:val="93"/>
              </w:rPr>
              <w:t>(898,095)</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$468,027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89"/>
              </w:rPr>
              <w:t>1,330,812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(46,001)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856,356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661" w:right="339" w:bottom="1440" w:gutter="0" w:footer="0" w:header="0"/>
        </w:sectPr>
      </w:pPr>
    </w:p>
    <w:bookmarkStart w:id="76" w:name="page77"/>
    <w:bookmarkEnd w:id="76"/>
    <w:p>
      <w:pPr>
        <w:jc w:val="center"/>
        <w:ind w:left="340" w:right="2080"/>
        <w:spacing w:after="0" w:line="263"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 March 31, 2020</w:t>
      </w:r>
    </w:p>
    <w:p>
      <w:pPr>
        <w:spacing w:after="0" w:line="400" w:lineRule="exact"/>
        <w:rPr>
          <w:sz w:val="20"/>
          <w:szCs w:val="20"/>
          <w:color w:val="auto"/>
        </w:rPr>
      </w:pPr>
    </w:p>
    <w:p>
      <w:pPr>
        <w:ind w:left="220" w:right="9100" w:hanging="212"/>
        <w:spacing w:after="0" w:line="400" w:lineRule="auto"/>
        <w:tabs>
          <w:tab w:leader="none" w:pos="184"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Our Business</w:t>
      </w:r>
    </w:p>
    <w:p>
      <w:pPr>
        <w:ind w:right="100" w:firstLine="405"/>
        <w:spacing w:after="0" w:line="30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27,200 employees as of March 31, 2020.</w:t>
      </w:r>
    </w:p>
    <w:p>
      <w:pPr>
        <w:spacing w:after="0" w:line="153" w:lineRule="exact"/>
        <w:rPr>
          <w:sz w:val="20"/>
          <w:szCs w:val="20"/>
          <w:color w:val="auto"/>
        </w:rPr>
      </w:pPr>
    </w:p>
    <w:p>
      <w:pPr>
        <w:ind w:left="220" w:right="6340" w:hanging="212"/>
        <w:spacing w:after="0" w:line="377" w:lineRule="auto"/>
        <w:tabs>
          <w:tab w:leader="none" w:pos="18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57"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The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6"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2020 and 2019 and the Company’s results of operations for fiscal 2020, 2019, and 2018.</w:t>
      </w:r>
    </w:p>
    <w:p>
      <w:pPr>
        <w:spacing w:after="0" w:line="130" w:lineRule="exact"/>
        <w:rPr>
          <w:sz w:val="20"/>
          <w:szCs w:val="20"/>
          <w:color w:val="auto"/>
        </w:rPr>
      </w:pPr>
    </w:p>
    <w:p>
      <w:pPr>
        <w:jc w:val="both"/>
        <w:ind w:right="620" w:firstLine="405"/>
        <w:spacing w:after="0" w:line="311" w:lineRule="auto"/>
        <w:rPr>
          <w:sz w:val="20"/>
          <w:szCs w:val="20"/>
          <w:color w:val="auto"/>
        </w:rPr>
      </w:pPr>
      <w:r>
        <w:rPr>
          <w:rFonts w:ascii="Arial" w:cs="Arial" w:eastAsia="Arial" w:hAnsi="Arial"/>
          <w:sz w:val="16"/>
          <w:szCs w:val="16"/>
          <w:color w:val="auto"/>
        </w:rPr>
        <w:t xml:space="preserve">Certain amounts reported in the Company's prior year consolidated financial statements have been reclassified to conform to the current year presentation. Effective April 1, 2019, 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using the modified retrospective transition approach and, as a result, comparative information for the prior fiscal years have not been retrospectively adjusted.</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7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the provision for claimed indirect costs, valuation and expected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7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661" w:right="359" w:bottom="1440" w:gutter="0" w:footer="0" w:header="0"/>
        </w:sectPr>
      </w:pPr>
    </w:p>
    <w:bookmarkStart w:id="77" w:name="page78"/>
    <w:bookmarkEnd w:id="77"/>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the risks associated with commencing the work and legal enforceability in determining whether a contract with the customer exists under Topic 606.</w:t>
      </w:r>
    </w:p>
    <w:p>
      <w:pPr>
        <w:spacing w:after="0" w:line="140"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5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Contracts with the U.S. government are subject to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the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6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60"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8"/>
          <w:szCs w:val="18"/>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45" w:right="359" w:bottom="1440" w:gutter="0" w:footer="0" w:header="0"/>
        </w:sectPr>
      </w:pPr>
    </w:p>
    <w:bookmarkStart w:id="78" w:name="page79"/>
    <w:bookmarkEnd w:id="78"/>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relates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3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2020, 2019 and 2018, the aggregate impact of adjustments in contract estimates was not material.</w:t>
      </w:r>
    </w:p>
    <w:p>
      <w:pPr>
        <w:spacing w:after="0" w:line="73"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Cash and cash equivalents include operating cash on hand and highly liquid investments having a weighted average maturity of 60 days or less and a weighted average life of 120 days or less.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maintains allowances for doubtful accounts against certain accounts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accounts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420" w:firstLine="43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45" w:right="359" w:bottom="1440" w:gutter="0" w:footer="0" w:header="0"/>
        </w:sectPr>
      </w:pPr>
    </w:p>
    <w:bookmarkStart w:id="79" w:name="page80"/>
    <w:bookmarkEnd w:id="7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the lease term. Maintenance and repairs are charged to expense as incurred.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7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have a contingent consideration arrangement in connection with a business acquisition which requires a fair value measurement determined using probability-weighted cash flows.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Intangible assets primarily consist of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Customer relationships are generally amortized on an accelerated basis over the expected life based on projected future cash flows of approximately three to twelve years. Software purchased or developed for internal use is amortized over three to five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2020, 2019, and 2018, the Company did not record any impairment of intangible assets.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2020,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2020, 2019, and 2018, the Company did not record any impairment of goodwill.</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40" w:firstLine="432"/>
        <w:spacing w:after="0" w:line="301" w:lineRule="auto"/>
        <w:rPr>
          <w:sz w:val="20"/>
          <w:szCs w:val="20"/>
          <w:color w:val="auto"/>
        </w:rPr>
      </w:pPr>
      <w:r>
        <w:rPr>
          <w:rFonts w:ascii="Arial" w:cs="Arial" w:eastAsia="Arial" w:hAnsi="Arial"/>
          <w:sz w:val="16"/>
          <w:szCs w:val="16"/>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2020, 2019, and 2018, the Company did not record any material impairment charges.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45" w:right="339" w:bottom="1440" w:gutter="0" w:footer="0" w:header="0"/>
        </w:sectPr>
      </w:pPr>
    </w:p>
    <w:bookmarkStart w:id="80" w:name="page81"/>
    <w:bookmarkEnd w:id="8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216"/>
        <w:spacing w:after="0" w:line="257" w:lineRule="auto"/>
        <w:rPr>
          <w:sz w:val="20"/>
          <w:szCs w:val="20"/>
          <w:color w:val="auto"/>
        </w:rPr>
      </w:pPr>
      <w:r>
        <w:rPr>
          <w:rFonts w:ascii="Arial" w:cs="Arial" w:eastAsia="Arial" w:hAnsi="Arial"/>
          <w:sz w:val="18"/>
          <w:szCs w:val="18"/>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right-of-use assets, operating lease liabilities, and operating lease liabilities, net of current portion in our consolidated balance sheet. Cash payments arising from operating leases are classified within operating activities in the consolidated statement of cash flows. As of March 31, 2020, the Company has no finance leases.</w:t>
      </w:r>
    </w:p>
    <w:p>
      <w:pPr>
        <w:spacing w:after="0" w:line="8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The Company's leases are generally for facilities and office space and the Company recognizes ROU assets and lease liabilities at the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maintenance costs, utilities, or other variable lease-related payments which are not included in measuring ROU assets and lease liabilities and are recorded as lease expense in the period incurred.</w:t>
      </w:r>
    </w:p>
    <w:p>
      <w:pPr>
        <w:spacing w:after="0" w:line="73"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As permitted under Topic 842 the Company elected not to recognize ROU assets and lease liabilities for leases with an initial term of 12 months or less; lease expense from these leases are recognized on a straight-line basis over the lease term. As further permitted under Topic 842, for all material classes of leased assets, the Company elected to not separate lease components from non-lease components, accounting for both components as a single lease component. As of March 31, 2020, the Company did not have any lease agreements with residual value guarantees or material restrictions or covenants.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62"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58"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2020 and 2019 consisted of net unrealized losses on the Company’s defined and postretirement benefit plans and unrealized gains or losses on interest rate swaps designated as cash flow hedges.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45" w:right="339" w:bottom="1440" w:gutter="0" w:footer="0" w:header="0"/>
        </w:sectPr>
      </w:pPr>
    </w:p>
    <w:bookmarkStart w:id="81" w:name="page82"/>
    <w:bookmarkEnd w:id="81"/>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432"/>
        <w:spacing w:after="0" w:line="311" w:lineRule="auto"/>
        <w:rPr>
          <w:sz w:val="20"/>
          <w:szCs w:val="20"/>
          <w:color w:val="auto"/>
        </w:rPr>
      </w:pPr>
      <w:r>
        <w:rPr>
          <w:rFonts w:ascii="Arial" w:cs="Arial" w:eastAsia="Arial" w:hAnsi="Arial"/>
          <w:sz w:val="16"/>
          <w:szCs w:val="16"/>
          <w:color w:val="auto"/>
        </w:rPr>
        <w:t>Stock-based compensation to employees are recognized in the consolidated statements of operations based on their grant date fair values with the expense for time vested awards recognized on an accelerated basis over the vesting period. The expense for performance awards is recognized straight line over the vesting period. The Company uses the Black-Scholes option-pricing model to determine the fair value of its option awards at the time of grant.</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recognizes the underfunded status of defined benefit plans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7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also offers medical and dental benefits to inactive employees (and their eligible dependents) on long-term disability. The Company accrues the costs of the benefits at the date the inactive employee becomes disability eligible and elects to participate in the benefit. The accrued cost for such benefits is calculated using an actuarial estimate of the present value of all future benefit payments for obligations at the end of the fiscal year.</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117"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76"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The accounting guidance for fair value measurements establishes a three-level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20 to our consolidated financial statements for additional information on the Company’s fair value measurements.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and subsequent updates, which supersedes the leases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 and requires lessees to recognize ROU assets and lease liabilities on their balance sheet for all leases with a lease term greater than 12 months. The Company adopted the standard on April 1, 2019 using the modified retrospective transition approach, and as a result did not recast comparative prior years' information and presented prior years' amounts and disclosures under Topic 840.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70"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Upon the adoption of Topic 842, the Company recognized ROU assets of $268.8 million and lease liabilities of $330.6 million on the consolidated balance sheets, inclusive of required conforming balance sheet reclassifications pertaining to accounts such as deferred rent, tenant allowances, and lease receivables. As required under Topic 842 transition guidance,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45" w:right="339" w:bottom="1440" w:gutter="0" w:footer="0" w:header="0"/>
        </w:sectPr>
      </w:pPr>
    </w:p>
    <w:bookmarkStart w:id="82" w:name="page83"/>
    <w:bookmarkEnd w:id="82"/>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lease liabilities recognized were measured at the present value of remaining minimum rental payments pursuant to Topic 840 which include executory costs.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to the condensed balance sheet at April 1, 2019 for the adoption of Topic 842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Adoption Adjustment for</w:t>
            </w:r>
          </w:p>
        </w:tc>
        <w:tc>
          <w:tcPr>
            <w:tcW w:w="120" w:type="dxa"/>
            <w:vAlign w:val="bottom"/>
          </w:tcPr>
          <w:p>
            <w:pPr>
              <w:spacing w:after="0"/>
              <w:rPr>
                <w:sz w:val="14"/>
                <w:szCs w:val="14"/>
                <w:color w:val="auto"/>
              </w:rPr>
            </w:pPr>
          </w:p>
        </w:tc>
        <w:tc>
          <w:tcPr>
            <w:tcW w:w="15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Balance at April 1, 2019</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Topic 842</w:t>
            </w: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84,986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57,471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268,840</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87,218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649,751</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5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295,915</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151,995</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Further, at the adoption of Topic 842, the Company recognized a deferred tax liability corresponding to the operating lease right-of-use assets of $69 million and a deferred tax asset corresponding to the operating lease liabilities of $93 million, inclusive of a decrease to deferred tax assets for the deferred rent and tenant allowances of $24 million as of March 31, 2019. There was no cumulative impact to retained earnings and the adoption of Topic 842 did not have a material impact to either of the consolidated statements of operations or cash flows.</w:t>
      </w:r>
    </w:p>
    <w:p>
      <w:pPr>
        <w:spacing w:after="0" w:line="6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guidance is intended to provide relief for entities impacted by reference rate reform. Topic 848 contains provisions and optional</w:t>
      </w:r>
      <w:r>
        <w:rPr>
          <w:rFonts w:ascii="Arial" w:cs="Arial" w:eastAsia="Arial" w:hAnsi="Arial"/>
          <w:sz w:val="16"/>
          <w:szCs w:val="16"/>
          <w:i w:val="1"/>
          <w:iCs w:val="1"/>
          <w:color w:val="auto"/>
        </w:rPr>
        <w:t xml:space="preserve"> </w:t>
      </w:r>
      <w:r>
        <w:rPr>
          <w:rFonts w:ascii="Arial" w:cs="Arial" w:eastAsia="Arial" w:hAnsi="Arial"/>
          <w:sz w:val="16"/>
          <w:szCs w:val="16"/>
          <w:color w:val="auto"/>
        </w:rPr>
        <w:t>expedients designed to simplify requirements around designation of hedging relationships, probability assessments of hedged forecasted transactions and accounting for modifications of contracts that refer to LIBOR or other rates affected by reference rate reform. The guidance is elective and is effective on the date of issuance. Topic 848 is applied prospectively to contract modifications and as of the effective date for existing and new eligible hedging relationships. The guidance is temporary and will generally not be applicable to transactions which occur after December 31, 2022. The Company elected to adopt Topic 848 in the fourth quarter of fiscal 2020 and has elected to apply the hedge accounting practical expedient related to probability of the hedged future LIBOR indexed cash flows. The Company continues to evaluate the impact of this guidance and may apply other elections, as applicable. The adoption of this guidance did not have a material impact on the consolidated financial statements and disclosures.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Is a Service Contract</w:t>
      </w:r>
      <w:r>
        <w:rPr>
          <w:rFonts w:ascii="Arial" w:cs="Arial" w:eastAsia="Arial" w:hAnsi="Arial"/>
          <w:sz w:val="16"/>
          <w:szCs w:val="16"/>
          <w:color w:val="auto"/>
        </w:rPr>
        <w:t>. This guidance requires a customer in a cloud computing arrangement that is a service contract to follow existing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does not expect the adoption of this standard to have a material impact on the consolidated financial statements.</w:t>
      </w:r>
    </w:p>
    <w:p>
      <w:pPr>
        <w:spacing w:after="0" w:line="5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(Topic 326). This guidance requires companies to record an allowance for expected credit losses over the contractual term of certain financial assets, including trade receivables and contract assets, and expands disclosure requirements for credit quality of financial assets. The adoption of ASU 2016-13 will be applied as a cumulative-effect adjustment to retained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45" w:right="339" w:bottom="1440" w:gutter="0" w:footer="0" w:header="0"/>
        </w:sectPr>
      </w:pPr>
    </w:p>
    <w:bookmarkStart w:id="83" w:name="page84"/>
    <w:bookmarkEnd w:id="83"/>
    <w:p>
      <w:pPr>
        <w:jc w:val="center"/>
        <w:ind w:left="360" w:right="20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earnings as of the beginning of the first reporting period after adoption. The Company does not expect the adoption of the new standard on April 1, 2020 to have a material impact on the Company's consolidated financial statements.</w:t>
      </w:r>
    </w:p>
    <w:p>
      <w:pPr>
        <w:spacing w:after="0" w:line="6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Other recent accounting pronouncements issued during fiscal 2020 and through the filing date are not expected to have a material impact on the Company's present or historical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720" w:hanging="656"/>
        <w:spacing w:after="0" w:line="342" w:lineRule="auto"/>
        <w:tabs>
          <w:tab w:leader="none" w:pos="1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160" w:hanging="656"/>
        <w:spacing w:after="0" w:line="259"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hanging="656"/>
        <w:spacing w:after="0" w:line="263" w:lineRule="auto"/>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320" w:top="445" w:right="379" w:bottom="1440" w:gutter="0" w:footer="0" w:header="0"/>
        </w:sectPr>
      </w:pPr>
    </w:p>
    <w:bookmarkStart w:id="84" w:name="page85"/>
    <w:bookmarkEnd w:id="84"/>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32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Ended March 31,</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3"/>
        </w:trPr>
        <w:tc>
          <w:tcPr>
            <w:tcW w:w="140" w:type="dxa"/>
            <w:vAlign w:val="bottom"/>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36"/>
        </w:trPr>
        <w:tc>
          <w:tcPr>
            <w:tcW w:w="14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2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4,211,592</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3,580,595</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3,155,049</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51%</w:t>
            </w:r>
          </w:p>
        </w:tc>
      </w:tr>
      <w:tr>
        <w:trPr>
          <w:trHeight w:val="237"/>
        </w:trPr>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1,737,414</w:t>
            </w:r>
          </w:p>
        </w:tc>
        <w:tc>
          <w:tcPr>
            <w:tcW w:w="620" w:type="dxa"/>
            <w:vAlign w:val="bottom"/>
          </w:tcPr>
          <w:p>
            <w:pPr>
              <w:jc w:val="center"/>
              <w:spacing w:after="0"/>
              <w:rPr>
                <w:sz w:val="20"/>
                <w:szCs w:val="20"/>
                <w:color w:val="auto"/>
              </w:rPr>
            </w:pPr>
            <w:r>
              <w:rPr>
                <w:rFonts w:ascii="Arial" w:cs="Arial" w:eastAsia="Arial" w:hAnsi="Arial"/>
                <w:sz w:val="16"/>
                <w:szCs w:val="16"/>
                <w:color w:val="auto"/>
                <w:w w:val="93"/>
              </w:rPr>
              <w:t>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1,576,673</w:t>
            </w:r>
          </w:p>
        </w:tc>
        <w:tc>
          <w:tcPr>
            <w:tcW w:w="640" w:type="dxa"/>
            <w:vAlign w:val="bottom"/>
          </w:tcPr>
          <w:p>
            <w:pPr>
              <w:jc w:val="center"/>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1,542,899</w:t>
            </w:r>
          </w:p>
        </w:tc>
        <w:tc>
          <w:tcPr>
            <w:tcW w:w="620" w:type="dxa"/>
            <w:vAlign w:val="bottom"/>
          </w:tcPr>
          <w:p>
            <w:pPr>
              <w:jc w:val="center"/>
              <w:spacing w:after="0"/>
              <w:rPr>
                <w:sz w:val="20"/>
                <w:szCs w:val="20"/>
                <w:color w:val="auto"/>
              </w:rPr>
            </w:pPr>
            <w:r>
              <w:rPr>
                <w:rFonts w:ascii="Arial" w:cs="Arial" w:eastAsia="Arial" w:hAnsi="Arial"/>
                <w:sz w:val="16"/>
                <w:szCs w:val="16"/>
                <w:color w:val="auto"/>
                <w:w w:val="87"/>
              </w:rPr>
              <w:t>25%</w:t>
            </w:r>
          </w:p>
        </w:tc>
      </w:tr>
      <w:tr>
        <w:trPr>
          <w:trHeight w:val="33"/>
        </w:trPr>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1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1,514,835</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1,546,769</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1,469,652</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24%</w:t>
            </w:r>
          </w:p>
        </w:tc>
      </w:tr>
      <w:tr>
        <w:trPr>
          <w:trHeight w:val="217"/>
        </w:trPr>
        <w:tc>
          <w:tcPr>
            <w:tcW w:w="14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7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7,463,841</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6,704,037</w:t>
            </w: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6,167,600</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411"/>
        </w:trPr>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60" w:type="dxa"/>
            <w:vAlign w:val="bottom"/>
            <w:gridSpan w:val="5"/>
          </w:tcPr>
          <w:p>
            <w:pPr>
              <w:ind w:left="1240"/>
              <w:spacing w:after="0"/>
              <w:rPr>
                <w:sz w:val="20"/>
                <w:szCs w:val="20"/>
                <w:color w:val="auto"/>
              </w:rPr>
            </w:pPr>
            <w:r>
              <w:rPr>
                <w:rFonts w:ascii="Arial" w:cs="Arial" w:eastAsia="Arial" w:hAnsi="Arial"/>
                <w:sz w:val="18"/>
                <w:szCs w:val="18"/>
                <w:i w:val="1"/>
                <w:iCs w:val="1"/>
                <w:color w:val="auto"/>
              </w:rPr>
              <w:t>Revenue by Customer Type: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9"/>
        </w:trPr>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Ended March 31,</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64"/>
        </w:trPr>
        <w:tc>
          <w:tcPr>
            <w:tcW w:w="140" w:type="dxa"/>
            <w:vAlign w:val="bottom"/>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49"/>
        </w:trPr>
        <w:tc>
          <w:tcPr>
            <w:tcW w:w="1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Defense Clients</w:t>
            </w:r>
          </w:p>
        </w:tc>
        <w:tc>
          <w:tcPr>
            <w:tcW w:w="20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3,568,659</w:t>
            </w:r>
          </w:p>
        </w:tc>
        <w:tc>
          <w:tcPr>
            <w:tcW w:w="620" w:type="dxa"/>
            <w:vAlign w:val="bottom"/>
          </w:tcPr>
          <w:p>
            <w:pPr>
              <w:jc w:val="center"/>
              <w:spacing w:after="0"/>
              <w:rPr>
                <w:sz w:val="20"/>
                <w:szCs w:val="20"/>
                <w:color w:val="auto"/>
              </w:rPr>
            </w:pPr>
            <w:r>
              <w:rPr>
                <w:rFonts w:ascii="Arial" w:cs="Arial" w:eastAsia="Arial" w:hAnsi="Arial"/>
                <w:sz w:val="16"/>
                <w:szCs w:val="16"/>
                <w:color w:val="auto"/>
                <w:w w:val="93"/>
              </w:rPr>
              <w:t>47%</w:t>
            </w:r>
          </w:p>
        </w:tc>
        <w:tc>
          <w:tcPr>
            <w:tcW w:w="12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3,114,571</w:t>
            </w:r>
          </w:p>
        </w:tc>
        <w:tc>
          <w:tcPr>
            <w:tcW w:w="640" w:type="dxa"/>
            <w:vAlign w:val="bottom"/>
          </w:tcPr>
          <w:p>
            <w:pPr>
              <w:jc w:val="center"/>
              <w:spacing w:after="0"/>
              <w:rPr>
                <w:sz w:val="20"/>
                <w:szCs w:val="20"/>
                <w:color w:val="auto"/>
              </w:rPr>
            </w:pPr>
            <w:r>
              <w:rPr>
                <w:rFonts w:ascii="Arial" w:cs="Arial" w:eastAsia="Arial" w:hAnsi="Arial"/>
                <w:sz w:val="16"/>
                <w:szCs w:val="16"/>
                <w:color w:val="auto"/>
                <w:w w:val="93"/>
              </w:rPr>
              <w:t>47%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2,830,102</w:t>
            </w:r>
          </w:p>
        </w:tc>
        <w:tc>
          <w:tcPr>
            <w:tcW w:w="620" w:type="dxa"/>
            <w:vAlign w:val="bottom"/>
          </w:tcPr>
          <w:p>
            <w:pPr>
              <w:jc w:val="center"/>
              <w:spacing w:after="0"/>
              <w:rPr>
                <w:sz w:val="20"/>
                <w:szCs w:val="20"/>
                <w:color w:val="auto"/>
              </w:rPr>
            </w:pPr>
            <w:r>
              <w:rPr>
                <w:rFonts w:ascii="Arial" w:cs="Arial" w:eastAsia="Arial" w:hAnsi="Arial"/>
                <w:sz w:val="16"/>
                <w:szCs w:val="16"/>
                <w:color w:val="auto"/>
                <w:w w:val="87"/>
              </w:rPr>
              <w:t>46%</w:t>
            </w:r>
          </w:p>
        </w:tc>
      </w:tr>
      <w:tr>
        <w:trPr>
          <w:trHeight w:val="33"/>
        </w:trPr>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Intelligence Clients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1,614,315</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1,566,870</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1,494,489</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24%</w:t>
            </w:r>
          </w:p>
        </w:tc>
      </w:tr>
      <w:tr>
        <w:trPr>
          <w:trHeight w:val="237"/>
        </w:trPr>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Civil Clients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2,019,245</w:t>
            </w:r>
          </w:p>
        </w:tc>
        <w:tc>
          <w:tcPr>
            <w:tcW w:w="62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1,760,996</w:t>
            </w:r>
          </w:p>
        </w:tc>
        <w:tc>
          <w:tcPr>
            <w:tcW w:w="640" w:type="dxa"/>
            <w:vAlign w:val="bottom"/>
          </w:tcPr>
          <w:p>
            <w:pPr>
              <w:jc w:val="center"/>
              <w:spacing w:after="0"/>
              <w:rPr>
                <w:sz w:val="20"/>
                <w:szCs w:val="20"/>
                <w:color w:val="auto"/>
              </w:rPr>
            </w:pPr>
            <w:r>
              <w:rPr>
                <w:rFonts w:ascii="Arial" w:cs="Arial" w:eastAsia="Arial" w:hAnsi="Arial"/>
                <w:sz w:val="16"/>
                <w:szCs w:val="16"/>
                <w:color w:val="auto"/>
                <w:w w:val="93"/>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1,644,860</w:t>
            </w:r>
          </w:p>
        </w:tc>
        <w:tc>
          <w:tcPr>
            <w:tcW w:w="620" w:type="dxa"/>
            <w:vAlign w:val="bottom"/>
          </w:tcPr>
          <w:p>
            <w:pPr>
              <w:jc w:val="center"/>
              <w:spacing w:after="0"/>
              <w:rPr>
                <w:sz w:val="20"/>
                <w:szCs w:val="20"/>
                <w:color w:val="auto"/>
              </w:rPr>
            </w:pPr>
            <w:r>
              <w:rPr>
                <w:rFonts w:ascii="Arial" w:cs="Arial" w:eastAsia="Arial" w:hAnsi="Arial"/>
                <w:sz w:val="16"/>
                <w:szCs w:val="16"/>
                <w:color w:val="auto"/>
                <w:w w:val="87"/>
              </w:rPr>
              <w:t>27%</w:t>
            </w:r>
          </w:p>
        </w:tc>
      </w:tr>
      <w:tr>
        <w:trPr>
          <w:trHeight w:val="33"/>
        </w:trPr>
        <w:tc>
          <w:tcPr>
            <w:tcW w:w="1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14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1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7,202,219</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6,442,437</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5,969,451</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97%</w:t>
            </w:r>
          </w:p>
        </w:tc>
      </w:tr>
      <w:tr>
        <w:trPr>
          <w:trHeight w:val="237"/>
        </w:trPr>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Global Commercial Clients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261,622</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261,600</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198,149</w:t>
            </w:r>
          </w:p>
        </w:tc>
        <w:tc>
          <w:tcPr>
            <w:tcW w:w="620" w:type="dxa"/>
            <w:vAlign w:val="bottom"/>
          </w:tcPr>
          <w:p>
            <w:pPr>
              <w:jc w:val="center"/>
              <w:spacing w:after="0"/>
              <w:rPr>
                <w:sz w:val="20"/>
                <w:szCs w:val="20"/>
                <w:color w:val="auto"/>
              </w:rPr>
            </w:pPr>
            <w:r>
              <w:rPr>
                <w:rFonts w:ascii="Arial" w:cs="Arial" w:eastAsia="Arial" w:hAnsi="Arial"/>
                <w:sz w:val="16"/>
                <w:szCs w:val="16"/>
                <w:color w:val="auto"/>
                <w:w w:val="86"/>
              </w:rPr>
              <w:t>3%</w:t>
            </w:r>
          </w:p>
        </w:tc>
      </w:tr>
      <w:tr>
        <w:trPr>
          <w:trHeight w:val="33"/>
        </w:trPr>
        <w:tc>
          <w:tcPr>
            <w:tcW w:w="1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14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7,463,841</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6,704,037</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6,167,600</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378"/>
        </w:trPr>
        <w:tc>
          <w:tcPr>
            <w:tcW w:w="6180" w:type="dxa"/>
            <w:vAlign w:val="bottom"/>
            <w:gridSpan w:val="5"/>
          </w:tcPr>
          <w:p>
            <w:pPr>
              <w:jc w:val="right"/>
              <w:ind w:right="41"/>
              <w:spacing w:after="0"/>
              <w:rPr>
                <w:sz w:val="20"/>
                <w:szCs w:val="20"/>
                <w:color w:val="auto"/>
              </w:rPr>
            </w:pPr>
            <w:r>
              <w:rPr>
                <w:rFonts w:ascii="Arial" w:cs="Arial" w:eastAsia="Arial" w:hAnsi="Arial"/>
                <w:sz w:val="18"/>
                <w:szCs w:val="18"/>
                <w:i w:val="1"/>
                <w:iCs w:val="1"/>
                <w:color w:val="auto"/>
                <w:w w:val="90"/>
              </w:rPr>
              <w:t>Revenue by Whether the Company Acts as a Prime Contractor or a Sub-Contractor: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9"/>
        </w:trPr>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Fiscal Year Ended March 31,</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64"/>
        </w:trPr>
        <w:tc>
          <w:tcPr>
            <w:tcW w:w="140" w:type="dxa"/>
            <w:vAlign w:val="bottom"/>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36"/>
        </w:trPr>
        <w:tc>
          <w:tcPr>
            <w:tcW w:w="14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2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6,884,763</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6,159,918</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5,626,544</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91%</w:t>
            </w:r>
          </w:p>
        </w:tc>
      </w:tr>
      <w:tr>
        <w:trPr>
          <w:trHeight w:val="237"/>
        </w:trPr>
        <w:tc>
          <w:tcPr>
            <w:tcW w:w="1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6"/>
                <w:szCs w:val="16"/>
                <w:color w:val="auto"/>
              </w:rPr>
              <w:t>Sub-contractor</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579,078</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544,119</w:t>
            </w:r>
          </w:p>
        </w:tc>
        <w:tc>
          <w:tcPr>
            <w:tcW w:w="64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541,056</w:t>
            </w:r>
          </w:p>
        </w:tc>
        <w:tc>
          <w:tcPr>
            <w:tcW w:w="620" w:type="dxa"/>
            <w:vAlign w:val="bottom"/>
          </w:tcPr>
          <w:p>
            <w:pPr>
              <w:jc w:val="center"/>
              <w:spacing w:after="0"/>
              <w:rPr>
                <w:sz w:val="20"/>
                <w:szCs w:val="20"/>
                <w:color w:val="auto"/>
              </w:rPr>
            </w:pPr>
            <w:r>
              <w:rPr>
                <w:rFonts w:ascii="Arial" w:cs="Arial" w:eastAsia="Arial" w:hAnsi="Arial"/>
                <w:sz w:val="16"/>
                <w:szCs w:val="16"/>
                <w:color w:val="auto"/>
                <w:w w:val="86"/>
              </w:rPr>
              <w:t>9%</w:t>
            </w:r>
          </w:p>
        </w:tc>
      </w:tr>
      <w:tr>
        <w:trPr>
          <w:trHeight w:val="33"/>
        </w:trPr>
        <w:tc>
          <w:tcPr>
            <w:tcW w:w="1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7,463,841</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6,704,037</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6,167,600</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14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6"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As of March 31, 2020 and 2019, the Company had $6.3 billion and $5.8 billion of remaining performance obligations, respectively. We expect to recognize more than half of the remaining performance obligations as of March 31, 2020 as revenue over the next 12 months, and approximately three quarters over the next 24 months. The remainder is expected to be recognized thereafter.</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discussed in Note 2, 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6 for more information on receivables recognized from contracts accounted for under Topic 606.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45" w:right="339" w:bottom="1440" w:gutter="0" w:footer="0" w:header="0"/>
        </w:sectPr>
      </w:pPr>
    </w:p>
    <w:bookmarkStart w:id="85" w:name="page86"/>
    <w:bookmarkEnd w:id="85"/>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168910</wp:posOffset>
            </wp:positionV>
            <wp:extent cx="1971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7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988,634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846,372</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61,391</w:t>
            </w:r>
          </w:p>
        </w:tc>
      </w:tr>
      <w:tr>
        <w:trPr>
          <w:trHeight w:val="237"/>
        </w:trPr>
        <w:tc>
          <w:tcPr>
            <w:tcW w:w="7600" w:type="dxa"/>
            <w:vAlign w:val="bottom"/>
          </w:tcPr>
          <w:p>
            <w:pPr>
              <w:ind w:left="5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907,763</w:t>
            </w: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380"/>
              <w:spacing w:after="0"/>
              <w:rPr>
                <w:sz w:val="20"/>
                <w:szCs w:val="20"/>
                <w:color w:val="auto"/>
              </w:rPr>
            </w:pPr>
            <w:r>
              <w:rPr>
                <w:rFonts w:ascii="Arial" w:cs="Arial" w:eastAsia="Arial" w:hAnsi="Arial"/>
                <w:sz w:val="18"/>
                <w:szCs w:val="18"/>
                <w:color w:val="auto"/>
              </w:rPr>
              <w:t>Advance payments, billings in excess of costs incurred and deferred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26,018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21,316</w:t>
            </w:r>
          </w:p>
        </w:tc>
      </w:tr>
    </w:tbl>
    <w:p>
      <w:pPr>
        <w:spacing w:after="0" w:line="33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fiscal 2020, 2019 and 2018, we recognized revenue of $18.9 million, $25.3 million and $16.2 million, respectively, related to our contract liabilities on April 1, 2019, 2018 and 2017,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The Company currently has outstanding shares of Class A Common Stock. Holders of unvested Class A Common Stock and time-vested restricted stock units are entitled to participate in non-forfeitable dividends or other distributions. These unvested restricted shares participated in the Company's dividends declared and paid in each quarter of fiscal 2020, 2019, and 2018.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481,085</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416,664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 computations</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140,059,494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141,910,799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145,964,574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481,092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416,675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299,837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Dilutive stock options and restricted stock</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1,178,641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1,245,377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1,785,448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for diluted computations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141,238,135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143,156,176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147,750,022</w:t>
            </w:r>
          </w:p>
        </w:tc>
        <w:tc>
          <w:tcPr>
            <w:tcW w:w="0" w:type="dxa"/>
            <w:vAlign w:val="bottom"/>
          </w:tcPr>
          <w:p>
            <w:pPr>
              <w:spacing w:after="0"/>
              <w:rPr>
                <w:sz w:val="1"/>
                <w:szCs w:val="1"/>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8"/>
        <w:spacing w:after="0" w:line="257"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fiscal 2020, 2019, and 2018 approximately 0.4 million, 0.6 million, and 0.8 million shares of participating securities were paid dividends totaling $0.7 million, $0.6 million, and $0.8 million, respectively. There were undistributed earnings of $0.9 million, $1.2 million, and $1.1 million allocated to the participating class of securities in both basic and diluted earnings per share for fiscal 2020, 2019, and 2018, respectively. The allocated undistributed earnings and the dividends paid comprise the difference between net income presented on the consolidated statements of operations and earnings for basic and diluted computations for fiscal 2020, 2019, and 2018.</w:t>
      </w:r>
    </w:p>
    <w:p>
      <w:pPr>
        <w:spacing w:after="0" w:line="2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EPS calculation for fiscal 2020, 2019, and 2018 excludes 0.2 million, 0.2 million, and 0.3 million options, respectively, as their impact was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45" w:right="339" w:bottom="1440" w:gutter="0" w:footer="0" w:header="0"/>
        </w:sectPr>
      </w:pPr>
    </w:p>
    <w:bookmarkStart w:id="86" w:name="page87"/>
    <w:bookmarkEnd w:id="86"/>
    <w:p>
      <w:pPr>
        <w:jc w:val="center"/>
        <w:ind w:left="360" w:right="20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19" w:lineRule="exact"/>
        <w:rPr>
          <w:sz w:val="20"/>
          <w:szCs w:val="20"/>
          <w:color w:val="auto"/>
        </w:rPr>
      </w:pPr>
    </w:p>
    <w:p>
      <w:pPr>
        <w:ind w:left="260" w:right="7640" w:hanging="252"/>
        <w:spacing w:after="0" w:line="346" w:lineRule="auto"/>
        <w:tabs>
          <w:tab w:leader="none" w:pos="19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both March 31, 2020 and 2019, goodwill was $1,581.2 million.</w:t>
      </w:r>
    </w:p>
    <w:p>
      <w:pPr>
        <w:spacing w:after="0" w:line="9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90"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2020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90"/>
        </w:trPr>
        <w:tc>
          <w:tcPr>
            <w:tcW w:w="3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0"/>
        </w:trPr>
        <w:tc>
          <w:tcPr>
            <w:tcW w:w="3240" w:type="dxa"/>
            <w:vAlign w:val="bottom"/>
          </w:tcPr>
          <w:p>
            <w:pPr>
              <w:ind w:left="280"/>
              <w:spacing w:after="0"/>
              <w:rPr>
                <w:sz w:val="20"/>
                <w:szCs w:val="20"/>
                <w:color w:val="auto"/>
              </w:rPr>
            </w:pPr>
            <w:r>
              <w:rPr>
                <w:rFonts w:ascii="Arial" w:cs="Arial" w:eastAsia="Arial" w:hAnsi="Arial"/>
                <w:sz w:val="16"/>
                <w:szCs w:val="16"/>
                <w:color w:val="auto"/>
              </w:rPr>
              <w:t>Customer relationships and 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240" w:type="dxa"/>
            <w:vAlign w:val="bottom"/>
          </w:tcPr>
          <w:p>
            <w:pPr>
              <w:ind w:left="280"/>
              <w:spacing w:after="0"/>
              <w:rPr>
                <w:sz w:val="20"/>
                <w:szCs w:val="20"/>
                <w:color w:val="auto"/>
              </w:rPr>
            </w:pPr>
            <w:r>
              <w:rPr>
                <w:rFonts w:ascii="Arial" w:cs="Arial" w:eastAsia="Arial" w:hAnsi="Arial"/>
                <w:sz w:val="16"/>
                <w:szCs w:val="16"/>
                <w:color w:val="auto"/>
              </w:rPr>
              <w:t>amortizable intangible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88,350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46,285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42,065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115,814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60,762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55,052</w:t>
            </w:r>
          </w:p>
        </w:tc>
      </w:tr>
      <w:tr>
        <w:trPr>
          <w:trHeight w:val="33"/>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Software</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68,722</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41,799</w:t>
            </w:r>
          </w:p>
        </w:tc>
      </w:tr>
      <w:tr>
        <w:trPr>
          <w:trHeight w:val="217"/>
        </w:trPr>
        <w:tc>
          <w:tcPr>
            <w:tcW w:w="3240" w:type="dxa"/>
            <w:vAlign w:val="bottom"/>
          </w:tcPr>
          <w:p>
            <w:pPr>
              <w:ind w:left="20"/>
              <w:spacing w:after="0"/>
              <w:rPr>
                <w:sz w:val="20"/>
                <w:szCs w:val="20"/>
                <w:color w:val="auto"/>
              </w:rPr>
            </w:pPr>
            <w:r>
              <w:rPr>
                <w:rFonts w:ascii="Arial" w:cs="Arial" w:eastAsia="Arial" w:hAnsi="Arial"/>
                <w:sz w:val="16"/>
                <w:szCs w:val="16"/>
                <w:color w:val="auto"/>
              </w:rPr>
              <w:t>Total amortizable intangible assets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189,760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78,973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110,787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204,152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96,851</w:t>
            </w:r>
          </w:p>
        </w:tc>
      </w:tr>
      <w:tr>
        <w:trPr>
          <w:trHeight w:val="33"/>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Unamortizable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6"/>
                <w:szCs w:val="16"/>
                <w:color w:val="auto"/>
              </w:rPr>
              <w:t>Trade name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r>
      <w:tr>
        <w:trPr>
          <w:trHeight w:val="33"/>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379,960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78,973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300,987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394,352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107,301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287,051</w:t>
            </w: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Intangible assets related to customer relationships are generally amortized on an accelerated basis over periods ranging from 3 years to 12 years, and those related to software are generally amortized on a straight line basis over periods ranging from 3 years to 5 years.</w:t>
      </w:r>
    </w:p>
    <w:p>
      <w:pPr>
        <w:spacing w:after="0" w:line="143"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Company performed an annual impairment test of the trade name as of January 1, 2020 and 2019, and did not identify any impairment. During fiscal 2020, gross carrying value and accumulated amortization were reduced related to fully-amortized intangible assets.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for fiscal 2020, 2019, and 2018 was $22.3 million, $20.9 million, and $20.7 million, respectively.</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estimated annual amortization expense for future periods, which does not reflect amortization expense for certain intangible assets that are not yet placed in service:</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8920" w:type="dxa"/>
            <w:vAlign w:val="bottom"/>
          </w:tcPr>
          <w:p>
            <w:pPr>
              <w:ind w:left="20"/>
              <w:spacing w:after="0"/>
              <w:rPr>
                <w:sz w:val="20"/>
                <w:szCs w:val="20"/>
                <w:color w:val="auto"/>
              </w:rPr>
            </w:pPr>
            <w:r>
              <w:rPr>
                <w:rFonts w:ascii="Arial" w:cs="Arial" w:eastAsia="Arial" w:hAnsi="Arial"/>
                <w:sz w:val="16"/>
                <w:szCs w:val="16"/>
                <w:b w:val="1"/>
                <w:bCs w:val="1"/>
                <w:color w:val="auto"/>
              </w:rPr>
              <w:t>For the Fiscal Year Ended March 31,</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17,759</w:t>
            </w: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13,330</w:t>
            </w:r>
          </w:p>
        </w:tc>
      </w:tr>
      <w:tr>
        <w:trPr>
          <w:trHeight w:val="33"/>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6"/>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11,131</w:t>
            </w:r>
          </w:p>
        </w:tc>
      </w:tr>
      <w:tr>
        <w:trPr>
          <w:trHeight w:val="224"/>
        </w:trPr>
        <w:tc>
          <w:tcPr>
            <w:tcW w:w="892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7,768</w:t>
            </w:r>
          </w:p>
        </w:tc>
      </w:tr>
      <w:tr>
        <w:trPr>
          <w:trHeight w:val="33"/>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4,826</w:t>
            </w:r>
          </w:p>
        </w:tc>
      </w:tr>
      <w:tr>
        <w:trPr>
          <w:trHeight w:val="223"/>
        </w:trPr>
        <w:tc>
          <w:tcPr>
            <w:tcW w:w="8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8,256</w:t>
            </w:r>
          </w:p>
        </w:tc>
      </w:tr>
      <w:tr>
        <w:trPr>
          <w:trHeight w:val="33"/>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estimated amortization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63,070</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445" w:right="379" w:bottom="1440" w:gutter="0" w:footer="0" w:header="0"/>
        </w:sectPr>
      </w:pPr>
    </w:p>
    <w:bookmarkStart w:id="87" w:name="page88"/>
    <w:bookmarkEnd w:id="87"/>
    <w:p>
      <w:pPr>
        <w:jc w:val="center"/>
        <w:ind w:left="420" w:right="200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76" w:lineRule="exact"/>
        <w:rPr>
          <w:sz w:val="20"/>
          <w:szCs w:val="20"/>
          <w:color w:val="auto"/>
        </w:rPr>
      </w:pPr>
    </w:p>
    <w:p>
      <w:pPr>
        <w:ind w:left="420" w:right="6020" w:hanging="412"/>
        <w:spacing w:after="0" w:line="445" w:lineRule="auto"/>
        <w:tabs>
          <w:tab w:leader="none" w:pos="195"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4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474,822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494,671</w:t>
            </w:r>
          </w:p>
        </w:tc>
      </w:tr>
      <w:tr>
        <w:trPr>
          <w:trHeight w:val="27"/>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988,634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846,372</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(10,679)</w:t>
            </w:r>
          </w:p>
        </w:tc>
      </w:tr>
      <w:tr>
        <w:trPr>
          <w:trHeight w:val="27"/>
        </w:trPr>
        <w:tc>
          <w:tcPr>
            <w:tcW w:w="6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1,459,471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1,330,364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61,391</w:t>
            </w:r>
          </w:p>
        </w:tc>
      </w:tr>
      <w:tr>
        <w:trPr>
          <w:trHeight w:val="237"/>
        </w:trPr>
        <w:tc>
          <w:tcPr>
            <w:tcW w:w="650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1,522,071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1,391,755</w:t>
            </w:r>
          </w:p>
        </w:tc>
      </w:tr>
      <w:tr>
        <w:trPr>
          <w:trHeight w:val="27"/>
        </w:trPr>
        <w:tc>
          <w:tcPr>
            <w:tcW w:w="6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Unbilled amounts represent revenues for which billings have not been presented to customers at year end. These amounts are usually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(benefit) provision for doubtful accounts of $(6.4) million, $11.9 million, and $0.7 million for fiscal 2020, 2019, and 2018,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174,298</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94,529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96,028</w:t>
            </w: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245,685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225,310</w:t>
            </w:r>
          </w:p>
        </w:tc>
      </w:tr>
      <w:tr>
        <w:trPr>
          <w:trHeight w:val="237"/>
        </w:trPr>
        <w:tc>
          <w:tcPr>
            <w:tcW w:w="710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480,446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495,636</w:t>
            </w:r>
          </w:p>
        </w:tc>
      </w:tr>
      <w:tr>
        <w:trPr>
          <w:trHeight w:val="27"/>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(323,183)</w:t>
            </w:r>
          </w:p>
        </w:tc>
      </w:tr>
      <w:tr>
        <w:trPr>
          <w:trHeight w:val="237"/>
        </w:trPr>
        <w:tc>
          <w:tcPr>
            <w:tcW w:w="7100" w:type="dxa"/>
            <w:vAlign w:val="bottom"/>
          </w:tcPr>
          <w:p>
            <w:pPr>
              <w:ind w:left="11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208,077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172,453</w:t>
            </w:r>
          </w:p>
        </w:tc>
      </w:tr>
      <w:tr>
        <w:trPr>
          <w:trHeight w:val="27"/>
        </w:trPr>
        <w:tc>
          <w:tcPr>
            <w:tcW w:w="7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Depreciation and amortization expense relating to property and equipment for fiscal 2020, 2019, and 2018 was $58.8 million, $47.8 million, and $44.3 million, respectively. During fiscal 2020 and 2019, the Company reduced the gross cost and accumulated depreciation and amortization by $171.8 million and $11.4 million, respectively, for zero net book value assets deemed no longer in service.</w:t>
      </w:r>
    </w:p>
    <w:p>
      <w:pPr>
        <w:spacing w:after="0" w:line="288" w:lineRule="exact"/>
        <w:rPr>
          <w:sz w:val="20"/>
          <w:szCs w:val="20"/>
          <w:color w:val="auto"/>
        </w:rPr>
      </w:pPr>
    </w:p>
    <w:p>
      <w:pPr>
        <w:ind w:left="440" w:right="5420" w:hanging="432"/>
        <w:spacing w:after="0" w:line="445" w:lineRule="auto"/>
        <w:tabs>
          <w:tab w:leader="none" w:pos="18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148"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Vendor payables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432,953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417,648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265,058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247,300</w:t>
            </w:r>
          </w:p>
        </w:tc>
      </w:tr>
      <w:tr>
        <w:trPr>
          <w:trHeight w:val="27"/>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accounts payable and other accrued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698,011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664,948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Accrued expenses consisted primarily of the Company’s provision for claimed indirect costs, which was approximately $224.6 million and $195.3 million as of March 31, 2020 and 2019, respectively. Refer to Note 22 for further discussion of this provision.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45" w:right="439" w:bottom="1440" w:gutter="0" w:footer="0" w:header="0"/>
        </w:sectPr>
      </w:pPr>
    </w:p>
    <w:bookmarkStart w:id="88" w:name="page89"/>
    <w:bookmarkEnd w:id="88"/>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263"/>
        </w:trPr>
        <w:tc>
          <w:tcPr>
            <w:tcW w:w="65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114,359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117,604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41,604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37,678</w:t>
            </w:r>
          </w:p>
        </w:tc>
      </w:tr>
      <w:tr>
        <w:trPr>
          <w:trHeight w:val="27"/>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159,512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141,953</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33,300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28,318</w:t>
            </w:r>
          </w:p>
        </w:tc>
      </w:tr>
      <w:tr>
        <w:trPr>
          <w:trHeight w:val="27"/>
        </w:trPr>
        <w:tc>
          <w:tcPr>
            <w:tcW w:w="6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348,775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325,553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PAYMENT OBLIGATION</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or until settlement of all outstanding claims, less any settled claims. Pursuant to the Merger Agreement, $78.0 million of the $158.0 million DPO was required to be paid in full to the selling stockholders. On December 11, 2009, in connection with a recapitalization transaction, $100.4 million was paid to the selling stockholders, of which $78.0 million was the repayment of that portion of the DPO, with approximately $22.4 million representing accrued interest.</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remaining $80.0 million balance, which was recorded in other current liabilities, was available to indemnify the Company for certain pre-acquisition tax contingencies, related interest and penalties, and other matters pursuant to the Merger Agreement. All remaining potential claims outstanding that were able to be indemnified under the DPO related to former officers and stockholders' lawsuits, which were all settled as of December 31, 2019. See Note 22 to the accompanying consolidated financial statements. Any amounts remaining after the settlement of all claims were to be paid out to the selling stockholders. On December 18, 2019, the Company paid approximately $83.0 million to the selling stockholders, of which $80.0 million was the repayment of the remaining DPO balance, with $3.0 million representing accrued interest.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2019</w:t>
            </w:r>
          </w:p>
        </w:tc>
      </w:tr>
      <w:tr>
        <w:trPr>
          <w:trHeight w:val="152"/>
        </w:trPr>
        <w:tc>
          <w:tcPr>
            <w:tcW w:w="5380" w:type="dxa"/>
            <w:vAlign w:val="bottom"/>
          </w:tcPr>
          <w:p>
            <w:pPr>
              <w:spacing w:after="0"/>
              <w:rPr>
                <w:sz w:val="13"/>
                <w:szCs w:val="13"/>
                <w:color w:val="auto"/>
              </w:rPr>
            </w:pPr>
          </w:p>
        </w:tc>
        <w:tc>
          <w:tcPr>
            <w:tcW w:w="15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5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1,363,739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1,037,713</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388,102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391,050</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350,000</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(19,002)</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2,185,844</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1,759,761</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portion of long-term debt</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(177,865)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(57,924)</w:t>
            </w:r>
          </w:p>
        </w:tc>
      </w:tr>
      <w:tr>
        <w:trPr>
          <w:trHeight w:val="236"/>
        </w:trPr>
        <w:tc>
          <w:tcPr>
            <w:tcW w:w="5380" w:type="dxa"/>
            <w:vAlign w:val="bottom"/>
          </w:tcPr>
          <w:p>
            <w:pPr>
              <w:ind w:left="48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2,007,979</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1,701,837</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Loans and Revolving Credit Facility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320" w:top="445" w:right="359" w:bottom="1440" w:gutter="0" w:footer="0" w:header="0"/>
        </w:sectPr>
      </w:pPr>
    </w:p>
    <w:bookmarkStart w:id="89" w:name="page90"/>
    <w:bookmarkEnd w:id="8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6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As of March 31, 2020, the Credit Agreement provided the Company with a $1,363.7 million Term Loan A, a $388.1 million Term Loan B and $500.0 million revolving credit facility (the “Revolving Credit Facility”) with a sub-limit for letters of credit of $100.0 million. As of March 31,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6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w:t>
      </w:r>
    </w:p>
    <w:p>
      <w:pPr>
        <w:ind w:right="60" w:firstLine="8"/>
        <w:spacing w:after="0" w:line="252"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Booz Allen Hamilton occasionally borrows under the Revolving Credit Facility in anticipation of cash demands. During fiscal 2020 and 2019, Booz Allen Hamilton accessed a total of $100 million and $110 million, respectively, of its $500 million Revolving Credit Facility. As of March 31, 2020, $100 million was outstanding on the Revolving Credit Facility. As of March 31, 2019, there was no outstanding balance on the Revolving Credit Facility.</w:t>
      </w:r>
    </w:p>
    <w:p>
      <w:pPr>
        <w:spacing w:after="0" w:line="4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45" w:right="339" w:bottom="1440" w:gutter="0" w:footer="0" w:header="0"/>
        </w:sectPr>
      </w:pPr>
    </w:p>
    <w:bookmarkStart w:id="90" w:name="page91"/>
    <w:bookmarkEnd w:id="90"/>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200"/>
        <w:spacing w:after="0" w:line="253" w:lineRule="auto"/>
        <w:rPr>
          <w:rFonts w:ascii="Arial" w:cs="Arial" w:eastAsia="Arial" w:hAnsi="Arial"/>
          <w:sz w:val="16"/>
          <w:szCs w:val="16"/>
          <w:color w:val="auto"/>
        </w:rPr>
      </w:pPr>
      <w:r>
        <w:rPr>
          <w:rFonts w:ascii="Arial" w:cs="Arial" w:eastAsia="Arial" w:hAnsi="Arial"/>
          <w:sz w:val="18"/>
          <w:szCs w:val="18"/>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March 31, 2020 and 2019, Booz Allen Hamilton was in compliance with all financial covenants associated with its debt and debt-like instruments.</w:t>
      </w:r>
    </w:p>
    <w:p>
      <w:pPr>
        <w:spacing w:after="0" w:line="8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fiscal 2020, interest payments of $50.3 million and $15.9 million were made for Term Loan A and Term Loan B, respectively. During fiscal 2019, interest payments of $41.9 million and $16.8 million were made for Term Loan A and Term Loan B,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Booz Allen Hamilton may redeem some or all of the Senior Notes at any time prior to May 1, 2020, at a price equal to 100% of the principal amount of the Senior Notes redeemed, plus accrued and unpaid interest, if any, to (but not including) the redemption date, plus an applicable “make-whole premium.” Booz Allen Hamilton may redeem the Senior Notes at its option, in whole at any time or in part from time to time, upon certain required notice, at any time (i) on and after May 1, 2020, at a price equal to 102.56% of the principal amount of the Senior Notes, (ii) on or after May 1, 2021, at a price equal to 101.28% of the principal amount of the Senior Notes, and (iii) on May 1, 2022 and thereafter, at a price equal to 100.00% of the principal amount of the Senior Notes, in each case, plus accrued and unpaid interest, if any, to (but not including) the applicable redemption date.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For both fiscal 2020 and 2019, interest payments of $17.9 million were made for the Senior Notes.</w:t>
      </w:r>
    </w:p>
    <w:p>
      <w:pPr>
        <w:spacing w:after="0" w:line="7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March 31, 2020, Booz Allen Hamilton had interest rate swaps with an aggregate notional amount of $1 billion. These instruments hedge the variability of cash outflows for interest payments on the floating potion of the term loan debt. The Company's objectives in using cash flow hedges are to reduce volatility due to interest rate movements and to add stability to interest expense (See Note 12 in our consolidated financial statements).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required future debt principal repayments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Payments Due By March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3"/>
        </w:trPr>
        <w:tc>
          <w:tcPr>
            <w:tcW w:w="22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ind w:left="173"/>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$1,363,739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$73,974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92"/>
              </w:rPr>
              <w:t>$73,974</w:t>
            </w:r>
          </w:p>
        </w:tc>
        <w:tc>
          <w:tcPr>
            <w:tcW w:w="1480" w:type="dxa"/>
            <w:vAlign w:val="bottom"/>
            <w:tcBorders>
              <w:bottom w:val="single" w:sz="8" w:color="CCEEFF"/>
            </w:tcBorders>
            <w:gridSpan w:val="3"/>
            <w:shd w:val="clear" w:color="auto" w:fill="CCEEFF"/>
          </w:tcPr>
          <w:p>
            <w:pPr>
              <w:jc w:val="center"/>
              <w:ind w:left="295"/>
              <w:spacing w:after="0"/>
              <w:rPr>
                <w:sz w:val="20"/>
                <w:szCs w:val="20"/>
                <w:color w:val="auto"/>
              </w:rPr>
            </w:pPr>
            <w:r>
              <w:rPr>
                <w:rFonts w:ascii="Arial" w:cs="Arial" w:eastAsia="Arial" w:hAnsi="Arial"/>
                <w:sz w:val="18"/>
                <w:szCs w:val="18"/>
                <w:color w:val="auto"/>
                <w:w w:val="89"/>
              </w:rPr>
              <w:t>$73,974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0"/>
              </w:rPr>
              <w:t>$1,141,817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388,102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3,891</w:t>
            </w:r>
          </w:p>
        </w:tc>
        <w:tc>
          <w:tcPr>
            <w:tcW w:w="100" w:type="dxa"/>
            <w:vAlign w:val="bottom"/>
          </w:tcPr>
          <w:p>
            <w:pPr>
              <w:spacing w:after="0"/>
              <w:rPr>
                <w:sz w:val="21"/>
                <w:szCs w:val="21"/>
                <w:color w:val="auto"/>
              </w:rPr>
            </w:pPr>
          </w:p>
        </w:tc>
        <w:tc>
          <w:tcPr>
            <w:tcW w:w="980" w:type="dxa"/>
            <w:vAlign w:val="bottom"/>
          </w:tcPr>
          <w:p>
            <w:pPr>
              <w:jc w:val="center"/>
              <w:ind w:left="173"/>
              <w:spacing w:after="0"/>
              <w:rPr>
                <w:sz w:val="20"/>
                <w:szCs w:val="20"/>
                <w:color w:val="auto"/>
              </w:rPr>
            </w:pPr>
            <w:r>
              <w:rPr>
                <w:rFonts w:ascii="Arial" w:cs="Arial" w:eastAsia="Arial" w:hAnsi="Arial"/>
                <w:sz w:val="18"/>
                <w:szCs w:val="18"/>
                <w:color w:val="auto"/>
                <w:w w:val="88"/>
              </w:rPr>
              <w:t>3,891</w:t>
            </w:r>
          </w:p>
        </w:tc>
        <w:tc>
          <w:tcPr>
            <w:tcW w:w="1480" w:type="dxa"/>
            <w:vAlign w:val="bottom"/>
            <w:gridSpan w:val="3"/>
          </w:tcPr>
          <w:p>
            <w:pPr>
              <w:jc w:val="center"/>
              <w:ind w:left="275"/>
              <w:spacing w:after="0"/>
              <w:rPr>
                <w:sz w:val="20"/>
                <w:szCs w:val="20"/>
                <w:color w:val="auto"/>
              </w:rPr>
            </w:pPr>
            <w:r>
              <w:rPr>
                <w:rFonts w:ascii="Arial" w:cs="Arial" w:eastAsia="Arial" w:hAnsi="Arial"/>
                <w:sz w:val="18"/>
                <w:szCs w:val="18"/>
                <w:color w:val="auto"/>
                <w:w w:val="88"/>
              </w:rPr>
              <w:t>3,891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center"/>
              <w:ind w:right="134"/>
              <w:spacing w:after="0"/>
              <w:rPr>
                <w:sz w:val="20"/>
                <w:szCs w:val="20"/>
                <w:color w:val="auto"/>
              </w:rPr>
            </w:pPr>
            <w:r>
              <w:rPr>
                <w:rFonts w:ascii="Arial" w:cs="Arial" w:eastAsia="Arial" w:hAnsi="Arial"/>
                <w:sz w:val="18"/>
                <w:szCs w:val="18"/>
                <w:color w:val="auto"/>
                <w:w w:val="88"/>
              </w:rPr>
              <w:t>3,891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3,891</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368,647</w:t>
            </w:r>
          </w:p>
        </w:tc>
      </w:tr>
      <w:tr>
        <w:trPr>
          <w:trHeight w:val="27"/>
        </w:trPr>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r>
      <w:tr>
        <w:trPr>
          <w:trHeight w:val="237"/>
        </w:trPr>
        <w:tc>
          <w:tcPr>
            <w:tcW w:w="2260" w:type="dxa"/>
            <w:vAlign w:val="bottom"/>
          </w:tcPr>
          <w:p>
            <w:pPr>
              <w:ind w:left="3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$2,101,841</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$77,865</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left="173"/>
              <w:spacing w:after="0"/>
              <w:rPr>
                <w:sz w:val="20"/>
                <w:szCs w:val="20"/>
                <w:color w:val="auto"/>
              </w:rPr>
            </w:pPr>
            <w:r>
              <w:rPr>
                <w:rFonts w:ascii="Arial" w:cs="Arial" w:eastAsia="Arial" w:hAnsi="Arial"/>
                <w:sz w:val="18"/>
                <w:szCs w:val="18"/>
                <w:color w:val="auto"/>
                <w:w w:val="92"/>
              </w:rPr>
              <w:t>$77,865</w:t>
            </w:r>
          </w:p>
        </w:tc>
        <w:tc>
          <w:tcPr>
            <w:tcW w:w="1480" w:type="dxa"/>
            <w:vAlign w:val="bottom"/>
            <w:tcBorders>
              <w:top w:val="single" w:sz="8" w:color="auto"/>
            </w:tcBorders>
            <w:gridSpan w:val="3"/>
          </w:tcPr>
          <w:p>
            <w:pPr>
              <w:jc w:val="center"/>
              <w:ind w:left="295"/>
              <w:spacing w:after="0"/>
              <w:rPr>
                <w:sz w:val="20"/>
                <w:szCs w:val="20"/>
                <w:color w:val="auto"/>
              </w:rPr>
            </w:pPr>
            <w:r>
              <w:rPr>
                <w:rFonts w:ascii="Arial" w:cs="Arial" w:eastAsia="Arial" w:hAnsi="Arial"/>
                <w:sz w:val="18"/>
                <w:szCs w:val="18"/>
                <w:color w:val="auto"/>
                <w:w w:val="89"/>
              </w:rPr>
              <w:t>$77,865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114"/>
              <w:spacing w:after="0"/>
              <w:rPr>
                <w:sz w:val="20"/>
                <w:szCs w:val="20"/>
                <w:color w:val="auto"/>
              </w:rPr>
            </w:pPr>
            <w:r>
              <w:rPr>
                <w:rFonts w:ascii="Arial" w:cs="Arial" w:eastAsia="Arial" w:hAnsi="Arial"/>
                <w:sz w:val="18"/>
                <w:szCs w:val="18"/>
                <w:color w:val="auto"/>
                <w:w w:val="90"/>
              </w:rPr>
              <w:t>$1,145,708</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$3,891</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$718,647</w:t>
            </w:r>
          </w:p>
        </w:tc>
      </w:tr>
      <w:tr>
        <w:trPr>
          <w:trHeight w:val="27"/>
        </w:trPr>
        <w:tc>
          <w:tcPr>
            <w:tcW w:w="22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F-24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20"/>
          </w:cols>
          <w:pgMar w:left="320" w:top="445" w:right="359" w:bottom="1440" w:gutter="0" w:footer="0" w:header="0"/>
        </w:sectPr>
      </w:pPr>
    </w:p>
    <w:bookmarkStart w:id="91" w:name="page92"/>
    <w:bookmarkEnd w:id="91"/>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w w:val="95"/>
              </w:rPr>
              <w:t>Fiscal Year Ended March 31,</w:t>
            </w:r>
          </w:p>
        </w:tc>
        <w:tc>
          <w:tcPr>
            <w:tcW w:w="1200" w:type="dxa"/>
            <w:vAlign w:val="bottom"/>
            <w:tcBorders>
              <w:bottom w:val="single" w:sz="8" w:color="auto"/>
            </w:tcBorders>
          </w:tcPr>
          <w:p>
            <w:pPr>
              <w:spacing w:after="0"/>
              <w:rPr>
                <w:sz w:val="16"/>
                <w:szCs w:val="16"/>
                <w:color w:val="auto"/>
              </w:rPr>
            </w:pPr>
          </w:p>
        </w:tc>
      </w:tr>
      <w:tr>
        <w:trPr>
          <w:trHeight w:val="263"/>
        </w:trPr>
        <w:tc>
          <w:tcPr>
            <w:tcW w:w="57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4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50,080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15,739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14,138</w:t>
            </w:r>
          </w:p>
        </w:tc>
      </w:tr>
      <w:tr>
        <w:trPr>
          <w:trHeight w:val="27"/>
        </w:trPr>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Senior Notes Interest Expense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17,938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16,742</w:t>
            </w:r>
          </w:p>
        </w:tc>
      </w:tr>
      <w:tr>
        <w:trPr>
          <w:trHeight w:val="27"/>
        </w:trPr>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 Interest (1)</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r>
      <w:tr>
        <w:trPr>
          <w:trHeight w:val="229"/>
        </w:trPr>
        <w:tc>
          <w:tcPr>
            <w:tcW w:w="5780" w:type="dxa"/>
            <w:vAlign w:val="bottom"/>
          </w:tcPr>
          <w:p>
            <w:pPr>
              <w:ind w:left="40"/>
              <w:spacing w:after="0"/>
              <w:rPr>
                <w:sz w:val="20"/>
                <w:szCs w:val="20"/>
                <w:color w:val="auto"/>
              </w:rPr>
            </w:pPr>
            <w:r>
              <w:rPr>
                <w:rFonts w:ascii="Arial" w:cs="Arial" w:eastAsia="Arial" w:hAnsi="Arial"/>
                <w:sz w:val="18"/>
                <w:szCs w:val="18"/>
                <w:color w:val="auto"/>
                <w:w w:val="93"/>
              </w:rPr>
              <w:t>Amortization of Debt Issuance Costs (DIC) and Original Issue Discount (OID)</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780" w:type="dxa"/>
            <w:vAlign w:val="bottom"/>
          </w:tcPr>
          <w:p>
            <w:pPr>
              <w:ind w:left="4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5,361</w:t>
            </w:r>
          </w:p>
        </w:tc>
      </w:tr>
      <w:tr>
        <w:trPr>
          <w:trHeight w:val="27"/>
        </w:trPr>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Swap Expense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5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96,960</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8"/>
        <w:spacing w:after="0" w:line="277"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payments on the deferred payment obligation are made twice a year in January and July. The final payment was made on December 18, 2019. See Note 10 to our consolidated financial statements.</w:t>
      </w:r>
    </w:p>
    <w:p>
      <w:pPr>
        <w:spacing w:after="0" w:line="62" w:lineRule="exact"/>
        <w:rPr>
          <w:rFonts w:ascii="Arial" w:cs="Arial" w:eastAsia="Arial" w:hAnsi="Arial"/>
          <w:sz w:val="18"/>
          <w:szCs w:val="18"/>
          <w:color w:val="auto"/>
        </w:rPr>
      </w:pPr>
    </w:p>
    <w:p>
      <w:pPr>
        <w:jc w:val="both"/>
        <w:ind w:right="260" w:firstLine="8"/>
        <w:spacing w:after="0" w:line="263"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DIC and OID on the Company's term loans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12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During the first quarter of fiscal 2020, the Company entered into eight forward starting floating-to-fixed interest rate swap agreements with six financial institutions with a start date of April 30, 2019 with an aggregate notional amount of $400 million. The aggregate notional amount of all interest rate swap agreements was $1 billion as of March 31, 2020. The swaps have staggered maturities, ranging from June 30, 2021 to June 30, 2025. These swaps mature within the last tranche of the Company's floating rate debt (November 26, 2026).</w:t>
      </w:r>
    </w:p>
    <w:p>
      <w:pPr>
        <w:spacing w:after="0" w:line="70"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Derivative instruments are recorded in the consolidated balance sheet on a gross basis at estimated fair value. As of March 31, 2020, $18.8 million, and $37.8 million were classified as other current liabilities and other long-term liabilities, respectively, on the consolidated balance sheet. As of March 31, 2019, $1.8 million, $0.6 million, $0.9 million, and $4.3 million were classified as other current assets, other long-term assets, other current liabilities, and other long-term liabilities, respectively, on the consolidated balance sheet.</w:t>
      </w:r>
    </w:p>
    <w:p>
      <w:pPr>
        <w:spacing w:after="0" w:line="7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Over the next 12 months, the Company estimates that $19.4 million will be reclassified as an increase to interest expense. Cash flows associated with periodic settlements of interest rate swaps will be classified as operating activities in the consolidated statement of cash flows. The effect of derivative instruments on the accompanying consolidated financial statements is as follows: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445" w:right="359" w:bottom="1440" w:gutter="0" w:footer="0" w:header="0"/>
        </w:sectPr>
      </w:pPr>
    </w:p>
    <w:bookmarkStart w:id="92" w:name="page93"/>
    <w:bookmarkEnd w:id="92"/>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248"/>
              <w:spacing w:after="0"/>
              <w:rPr>
                <w:sz w:val="20"/>
                <w:szCs w:val="20"/>
                <w:color w:val="auto"/>
              </w:rPr>
            </w:pPr>
            <w:r>
              <w:rPr>
                <w:rFonts w:ascii="Arial" w:cs="Arial" w:eastAsia="Arial" w:hAnsi="Arial"/>
                <w:sz w:val="14"/>
                <w:szCs w:val="14"/>
                <w:b w:val="1"/>
                <w:bCs w:val="1"/>
                <w:color w:val="auto"/>
                <w:w w:val="93"/>
              </w:rPr>
              <w:t>Fiscal year ended March 31,</w:t>
            </w: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Derivatives in Cash</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w:t>
            </w:r>
          </w:p>
        </w:tc>
        <w:tc>
          <w:tcPr>
            <w:tcW w:w="100" w:type="dxa"/>
            <w:vAlign w:val="bottom"/>
          </w:tcPr>
          <w:p>
            <w:pPr>
              <w:spacing w:after="0"/>
              <w:rPr>
                <w:sz w:val="13"/>
                <w:szCs w:val="13"/>
                <w:color w:val="auto"/>
              </w:rPr>
            </w:pPr>
          </w:p>
        </w:tc>
        <w:tc>
          <w:tcPr>
            <w:tcW w:w="25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Amount of Gain or (Loss) Recognized in</w:t>
            </w:r>
          </w:p>
        </w:tc>
        <w:tc>
          <w:tcPr>
            <w:tcW w:w="160" w:type="dxa"/>
            <w:vAlign w:val="bottom"/>
          </w:tcPr>
          <w:p>
            <w:pPr>
              <w:spacing w:after="0"/>
              <w:rPr>
                <w:sz w:val="13"/>
                <w:szCs w:val="13"/>
                <w:color w:val="auto"/>
              </w:rPr>
            </w:pPr>
          </w:p>
        </w:tc>
        <w:tc>
          <w:tcPr>
            <w:tcW w:w="2700" w:type="dxa"/>
            <w:vAlign w:val="bottom"/>
            <w:gridSpan w:val="4"/>
          </w:tcPr>
          <w:p>
            <w:pPr>
              <w:jc w:val="center"/>
              <w:ind w:right="208"/>
              <w:spacing w:after="0" w:line="153" w:lineRule="exact"/>
              <w:rPr>
                <w:sz w:val="20"/>
                <w:szCs w:val="20"/>
                <w:color w:val="auto"/>
              </w:rPr>
            </w:pPr>
            <w:r>
              <w:rPr>
                <w:rFonts w:ascii="Arial" w:cs="Arial" w:eastAsia="Arial" w:hAnsi="Arial"/>
                <w:sz w:val="14"/>
                <w:szCs w:val="14"/>
                <w:b w:val="1"/>
                <w:bCs w:val="1"/>
                <w:color w:val="auto"/>
                <w:w w:val="91"/>
              </w:rPr>
              <w:t>Amount of Gain or (Loss) Reclassified</w:t>
            </w:r>
          </w:p>
        </w:tc>
        <w:tc>
          <w:tcPr>
            <w:tcW w:w="2440" w:type="dxa"/>
            <w:vAlign w:val="bottom"/>
            <w:gridSpan w:val="3"/>
          </w:tcPr>
          <w:p>
            <w:pPr>
              <w:jc w:val="center"/>
              <w:ind w:right="108"/>
              <w:spacing w:after="0" w:line="153" w:lineRule="exact"/>
              <w:rPr>
                <w:sz w:val="20"/>
                <w:szCs w:val="20"/>
                <w:color w:val="auto"/>
              </w:rPr>
            </w:pPr>
            <w:r>
              <w:rPr>
                <w:rFonts w:ascii="Arial" w:cs="Arial" w:eastAsia="Arial" w:hAnsi="Arial"/>
                <w:sz w:val="14"/>
                <w:szCs w:val="14"/>
                <w:b w:val="1"/>
                <w:bCs w:val="1"/>
                <w:color w:val="auto"/>
                <w:w w:val="91"/>
              </w:rPr>
              <w:t>Interest Expense on Consolidated</w:t>
            </w:r>
          </w:p>
        </w:tc>
        <w:tc>
          <w:tcPr>
            <w:tcW w:w="0" w:type="dxa"/>
            <w:vAlign w:val="bottom"/>
          </w:tcPr>
          <w:p>
            <w:pPr>
              <w:spacing w:after="0"/>
              <w:rPr>
                <w:sz w:val="1"/>
                <w:szCs w:val="1"/>
                <w:color w:val="auto"/>
              </w:rPr>
            </w:pPr>
          </w:p>
        </w:tc>
      </w:tr>
      <w:tr>
        <w:trPr>
          <w:trHeight w:val="68"/>
        </w:trPr>
        <w:tc>
          <w:tcPr>
            <w:tcW w:w="140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AOCI on Derivatives</w:t>
            </w: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4"/>
            <w:vMerge w:val="restart"/>
          </w:tcPr>
          <w:p>
            <w:pPr>
              <w:jc w:val="center"/>
              <w:ind w:right="228"/>
              <w:spacing w:after="0"/>
              <w:rPr>
                <w:sz w:val="20"/>
                <w:szCs w:val="20"/>
                <w:color w:val="auto"/>
              </w:rPr>
            </w:pPr>
            <w:r>
              <w:rPr>
                <w:rFonts w:ascii="Arial" w:cs="Arial" w:eastAsia="Arial" w:hAnsi="Arial"/>
                <w:sz w:val="14"/>
                <w:szCs w:val="14"/>
                <w:b w:val="1"/>
                <w:bCs w:val="1"/>
                <w:color w:val="auto"/>
                <w:w w:val="97"/>
              </w:rPr>
              <w:t>from AOCI into Income</w:t>
            </w:r>
          </w:p>
        </w:tc>
        <w:tc>
          <w:tcPr>
            <w:tcW w:w="24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125"/>
        </w:trPr>
        <w:tc>
          <w:tcPr>
            <w:tcW w:w="14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Flow Hedging</w:t>
            </w:r>
          </w:p>
        </w:tc>
        <w:tc>
          <w:tcPr>
            <w:tcW w:w="1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Recognized in Income on</w:t>
            </w:r>
          </w:p>
        </w:tc>
        <w:tc>
          <w:tcPr>
            <w:tcW w:w="1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4"/>
            <w:vMerge w:val="continue"/>
          </w:tcPr>
          <w:p>
            <w:pPr>
              <w:spacing w:after="0"/>
              <w:rPr>
                <w:sz w:val="10"/>
                <w:szCs w:val="10"/>
                <w:color w:val="auto"/>
              </w:rPr>
            </w:pPr>
          </w:p>
        </w:tc>
        <w:tc>
          <w:tcPr>
            <w:tcW w:w="244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Relationships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9"/>
              </w:rPr>
              <w:t>2019</w:t>
            </w: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rate swaps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(55,871) $</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(9,772) $</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(2,094)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(96,960) $</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(89,517)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(82,269)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Company's leases are generally for facilities and office space. As described in Note 2, the Company adopted Topic 842 on April 1, 2019 using the modified retrospective transition approach, and as a result did not recast comparative prior period information and presented prior period amounts and disclosures under Topic 840.</w:t>
      </w:r>
    </w:p>
    <w:p>
      <w:pPr>
        <w:spacing w:after="0" w:line="7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Company’s total lease cost is recorded primarily within general and administrative expenses on the consolidated statement of operations and consisted of the following:</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7"/>
              </w:rPr>
              <w:t>Fiscal Year Ended March 31,</w:t>
            </w:r>
          </w:p>
        </w:tc>
      </w:tr>
      <w:tr>
        <w:trPr>
          <w:trHeight w:val="250"/>
        </w:trPr>
        <w:tc>
          <w:tcPr>
            <w:tcW w:w="8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2020</w:t>
            </w: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71,067</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9,657</w:t>
            </w: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11,657</w:t>
            </w:r>
          </w:p>
        </w:tc>
      </w:tr>
      <w:tr>
        <w:trPr>
          <w:trHeight w:val="257"/>
        </w:trPr>
        <w:tc>
          <w:tcPr>
            <w:tcW w:w="8380" w:type="dxa"/>
            <w:vAlign w:val="bottom"/>
          </w:tcPr>
          <w:p>
            <w:pPr>
              <w:ind w:left="160"/>
              <w:spacing w:after="0"/>
              <w:rPr>
                <w:sz w:val="20"/>
                <w:szCs w:val="20"/>
                <w:color w:val="auto"/>
              </w:rPr>
            </w:pPr>
            <w:r>
              <w:rPr>
                <w:rFonts w:ascii="Arial" w:cs="Arial" w:eastAsia="Arial" w:hAnsi="Arial"/>
                <w:sz w:val="18"/>
                <w:szCs w:val="18"/>
                <w:color w:val="auto"/>
              </w:rPr>
              <w:t>Total operating lease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92,381</w:t>
            </w: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minimum operating lease payments for noncancelable operating leases as of March 31, 2020 are as follows: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Operating Lease Payments</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61,900</w:t>
            </w: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140" w:type="dxa"/>
            <w:vAlign w:val="bottom"/>
          </w:tcPr>
          <w:p>
            <w:pPr>
              <w:jc w:val="right"/>
              <w:ind w:right="14"/>
              <w:spacing w:after="0"/>
              <w:rPr>
                <w:sz w:val="20"/>
                <w:szCs w:val="20"/>
                <w:color w:val="auto"/>
              </w:rPr>
            </w:pPr>
            <w:r>
              <w:rPr>
                <w:rFonts w:ascii="Arial" w:cs="Arial" w:eastAsia="Arial" w:hAnsi="Arial"/>
                <w:sz w:val="18"/>
                <w:szCs w:val="18"/>
                <w:color w:val="auto"/>
              </w:rPr>
              <w:t>67,341</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61,348</w:t>
            </w: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2140" w:type="dxa"/>
            <w:vAlign w:val="bottom"/>
          </w:tcPr>
          <w:p>
            <w:pPr>
              <w:jc w:val="right"/>
              <w:ind w:right="14"/>
              <w:spacing w:after="0"/>
              <w:rPr>
                <w:sz w:val="20"/>
                <w:szCs w:val="20"/>
                <w:color w:val="auto"/>
              </w:rPr>
            </w:pPr>
            <w:r>
              <w:rPr>
                <w:rFonts w:ascii="Arial" w:cs="Arial" w:eastAsia="Arial" w:hAnsi="Arial"/>
                <w:sz w:val="18"/>
                <w:szCs w:val="18"/>
                <w:color w:val="auto"/>
              </w:rPr>
              <w:t>50,554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45,015</w:t>
            </w: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2140" w:type="dxa"/>
            <w:vAlign w:val="bottom"/>
          </w:tcPr>
          <w:p>
            <w:pPr>
              <w:jc w:val="right"/>
              <w:ind w:right="14"/>
              <w:spacing w:after="0"/>
              <w:rPr>
                <w:sz w:val="20"/>
                <w:szCs w:val="20"/>
                <w:color w:val="auto"/>
              </w:rPr>
            </w:pPr>
            <w:r>
              <w:rPr>
                <w:rFonts w:ascii="Arial" w:cs="Arial" w:eastAsia="Arial" w:hAnsi="Arial"/>
                <w:sz w:val="18"/>
                <w:szCs w:val="18"/>
                <w:color w:val="auto"/>
              </w:rPr>
              <w:t>86,100</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future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372,258</w:t>
            </w:r>
          </w:p>
        </w:tc>
        <w:tc>
          <w:tcPr>
            <w:tcW w:w="0" w:type="dxa"/>
            <w:vAlign w:val="bottom"/>
          </w:tcPr>
          <w:p>
            <w:pPr>
              <w:spacing w:after="0"/>
              <w:rPr>
                <w:sz w:val="1"/>
                <w:szCs w:val="1"/>
                <w:color w:val="auto"/>
              </w:rPr>
            </w:pPr>
          </w:p>
        </w:tc>
      </w:tr>
      <w:tr>
        <w:trPr>
          <w:trHeight w:val="243"/>
        </w:trPr>
        <w:tc>
          <w:tcPr>
            <w:tcW w:w="8380" w:type="dxa"/>
            <w:vAlign w:val="bottom"/>
          </w:tcPr>
          <w:p>
            <w:pPr>
              <w:ind w:left="16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(52,971)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319,287</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16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Fiscal Year Ended March 31,</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49"/>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53,741</w:t>
            </w:r>
          </w:p>
        </w:tc>
        <w:tc>
          <w:tcPr>
            <w:tcW w:w="0" w:type="dxa"/>
            <w:vAlign w:val="bottom"/>
          </w:tcPr>
          <w:p>
            <w:pPr>
              <w:spacing w:after="0"/>
              <w:rPr>
                <w:sz w:val="1"/>
                <w:szCs w:val="1"/>
                <w:color w:val="auto"/>
              </w:rPr>
            </w:pP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arising from obtaining ROU assets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2140" w:type="dxa"/>
            <w:vAlign w:val="bottom"/>
          </w:tcPr>
          <w:p>
            <w:pPr>
              <w:jc w:val="right"/>
              <w:ind w:right="14"/>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2880" w:hanging="7"/>
        <w:spacing w:after="0" w:line="500" w:lineRule="auto"/>
        <w:tabs>
          <w:tab w:leader="none" w:pos="6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all noncash increases and decreases arising from new or remeasured operating lease arrangements Other information related to leases was as follows: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45" w:right="339" w:bottom="1440" w:gutter="0" w:footer="0" w:header="0"/>
        </w:sectPr>
      </w:pPr>
    </w:p>
    <w:bookmarkStart w:id="93" w:name="page94"/>
    <w:bookmarkEnd w:id="93"/>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 of March 31,</w:t>
            </w:r>
          </w:p>
        </w:tc>
      </w:tr>
      <w:tr>
        <w:trPr>
          <w:trHeight w:val="250"/>
        </w:trPr>
        <w:tc>
          <w:tcPr>
            <w:tcW w:w="798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36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rPr>
              <w:t>6.02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360" w:type="dxa"/>
            <w:vAlign w:val="bottom"/>
          </w:tcPr>
          <w:p>
            <w:pPr>
              <w:ind w:left="1840"/>
              <w:spacing w:after="0"/>
              <w:rPr>
                <w:sz w:val="20"/>
                <w:szCs w:val="20"/>
                <w:color w:val="auto"/>
              </w:rPr>
            </w:pPr>
            <w:r>
              <w:rPr>
                <w:rFonts w:ascii="Arial" w:cs="Arial" w:eastAsia="Arial" w:hAnsi="Arial"/>
                <w:sz w:val="18"/>
                <w:szCs w:val="18"/>
                <w:color w:val="auto"/>
                <w:w w:val="97"/>
              </w:rPr>
              <w:t>4.69%</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disclosures under Topic 840</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Rent expense was approximately $82.7 million, net of $0.6 million of sublease income for fiscal 2019, and $81.2 million, net of $0.6 million of sublease income for fiscal 2018.</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income for noncancelable sublease rentals in effect at March 31, 2019 are summarized as follows: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Operating</w:t>
            </w:r>
          </w:p>
        </w:tc>
        <w:tc>
          <w:tcPr>
            <w:tcW w:w="240" w:type="dxa"/>
            <w:vAlign w:val="bottom"/>
          </w:tcPr>
          <w:p>
            <w:pPr>
              <w:spacing w:after="0"/>
              <w:rPr>
                <w:sz w:val="14"/>
                <w:szCs w:val="14"/>
                <w:color w:val="auto"/>
              </w:rPr>
            </w:pPr>
          </w:p>
        </w:tc>
        <w:tc>
          <w:tcPr>
            <w:tcW w:w="114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8"/>
        </w:trPr>
        <w:tc>
          <w:tcPr>
            <w:tcW w:w="7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Lease</w:t>
            </w:r>
          </w:p>
        </w:tc>
        <w:tc>
          <w:tcPr>
            <w:tcW w:w="240" w:type="dxa"/>
            <w:vAlign w:val="bottom"/>
          </w:tcPr>
          <w:p>
            <w:pPr>
              <w:spacing w:after="0"/>
              <w:rPr>
                <w:sz w:val="12"/>
                <w:szCs w:val="12"/>
                <w:color w:val="auto"/>
              </w:rPr>
            </w:pPr>
          </w:p>
        </w:tc>
        <w:tc>
          <w:tcPr>
            <w:tcW w:w="11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92"/>
        </w:trPr>
        <w:tc>
          <w:tcPr>
            <w:tcW w:w="7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Payments</w:t>
            </w:r>
          </w:p>
        </w:tc>
        <w:tc>
          <w:tcPr>
            <w:tcW w:w="240" w:type="dxa"/>
            <w:vAlign w:val="bottom"/>
          </w:tcPr>
          <w:p>
            <w:pPr>
              <w:spacing w:after="0"/>
              <w:rPr>
                <w:sz w:val="16"/>
                <w:szCs w:val="16"/>
                <w:color w:val="auto"/>
              </w:rPr>
            </w:pPr>
          </w:p>
        </w:tc>
        <w:tc>
          <w:tcPr>
            <w:tcW w:w="114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49"/>
        </w:trPr>
        <w:tc>
          <w:tcPr>
            <w:tcW w:w="7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expense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3"/>
        </w:trPr>
        <w:tc>
          <w:tcPr>
            <w:tcW w:w="3580" w:type="dxa"/>
            <w:vAlign w:val="bottom"/>
          </w:tcPr>
          <w:p>
            <w:pPr>
              <w:spacing w:after="0"/>
              <w:rPr>
                <w:sz w:val="22"/>
                <w:szCs w:val="22"/>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32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(2,638)</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34,019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89,300</w:t>
            </w:r>
          </w:p>
        </w:tc>
      </w:tr>
      <w:tr>
        <w:trPr>
          <w:trHeight w:val="27"/>
        </w:trPr>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2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20,074</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Foreign</w:t>
            </w:r>
          </w:p>
        </w:tc>
        <w:tc>
          <w:tcPr>
            <w:tcW w:w="2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15,625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10,014</w:t>
            </w:r>
          </w:p>
        </w:tc>
      </w:tr>
      <w:tr>
        <w:trPr>
          <w:trHeight w:val="27"/>
        </w:trPr>
        <w:tc>
          <w:tcPr>
            <w:tcW w:w="35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3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2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119,388</w:t>
            </w:r>
          </w:p>
        </w:tc>
      </w:tr>
      <w:tr>
        <w:trPr>
          <w:trHeight w:val="223"/>
        </w:trPr>
        <w:tc>
          <w:tcPr>
            <w:tcW w:w="35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1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40"/>
        </w:trPr>
        <w:tc>
          <w:tcPr>
            <w:tcW w:w="3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2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11,356</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2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7"/>
        </w:trPr>
        <w:tc>
          <w:tcPr>
            <w:tcW w:w="35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65,434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8,956</w:t>
            </w:r>
          </w:p>
        </w:tc>
      </w:tr>
      <w:tr>
        <w:trPr>
          <w:trHeight w:val="236"/>
        </w:trPr>
        <w:tc>
          <w:tcPr>
            <w:tcW w:w="3580" w:type="dxa"/>
            <w:vAlign w:val="bottom"/>
          </w:tcPr>
          <w:p>
            <w:pPr>
              <w:ind w:left="11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20"/>
                <w:szCs w:val="20"/>
                <w:color w:val="auto"/>
              </w:rPr>
            </w:pPr>
          </w:p>
        </w:tc>
        <w:tc>
          <w:tcPr>
            <w:tcW w:w="11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96,831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96,874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128,344</w:t>
            </w:r>
          </w:p>
        </w:tc>
      </w:tr>
      <w:tr>
        <w:trPr>
          <w:trHeight w:val="27"/>
        </w:trPr>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3260" w:type="dxa"/>
            <w:vAlign w:val="bottom"/>
            <w:gridSpan w:val="2"/>
          </w:tcPr>
          <w:p>
            <w:pPr>
              <w:jc w:val="right"/>
              <w:ind w:right="950"/>
              <w:spacing w:after="0"/>
              <w:rPr>
                <w:sz w:val="20"/>
                <w:szCs w:val="20"/>
                <w:color w:val="auto"/>
              </w:rPr>
            </w:pPr>
            <w:r>
              <w:rPr>
                <w:rFonts w:ascii="Arial" w:cs="Arial" w:eastAsia="Arial" w:hAnsi="Arial"/>
                <w:sz w:val="18"/>
                <w:szCs w:val="18"/>
                <w:color w:val="auto"/>
              </w:rPr>
              <w:t>F-27</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20"/>
          </w:cols>
          <w:pgMar w:left="320" w:top="445" w:right="359" w:bottom="1440" w:gutter="0" w:footer="0" w:header="0"/>
        </w:sectPr>
      </w:pPr>
    </w:p>
    <w:bookmarkStart w:id="94" w:name="page95"/>
    <w:bookmarkEnd w:id="94"/>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Fiscal Year Ended March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70"/>
        </w:trPr>
        <w:tc>
          <w:tcPr>
            <w:tcW w:w="596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Income tax expense computed at U.S. federal statutory rate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121,681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108,235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135,667</w:t>
            </w:r>
          </w:p>
        </w:tc>
      </w:tr>
      <w:tr>
        <w:trPr>
          <w:trHeight w:val="297"/>
        </w:trPr>
        <w:tc>
          <w:tcPr>
            <w:tcW w:w="5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(reductions) resulting from:</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State and local income taxes, net of federal tax</w:t>
            </w:r>
          </w:p>
        </w:tc>
        <w:tc>
          <w:tcPr>
            <w:tcW w:w="10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20,031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14,565</w:t>
            </w: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income taxes, net of federal tax</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6,855</w:t>
            </w: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Meals and entertainment</w:t>
            </w:r>
          </w:p>
        </w:tc>
        <w:tc>
          <w:tcPr>
            <w:tcW w:w="10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2,247</w:t>
            </w: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Re-measurement of deferred taxes related to the 2017 Tax Act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(14,457)</w:t>
            </w: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 and other federal credits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(90,898)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Executive compensation -162(M)</w:t>
            </w:r>
          </w:p>
        </w:tc>
        <w:tc>
          <w:tcPr>
            <w:tcW w:w="10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345</w:t>
            </w: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IRS audit settlement</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Foreign-Derived Intangible Income (FDII)</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uncertain tax positions</w:t>
            </w: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43"/>
        </w:trPr>
        <w:tc>
          <w:tcPr>
            <w:tcW w:w="5960" w:type="dxa"/>
            <w:vAlign w:val="bottom"/>
          </w:tcPr>
          <w:p>
            <w:pPr>
              <w:ind w:left="7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7"/>
        </w:trPr>
        <w:tc>
          <w:tcPr>
            <w:tcW w:w="5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 expense from operations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96,831</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128,344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8"/>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U.S. federal statutory income tax rates for fiscal 2020, 2019 and 2018 are 21.0%, 21.0% and 31.5%, respectively. The fiscal 2018 rate is a blended rate of 31.5% due to the 2017 Tax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320" w:top="445" w:right="359" w:bottom="1440" w:gutter="0" w:footer="0" w:header="0"/>
        </w:sectPr>
      </w:pPr>
    </w:p>
    <w:bookmarkStart w:id="95" w:name="page96"/>
    <w:bookmarkEnd w:id="95"/>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components of the Company’s deferred income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263"/>
        </w:trPr>
        <w:tc>
          <w:tcPr>
            <w:tcW w:w="7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67,230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59,569</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6,265</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 and tenant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Extended disability benefits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3,041</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 tax credits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19,214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13,420</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3,804</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gross 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273,664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181,448</w:t>
            </w:r>
          </w:p>
        </w:tc>
      </w:tr>
      <w:tr>
        <w:trPr>
          <w:trHeight w:val="243"/>
        </w:trPr>
        <w:tc>
          <w:tcPr>
            <w:tcW w:w="7080" w:type="dxa"/>
            <w:vAlign w:val="bottom"/>
          </w:tcPr>
          <w:p>
            <w:pPr>
              <w:ind w:left="1140"/>
              <w:spacing w:after="0"/>
              <w:rPr>
                <w:sz w:val="20"/>
                <w:szCs w:val="20"/>
                <w:color w:val="auto"/>
              </w:rPr>
            </w:pPr>
            <w:r>
              <w:rPr>
                <w:rFonts w:ascii="Arial" w:cs="Arial" w:eastAsia="Arial" w:hAnsi="Arial"/>
                <w:sz w:val="18"/>
                <w:szCs w:val="18"/>
                <w:color w:val="auto"/>
              </w:rPr>
              <w:t>Less: Valuation allowance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 net deferred income tax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178,595</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0"/>
        </w:trPr>
        <w:tc>
          <w:tcPr>
            <w:tcW w:w="7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(60,694)</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Internally developed software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(8,123)</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(357,454)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(211,833)</w:t>
            </w:r>
          </w:p>
        </w:tc>
      </w:tr>
      <w:tr>
        <w:trPr>
          <w:trHeight w:val="237"/>
        </w:trPr>
        <w:tc>
          <w:tcPr>
            <w:tcW w:w="7080" w:type="dxa"/>
            <w:vAlign w:val="bottom"/>
          </w:tcPr>
          <w:p>
            <w:pPr>
              <w:ind w:left="1140"/>
              <w:spacing w:after="0"/>
              <w:rPr>
                <w:sz w:val="20"/>
                <w:szCs w:val="20"/>
                <w:color w:val="auto"/>
              </w:rPr>
            </w:pPr>
            <w:r>
              <w:rPr>
                <w:rFonts w:ascii="Arial" w:cs="Arial" w:eastAsia="Arial" w:hAnsi="Arial"/>
                <w:sz w:val="18"/>
                <w:szCs w:val="18"/>
                <w:color w:val="auto"/>
              </w:rPr>
              <w:t>Net deferred income tax liability</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(88,086)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(33,238)</w:t>
            </w:r>
          </w:p>
        </w:tc>
      </w:tr>
      <w:tr>
        <w:trPr>
          <w:trHeight w:val="27"/>
        </w:trPr>
        <w:tc>
          <w:tcPr>
            <w:tcW w:w="7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8"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As of March 31, 2020, the Company has available federal, state, and foreign net operating loss ("NOL carryforwards") of $2.0 million, $1.3 million and $2.4 million, respectively, that may be applied against future taxable income. The federal net operating losses are primarily attributable to an acquisition and will begin to expire in fiscal 2037. We recorded a full valuation allowance against state and foreign net operating losses and a partial valuation allowance against the federal net operating losses, as we do not believe those losses will be fully utilized in the future.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2020, 2019, and 2018, the Company has recorded $56.1 million, $11.5 million, and $11.8 million, respectively, of reserves for uncertain tax positions which includes potential tax benefits of $55.2 million, $11.1 million, and $11.6 million, respectively, that, when recognized, impact the effective tax 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445" w:right="359" w:bottom="1440" w:gutter="0" w:footer="0" w:header="0"/>
        </w:sectPr>
      </w:pPr>
    </w:p>
    <w:bookmarkStart w:id="96" w:name="page97"/>
    <w:bookmarkEnd w:id="9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is as follows:</w:t>
      </w:r>
    </w:p>
    <w:p>
      <w:pPr>
        <w:spacing w:after="0" w:line="338"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1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4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11,083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11,588</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Increases in prior year position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34,001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current year position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Decreases in prior year position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End of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55,221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fiscal 2020, the Company recognized an increase in reserves for uncertain tax positions of approximately $34.0 million related to an increase in research and development tax credits available for fiscal years 2016 to 2019 and $11.0 million for fiscal 2020. The Company recognized accrued interest and penalties of $0.5 million, $0.2 million and $0.1 million for fiscal 2020, 2019, and 2018, respectively, related to the reserves for uncertain tax positions in the income tax provision. Included in the total reserve for uncertain tax positions are accrued penalties and interest of approximately $0.9 million, $0.4 million and $0.2 million at March 31, 2020, 2019, and 2018, respectively.</w:t>
      </w:r>
    </w:p>
    <w:p>
      <w:pPr>
        <w:spacing w:after="0" w:line="80"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The Company is subject to taxation in the United States and various state and foreign jurisdictions. As of March 31, 2020, the Company's tax years ended March 31, 2016 and forward are open and subject to examination by the federal tax authorities. The other jurisdictions' currently open or under examination are not considered to be material. It is reasonably possible that during the next twelve months the Company's liability for uncertain tax positions, mostly relating to a prior year acquisition, may be reduced by $11.2 million primarily due to the lapse in the statute of limitations.</w:t>
      </w:r>
    </w:p>
    <w:p>
      <w:pPr>
        <w:spacing w:after="0" w:line="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tax benefits as of March 31, 2020. The Company has taken similar tax positions with respect to subsequent fiscal years, net of expiring statute of limitation, totaling in aggregate $32.5 million. As of March 31, 2020, the Company does not maintain reserves for any uncertain tax positions related to the contested tax benefits or the similar tax positions taken in the subsequent fiscal years. Given the Company's position on the recoverable nature of the state tax expense, it does not believe the resolution of these matters will have a material adverse effect on its results of operations, cash flows or financial condition.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2020, 2019, and 2018 was $151.0 million, $136.3 million, and $126.9 million, respectively, and the Company-paid contributions were $146.5 million, $130.9 million, and $123.9 million, respectively.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tax preparation, or other financial or wellness expenses. The Retired Officers' Bonus Plan is not salary related, but rather is based primarily on years of service. The Company also provides for a one-time lump sum retirement payment of one month’s salary when a vice-president retires from the Company. This is referred to as the Retired Vice-President Bonus Plan.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45" w:right="339" w:bottom="1440" w:gutter="0" w:footer="0" w:header="0"/>
        </w:sectPr>
      </w:pPr>
    </w:p>
    <w:bookmarkStart w:id="97" w:name="page98"/>
    <w:bookmarkEnd w:id="9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Fiscal Year Ended March 31,</w:t>
            </w:r>
          </w:p>
        </w:tc>
        <w:tc>
          <w:tcPr>
            <w:tcW w:w="110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4,955</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4,859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5,008</w:t>
            </w:r>
          </w:p>
        </w:tc>
      </w:tr>
      <w:tr>
        <w:trPr>
          <w:trHeight w:val="27"/>
        </w:trPr>
        <w:tc>
          <w:tcPr>
            <w:tcW w:w="6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2,271</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9,814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11,743</w:t>
            </w:r>
          </w:p>
        </w:tc>
      </w:tr>
      <w:tr>
        <w:trPr>
          <w:trHeight w:val="27"/>
        </w:trPr>
        <w:tc>
          <w:tcPr>
            <w:tcW w:w="6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consolidated statements of operations.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discount rate used to determine the year-end benefit obligations was as follows:</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23495</wp:posOffset>
            </wp:positionV>
            <wp:extent cx="30175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4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Medical Plan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Retired Officers’ Bonus Plan</w:t>
            </w:r>
          </w:p>
        </w:tc>
        <w:tc>
          <w:tcPr>
            <w:tcW w:w="15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Retired Vice Presidents' Bonus Plan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540"/>
        </w:trPr>
        <w:tc>
          <w:tcPr>
            <w:tcW w:w="8540" w:type="dxa"/>
            <w:vAlign w:val="bottom"/>
            <w:gridSpan w:val="4"/>
          </w:tcPr>
          <w:p>
            <w:pPr>
              <w:ind w:left="420"/>
              <w:spacing w:after="0"/>
              <w:rPr>
                <w:sz w:val="20"/>
                <w:szCs w:val="20"/>
                <w:color w:val="auto"/>
              </w:rPr>
            </w:pPr>
            <w:r>
              <w:rPr>
                <w:rFonts w:ascii="Arial" w:cs="Arial" w:eastAsia="Arial" w:hAnsi="Arial"/>
                <w:sz w:val="18"/>
                <w:szCs w:val="18"/>
                <w:color w:val="auto"/>
                <w:w w:val="92"/>
              </w:rPr>
              <w:t>Assumed healthcare cost trend rates for the Officer Medical Plan at March 31, 2020 and 2019 were as follows: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9"/>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Pre-65 initial rate</w:t>
            </w: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4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2027</w:t>
            </w:r>
          </w:p>
        </w:tc>
      </w:tr>
      <w:tr>
        <w:trPr>
          <w:trHeight w:val="399"/>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Post-65 initial rate</w:t>
            </w: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2027</w:t>
            </w:r>
          </w:p>
        </w:tc>
      </w:tr>
      <w:tr>
        <w:trPr>
          <w:trHeight w:val="27"/>
        </w:trPr>
        <w:tc>
          <w:tcPr>
            <w:tcW w:w="6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defined benefit plan expense, consisting of service and interest cost associated with the Retired Officers' Bonus Plan was $0.6 million for fiscal</w:t>
      </w:r>
    </w:p>
    <w:p>
      <w:pPr>
        <w:spacing w:after="0" w:line="46"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2020 and $0.7 million for both fiscal 2019, and 2018. Benefits paid associated with the Retired Officers’ Bonus Plan were $0.6 million, $0.8 million, and $1.5 million for fiscal 2020, 2019, and 2018, respectively. The end-of-period benefit obligation of $3.8 million and $3.7 million as of March 31, 2020 and 2019, respectively, is included in postretirement obligations within other long-term liabilities in the accompanying consolidated balance sheets.</w:t>
      </w:r>
    </w:p>
    <w:p>
      <w:pPr>
        <w:spacing w:after="0" w:line="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Total defined benefit plan expense, consisting of service, interest, prior service cost, and net actuarial gain associated with the Retired Vice-President Bonus Plan was $0.2 million for fiscal 2020, 2019 and 2018. Benefits paid associated with the Retired Vice-President Bonus Plan for fiscal 2020 was $0.1 million. There were no benefits paid associated with the Retired Vice-President Bonus Plan for fiscal 2019 and 2018, respectively. The end-of-period benefit obligation of $1.0 million and $0.9 million as of March 31, 2020 and 2019, respectively, is included in postretirement obligations within other long-term liabilities in the accompanying consolidated balance sheets.</w:t>
      </w:r>
    </w:p>
    <w:p>
      <w:pPr>
        <w:spacing w:after="0" w:line="8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Other comprehensive loss for fiscal 2020 includes unrecognized gross actuarial gain and prior service cost of $6.6 million, reduced by taxes of $1.7 million, that has not yet been recognized in net periodic pension cost for fiscal 2020 for the Retired Officers’ Bonus Plan, the Officer Medical Plan, and the Retired Vice-President Bonus Plan. Other comprehensive loss for fiscal 2019 includes unrecognized gross actuarial gain and prior service cost of $13.9 million, reduced by taxes of $3.6 million,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45" w:right="339" w:bottom="1440" w:gutter="0" w:footer="0" w:header="0"/>
        </w:sectPr>
      </w:pPr>
    </w:p>
    <w:bookmarkStart w:id="98" w:name="page99"/>
    <w:bookmarkEnd w:id="98"/>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has not yet been recognized in net periodic pension cost for fiscal 2019 for the Retired Officers’ Bonus Plan, the Officer Medical Plan, and the Retired Vice-President Bonus Plan.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Fiscal Year Ended March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4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the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120,341</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118,089</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4,464</w:t>
            </w:r>
          </w:p>
        </w:tc>
      </w:tr>
      <w:tr>
        <w:trPr>
          <w:trHeight w:val="27"/>
        </w:trPr>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5,008</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2,744</w:t>
            </w:r>
          </w:p>
        </w:tc>
      </w:tr>
      <w:tr>
        <w:trPr>
          <w:trHeight w:val="27"/>
        </w:trPr>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7"/>
        </w:trPr>
        <w:tc>
          <w:tcPr>
            <w:tcW w:w="5960" w:type="dxa"/>
            <w:vAlign w:val="bottom"/>
          </w:tcPr>
          <w:p>
            <w:pPr>
              <w:ind w:left="700"/>
              <w:spacing w:after="0"/>
              <w:rPr>
                <w:sz w:val="20"/>
                <w:szCs w:val="20"/>
                <w:color w:val="auto"/>
              </w:rPr>
            </w:pPr>
            <w:r>
              <w:rPr>
                <w:rFonts w:ascii="Arial" w:cs="Arial" w:eastAsia="Arial" w:hAnsi="Arial"/>
                <w:sz w:val="18"/>
                <w:szCs w:val="18"/>
                <w:color w:val="auto"/>
              </w:rPr>
              <w:t>Benefit obligation, end of the year</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119,609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120,341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126,886</w:t>
            </w:r>
          </w:p>
        </w:tc>
      </w:tr>
      <w:tr>
        <w:trPr>
          <w:trHeight w:val="27"/>
        </w:trPr>
        <w:tc>
          <w:tcPr>
            <w:tcW w:w="5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405"/>
        <w:spacing w:after="0" w:line="296" w:lineRule="auto"/>
        <w:rPr>
          <w:sz w:val="20"/>
          <w:szCs w:val="20"/>
          <w:color w:val="auto"/>
        </w:rPr>
      </w:pPr>
      <w:r>
        <w:rPr>
          <w:rFonts w:ascii="Arial" w:cs="Arial" w:eastAsia="Arial" w:hAnsi="Arial"/>
          <w:sz w:val="16"/>
          <w:szCs w:val="16"/>
          <w:color w:val="auto"/>
        </w:rPr>
        <w:t>The net actuarial gain related to benefit obligation in fiscal 2020 was due mainly to the repeal of excise tax on high cost health plans in December 2019, partially offset by the unfavorable impact from declines in discount rates and changes in estimated medical costs as of March 31, 2020. The net actuarial gain related to benefit obligation in fiscal 2019 was due mainly to the favorable medical cost experience in the past year as well as updates to demographic assumptions. The net actuarial loss related to benefit obligation in fiscal 2018 was due largely to a decrease in the discount rate and an updated outlook of higher future medical inflation offset by favorable medical cost experience in the past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the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Employer contributions</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3,419</w:t>
            </w: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7"/>
        </w:trPr>
        <w:tc>
          <w:tcPr>
            <w:tcW w:w="5960" w:type="dxa"/>
            <w:vAlign w:val="bottom"/>
          </w:tcPr>
          <w:p>
            <w:pPr>
              <w:ind w:left="720"/>
              <w:spacing w:after="0"/>
              <w:rPr>
                <w:sz w:val="20"/>
                <w:szCs w:val="20"/>
                <w:color w:val="auto"/>
              </w:rPr>
            </w:pPr>
            <w:r>
              <w:rPr>
                <w:rFonts w:ascii="Arial" w:cs="Arial" w:eastAsia="Arial" w:hAnsi="Arial"/>
                <w:sz w:val="18"/>
                <w:szCs w:val="18"/>
                <w:color w:val="auto"/>
              </w:rPr>
              <w:t>Fair value of plan assets, end of the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March 31, 2020 and 2019, the unfunded status of the Officer Medical Plan was $119.6 million and $120.3 million, respectively, which is included in other long-term liabilities in the accompanying consolidated balance sheets.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and the Retired Vice-President Bonus Plan are unfunded plans and contributions are made as benefits are paid. As of March 31, 2020 and 2019, there were no plan assets for either the Retired Officers’ Bonus Plan or the Retired Vice-President Bonus Plan and therefore, the accumulated liability of $4.8 million and $4.6 million, respectively, is unfunded. The liability will be distributed in a lump-sum payment as each officer or vice-president retires.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445"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000" w:type="dxa"/>
            <w:vAlign w:val="bottom"/>
          </w:tcPr>
          <w:p>
            <w:pPr>
              <w:jc w:val="center"/>
              <w:ind w:left="1330"/>
              <w:spacing w:after="0"/>
              <w:rPr>
                <w:sz w:val="20"/>
                <w:szCs w:val="20"/>
                <w:color w:val="auto"/>
              </w:rPr>
            </w:pPr>
            <w:r>
              <w:rPr>
                <w:rFonts w:ascii="Arial" w:cs="Arial" w:eastAsia="Arial" w:hAnsi="Arial"/>
                <w:sz w:val="18"/>
                <w:szCs w:val="18"/>
                <w:b w:val="1"/>
                <w:bCs w:val="1"/>
                <w:color w:val="auto"/>
              </w:rPr>
              <w:t>BOOZ ALLEN HAMILTON HOLDING CORPORATION</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0" w:type="dxa"/>
            <w:vAlign w:val="bottom"/>
          </w:tcPr>
          <w:p>
            <w:pPr>
              <w:jc w:val="center"/>
              <w:ind w:left="1310"/>
              <w:spacing w:after="0"/>
              <w:rPr>
                <w:sz w:val="20"/>
                <w:szCs w:val="20"/>
                <w:color w:val="auto"/>
              </w:rPr>
            </w:pPr>
            <w:r>
              <w:rPr>
                <w:rFonts w:ascii="Arial" w:cs="Arial" w:eastAsia="Arial" w:hAnsi="Arial"/>
                <w:sz w:val="18"/>
                <w:szCs w:val="18"/>
                <w:b w:val="1"/>
                <w:bCs w:val="1"/>
                <w:color w:val="auto"/>
              </w:rPr>
              <w:t>NOTES TO CONSOLIDATED FINANCIAL STATEMENTS</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00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(Amounts in tables in thousands, except share and per share data or unless otherwise noted)</w:t>
            </w: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40"/>
        </w:trPr>
        <w:tc>
          <w:tcPr>
            <w:tcW w:w="420" w:type="dxa"/>
            <w:vAlign w:val="bottom"/>
          </w:tcPr>
          <w:p>
            <w:pPr>
              <w:spacing w:after="0"/>
              <w:rPr>
                <w:sz w:val="24"/>
                <w:szCs w:val="24"/>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3"/>
        </w:trPr>
        <w:tc>
          <w:tcPr>
            <w:tcW w:w="94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90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2022</w:t>
            </w:r>
          </w:p>
        </w:tc>
        <w:tc>
          <w:tcPr>
            <w:tcW w:w="9000" w:type="dxa"/>
            <w:vAlign w:val="bottom"/>
          </w:tcPr>
          <w:p>
            <w:pPr>
              <w:spacing w:after="0"/>
              <w:rPr>
                <w:sz w:val="21"/>
                <w:szCs w:val="21"/>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4,235</w:t>
            </w:r>
          </w:p>
        </w:tc>
      </w:tr>
      <w:tr>
        <w:trPr>
          <w:trHeight w:val="27"/>
        </w:trPr>
        <w:tc>
          <w:tcPr>
            <w:tcW w:w="4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9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4,661</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2024</w:t>
            </w:r>
          </w:p>
        </w:tc>
        <w:tc>
          <w:tcPr>
            <w:tcW w:w="9000" w:type="dxa"/>
            <w:vAlign w:val="bottom"/>
          </w:tcPr>
          <w:p>
            <w:pPr>
              <w:spacing w:after="0"/>
              <w:rPr>
                <w:sz w:val="21"/>
                <w:szCs w:val="21"/>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5,052</w:t>
            </w:r>
          </w:p>
        </w:tc>
      </w:tr>
      <w:tr>
        <w:trPr>
          <w:trHeight w:val="27"/>
        </w:trPr>
        <w:tc>
          <w:tcPr>
            <w:tcW w:w="4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2025</w:t>
            </w:r>
          </w:p>
        </w:tc>
        <w:tc>
          <w:tcPr>
            <w:tcW w:w="9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5,342</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2026</w:t>
            </w:r>
          </w:p>
        </w:tc>
        <w:tc>
          <w:tcPr>
            <w:tcW w:w="9000" w:type="dxa"/>
            <w:vAlign w:val="bottom"/>
          </w:tcPr>
          <w:p>
            <w:pPr>
              <w:ind w:left="20"/>
              <w:spacing w:after="0"/>
              <w:rPr>
                <w:sz w:val="20"/>
                <w:szCs w:val="20"/>
                <w:color w:val="auto"/>
              </w:rPr>
            </w:pPr>
            <w:r>
              <w:rPr>
                <w:rFonts w:ascii="Arial" w:cs="Arial" w:eastAsia="Arial" w:hAnsi="Arial"/>
                <w:sz w:val="18"/>
                <w:szCs w:val="18"/>
                <w:color w:val="auto"/>
              </w:rPr>
              <w:t>- 2030</w:t>
            </w: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31,896</w:t>
            </w: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$10.7 million and $11.6 million at March 31, 2020 and 2019, respectively, and are presented in other long-term liabilities in the accompanying consolidated balance sheets.</w:t>
      </w:r>
    </w:p>
    <w:p>
      <w:pPr>
        <w:spacing w:after="0" w:line="80"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During fiscal 2019, the long-term disability plan was amended to make Medicare the first payer of eligible medical benefits, with any excess benefits becoming the obligation of the Company. The amendment caused a re-measurement of the plan liability during the period resulting in a reduction of $11.2 million recorded in general and administrative expenses.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March 31, 2020 and 2019, $5.9 million and $3.2 million of plan investments and obligations were recorded in other long term assets and in other long term liabilities, respectively, in the condensed consolidated balance sheets, representing the fair value related to the deferred compensation plan. Adjustments to the fair value of the plan investments and obligations are recorded in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2020</w:t>
            </w:r>
          </w:p>
        </w:tc>
        <w:tc>
          <w:tcPr>
            <w:tcW w:w="10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4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Derivatives designated as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 hedges</w:t>
            </w:r>
          </w:p>
        </w:tc>
        <w:tc>
          <w:tcPr>
            <w:tcW w:w="4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Totals</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4,860</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(41,300)</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(36,440)</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4,941</w:t>
            </w: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(39,752)</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(34,811)</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(46,001)</w:t>
            </w: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8"/>
        <w:spacing w:after="0" w:line="277"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$14.6 million for the fiscal year ended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45" w:right="339" w:bottom="1440" w:gutter="0" w:footer="0" w:header="0"/>
        </w:sectPr>
      </w:pPr>
    </w:p>
    <w:bookmarkStart w:id="100" w:name="page101"/>
    <w:bookmarkEnd w:id="10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2019</w:t>
            </w:r>
          </w:p>
        </w:tc>
        <w:tc>
          <w:tcPr>
            <w:tcW w:w="10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4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Derivatives designated as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b w:val="1"/>
                <w:bCs w:val="1"/>
                <w:color w:val="auto"/>
                <w:w w:val="91"/>
              </w:rPr>
              <w:t>cash flow hedges</w:t>
            </w:r>
          </w:p>
        </w:tc>
        <w:tc>
          <w:tcPr>
            <w:tcW w:w="4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Totals</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(2)</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10,262</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(7,214)</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3,048</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11,887</w:t>
            </w: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3,916</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8"/>
        <w:spacing w:after="0" w:line="277"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$2.6 million for the fiscal year ended March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2018</w:t>
            </w:r>
          </w:p>
        </w:tc>
        <w:tc>
          <w:tcPr>
            <w:tcW w:w="10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Derivatives designated</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8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as cash flow hedges</w:t>
            </w:r>
          </w:p>
        </w:tc>
        <w:tc>
          <w:tcPr>
            <w:tcW w:w="4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w w:val="90"/>
              </w:rPr>
              <w:t>Totals</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4,993</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3,295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Reclassification of AOCI due to the 2017 Tax Act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$2.9 million for the fiscal year ended March 31, 2018</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 reclassified from accumulated other comprehensive income to retained earnings from the adoption of ASU 2018-02 in fiscal 2018.</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15):</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Amortization of net actuarial loss included in net periodic benefit cost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of tax</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Derivatives designated as cash flow hedges (Note 12):</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Reclassification of hedge (loss) gain</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2,094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1,548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445" w:right="339" w:bottom="1440" w:gutter="0" w:footer="0" w:header="0"/>
        </w:sectPr>
      </w:pPr>
    </w:p>
    <w:bookmarkStart w:id="101" w:name="page102"/>
    <w:bookmarkEnd w:id="101"/>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LONG-TERM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75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78,658</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124,375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124,925</w:t>
            </w:r>
          </w:p>
        </w:tc>
      </w:tr>
      <w:tr>
        <w:trPr>
          <w:trHeight w:val="27"/>
        </w:trPr>
        <w:tc>
          <w:tcPr>
            <w:tcW w:w="7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63,096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27,069</w:t>
            </w:r>
          </w:p>
        </w:tc>
      </w:tr>
      <w:tr>
        <w:trPr>
          <w:trHeight w:val="237"/>
        </w:trPr>
        <w:tc>
          <w:tcPr>
            <w:tcW w:w="750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187,471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230,652</w:t>
            </w:r>
          </w:p>
        </w:tc>
      </w:tr>
      <w:tr>
        <w:trPr>
          <w:trHeight w:val="27"/>
        </w:trPr>
        <w:tc>
          <w:tcPr>
            <w:tcW w:w="7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0" w:firstLine="8"/>
        <w:spacing w:after="0" w:line="277"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Deferred rent balance was reclassified to operating lease right-of-use assets on the consolidated balance sheet as a result of the adoption of Topic 842 in fiscal 2020. See Notes 2 and 13.</w:t>
      </w:r>
    </w:p>
    <w:p>
      <w:pPr>
        <w:spacing w:after="0" w:line="62" w:lineRule="exact"/>
        <w:rPr>
          <w:rFonts w:ascii="Arial" w:cs="Arial" w:eastAsia="Arial" w:hAnsi="Arial"/>
          <w:sz w:val="18"/>
          <w:szCs w:val="18"/>
          <w:color w:val="auto"/>
        </w:rPr>
      </w:pPr>
    </w:p>
    <w:p>
      <w:pPr>
        <w:ind w:right="100" w:firstLine="8"/>
        <w:spacing w:after="0" w:line="263"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Balances at March 31, 2020 and 2019 primarily include the Company's long-term disability obligation of $10.7 million and $11.6 million, respectively, and the long-term liability portion of the Company's derivative instruments of $37.8 million. See Notes 15 and 12, respectively, to our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General Corporation Law of the State of Delaware. The Company’s ability to pay dividends to stockholders is limited as a practical matter by restrictions in the agreements governing the Company's indebtedness.</w:t>
      </w:r>
    </w:p>
    <w:p>
      <w:pPr>
        <w:spacing w:after="0" w:line="7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authorized and unissued shares of Class A Common Stock are available for future issuance upon stock option exercises and vesting of restricted stock units without additional stockholder approval.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December 21, 2011, the Board of Directors adopted a share repurchase program, which was most recently increased on May 23, 2019 to authorize the repurchase of up to $1,310.0 million in shares of Class A Common Stock. A special committee of the Board of Directors evaluates market conditions and other relevant factors and initiates repurchases under the program from time to time. The share repurchase program may be suspended, modified or discontinued at any time at the Company’s discretion without prior notice. During fiscal 2020, the Company purchased 2.5 million shares of Class A Common Stock in a series of open market transactions for $173.4 million. During fiscal 2019, the Company purchased 5.1 million shares of Class A Common Stock in a series of open market transactions for $239.8 million. As of March 31, 2020, the Company had $484.8 million remaining under the share repurchase program.</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146,602</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103,411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951</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146,602</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114,514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104,362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represent recurring quarterly dividends that were declared and paid for during each quarter of fiscal 2020, 2019, and 2018.</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45" w:right="339" w:bottom="1440" w:gutter="0" w:footer="0" w:header="0"/>
        </w:sectPr>
      </w:pPr>
    </w:p>
    <w:bookmarkStart w:id="102" w:name="page103"/>
    <w:bookmarkEnd w:id="102"/>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22,285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15,547</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21,282</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As of March 31, 2020 and 2019, there was $33.5 million and $27.8 million, respectively, of total unrecognized compensation cost related to unvested stock-based compensation agreements. The unrecognized compensation cost as of March 31, 2020 is expected to be fully amortized over the next 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0" w:type="dxa"/>
            <w:vAlign w:val="bottom"/>
            <w:gridSpan w:val="12"/>
          </w:tcPr>
          <w:p>
            <w:pPr>
              <w:ind w:left="200"/>
              <w:spacing w:after="0"/>
              <w:rPr>
                <w:sz w:val="20"/>
                <w:szCs w:val="20"/>
                <w:color w:val="auto"/>
              </w:rPr>
            </w:pPr>
            <w:r>
              <w:rPr>
                <w:rFonts w:ascii="Arial" w:cs="Arial" w:eastAsia="Arial" w:hAnsi="Arial"/>
                <w:sz w:val="18"/>
                <w:szCs w:val="18"/>
                <w:b w:val="1"/>
                <w:bCs w:val="1"/>
                <w:color w:val="auto"/>
              </w:rPr>
              <w:t>Unrecognized Compensation</w:t>
            </w:r>
          </w:p>
        </w:tc>
        <w:tc>
          <w:tcPr>
            <w:tcW w:w="2440" w:type="dxa"/>
            <w:vAlign w:val="bottom"/>
            <w:gridSpan w:val="8"/>
          </w:tcPr>
          <w:p>
            <w:pPr>
              <w:jc w:val="right"/>
              <w:ind w:right="50"/>
              <w:spacing w:after="0"/>
              <w:rPr>
                <w:sz w:val="20"/>
                <w:szCs w:val="20"/>
                <w:color w:val="auto"/>
              </w:rPr>
            </w:pPr>
            <w:r>
              <w:rPr>
                <w:rFonts w:ascii="Arial" w:cs="Arial" w:eastAsia="Arial" w:hAnsi="Arial"/>
                <w:sz w:val="18"/>
                <w:szCs w:val="18"/>
                <w:b w:val="1"/>
                <w:bCs w:val="1"/>
                <w:color w:val="auto"/>
                <w:w w:val="89"/>
              </w:rPr>
              <w:t>Weighted Average Remaining</w:t>
            </w: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Period to be Recognized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5"/>
          </w:tcPr>
          <w:p>
            <w:pPr>
              <w:ind w:left="2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280" w:type="dxa"/>
            <w:vAlign w:val="bottom"/>
            <w:gridSpan w:val="6"/>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9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1"/>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1"/>
              </w:rPr>
              <w:t>3.61</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29,738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24,259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91"/>
              </w:rPr>
              <w:t>1.78</w:t>
            </w:r>
          </w:p>
        </w:tc>
        <w:tc>
          <w:tcPr>
            <w:tcW w:w="120" w:type="dxa"/>
            <w:vAlign w:val="bottom"/>
          </w:tcPr>
          <w:p>
            <w:pPr>
              <w:spacing w:after="0"/>
              <w:rPr>
                <w:sz w:val="21"/>
                <w:szCs w:val="21"/>
                <w:color w:val="auto"/>
              </w:rPr>
            </w:pPr>
          </w:p>
        </w:tc>
        <w:tc>
          <w:tcPr>
            <w:tcW w:w="90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1.75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33,459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3"/>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gridSpan w:val="16"/>
          </w:tcPr>
          <w:p>
            <w:pPr>
              <w:jc w:val="right"/>
              <w:ind w:right="860"/>
              <w:spacing w:after="0"/>
              <w:rPr>
                <w:sz w:val="20"/>
                <w:szCs w:val="20"/>
                <w:color w:val="auto"/>
              </w:rPr>
            </w:pPr>
            <w:r>
              <w:rPr>
                <w:rFonts w:ascii="Arial" w:cs="Arial" w:eastAsia="Arial" w:hAnsi="Arial"/>
                <w:sz w:val="18"/>
                <w:szCs w:val="18"/>
                <w:b w:val="1"/>
                <w:bCs w:val="1"/>
                <w:color w:val="auto"/>
                <w:w w:val="91"/>
              </w:rPr>
              <w:t>Total Unrecognized Compensation 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90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20,428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9,104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22,300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90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rPr>
              <w:t>F-36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03" w:name="page104"/>
    <w:bookmarkEnd w:id="10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jc w:val="both"/>
        <w:ind w:right="100" w:firstLine="243"/>
        <w:spacing w:after="0" w:line="279" w:lineRule="auto"/>
        <w:rPr>
          <w:sz w:val="20"/>
          <w:szCs w:val="20"/>
          <w:color w:val="auto"/>
        </w:rPr>
      </w:pPr>
      <w:r>
        <w:rPr>
          <w:rFonts w:ascii="Arial" w:cs="Arial" w:eastAsia="Arial" w:hAnsi="Arial"/>
          <w:sz w:val="17"/>
          <w:szCs w:val="17"/>
          <w:color w:val="auto"/>
        </w:rPr>
        <w:t>The Company's Equity Incentive Plan, or EIP, was adopted in connection with the Merger Agreement for employees and directors of Holding. The EIP was amended and restated in 2010 in connection with the Company’s initial public offering, and on May 22, 2014 and January 28, 2020. Awards under the EIP may be made in the form of stock options; stock purchase rights; restricted stock; restricted stock units; performance shares; performance units; stock appreciation rights; deferred share units; dividend equivalents; and other stock-based awards.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Stock options under the EIP are granted at the discretion of the Board of Directors or its Compensation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 During fiscal 2020, 270,332 options were granted under the EIP.</w:t>
      </w:r>
    </w:p>
    <w:p>
      <w:pPr>
        <w:spacing w:after="0" w:line="79" w:lineRule="exact"/>
        <w:rPr>
          <w:sz w:val="20"/>
          <w:szCs w:val="20"/>
          <w:color w:val="auto"/>
        </w:rPr>
      </w:pPr>
    </w:p>
    <w:p>
      <w:pPr>
        <w:ind w:right="380" w:firstLine="405"/>
        <w:spacing w:after="0" w:line="301" w:lineRule="auto"/>
        <w:rPr>
          <w:sz w:val="20"/>
          <w:szCs w:val="20"/>
          <w:color w:val="auto"/>
        </w:rPr>
      </w:pPr>
      <w:r>
        <w:rPr>
          <w:rFonts w:ascii="Arial" w:cs="Arial" w:eastAsia="Arial" w:hAnsi="Arial"/>
          <w:sz w:val="16"/>
          <w:szCs w:val="16"/>
          <w:color w:val="auto"/>
        </w:rPr>
        <w:t>The aggregate grant date fair value of the EIP Options issued during fiscal 2020 and 2019, was $3.7 million and $3.5 million, respectively, and is recorded as expense over the vesting period. The total fair value of EIP Options vested during fiscal 2020 and 2019 was $2.4 million and $2.5 million, respectively. The total intrinsic value of EIP options exercised during fiscal 2020 and 2019 was $30.6 million and $47.2 million, respectively. As of March 31, 2020 and 2019, there were 10,097,483 and 10,708,159 options, respectively, available for future grant under the EIP.</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Incentive Plans</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Such equity awards vest over a three-year period subject to the employee’s continued service to the Company. The related expense is recognized in the accompanying consolidated statements of operations based on grant date fair value over the vesting period of three years.</w:t>
      </w:r>
    </w:p>
    <w:p>
      <w:pPr>
        <w:spacing w:after="0" w:line="84"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During fiscal 2018, the Company implemented a new annual incentive program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the Company's common stock. Dividend equivalents are paid in respect of the service-based restricted stock units when dividends are paid on the Company's common stock. Performance-based awards vest at the end of a three-year period subject to certain specified financial performance criteria and the grantee's continued service through the period. These awards are settled for Company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58" w:lineRule="exact"/>
        <w:rPr>
          <w:sz w:val="20"/>
          <w:szCs w:val="20"/>
          <w:color w:val="auto"/>
        </w:rPr>
      </w:pPr>
    </w:p>
    <w:p>
      <w:pPr>
        <w:jc w:val="both"/>
        <w:ind w:right="440" w:firstLine="405"/>
        <w:spacing w:after="0" w:line="311" w:lineRule="auto"/>
        <w:rPr>
          <w:sz w:val="20"/>
          <w:szCs w:val="20"/>
          <w:color w:val="auto"/>
        </w:rPr>
      </w:pPr>
      <w:r>
        <w:rPr>
          <w:rFonts w:ascii="Arial" w:cs="Arial" w:eastAsia="Arial" w:hAnsi="Arial"/>
          <w:sz w:val="16"/>
          <w:szCs w:val="16"/>
          <w:color w:val="auto"/>
        </w:rPr>
        <w:t>During fiscal 2020, the Company implemented a program whereby certain non-officer employees would be eligible to receive a portion of their annual bonus in equity. The equity compensation would be issued in the form of restricted stock units that would vest immediately after issuance. The associated expense will be recognized in the accompanying consolidated statements of operations based on grant date fair value.</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fiscal 2020, the Board of Directors granted an aggregate of 589,818 Restricted Stock Units with service-based and performance-based vesting conditions to existing officers, vice presidents, and other employees and non-employees of the Company, as well as to newly promoted and hired partners and vice presidents. The awards will vest based on the applicable vesting period for the specific award subject to the employees' continued employment with the Company.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Board of Directors also granted 30,389 shares of Class A Restricted Common Stock to members of the Board of Directors during fiscal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awards generally vest over one year.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45" w:right="339" w:bottom="1440" w:gutter="0" w:footer="0" w:header="0"/>
        </w:sectPr>
      </w:pPr>
    </w:p>
    <w:bookmarkStart w:id="104" w:name="page105"/>
    <w:bookmarkEnd w:id="104"/>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aggregate fair value of all awards issued during fiscal 2020 was $39.7 million and was based on the grant date stock price, which ranged from $62.12 to $78.55. This amount will be recognized in the accompanying consolidated statements of operations over the applicable vesting period of the awards.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fair value of restricted stock shares vested during fiscal 2020 and 2019 was $27.9 million and $21.5 million, respectively.</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194,064 shares and recorded them as treasury shares at a total cost of $13.2 million in fiscal 2020.</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 on the date of grant.</w:t>
      </w:r>
    </w:p>
    <w:p>
      <w:pPr>
        <w:spacing w:after="0" w:line="62"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During fiscal 2020, the Company’s Board of Directors authorized and declared four quarterly cash dividends: $0.23 per share in the first and second quarters, $0.27 per share in the third quarter, and $0.31 per share in the fourth quarter. Therefore, an annualized dividend yield between 2.12% and 2.60% was used in the Black-Scholes option-pricing model for all grants issued during the fiscal year. The Company plans to continue paying recurring dividends in the near term and assessing its excess cash resources to determine the best way to utilize its excess cash flow to meet its objectives. One way the Company may utilize excess cash includes the payment of special dividends. The Company does not anticipate or forecast the payment of special dividends and therefore does not include special dividends in the annual dividend yield that the company uses to calculate the fair value of stock options, as the Company does not pay these special dividends on a regular basis.</w:t>
      </w:r>
    </w:p>
    <w:p>
      <w:pPr>
        <w:spacing w:after="0" w:line="69"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 Implied volatility is calculated as of each grant date based on our historical volatility. Other than the expected life of the option, volatility is the most sensitive input to our option grants.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0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For The Fiscal Year Ended March 31,</w:t>
            </w:r>
          </w:p>
        </w:tc>
        <w:tc>
          <w:tcPr>
            <w:tcW w:w="11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5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24.74%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7"/>
        </w:trPr>
        <w:tc>
          <w:tcPr>
            <w:tcW w:w="5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5.00</w:t>
            </w:r>
          </w:p>
        </w:tc>
      </w:tr>
      <w:tr>
        <w:trPr>
          <w:trHeight w:val="27"/>
        </w:trPr>
        <w:tc>
          <w:tcPr>
            <w:tcW w:w="5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12.39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9.35</w:t>
            </w:r>
          </w:p>
        </w:tc>
      </w:tr>
      <w:tr>
        <w:trPr>
          <w:trHeight w:val="27"/>
        </w:trPr>
        <w:tc>
          <w:tcPr>
            <w:tcW w:w="5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320" w:top="445" w:right="359" w:bottom="1440" w:gutter="0" w:footer="0" w:header="0"/>
        </w:sectPr>
      </w:pPr>
    </w:p>
    <w:bookmarkStart w:id="105" w:name="page106"/>
    <w:bookmarkEnd w:id="105"/>
    <w:p>
      <w:pPr>
        <w:jc w:val="center"/>
        <w:ind w:left="420" w:right="200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unvested restricted stock activity for the periods presented: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3"/>
              </w:rPr>
              <w:t>Grant Date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Unvested Restricted Stock Awards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932,781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38.19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620,207</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64.00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612,321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45.53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53,231</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Unvested at March 31, 2020</w:t>
            </w: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887,436</w:t>
            </w:r>
          </w:p>
        </w:tc>
        <w:tc>
          <w:tcPr>
            <w:tcW w:w="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50.72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ind w:left="420"/>
              <w:spacing w:after="0"/>
              <w:rPr>
                <w:sz w:val="20"/>
                <w:szCs w:val="20"/>
                <w:color w:val="auto"/>
              </w:rPr>
            </w:pPr>
            <w:r>
              <w:rPr>
                <w:rFonts w:ascii="Arial" w:cs="Arial" w:eastAsia="Arial" w:hAnsi="Arial"/>
                <w:sz w:val="18"/>
                <w:szCs w:val="18"/>
                <w:color w:val="auto"/>
              </w:rPr>
              <w:t>The following table summarizes stock option activity for the periods presented:</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06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Options outstanding at March 31, 2019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2,091,355</w:t>
            </w:r>
          </w:p>
        </w:tc>
        <w:tc>
          <w:tcPr>
            <w:tcW w:w="1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575,890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2020</w:t>
            </w: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1,753,139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right="3080" w:hanging="412"/>
        <w:spacing w:after="0" w:line="440" w:lineRule="auto"/>
        <w:tabs>
          <w:tab w:leader="none" w:pos="1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Reflects exercise price adjustment of $6.36 per grant for the $6.50 dividend per share issued on July 30, 2012. The following table summarizes unvested stock options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3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3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38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4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Unvested at March 31, 2019</w:t>
            </w:r>
          </w:p>
        </w:tc>
        <w:tc>
          <w:tcPr>
            <w:tcW w:w="5320" w:type="dxa"/>
            <w:vAlign w:val="bottom"/>
            <w:gridSpan w:val="2"/>
          </w:tcPr>
          <w:p>
            <w:pPr>
              <w:jc w:val="right"/>
              <w:ind w:right="10"/>
              <w:spacing w:after="0"/>
              <w:rPr>
                <w:sz w:val="20"/>
                <w:szCs w:val="20"/>
                <w:color w:val="auto"/>
              </w:rPr>
            </w:pPr>
            <w:r>
              <w:rPr>
                <w:rFonts w:ascii="Arial" w:cs="Arial" w:eastAsia="Arial" w:hAnsi="Arial"/>
                <w:sz w:val="18"/>
                <w:szCs w:val="18"/>
                <w:color w:val="auto"/>
              </w:rPr>
              <w:t>608,613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38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270,332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Vested</w:t>
            </w:r>
          </w:p>
        </w:tc>
        <w:tc>
          <w:tcPr>
            <w:tcW w:w="5320" w:type="dxa"/>
            <w:vAlign w:val="bottom"/>
            <w:gridSpan w:val="2"/>
          </w:tcPr>
          <w:p>
            <w:pPr>
              <w:jc w:val="right"/>
              <w:ind w:right="10"/>
              <w:spacing w:after="0"/>
              <w:rPr>
                <w:sz w:val="20"/>
                <w:szCs w:val="20"/>
                <w:color w:val="auto"/>
              </w:rPr>
            </w:pPr>
            <w:r>
              <w:rPr>
                <w:rFonts w:ascii="Arial" w:cs="Arial" w:eastAsia="Arial" w:hAnsi="Arial"/>
                <w:sz w:val="18"/>
                <w:szCs w:val="18"/>
                <w:color w:val="auto"/>
              </w:rPr>
              <w:t>265,970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38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0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color w:val="auto"/>
              </w:rPr>
              <w:t>Unvested at March 31, 2020</w:t>
            </w:r>
          </w:p>
        </w:tc>
        <w:tc>
          <w:tcPr>
            <w:tcW w:w="40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580,317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0"/>
        </w:trPr>
        <w:tc>
          <w:tcPr>
            <w:tcW w:w="3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43"/>
        </w:trPr>
        <w:tc>
          <w:tcPr>
            <w:tcW w:w="3860" w:type="dxa"/>
            <w:vAlign w:val="bottom"/>
          </w:tcPr>
          <w:p>
            <w:pPr>
              <w:spacing w:after="0"/>
              <w:rPr>
                <w:sz w:val="24"/>
                <w:szCs w:val="24"/>
                <w:color w:val="auto"/>
              </w:rPr>
            </w:pPr>
          </w:p>
        </w:tc>
        <w:tc>
          <w:tcPr>
            <w:tcW w:w="5320" w:type="dxa"/>
            <w:vAlign w:val="bottom"/>
            <w:gridSpan w:val="2"/>
          </w:tcPr>
          <w:p>
            <w:pPr>
              <w:jc w:val="right"/>
              <w:ind w:right="3290"/>
              <w:spacing w:after="0"/>
              <w:rPr>
                <w:sz w:val="20"/>
                <w:szCs w:val="20"/>
                <w:color w:val="auto"/>
              </w:rPr>
            </w:pPr>
            <w:r>
              <w:rPr>
                <w:rFonts w:ascii="Arial" w:cs="Arial" w:eastAsia="Arial" w:hAnsi="Arial"/>
                <w:sz w:val="18"/>
                <w:szCs w:val="18"/>
                <w:color w:val="auto"/>
              </w:rPr>
              <w:t>F-39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40"/>
          </w:cols>
          <w:pgMar w:left="320" w:top="445" w:right="439" w:bottom="1440" w:gutter="0" w:footer="0" w:header="0"/>
        </w:sectPr>
      </w:pPr>
    </w:p>
    <w:bookmarkStart w:id="106" w:name="page107"/>
    <w:bookmarkEnd w:id="10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options outstanding at March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Range of exercise prices </w:t>
            </w:r>
            <w:r>
              <w:rPr>
                <w:rFonts w:ascii="Arial" w:cs="Arial" w:eastAsia="Arial" w:hAnsi="Arial"/>
                <w:sz w:val="8"/>
                <w:szCs w:val="8"/>
                <w:b w:val="1"/>
                <w:bCs w:val="1"/>
                <w:color w:val="auto"/>
              </w:rPr>
              <w:t>(1)</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Intrinsic Value</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192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920" w:type="dxa"/>
            <w:vAlign w:val="bottom"/>
          </w:tcPr>
          <w:p>
            <w:pPr>
              <w:jc w:val="right"/>
              <w:ind w:right="216"/>
              <w:spacing w:after="0"/>
              <w:rPr>
                <w:sz w:val="20"/>
                <w:szCs w:val="20"/>
                <w:color w:val="auto"/>
              </w:rPr>
            </w:pPr>
            <w:r>
              <w:rPr>
                <w:rFonts w:ascii="Arial" w:cs="Arial" w:eastAsia="Arial" w:hAnsi="Arial"/>
                <w:sz w:val="18"/>
                <w:szCs w:val="18"/>
                <w:color w:val="auto"/>
              </w:rPr>
              <w:t>$9.71 - $78.55</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1,753,139</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$34.91</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6.06</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59,128</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1,172,822</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$27.65</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4.91</w:t>
            </w:r>
          </w:p>
        </w:tc>
        <w:tc>
          <w:tcPr>
            <w:tcW w:w="1060" w:type="dxa"/>
            <w:vAlign w:val="bottom"/>
          </w:tcPr>
          <w:p>
            <w:pPr>
              <w:jc w:val="right"/>
              <w:ind w:right="179"/>
              <w:spacing w:after="0"/>
              <w:rPr>
                <w:sz w:val="20"/>
                <w:szCs w:val="20"/>
                <w:color w:val="auto"/>
              </w:rPr>
            </w:pPr>
            <w:r>
              <w:rPr>
                <w:rFonts w:ascii="Arial" w:cs="Arial" w:eastAsia="Arial" w:hAnsi="Arial"/>
                <w:sz w:val="18"/>
                <w:szCs w:val="18"/>
                <w:color w:val="auto"/>
              </w:rPr>
              <w:t>$48,073</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Reflects exercise price adjustment of $6.36 per grant for the $6.50 dividend per share issued July 30, 2012.</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offers a tax qualified Employee Stock Purchase Plan, or ESPP, which is designed to enable eligible employees to periodically purchase shares of the Class A Common Stock up to an aggregate of 10 million shares at a five percent discount from the fair market value of the Class A Common Stock. The ESPP provides for quarterly offering periods. For the year ended March 31, 2020, 227,810 shares of Class A Common Stock were purchased by employees under the ESPP. Since the program's inception, 2,659,803 shares have been purchased by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center"/>
              <w:ind w:left="610"/>
              <w:spacing w:after="0"/>
              <w:rPr>
                <w:sz w:val="20"/>
                <w:szCs w:val="20"/>
                <w:color w:val="auto"/>
              </w:rPr>
            </w:pPr>
            <w:r>
              <w:rPr>
                <w:rFonts w:ascii="Arial" w:cs="Arial" w:eastAsia="Arial" w:hAnsi="Arial"/>
                <w:sz w:val="18"/>
                <w:szCs w:val="18"/>
                <w:b w:val="1"/>
                <w:bCs w:val="1"/>
                <w:color w:val="auto"/>
                <w:w w:val="91"/>
              </w:rPr>
              <w:t>Recurring Fair Value Measurements</w:t>
            </w:r>
          </w:p>
        </w:tc>
        <w:tc>
          <w:tcPr>
            <w:tcW w:w="86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as of March 31, 2020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Long term deferred compensation plan asset (2)</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liability (3)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Current derivative instruments (1)</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18,831</w:t>
            </w:r>
          </w:p>
        </w:tc>
      </w:tr>
      <w:tr>
        <w:trPr>
          <w:trHeight w:val="27"/>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derivative instruments (1)</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37,819</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Long term deferred compensation plan liability (2)</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7"/>
        </w:trPr>
        <w:tc>
          <w:tcPr>
            <w:tcW w:w="46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63,753</w:t>
            </w:r>
          </w:p>
        </w:tc>
      </w:tr>
      <w:tr>
        <w:trPr>
          <w:trHeight w:val="426"/>
        </w:trPr>
        <w:tc>
          <w:tcPr>
            <w:tcW w:w="4620" w:type="dxa"/>
            <w:vAlign w:val="bottom"/>
          </w:tcPr>
          <w:p>
            <w:pPr>
              <w:spacing w:after="0"/>
              <w:rPr>
                <w:sz w:val="24"/>
                <w:szCs w:val="24"/>
                <w:color w:val="auto"/>
              </w:rPr>
            </w:pPr>
          </w:p>
        </w:tc>
        <w:tc>
          <w:tcPr>
            <w:tcW w:w="1780" w:type="dxa"/>
            <w:vAlign w:val="bottom"/>
          </w:tcPr>
          <w:p>
            <w:pPr>
              <w:ind w:left="820"/>
              <w:spacing w:after="0"/>
              <w:rPr>
                <w:sz w:val="20"/>
                <w:szCs w:val="20"/>
                <w:color w:val="auto"/>
              </w:rPr>
            </w:pPr>
            <w:r>
              <w:rPr>
                <w:rFonts w:ascii="Arial" w:cs="Arial" w:eastAsia="Arial" w:hAnsi="Arial"/>
                <w:sz w:val="18"/>
                <w:szCs w:val="18"/>
                <w:color w:val="auto"/>
              </w:rPr>
              <w:t>F-40</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07" w:name="page108"/>
    <w:bookmarkEnd w:id="107"/>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center"/>
              <w:ind w:left="610"/>
              <w:spacing w:after="0"/>
              <w:rPr>
                <w:sz w:val="20"/>
                <w:szCs w:val="20"/>
                <w:color w:val="auto"/>
              </w:rPr>
            </w:pPr>
            <w:r>
              <w:rPr>
                <w:rFonts w:ascii="Arial" w:cs="Arial" w:eastAsia="Arial" w:hAnsi="Arial"/>
                <w:sz w:val="18"/>
                <w:szCs w:val="18"/>
                <w:b w:val="1"/>
                <w:bCs w:val="1"/>
                <w:color w:val="auto"/>
                <w:w w:val="91"/>
              </w:rPr>
              <w:t>Recurring Fair Value Measurements</w:t>
            </w:r>
          </w:p>
        </w:tc>
        <w:tc>
          <w:tcPr>
            <w:tcW w:w="86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as of March 31, 2019</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1,790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derivative instruments (1)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Long term deferred compensation plan asset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3,169</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liability (3)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derivative instruments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4,347</w:t>
            </w: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Long term deferred compensation plan liability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3,169</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9,669</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8"/>
        <w:spacing w:after="0" w:line="286"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12 to the consolidated financial statements for further discussion on the Company’s derivative instruments designated as cash flow hedges.</w:t>
      </w:r>
    </w:p>
    <w:p>
      <w:pPr>
        <w:spacing w:after="0" w:line="165" w:lineRule="exact"/>
        <w:rPr>
          <w:rFonts w:ascii="Arial" w:cs="Arial" w:eastAsia="Arial" w:hAnsi="Arial"/>
          <w:sz w:val="17"/>
          <w:szCs w:val="17"/>
          <w:color w:val="auto"/>
        </w:rPr>
      </w:pPr>
    </w:p>
    <w:p>
      <w:pPr>
        <w:ind w:right="100" w:firstLine="8"/>
        <w:spacing w:after="0" w:line="259"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in this category consist of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186" w:lineRule="exact"/>
        <w:rPr>
          <w:rFonts w:ascii="Arial" w:cs="Arial" w:eastAsia="Arial" w:hAnsi="Arial"/>
          <w:sz w:val="18"/>
          <w:szCs w:val="18"/>
          <w:color w:val="auto"/>
        </w:rPr>
      </w:pPr>
    </w:p>
    <w:p>
      <w:pPr>
        <w:jc w:val="both"/>
        <w:ind w:right="200" w:firstLine="8"/>
        <w:spacing w:after="0" w:line="263"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the acquisition of Aquilent in fiscal 2017. As of both March 31, 2020 and 2019, the estimated fair value of the contingent consideration liability was $1.2 million, and was valued using probability-weighted cash flows, which is based on the use of Level 3 fair value measurement inputs.</w:t>
      </w:r>
    </w:p>
    <w:p>
      <w:pPr>
        <w:spacing w:after="0" w:line="18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fair value of the Company's cash and cash equivalents, which are Level 1 inputs, approximated its carrying values at March 31, 2020 and 2019. The fair value of the Company's debt instruments approximated its carrying value at March 31, 2020 and 2019.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Senior Notes is determined using quoted prices or other market information from recent trading activity in the high-yield bond market (Level 2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RELATED-PARTY TRANSACTIONS</w:t>
      </w:r>
    </w:p>
    <w:p>
      <w:pPr>
        <w:spacing w:after="0" w:line="12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out of five of the Booz Allen Foundation’s directors and consent rights regarding certain extraordinary corporate actions approved by the Company's Board of Directors. The Company made a binding and irrevocable pledge of $5.0 million to the Booz Allen Foundation, payable in installments, and recorded the pledge obligation in other current liabilities on the consolidated balance sheet of the Company in March 2017. As of March 31, 2019, the Company had satisfied the pledge obligation in full.</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$79.7 million and $55.3 million of services for fiscal 2020 and 2019, respectively.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320" w:top="445" w:right="359" w:bottom="1440" w:gutter="0" w:footer="0" w:header="0"/>
        </w:sectPr>
      </w:pPr>
    </w:p>
    <w:bookmarkStart w:id="108" w:name="page109"/>
    <w:bookmarkEnd w:id="108"/>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As of March 31, 2020 and 2019, the Company was contingently liable under open standby letters of credit and bank guarantees issued by our banks in favor of third parties that totaled $9.7 million and $9.5 million, respectively. These letters of credit and bank guarantees primarily support insurance and bid and performance obligations. At March 31, 2020 and 2019, approximately $0.9 million and $1.0 million, respectively, of these instruments reduce the available borrowings under the Revolving Credit Facility. The remainder is guaranteed under a separate $15.0 million facility established in fiscal 2015 of which $6.2 million and $6.5 million, respectively, was available to the Company at March 31, 2020 and 2019.</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 - Provision for Claimed Indirect Costs</w:t>
      </w:r>
    </w:p>
    <w:p>
      <w:pPr>
        <w:spacing w:after="0" w:line="117"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For fiscal 2020, 2019, and 2018, approximately 96%, 96%, and 97%,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March 31, 2020 and 2019, the Company had recorded liabilities of approximately $224.6 million and $195.3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2020 and 2019, there were no material amounts accrued in the consolidated financial statements related to these proceedings.</w:t>
      </w:r>
    </w:p>
    <w:p>
      <w:pPr>
        <w:spacing w:after="0" w:line="71" w:lineRule="exact"/>
        <w:rPr>
          <w:sz w:val="20"/>
          <w:szCs w:val="20"/>
          <w:color w:val="auto"/>
        </w:rPr>
      </w:pPr>
    </w:p>
    <w:p>
      <w:pPr>
        <w:ind w:right="280" w:firstLine="405"/>
        <w:spacing w:after="0" w:line="296"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45" w:right="339" w:bottom="1440" w:gutter="0" w:footer="0" w:header="0"/>
        </w:sectPr>
      </w:pPr>
    </w:p>
    <w:bookmarkStart w:id="109" w:name="page110"/>
    <w:bookmarkEnd w:id="109"/>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the putative class, alleges that the Company and certain former officers and directors violated Sections 10(b), 20(a) and 14(e) of the Securities Exchange Act of 1934, as amended (the “Exchange Act”). On June 2, 2019, the United States District Court for the Southern District of New York granted defendants' motion to dismiss the amended complaint in its entirety. On July 11, 2019, the plaintiff filed a notice to appeal the ruling. On October 17, 2019, the plaintiff and the defendants reached an agreement to settle this matter. Pursuant to that agreement, the plaintiff was obligated to dismiss his appeal. On November 12, 2019, the parties filed a stipulation withdrawing the appeal, which was ordered by the court the same day.</w:t>
      </w:r>
    </w:p>
    <w:p>
      <w:pPr>
        <w:spacing w:after="0" w:line="73"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0" w:lineRule="exact"/>
        <w:rPr>
          <w:sz w:val="20"/>
          <w:szCs w:val="20"/>
          <w:color w:val="auto"/>
        </w:rPr>
      </w:pPr>
    </w:p>
    <w:p>
      <w:pPr>
        <w:ind w:firstLine="391"/>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8" w:lineRule="exact"/>
        <w:rPr>
          <w:sz w:val="20"/>
          <w:szCs w:val="20"/>
          <w:color w:val="auto"/>
        </w:rPr>
      </w:pPr>
    </w:p>
    <w:p>
      <w:pPr>
        <w:ind w:right="100" w:firstLine="391"/>
        <w:spacing w:after="0" w:line="272"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a status conference on October 31, 2019, the court ordered the parties to meet and confer and submit a status report by November 29, 2019. On December 12, 2019,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445" w:right="359" w:bottom="1440" w:gutter="0" w:footer="0" w:header="0"/>
        </w:sectPr>
      </w:pPr>
    </w:p>
    <w:bookmarkStart w:id="110" w:name="page111"/>
    <w:bookmarkEnd w:id="110"/>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court ordered that the stay remain in effect. At this stage of the lawsuit, the Company is not able to reasonably estimate the expected amount or range of cost or any loss associated with the lawsuit.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BUSINESS SEGMENT INFORMATION</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Fiscal 2020 Quarters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22"/>
                <w:szCs w:val="22"/>
                <w:color w:val="auto"/>
              </w:rPr>
            </w:pP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Second</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33"/>
              <w:spacing w:after="0"/>
              <w:rPr>
                <w:sz w:val="20"/>
                <w:szCs w:val="20"/>
                <w:color w:val="auto"/>
              </w:rPr>
            </w:pPr>
            <w:r>
              <w:rPr>
                <w:rFonts w:ascii="Arial" w:cs="Arial" w:eastAsia="Arial" w:hAnsi="Arial"/>
                <w:sz w:val="14"/>
                <w:szCs w:val="14"/>
                <w:b w:val="1"/>
                <w:bCs w:val="1"/>
                <w:color w:val="auto"/>
              </w:rPr>
              <w:t>Fourth</w:t>
            </w: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1,825,176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1,819,577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1,849,441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1,969,647</w:t>
            </w:r>
          </w:p>
        </w:tc>
      </w:tr>
      <w:tr>
        <w:trPr>
          <w:trHeight w:val="243"/>
        </w:trPr>
        <w:tc>
          <w:tcPr>
            <w:tcW w:w="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179,046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172,035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169,045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149,076</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148,177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146,723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128,704</w:t>
            </w:r>
          </w:p>
        </w:tc>
      </w:tr>
      <w:tr>
        <w:trPr>
          <w:trHeight w:val="243"/>
        </w:trPr>
        <w:tc>
          <w:tcPr>
            <w:tcW w:w="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117,386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114,325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138,866</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rPr>
              <w:t>Basic (1)</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0.81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0.99</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0.98</w:t>
            </w:r>
          </w:p>
        </w:tc>
      </w:tr>
      <w:tr>
        <w:trPr>
          <w:trHeight w:val="561"/>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Fiscal 2019 Quarters</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Fourth</w:t>
            </w:r>
          </w:p>
        </w:tc>
      </w:tr>
      <w:tr>
        <w:trPr>
          <w:trHeight w:val="249"/>
        </w:trPr>
        <w:tc>
          <w:tcPr>
            <w:tcW w:w="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1,646,848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1,780,080</w:t>
            </w:r>
          </w:p>
        </w:tc>
      </w:tr>
      <w:tr>
        <w:trPr>
          <w:trHeight w:val="243"/>
        </w:trPr>
        <w:tc>
          <w:tcPr>
            <w:tcW w:w="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161,612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143,751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161,932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135,099</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117,880</w:t>
            </w:r>
          </w:p>
        </w:tc>
      </w:tr>
      <w:tr>
        <w:trPr>
          <w:trHeight w:val="243"/>
        </w:trPr>
        <w:tc>
          <w:tcPr>
            <w:tcW w:w="2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104,204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132,037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89,575</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4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0.64</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20" w:hanging="258"/>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F-44</w:t>
      </w:r>
    </w:p>
    <w:p>
      <w:pPr>
        <w:sectPr>
          <w:pgSz w:w="11900" w:h="16838" w:orient="portrait"/>
          <w:cols w:equalWidth="0" w:num="1">
            <w:col w:w="11220"/>
          </w:cols>
          <w:pgMar w:left="320" w:top="445" w:right="359" w:bottom="1440" w:gutter="0" w:footer="0" w:header="0"/>
        </w:sectPr>
      </w:pPr>
    </w:p>
    <w:bookmarkStart w:id="111" w:name="page112"/>
    <w:bookmarkEnd w:id="111"/>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SUPPLEMENTAL FINANCIAL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Fiscal Year Ended March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10,679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Charges against allowance</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Tax valuation allowance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adjustments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repurchased and withheld to cover taxes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paid $10.7 million during the first quarter of fiscal 2021 for 156,414 shares of Class A Common Stock withheld to cover taxes related to Restricted Stock vesting during the fourth quarter of fiscal 2020 that had not settled in cash by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Declared</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On May 26, 2020, the Company announced that its Board of Directors had declared a quarterly cash dividend of $0.31 per share. Payment of the dividend will be made on June 30, 2020 to stockholders of record at the close of business on June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320" w:top="445" w:right="359" w:bottom="1440" w:gutter="0" w:footer="0" w:header="0"/>
        </w:sectPr>
      </w:pPr>
    </w:p>
    <w:bookmarkStart w:id="112" w:name="page113"/>
    <w:bookmarkEnd w:id="11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 and Attestation Report of the Registered Public Accounting Firm</w:t>
      </w:r>
    </w:p>
    <w:p>
      <w:pPr>
        <w:spacing w:after="0" w:line="117"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1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Our management conducted an assessment of the effectiveness of our internal control over financial reporting as of March 31, 2020. This assessment was based on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 framework)</w:t>
      </w:r>
      <w:r>
        <w:rPr>
          <w:rFonts w:ascii="Arial" w:cs="Arial" w:eastAsia="Arial" w:hAnsi="Arial"/>
          <w:sz w:val="18"/>
          <w:szCs w:val="18"/>
          <w:color w:val="auto"/>
        </w:rPr>
        <w:t>. Based on this assessment, management has concluded that, as of March 31, 2020,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w:t>
      </w:r>
    </w:p>
    <w:p>
      <w:pPr>
        <w:spacing w:after="0" w:line="13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661"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Booz Allen Hamilton Holding Corporation’s internal control over financial reporting as of March 31, 2020,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2020, based on the COSO criteria.</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2020 and 2019, the related consolidated statements of operations, comprehensive income, stockholders’ equity, and cash flows for each of the three years in the period ended March 31, 2020, and the related notes and our report dated May 26,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877" w:right="339" w:bottom="1440" w:gutter="0" w:footer="0" w:header="0"/>
        </w:sectPr>
      </w:pPr>
    </w:p>
    <w:bookmarkStart w:id="114" w:name="page115"/>
    <w:bookmarkEnd w:id="114"/>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On May 19, 2020, Peter Clare, a member of the Board, informed the Company that he has decided not to stand for re-election at the Company’s 2020 Annual Meeting of Stockholders. Mr. Clare will continue as a member of the Board until his current term expires at the 2020 Annual Meeting of Stockholders. The Company is grateful for Mr. Clare’s leadership and service on the Board.</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740" w:firstLine="432"/>
        <w:spacing w:after="0" w:line="308" w:lineRule="auto"/>
        <w:rPr>
          <w:sz w:val="20"/>
          <w:szCs w:val="20"/>
          <w:color w:val="auto"/>
        </w:rPr>
      </w:pPr>
      <w:r>
        <w:rPr>
          <w:rFonts w:ascii="Arial" w:cs="Arial" w:eastAsia="Arial" w:hAnsi="Arial"/>
          <w:sz w:val="17"/>
          <w:szCs w:val="17"/>
          <w:color w:val="auto"/>
        </w:rPr>
        <w:t>Information related to our directors is set forth under the caption “Election of Directors” of our Proxy Statement for our Annual Meeting of Stockholders scheduled for July 29, 2020 (the "2020 Proxy Statement"). Such information is incorporated herein by reference.</w:t>
      </w:r>
    </w:p>
    <w:p>
      <w:pPr>
        <w:spacing w:after="0" w:line="9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Information relating to our Executive Officers is included in Part I of this Annual Report under the caption “Information about our Executive Officers.”</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to the extent required, is set forth under the caption “Delinquent Section 16(a) Reports” of our 2020 Proxy Statement. Such information is incorporated herein by reference.</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2020 Proxy Statement. Such information is incorporated herein by reference.</w:t>
      </w:r>
    </w:p>
    <w:p>
      <w:pPr>
        <w:spacing w:after="0" w:line="116" w:lineRule="exact"/>
        <w:rPr>
          <w:sz w:val="20"/>
          <w:szCs w:val="20"/>
          <w:color w:val="auto"/>
        </w:rPr>
      </w:pPr>
    </w:p>
    <w:p>
      <w:pPr>
        <w:ind w:right="200" w:firstLine="432"/>
        <w:spacing w:after="0" w:line="311"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2020 Proxy Statement. Such information is incorporated herein by reference.</w:t>
      </w:r>
    </w:p>
    <w:p>
      <w:pPr>
        <w:spacing w:after="0" w:line="3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2020 Proxy Statement. Such information is incorporated herein by reference.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661" w:right="379" w:bottom="1440" w:gutter="0" w:footer="0" w:header="0"/>
        </w:sectPr>
      </w:pPr>
    </w:p>
    <w:bookmarkStart w:id="115" w:name="page116"/>
    <w:bookmarkEnd w:id="115"/>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8"/>
        </w:trPr>
        <w:tc>
          <w:tcPr>
            <w:tcW w:w="5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92"/>
        </w:trPr>
        <w:tc>
          <w:tcPr>
            <w:tcW w:w="508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Rights (b)</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securityholders</w:t>
            </w:r>
          </w:p>
        </w:tc>
        <w:tc>
          <w:tcPr>
            <w:tcW w:w="14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2,625,527</w:t>
            </w:r>
          </w:p>
        </w:tc>
        <w:tc>
          <w:tcPr>
            <w:tcW w:w="1660" w:type="dxa"/>
            <w:vAlign w:val="bottom"/>
            <w:tcBorders>
              <w:top w:val="single" w:sz="8" w:color="CCEEFF"/>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10,097,483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securityholders</w:t>
            </w:r>
          </w:p>
        </w:tc>
        <w:tc>
          <w:tcPr>
            <w:tcW w:w="148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2,625,527</w:t>
            </w:r>
          </w:p>
        </w:tc>
        <w:tc>
          <w:tcPr>
            <w:tcW w:w="166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10,097,483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0" w:hanging="316"/>
        <w:spacing w:after="0" w:line="323"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Column (a) includes: 872,388 shares that have been granted as restricted stock units (RSUs) and 1,753,139 shares granted as options under our equity compensation plans. The weighted average price in column (b) does not take into account shares issued pursuant to RSUs.</w:t>
      </w:r>
    </w:p>
    <w:p>
      <w:pPr>
        <w:spacing w:after="0" w:line="219"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Information relating to the security ownership of certain beneficial owners and management is included in our 2020 Proxy Statement under the caption “Security Ownership of Certain Beneficial Owners and Management” and is incorporated herein by reference.</w:t>
      </w:r>
    </w:p>
    <w:p>
      <w:pPr>
        <w:spacing w:after="0" w:line="3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2020 Proxy Statement. Such information is incorporated herein by reference.</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this item is set forth under the caption “Independent Registered Public Accounting Firm Fees” of our 2020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consolidated financial statements filed herewith are set forth in Item 8 of this Annual Report.</w:t>
      </w:r>
    </w:p>
    <w:p>
      <w:pPr>
        <w:spacing w:after="0" w:line="117" w:lineRule="exact"/>
        <w:rPr>
          <w:sz w:val="20"/>
          <w:szCs w:val="20"/>
          <w:color w:val="auto"/>
        </w:rPr>
      </w:pPr>
    </w:p>
    <w:p>
      <w:pPr>
        <w:ind w:left="1460" w:hanging="480"/>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460" w:right="800" w:firstLine="648"/>
        <w:spacing w:after="0" w:line="277" w:lineRule="auto"/>
        <w:rPr>
          <w:sz w:val="20"/>
          <w:szCs w:val="20"/>
          <w:color w:val="auto"/>
        </w:rPr>
      </w:pPr>
      <w:r>
        <w:rPr>
          <w:rFonts w:ascii="Arial" w:cs="Arial" w:eastAsia="Arial" w:hAnsi="Arial"/>
          <w:sz w:val="18"/>
          <w:szCs w:val="18"/>
          <w:color w:val="auto"/>
        </w:rPr>
        <w:t>Consolidated financial statement schedules have been omitted because either they are not applicable or the required information is included in the consolidated financial statements or the notes thereto.</w:t>
      </w:r>
    </w:p>
    <w:p>
      <w:pPr>
        <w:spacing w:after="0" w:line="62" w:lineRule="exact"/>
        <w:rPr>
          <w:sz w:val="20"/>
          <w:szCs w:val="20"/>
          <w:color w:val="auto"/>
        </w:rPr>
      </w:pPr>
    </w:p>
    <w:p>
      <w:pPr>
        <w:ind w:left="1460" w:hanging="480"/>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66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60" w:type="dxa"/>
            <w:vAlign w:val="bottom"/>
            <w:gridSpan w:val="26"/>
          </w:tcPr>
          <w:p>
            <w:pPr>
              <w:ind w:left="1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94"/>
              </w:rPr>
              <w:t>Description</w:t>
            </w:r>
          </w:p>
        </w:tc>
        <w:tc>
          <w:tcPr>
            <w:tcW w:w="9580" w:type="dxa"/>
            <w:vAlign w:val="bottom"/>
            <w:gridSpan w:val="2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958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580" w:type="dxa"/>
            <w:vAlign w:val="bottom"/>
            <w:gridSpan w:val="3"/>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rPr>
            </w:pPr>
            <w:hyperlink r:id="rId27">
              <w:r>
                <w:rPr>
                  <w:rFonts w:ascii="Arial" w:cs="Arial" w:eastAsia="Arial" w:hAnsi="Arial"/>
                  <w:sz w:val="18"/>
                  <w:szCs w:val="18"/>
                  <w:color w:val="0000FF"/>
                </w:rPr>
                <w:t>Agreement and Plan of Merger, dated as of May 15, 2008, by and among Booz Allen Hamilton Inc., Booz Allen Hamilton Holding</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w w:val="96"/>
              </w:rPr>
            </w:pPr>
            <w:hyperlink r:id="rId27">
              <w:r>
                <w:rPr>
                  <w:rFonts w:ascii="Arial" w:cs="Arial" w:eastAsia="Arial" w:hAnsi="Arial"/>
                  <w:sz w:val="18"/>
                  <w:szCs w:val="18"/>
                  <w:color w:val="0000FF"/>
                  <w:w w:val="96"/>
                </w:rPr>
                <w:t>Corporation (formerly known as Explorer Holding Corporation), Booz Allen Hamilton Investor Corporation (formerly known as Explorer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Investor Corporation), Explorer Merger Sub Corporation and Booz &amp; Company Inc. (Incorporated by reference to Exhibit 2.1 to the</w:t>
              </w:r>
            </w:hyperlink>
          </w:p>
        </w:tc>
        <w:tc>
          <w:tcPr>
            <w:tcW w:w="420" w:type="dxa"/>
            <w:vAlign w:val="bottom"/>
            <w:tcBorders>
              <w:top w:val="single" w:sz="8" w:color="0000FF"/>
            </w:tcBorders>
            <w:gridSpan w:val="6"/>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Company’s Registration Statement on Form S-1 (File No. 333- 167645))</w:t>
              </w:r>
            </w:hyperlink>
          </w:p>
        </w:tc>
        <w:tc>
          <w:tcPr>
            <w:tcW w:w="5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gridSpan w:val="3"/>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0" w:type="dxa"/>
            <w:vAlign w:val="bottom"/>
            <w:tcBorders>
              <w:bottom w:val="single" w:sz="8" w:color="0000FF"/>
            </w:tcBorders>
            <w:gridSpan w:val="19"/>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Spin Off Agreement, dated as of May 15, 2008, by and among Booz Allen Hamilton Inc., Booz &amp; Company Holdings, LLC, Booz &amp;</w:t>
              </w:r>
            </w:hyperlink>
          </w:p>
        </w:tc>
        <w:tc>
          <w:tcPr>
            <w:tcW w:w="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8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Company Inc., Booz &amp; Company Intermediate I Inc. and Booz &amp; Company Intermediate II Inc. (Incorporated by reference to Exhibit 2.2 to</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the Company’s Registration Statement on Form S-1 (File No. 333-167645))</w:t>
              </w:r>
            </w:hyperlink>
          </w:p>
        </w:tc>
        <w:tc>
          <w:tcPr>
            <w:tcW w:w="48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gridSpan w:val="3"/>
          </w:tcPr>
          <w:p>
            <w:pPr>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Amendment to the Agreement and Plan of Merger and the Spin Off Agreement, dated as of July 30, 2008, by and among Booz Allen</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Hamilton Inc., Booz Allen Hamilton Holding Corporation (formerly known as Explorer Holding Corporation), Booz Allen Hamilton Investor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tcBorders>
              <w:top w:val="single" w:sz="8" w:color="0000FF"/>
              <w:bottom w:val="single" w:sz="8" w:color="0000FF"/>
            </w:tcBorders>
            <w:gridSpan w:val="29"/>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Corporation (formerly known as Explorer Investor Corporation), Explorer Merger Sub Corporation, Booz &amp; Company Holdings, LLC, Booz</w:t>
              </w:r>
            </w:hyperlink>
          </w:p>
        </w:tc>
        <w:tc>
          <w:tcPr>
            <w:tcW w:w="40" w:type="dxa"/>
            <w:vAlign w:val="bottom"/>
            <w:tcBorders>
              <w:top w:val="single" w:sz="8" w:color="0000FF"/>
            </w:tcBorders>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60" w:type="dxa"/>
            <w:vAlign w:val="bottom"/>
            <w:gridSpan w:val="32"/>
          </w:tcPr>
          <w:p>
            <w:pPr>
              <w:spacing w:after="0"/>
              <w:rPr>
                <w:rFonts w:ascii="Arial" w:cs="Arial" w:eastAsia="Arial" w:hAnsi="Arial"/>
                <w:sz w:val="18"/>
                <w:szCs w:val="18"/>
                <w:u w:val="single" w:color="auto"/>
                <w:color w:val="0000FF"/>
                <w:w w:val="92"/>
              </w:rPr>
            </w:pPr>
            <w:hyperlink r:id="rId29">
              <w:r>
                <w:rPr>
                  <w:rFonts w:ascii="Arial" w:cs="Arial" w:eastAsia="Arial" w:hAnsi="Arial"/>
                  <w:sz w:val="18"/>
                  <w:szCs w:val="18"/>
                  <w:u w:val="single" w:color="auto"/>
                  <w:color w:val="0000FF"/>
                  <w:w w:val="92"/>
                </w:rPr>
                <w:t>&amp; Company Inc., Booz &amp; Company Intermediate I Inc. and Booz &amp; Company Intermediate II Inc. (Incorporated by reference to Exhibit 2.3 to</w:t>
              </w:r>
            </w:hyperlink>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32"/>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the Company’s Registration Statement on Form S-1 (File No. 333-167645))</w:t>
              </w:r>
            </w:hyperlink>
          </w:p>
        </w:tc>
        <w:tc>
          <w:tcPr>
            <w:tcW w:w="0" w:type="dxa"/>
            <w:vAlign w:val="bottom"/>
          </w:tcPr>
          <w:p>
            <w:pPr>
              <w:spacing w:after="0"/>
              <w:rPr>
                <w:sz w:val="1"/>
                <w:szCs w:val="1"/>
                <w:color w:val="auto"/>
              </w:rPr>
            </w:pPr>
          </w:p>
        </w:tc>
      </w:tr>
      <w:tr>
        <w:trPr>
          <w:trHeight w:val="351"/>
        </w:trPr>
        <w:tc>
          <w:tcPr>
            <w:tcW w:w="580" w:type="dxa"/>
            <w:vAlign w:val="bottom"/>
            <w:gridSpan w:val="3"/>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Fourth Amended and Restated Certificate of Incorporation of Booz Allen Hamilton Holding Corporation (Incorporated by reference to</w:t>
              </w:r>
            </w:hyperlink>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tcBorders>
              <w:top w:val="single" w:sz="8" w:color="0000FF"/>
            </w:tcBorders>
            <w:gridSpan w:val="20"/>
          </w:tcPr>
          <w:p>
            <w:pPr>
              <w:spacing w:after="0"/>
              <w:rPr>
                <w:rFonts w:ascii="Arial" w:cs="Arial" w:eastAsia="Arial" w:hAnsi="Arial"/>
                <w:sz w:val="18"/>
                <w:szCs w:val="18"/>
                <w:u w:val="single" w:color="auto"/>
                <w:color w:val="0000FF"/>
                <w:w w:val="97"/>
              </w:rPr>
            </w:pPr>
            <w:hyperlink r:id="rId30">
              <w:r>
                <w:rPr>
                  <w:rFonts w:ascii="Arial" w:cs="Arial" w:eastAsia="Arial" w:hAnsi="Arial"/>
                  <w:sz w:val="18"/>
                  <w:szCs w:val="18"/>
                  <w:u w:val="single" w:color="auto"/>
                  <w:color w:val="0000FF"/>
                  <w:w w:val="97"/>
                </w:rPr>
                <w:t>Exhibit 3.1 to the Company’s Quarterly Report for the period ended September 30, 2019 on Form 10-Q (File No. 001-34972))</w:t>
              </w:r>
            </w:hyperlink>
          </w:p>
        </w:tc>
        <w:tc>
          <w:tcPr>
            <w:tcW w:w="56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80" w:type="dxa"/>
            <w:vAlign w:val="bottom"/>
            <w:gridSpan w:val="3"/>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80" w:type="dxa"/>
            <w:vAlign w:val="bottom"/>
            <w:tcBorders>
              <w:bottom w:val="single" w:sz="8" w:color="0000FF"/>
            </w:tcBorders>
            <w:gridSpan w:val="16"/>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Third Amended and Restated Bylaws of Booz Allen Hamilton Holding Corporation (Incorporated by reference to Exhibit 3.2 to the</w:t>
              </w:r>
            </w:hyperlink>
          </w:p>
        </w:tc>
        <w:tc>
          <w:tcPr>
            <w:tcW w:w="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7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Company’s Quarterly Report for the period ended December 31, 2017 on Form 10-Q (File No. 001-34972))</w:t>
              </w:r>
            </w:hyperlink>
          </w:p>
        </w:tc>
        <w:tc>
          <w:tcPr>
            <w:tcW w:w="25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Form of Stock Certificate (Incorporated by reference to Exhibit 4.5 to the Company’s Registration Statement on Form S-1 (File No. 333-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2">
              <w:r>
                <w:rPr>
                  <w:rFonts w:ascii="Arial" w:cs="Arial" w:eastAsia="Arial" w:hAnsi="Arial"/>
                  <w:sz w:val="18"/>
                  <w:szCs w:val="18"/>
                  <w:color w:val="0000FF"/>
                  <w:w w:val="88"/>
                </w:rPr>
                <w:t>167645)</w:t>
              </w:r>
              <w:r>
                <w:rPr>
                  <w:rFonts w:ascii="Arial" w:cs="Arial" w:eastAsia="Arial" w:hAnsi="Arial"/>
                  <w:sz w:val="18"/>
                  <w:szCs w:val="18"/>
                  <w:u w:val="single" w:color="auto"/>
                  <w:color w:val="0000FF"/>
                  <w:w w:val="88"/>
                </w:rPr>
                <w:t>)</w:t>
              </w:r>
            </w:hyperlink>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gridSpan w:val="3"/>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Indenture, dated April 25, 2017, among Booz Allen Hamilton Inc., the Subsidiary Guarantors party thereto and Wilmington Trust, National</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Association (Incorporated by reference to Exhibit 4.1 to the Company’s Current Report on Form 8-K filed on April 25, 2017 (File No. 001-</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3">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gridSpan w:val="32"/>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First Supplemental Indenture, dated April 25, 2017, among Booz Allen Hamilton Inc., the Subsidiary Guarantors party thereto and</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Wilmington Trust, National Association (Incorporated by reference to Exhibit 4.2 to the Company’s Current Report on Form 8-K filed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April 25, 2017 (File No. 001-34972))</w:t>
              </w:r>
            </w:hyperlink>
          </w:p>
        </w:tc>
        <w:tc>
          <w:tcPr>
            <w:tcW w:w="7200" w:type="dxa"/>
            <w:vAlign w:val="bottom"/>
            <w:tcBorders>
              <w:top w:val="single" w:sz="8" w:color="0000FF"/>
            </w:tcBorders>
            <w:gridSpan w:val="16"/>
          </w:tcPr>
          <w:p>
            <w:pPr>
              <w:spacing w:after="0"/>
              <w:rPr>
                <w:sz w:val="17"/>
                <w:szCs w:val="17"/>
                <w:color w:val="auto"/>
              </w:rPr>
            </w:pPr>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60" w:type="dxa"/>
            <w:vAlign w:val="bottom"/>
            <w:tcBorders>
              <w:bottom w:val="single" w:sz="8" w:color="0000FF"/>
            </w:tcBorders>
            <w:gridSpan w:val="32"/>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5.125% Senior Note due 2025 (Incorporated by reference to Exhibit 4.3 to the Company’s Current Report on Form 8-K filed on April</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25, 2017 (File No. 001-34972) (included in Exhibit 4.1 thereto))</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40" w:type="dxa"/>
            <w:vAlign w:val="bottom"/>
            <w:tcBorders>
              <w:bottom w:val="single" w:sz="8" w:color="0000FF"/>
            </w:tcBorders>
            <w:gridSpan w:val="31"/>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Description of Capital Stock (Incorporated by reference to Exhibit 4.5 to the Company’s Annual Report for the year ended March 31, 2019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Form 10-K (File No. 001-34972))</w:t>
              </w:r>
            </w:hyperlink>
          </w:p>
        </w:tc>
        <w:tc>
          <w:tcPr>
            <w:tcW w:w="0" w:type="dxa"/>
            <w:vAlign w:val="bottom"/>
          </w:tcPr>
          <w:p>
            <w:pPr>
              <w:spacing w:after="0"/>
              <w:rPr>
                <w:sz w:val="1"/>
                <w:szCs w:val="1"/>
                <w:color w:val="auto"/>
              </w:rPr>
            </w:pPr>
          </w:p>
        </w:tc>
      </w:tr>
      <w:tr>
        <w:trPr>
          <w:trHeight w:val="20"/>
        </w:trPr>
        <w:tc>
          <w:tcPr>
            <w:tcW w:w="900" w:type="dxa"/>
            <w:vAlign w:val="bottom"/>
            <w:gridSpan w:val="5"/>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gridSpan w:val="5"/>
          </w:tcPr>
          <w:p>
            <w:pPr>
              <w:spacing w:after="0"/>
              <w:rPr>
                <w:sz w:val="20"/>
                <w:szCs w:val="20"/>
                <w:color w:val="auto"/>
              </w:rPr>
            </w:pPr>
            <w:r>
              <w:rPr>
                <w:rFonts w:ascii="Arial" w:cs="Arial" w:eastAsia="Arial" w:hAnsi="Arial"/>
                <w:sz w:val="18"/>
                <w:szCs w:val="18"/>
                <w:color w:val="auto"/>
              </w:rPr>
              <w:t>10.1†</w:t>
            </w:r>
          </w:p>
        </w:tc>
        <w:tc>
          <w:tcPr>
            <w:tcW w:w="10140" w:type="dxa"/>
            <w:vAlign w:val="bottom"/>
            <w:tcBorders>
              <w:bottom w:val="single" w:sz="8" w:color="0000FF"/>
            </w:tcBorders>
            <w:gridSpan w:val="28"/>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Third Amended and Restated Equity Incentive Plan of Booz Allen Hamilton Holding Corporation (Incorporated by reference to Exhibit 10.2</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to the Company’s Quarterly Report for the period ended December 31, 2019 on Form 10-Q (File No. 001-34972))</w:t>
              </w:r>
            </w:hyperlink>
          </w:p>
        </w:tc>
        <w:tc>
          <w:tcPr>
            <w:tcW w:w="0" w:type="dxa"/>
            <w:vAlign w:val="bottom"/>
          </w:tcPr>
          <w:p>
            <w:pPr>
              <w:spacing w:after="0"/>
              <w:rPr>
                <w:sz w:val="1"/>
                <w:szCs w:val="1"/>
                <w:color w:val="auto"/>
              </w:rPr>
            </w:pPr>
          </w:p>
        </w:tc>
      </w:tr>
      <w:tr>
        <w:trPr>
          <w:trHeight w:val="20"/>
        </w:trPr>
        <w:tc>
          <w:tcPr>
            <w:tcW w:w="900" w:type="dxa"/>
            <w:vAlign w:val="bottom"/>
            <w:gridSpan w:val="5"/>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gridSpan w:val="5"/>
          </w:tcPr>
          <w:p>
            <w:pPr>
              <w:spacing w:after="0"/>
              <w:rPr>
                <w:sz w:val="20"/>
                <w:szCs w:val="20"/>
                <w:color w:val="auto"/>
              </w:rPr>
            </w:pPr>
            <w:r>
              <w:rPr>
                <w:rFonts w:ascii="Arial" w:cs="Arial" w:eastAsia="Arial" w:hAnsi="Arial"/>
                <w:sz w:val="18"/>
                <w:szCs w:val="18"/>
                <w:color w:val="auto"/>
              </w:rPr>
              <w:t>10.2†</w:t>
            </w:r>
          </w:p>
        </w:tc>
        <w:tc>
          <w:tcPr>
            <w:tcW w:w="10240" w:type="dxa"/>
            <w:vAlign w:val="bottom"/>
            <w:tcBorders>
              <w:bottom w:val="single" w:sz="8" w:color="0000FF"/>
            </w:tcBorders>
            <w:gridSpan w:val="31"/>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Exhibit 10.10 to the Company’s Registration Statement on Form S-1 (File No. 333-167645))</w:t>
              </w:r>
            </w:hyperlink>
          </w:p>
        </w:tc>
        <w:tc>
          <w:tcPr>
            <w:tcW w:w="35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gridSpan w:val="5"/>
          </w:tcPr>
          <w:p>
            <w:pPr>
              <w:spacing w:after="0"/>
              <w:rPr>
                <w:sz w:val="20"/>
                <w:szCs w:val="20"/>
                <w:color w:val="auto"/>
              </w:rPr>
            </w:pPr>
            <w:r>
              <w:rPr>
                <w:rFonts w:ascii="Arial" w:cs="Arial" w:eastAsia="Arial" w:hAnsi="Arial"/>
                <w:sz w:val="18"/>
                <w:szCs w:val="18"/>
                <w:color w:val="auto"/>
              </w:rPr>
              <w:t>10.3†</w:t>
            </w:r>
          </w:p>
        </w:tc>
        <w:tc>
          <w:tcPr>
            <w:tcW w:w="10240" w:type="dxa"/>
            <w:vAlign w:val="bottom"/>
            <w:tcBorders>
              <w:bottom w:val="single" w:sz="8" w:color="0000FF"/>
            </w:tcBorders>
            <w:gridSpan w:val="31"/>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Exhibit 10.11 to the Company’s Registration Statement on Form S-1 (File No. 333-167645))</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gridSpan w:val="5"/>
          </w:tcPr>
          <w:p>
            <w:pPr>
              <w:spacing w:after="0"/>
              <w:rPr>
                <w:sz w:val="20"/>
                <w:szCs w:val="20"/>
                <w:color w:val="auto"/>
              </w:rPr>
            </w:pPr>
            <w:r>
              <w:rPr>
                <w:rFonts w:ascii="Arial" w:cs="Arial" w:eastAsia="Arial" w:hAnsi="Arial"/>
                <w:sz w:val="18"/>
                <w:szCs w:val="18"/>
                <w:color w:val="auto"/>
              </w:rPr>
              <w:t>10.4†</w:t>
            </w:r>
          </w:p>
        </w:tc>
        <w:tc>
          <w:tcPr>
            <w:tcW w:w="10260" w:type="dxa"/>
            <w:vAlign w:val="bottom"/>
            <w:gridSpan w:val="32"/>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Subscription Agreement (Incorporated by reference to Exhibit 10.12 to the Company’s Registration Statement on Form S-1 (File No.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333-167645))</w:t>
              </w:r>
            </w:hyperlink>
          </w:p>
        </w:tc>
        <w:tc>
          <w:tcPr>
            <w:tcW w:w="1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gridSpan w:val="5"/>
          </w:tcPr>
          <w:p>
            <w:pPr>
              <w:spacing w:after="0"/>
              <w:rPr>
                <w:sz w:val="20"/>
                <w:szCs w:val="20"/>
                <w:color w:val="auto"/>
              </w:rPr>
            </w:pPr>
            <w:r>
              <w:rPr>
                <w:rFonts w:ascii="Arial" w:cs="Arial" w:eastAsia="Arial" w:hAnsi="Arial"/>
                <w:sz w:val="18"/>
                <w:szCs w:val="18"/>
                <w:color w:val="auto"/>
              </w:rPr>
              <w:t>10.5†</w:t>
            </w:r>
          </w:p>
        </w:tc>
        <w:tc>
          <w:tcPr>
            <w:tcW w:w="10260" w:type="dxa"/>
            <w:vAlign w:val="bottom"/>
            <w:gridSpan w:val="32"/>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Second Amended and Restated Booz Allen Hamilton Holding Corporation Annual Incentive Plan (Incorporated by reference to Exhibit 10.3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2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to the Company’s Quarterly Report for the period ended December 31, 2019 on Form 10-Q (File No. 001-34972))</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5"/>
          </w:tcPr>
          <w:p>
            <w:pPr>
              <w:spacing w:after="0" w:line="20" w:lineRule="exact"/>
              <w:rPr>
                <w:sz w:val="1"/>
                <w:szCs w:val="1"/>
                <w:color w:val="auto"/>
              </w:rPr>
            </w:pPr>
          </w:p>
        </w:tc>
        <w:tc>
          <w:tcPr>
            <w:tcW w:w="5740" w:type="dxa"/>
            <w:vAlign w:val="bottom"/>
            <w:gridSpan w:val="10"/>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gridSpan w:val="5"/>
          </w:tcPr>
          <w:p>
            <w:pPr>
              <w:spacing w:after="0"/>
              <w:rPr>
                <w:sz w:val="20"/>
                <w:szCs w:val="20"/>
                <w:color w:val="auto"/>
              </w:rPr>
            </w:pPr>
            <w:r>
              <w:rPr>
                <w:rFonts w:ascii="Arial" w:cs="Arial" w:eastAsia="Arial" w:hAnsi="Arial"/>
                <w:sz w:val="18"/>
                <w:szCs w:val="18"/>
                <w:color w:val="auto"/>
              </w:rPr>
              <w:t>10.6†</w:t>
            </w:r>
          </w:p>
        </w:tc>
        <w:tc>
          <w:tcPr>
            <w:tcW w:w="10260" w:type="dxa"/>
            <w:vAlign w:val="bottom"/>
            <w:gridSpan w:val="32"/>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Booz Allen Hamilton Holding Corporation Officers’ Retirement Plan (Incorporated by reference to Exhibit 10.6 to the Company’s Annual</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Report for the year ended March 31, 2018 on Form 10-K (File No. 001-34972))</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877" w:right="37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60"/>
          </w:cols>
          <w:pgMar w:left="360" w:top="877" w:right="3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060" w:type="dxa"/>
            <w:vAlign w:val="bottom"/>
            <w:tcBorders>
              <w:bottom w:val="single" w:sz="8" w:color="0000FF"/>
            </w:tcBorders>
            <w:gridSpan w:val="21"/>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Officer’s Comprehensive Medical and Dental Choice Plans (Incorporated by reference to Exhibit 10.7 to the Company’s Annual Report for</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9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the year ended March 31, 2018 on Form 10-K (File No. 001-34972))</w:t>
              </w:r>
            </w:hyperlink>
          </w:p>
        </w:tc>
        <w:tc>
          <w:tcPr>
            <w:tcW w:w="5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9820" w:type="dxa"/>
            <w:vAlign w:val="bottom"/>
            <w:tcBorders>
              <w:bottom w:val="single" w:sz="8" w:color="0000FF"/>
            </w:tcBorders>
            <w:gridSpan w:val="13"/>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Retired Officer’s Comprehensive Medical and Dental Choice Plans (Incorporated by reference to Exhibit 10.8 to the Company’s Annual</w:t>
              </w:r>
            </w:hyperlink>
          </w:p>
        </w:tc>
        <w:tc>
          <w:tcPr>
            <w:tcW w:w="4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Report for the year ended March 31, 2018 on Form 10-K (File No. 001-34972))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gridSpan w:val="27"/>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Group Variable Universal Life Insurance (Incorporated by reference to Exhibit 10.14 to the Company’s Annual Report for the year ended</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March 31, 2015 on Form 10-K (File No. 001-34972))</w:t>
              </w:r>
            </w:hyperlink>
          </w:p>
        </w:tc>
        <w:tc>
          <w:tcPr>
            <w:tcW w:w="6020" w:type="dxa"/>
            <w:vAlign w:val="bottom"/>
            <w:tcBorders>
              <w:top w:val="single" w:sz="8" w:color="0000FF"/>
            </w:tcBorders>
            <w:gridSpan w:val="11"/>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gridSpan w:val="27"/>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Group Personal Excess Liability Insurance*</w:t>
              </w:r>
            </w:hyperlink>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040" w:type="dxa"/>
            <w:vAlign w:val="bottom"/>
            <w:tcBorders>
              <w:bottom w:val="single" w:sz="8" w:color="0000FF"/>
            </w:tcBorders>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Officer Annual Performance Bonus Policy (Incorporated by reference to Exhibit 10.11 to the Company’s Annual Report for the year ended</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8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March 31, 2018 on Form 10-K (File No. 001-34972))</w:t>
              </w:r>
            </w:hyperlink>
          </w:p>
        </w:tc>
        <w:tc>
          <w:tcPr>
            <w:tcW w:w="6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000" w:type="dxa"/>
            <w:vAlign w:val="bottom"/>
            <w:tcBorders>
              <w:bottom w:val="single" w:sz="8" w:color="0000FF"/>
            </w:tcBorders>
            <w:gridSpan w:val="18"/>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Form of Booz Allen Hamilton Holding Corporation Director and Officer Indemnification Agreement (Incorporated by reference to Exhibit</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23</w:t>
              </w:r>
              <w:r>
                <w:rPr>
                  <w:rFonts w:ascii="Arial" w:cs="Arial" w:eastAsia="Arial" w:hAnsi="Arial"/>
                  <w:sz w:val="18"/>
                  <w:szCs w:val="18"/>
                  <w:color w:val="0000FF"/>
                  <w:w w:val="90"/>
                </w:rPr>
                <w:t xml:space="preserve"> to the Company’s Registration Statement on Form S-1 (File No. 333-167645))</w:t>
              </w:r>
            </w:hyperlink>
          </w:p>
        </w:tc>
        <w:tc>
          <w:tcPr>
            <w:tcW w:w="41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220" w:type="dxa"/>
            <w:vAlign w:val="bottom"/>
            <w:gridSpan w:val="27"/>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3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10.23 to the Company’s Annual Report for the year ended March 31, 2011 on Form 10-K (File No. 001-</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47">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200" w:type="dxa"/>
            <w:vAlign w:val="bottom"/>
            <w:tcBorders>
              <w:bottom w:val="single" w:sz="8" w:color="0000FF"/>
            </w:tcBorders>
            <w:gridSpan w:val="26"/>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Officer Transition Policy (Incorporated by reference to Exhibit 10.14 to the Company’s Annual Report for the year ended March 31, 2018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Form 10-K (File No. 001-34972))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220" w:type="dxa"/>
            <w:vAlign w:val="bottom"/>
            <w:gridSpan w:val="27"/>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63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(Incorporated by reference to Exhibit 10.25 to the Company’s Quarterly Report for the period ended December 31, 2011 on Form 10-Q (File</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1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No. 001-34972))</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180" w:type="dxa"/>
            <w:vAlign w:val="bottom"/>
            <w:tcBorders>
              <w:bottom w:val="single" w:sz="8" w:color="0000FF"/>
            </w:tcBorders>
            <w:gridSpan w:val="25"/>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Credit Agreement among Booz Allen Hamilton Inc., as the Borrower, the several lenders from time to time parties thereto, Bank of America,</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N.A., as Administrative Agent, Collateral Agent and Issuing Lender, Merrill Lynch, Pierce, Fenner &amp; Smith Incorporated and Credit Suisse</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4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Securities (USA) LLC, as Joint Lead Arrangers, Merrill Lynch, Pierce, Fenner &amp; Smith Incorporated, Credit Suisse Securities (USA) LLC,</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7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Barclays Bank PLC, Citigroup Global Markets Inc., HSBC Securities (USA) Inc., J.P. Morgan Securities LLC, Morgan Stanley Senior</w:t>
              </w:r>
            </w:hyperlink>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1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Funding, Inc. and Sumimoto Mitsui Banking Corporation, as Joint Bookrunners, Credit Suisse Securities (USA) LLC, as Syndication Agent,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7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Barclays Bank PLC, Citigroup Global Markets Inc., HSBC Securities (USA) Inc., J.P. Morgan Securities LLC, Morgan Stanley Senior</w:t>
              </w:r>
            </w:hyperlink>
          </w:p>
        </w:tc>
        <w:tc>
          <w:tcPr>
            <w:tcW w:w="5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20" w:type="dxa"/>
            <w:vAlign w:val="bottom"/>
            <w:gridSpan w:val="27"/>
          </w:tcPr>
          <w:p>
            <w:pPr>
              <w:spacing w:after="0"/>
              <w:rPr>
                <w:rFonts w:ascii="Arial" w:cs="Arial" w:eastAsia="Arial" w:hAnsi="Arial"/>
                <w:sz w:val="18"/>
                <w:szCs w:val="18"/>
                <w:u w:val="single" w:color="auto"/>
                <w:color w:val="0000FF"/>
                <w:w w:val="93"/>
              </w:rPr>
            </w:pPr>
            <w:hyperlink r:id="rId50">
              <w:r>
                <w:rPr>
                  <w:rFonts w:ascii="Arial" w:cs="Arial" w:eastAsia="Arial" w:hAnsi="Arial"/>
                  <w:sz w:val="18"/>
                  <w:szCs w:val="18"/>
                  <w:u w:val="single" w:color="auto"/>
                  <w:color w:val="0000FF"/>
                  <w:w w:val="93"/>
                </w:rPr>
                <w:t>Funding, Inc., Sumimoto Mitsui Banking Corporation and The Bank of Tokyo-Mitsubishi UFJ, Ltd., as Co-Documentation Agents, dated as</w:t>
              </w:r>
            </w:hyperlink>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220" w:type="dxa"/>
            <w:vAlign w:val="bottom"/>
            <w:gridSpan w:val="27"/>
          </w:tcPr>
          <w:p>
            <w:pPr>
              <w:spacing w:after="0"/>
              <w:rPr>
                <w:rFonts w:ascii="Arial" w:cs="Arial" w:eastAsia="Arial" w:hAnsi="Arial"/>
                <w:sz w:val="18"/>
                <w:szCs w:val="18"/>
                <w:u w:val="single" w:color="auto"/>
                <w:color w:val="0000FF"/>
                <w:w w:val="92"/>
              </w:rPr>
            </w:pPr>
            <w:hyperlink r:id="rId50">
              <w:r>
                <w:rPr>
                  <w:rFonts w:ascii="Arial" w:cs="Arial" w:eastAsia="Arial" w:hAnsi="Arial"/>
                  <w:sz w:val="18"/>
                  <w:szCs w:val="18"/>
                  <w:u w:val="single" w:color="auto"/>
                  <w:color w:val="0000FF"/>
                  <w:w w:val="92"/>
                </w:rPr>
                <w:t>of July 31, 2012 (Incorporated by reference to Exhibit 10.1 to the Company’s Current Report on Form 8-K filed on August 1, 2012 (File No.</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0" w:type="dxa"/>
            <w:vAlign w:val="bottom"/>
            <w:gridSpan w:val="2"/>
          </w:tcPr>
          <w:p>
            <w:pPr>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001-34972))</w:t>
              </w:r>
            </w:hyperlink>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tcBorders>
              <w:bottom w:val="single" w:sz="8" w:color="0000FF"/>
            </w:tcBorders>
            <w:gridSpan w:val="15"/>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Guarantee and Collateral Agreement, among Booz Allen Hamilton Investor Corporation, Booz Allen Hamilton Inc., ASE, Inc. and Booz</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w w:val="98"/>
              </w:rPr>
            </w:pPr>
            <w:hyperlink r:id="rId51">
              <w:r>
                <w:rPr>
                  <w:rFonts w:ascii="Arial" w:cs="Arial" w:eastAsia="Arial" w:hAnsi="Arial"/>
                  <w:sz w:val="18"/>
                  <w:szCs w:val="18"/>
                  <w:color w:val="0000FF"/>
                  <w:w w:val="98"/>
                </w:rPr>
                <w:t>Allen Hamilton International, Inc., in favor of Bank of America, N.A., as Collateral Agent, dated as of July 31, 2012 (Incorporated by</w:t>
              </w:r>
            </w:hyperlink>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964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reference to Exhibit 10.2 to the Company’s Current Report on Form 8-K filed on August 1, 2012 (File No. 001-34972))</w:t>
              </w:r>
            </w:hyperlink>
          </w:p>
        </w:tc>
        <w:tc>
          <w:tcPr>
            <w:tcW w:w="5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000" w:type="dxa"/>
            <w:vAlign w:val="bottom"/>
            <w:gridSpan w:val="18"/>
            <w:vMerge w:val="restart"/>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First Amendment to Credit Agreement, dated as of August 16, 2013, among Booz Allen Hamilton Inc., as Borrower, Booz Allen Hamilton</w:t>
              </w:r>
            </w:hyperlink>
          </w:p>
        </w:tc>
        <w:tc>
          <w:tcPr>
            <w:tcW w:w="22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00" w:type="dxa"/>
            <w:vAlign w:val="bottom"/>
            <w:tcBorders>
              <w:bottom w:val="single" w:sz="8" w:color="0000FF"/>
            </w:tcBorders>
            <w:gridSpan w:val="18"/>
            <w:vMerge w:val="continue"/>
          </w:tcPr>
          <w:p>
            <w:pPr>
              <w:spacing w:after="0"/>
              <w:rPr>
                <w:sz w:val="3"/>
                <w:szCs w:val="3"/>
                <w:color w:val="auto"/>
              </w:rPr>
            </w:pPr>
          </w:p>
        </w:tc>
        <w:tc>
          <w:tcPr>
            <w:tcW w:w="22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Investor Corporation, Booz Allen Hamilton Engineering Holding Co., LLC, Booz Allen Hamilton Engineering Services, LLC, SDI</w:t>
              </w:r>
            </w:hyperlink>
          </w:p>
        </w:tc>
        <w:tc>
          <w:tcPr>
            <w:tcW w:w="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Technology Corporation, and Booz Allen Hamilton International, Inc., as Guarantors,, Bank of America, N.A., as Administrative Agent,</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Collateral Agent and New Refinancing Tranche B Term Lender, and the other Lenders and financial institutions from time to time party</w:t>
              </w:r>
            </w:hyperlink>
          </w:p>
        </w:tc>
        <w:tc>
          <w:tcPr>
            <w:tcW w:w="20" w:type="dxa"/>
            <w:vAlign w:val="bottom"/>
            <w:tcBorders>
              <w:top w:val="single" w:sz="8" w:color="0000FF"/>
            </w:tcBorders>
          </w:tcPr>
          <w:p>
            <w:pPr>
              <w:spacing w:after="0"/>
              <w:rPr>
                <w:sz w:val="17"/>
                <w:szCs w:val="17"/>
                <w:color w:val="auto"/>
              </w:rPr>
            </w:pPr>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20" w:type="dxa"/>
            <w:vAlign w:val="bottom"/>
            <w:gridSpan w:val="27"/>
          </w:tcPr>
          <w:p>
            <w:pPr>
              <w:spacing w:after="0"/>
              <w:rPr>
                <w:rFonts w:ascii="Arial" w:cs="Arial" w:eastAsia="Arial" w:hAnsi="Arial"/>
                <w:sz w:val="18"/>
                <w:szCs w:val="18"/>
                <w:u w:val="single" w:color="auto"/>
                <w:color w:val="0000FF"/>
                <w:w w:val="94"/>
              </w:rPr>
            </w:pPr>
            <w:hyperlink r:id="rId52">
              <w:r>
                <w:rPr>
                  <w:rFonts w:ascii="Arial" w:cs="Arial" w:eastAsia="Arial" w:hAnsi="Arial"/>
                  <w:sz w:val="18"/>
                  <w:szCs w:val="18"/>
                  <w:u w:val="single" w:color="auto"/>
                  <w:color w:val="0000FF"/>
                  <w:w w:val="94"/>
                </w:rPr>
                <w:t>thereto. (Incorporated by reference to Exhibit 10.1 to the Company’s Current Report on Form 8-K filed on August 20, 2013 (File No. 001-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rFonts w:ascii="Arial" w:cs="Arial" w:eastAsia="Arial" w:hAnsi="Arial"/>
                <w:sz w:val="18"/>
                <w:szCs w:val="18"/>
                <w:u w:val="single" w:color="auto"/>
                <w:color w:val="0000FF"/>
                <w:w w:val="86"/>
              </w:rPr>
            </w:pPr>
            <w:hyperlink r:id="rId52">
              <w:r>
                <w:rPr>
                  <w:rFonts w:ascii="Arial" w:cs="Arial" w:eastAsia="Arial" w:hAnsi="Arial"/>
                  <w:sz w:val="18"/>
                  <w:szCs w:val="18"/>
                  <w:u w:val="single" w:color="auto"/>
                  <w:color w:val="0000FF"/>
                  <w:w w:val="86"/>
                </w:rPr>
                <w:t>34972))</w:t>
              </w:r>
            </w:hyperlink>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Form of Employment Agreement (Incorporated by reference to Exhibit 10.27 to the Company’s Annual Report for the year ended March 31,</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0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2014 on Form 10-K (File No. 001-34972))</w:t>
              </w:r>
            </w:hyperlink>
          </w:p>
        </w:tc>
        <w:tc>
          <w:tcPr>
            <w:tcW w:w="71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Second Amendment to Credit Agreement, dated as of May 7, 2014, among Booz Allen Hamilton Inc., as Borrower, Booz Allen Hamilton</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Investor Corporation, Booz Allen Hamilton Engineering Holding Co., LLC, Booz Allen Hamilton Engineering Services, LLC, SDI</w:t>
              </w:r>
            </w:hyperlink>
          </w:p>
        </w:tc>
        <w:tc>
          <w:tcPr>
            <w:tcW w:w="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Technology Corporation, ASE, Inc. and Booz Allen Hamilton International, Inc., as Guarantors, Bank of America, N.A., as Administrative</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20" w:type="dxa"/>
            <w:vAlign w:val="bottom"/>
            <w:gridSpan w:val="27"/>
          </w:tcPr>
          <w:p>
            <w:pPr>
              <w:spacing w:after="0"/>
              <w:rPr>
                <w:rFonts w:ascii="Arial" w:cs="Arial" w:eastAsia="Arial" w:hAnsi="Arial"/>
                <w:sz w:val="18"/>
                <w:szCs w:val="18"/>
                <w:u w:val="single" w:color="auto"/>
                <w:color w:val="0000FF"/>
                <w:w w:val="92"/>
              </w:rPr>
            </w:pPr>
            <w:hyperlink r:id="rId54">
              <w:r>
                <w:rPr>
                  <w:rFonts w:ascii="Arial" w:cs="Arial" w:eastAsia="Arial" w:hAnsi="Arial"/>
                  <w:sz w:val="18"/>
                  <w:szCs w:val="18"/>
                  <w:u w:val="single" w:color="auto"/>
                  <w:color w:val="0000FF"/>
                  <w:w w:val="92"/>
                </w:rPr>
                <w:t>Agent, Collateral Agent and Issuing Lender, and the other Lenders and financial institutions from time to time party thereto (Incorporated by</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220" w:type="dxa"/>
            <w:vAlign w:val="bottom"/>
            <w:gridSpan w:val="27"/>
          </w:tcPr>
          <w:p>
            <w:pPr>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reference to Exhibit 10.1 to the Company’s Current Report on Form 8-K filed on May 13, 2014 (File No. 001-34972))</w:t>
              </w:r>
            </w:hyperlink>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220" w:type="dxa"/>
            <w:vAlign w:val="bottom"/>
            <w:gridSpan w:val="27"/>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Third Amendment to Credit Agreement, dated as of July 13, 2016, among Booz Allen Hamilton Inc., as Borrower, Booz Allen Hamilton</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Investor Corporation, Booz Allen Hamilton Engineering Holding Co., LLC, Booz Allen Hamilton Engineering Services, LLC, SDI</w:t>
              </w:r>
            </w:hyperlink>
          </w:p>
        </w:tc>
        <w:tc>
          <w:tcPr>
            <w:tcW w:w="380" w:type="dxa"/>
            <w:vAlign w:val="bottom"/>
            <w:tcBorders>
              <w:top w:val="single" w:sz="8" w:color="0000FF"/>
            </w:tcBorders>
            <w:gridSpan w:val="5"/>
          </w:tcPr>
          <w:p>
            <w:pPr>
              <w:spacing w:after="0"/>
              <w:rPr>
                <w:sz w:val="17"/>
                <w:szCs w:val="17"/>
                <w:color w:val="auto"/>
              </w:rPr>
            </w:pPr>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220" w:type="dxa"/>
            <w:vAlign w:val="bottom"/>
            <w:gridSpan w:val="27"/>
          </w:tcPr>
          <w:p>
            <w:pPr>
              <w:spacing w:after="0" w:line="196"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Technology Corporation, ASE, Inc. and Booz Allen Hamilton International, Inc., as Guarantors, Bank of America, N.A., as Administrative</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0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Agent, Collateral Agent and New Refinancing Tranche B Term Lender, and the other Lenders and financial institutions from time to time</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880" w:type="dxa"/>
            <w:vAlign w:val="bottom"/>
            <w:gridSpan w:val="16"/>
            <w:shd w:val="clear" w:color="auto" w:fill="0000FF"/>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0220" w:type="dxa"/>
            <w:vAlign w:val="bottom"/>
            <w:gridSpan w:val="27"/>
          </w:tcPr>
          <w:p>
            <w:pPr>
              <w:spacing w:after="0"/>
              <w:rPr>
                <w:rFonts w:ascii="Arial" w:cs="Arial" w:eastAsia="Arial" w:hAnsi="Arial"/>
                <w:sz w:val="18"/>
                <w:szCs w:val="18"/>
                <w:u w:val="single" w:color="auto"/>
                <w:color w:val="0000FF"/>
                <w:w w:val="92"/>
              </w:rPr>
            </w:pPr>
            <w:hyperlink r:id="rId55">
              <w:r>
                <w:rPr>
                  <w:rFonts w:ascii="Arial" w:cs="Arial" w:eastAsia="Arial" w:hAnsi="Arial"/>
                  <w:sz w:val="18"/>
                  <w:szCs w:val="18"/>
                  <w:u w:val="single" w:color="auto"/>
                  <w:color w:val="0000FF"/>
                  <w:w w:val="92"/>
                </w:rPr>
                <w:t>party thereto (Incorporated by reference to Exhibit 10.1 to the Company’s Current Report on Form 8-K filed on July 18, 2016 (File No. 001-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0" w:type="dxa"/>
            <w:vAlign w:val="bottom"/>
          </w:tcPr>
          <w:p>
            <w:pPr>
              <w:spacing w:after="0"/>
              <w:rPr>
                <w:rFonts w:ascii="Arial" w:cs="Arial" w:eastAsia="Arial" w:hAnsi="Arial"/>
                <w:sz w:val="18"/>
                <w:szCs w:val="18"/>
                <w:u w:val="single" w:color="auto"/>
                <w:color w:val="0000FF"/>
                <w:w w:val="86"/>
              </w:rPr>
            </w:pPr>
            <w:hyperlink r:id="rId55">
              <w:r>
                <w:rPr>
                  <w:rFonts w:ascii="Arial" w:cs="Arial" w:eastAsia="Arial" w:hAnsi="Arial"/>
                  <w:sz w:val="18"/>
                  <w:szCs w:val="18"/>
                  <w:u w:val="single" w:color="auto"/>
                  <w:color w:val="0000FF"/>
                  <w:w w:val="86"/>
                </w:rPr>
                <w:t>34972))</w:t>
              </w:r>
            </w:hyperlink>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60" w:top="810" w:right="419" w:bottom="1440" w:gutter="0" w:footer="0" w:header="0"/>
        </w:sectPr>
      </w:pP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60" w:top="810" w:right="419" w:bottom="1440" w:gutter="0" w:footer="0" w:header="0"/>
          <w:type w:val="continuous"/>
        </w:sectPr>
      </w:pPr>
    </w:p>
    <w:bookmarkStart w:id="118" w:name="page119"/>
    <w:bookmarkEnd w:id="118"/>
    <w:p>
      <w:pPr>
        <w:ind w:right="60" w:hanging="903"/>
        <w:spacing w:after="0" w:line="275" w:lineRule="auto"/>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 xml:space="preserve"> </w:t>
      </w:r>
      <w:hyperlink r:id="rId56">
        <w:r>
          <w:rPr>
            <w:rFonts w:ascii="Arial" w:cs="Arial" w:eastAsia="Arial" w:hAnsi="Arial"/>
            <w:sz w:val="17"/>
            <w:szCs w:val="17"/>
            <w:u w:val="single" w:color="auto"/>
            <w:color w:val="0000FF"/>
          </w:rPr>
          <w:t>Fourth Amendment to Credit Agreement, dated as of February 6, 2017, among Booz Allen Hamilton Inc., as Borrower, Booz Allen Hamilton</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Investor Corporation, Booz Allen Hamilton Engineering Holding Co., LLC, Booz Allen Hamilton Engineering Services, LLC and SDI</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Technology Corporation, as Guarantors, Bank of America, N.A., as Administrative Agent, Collateral Agent and New Refinancing Tranche B</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Term Lender, and the other Lenders and financial institutions from time to time party thereto (Incorporated by reference to Exhibit 10.1 to the</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Company’s Current Report on Form 8-K filed on February 7, 2017 (File No. 001-34972))</w:t>
        </w:r>
      </w:hyperlink>
    </w:p>
    <w:p>
      <w:pPr>
        <w:spacing w:after="0" w:line="136" w:lineRule="exact"/>
        <w:rPr>
          <w:rFonts w:ascii="Arial" w:cs="Arial" w:eastAsia="Arial" w:hAnsi="Arial"/>
          <w:sz w:val="17"/>
          <w:szCs w:val="17"/>
          <w:u w:val="single" w:color="auto"/>
          <w:color w:val="0000FF"/>
        </w:rPr>
      </w:pPr>
    </w:p>
    <w:p>
      <w:pPr>
        <w:ind w:right="60" w:hanging="903"/>
        <w:spacing w:after="0" w:line="255" w:lineRule="auto"/>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 xml:space="preserve"> </w:t>
      </w:r>
      <w:hyperlink r:id="rId57">
        <w:r>
          <w:rPr>
            <w:rFonts w:ascii="Arial" w:cs="Arial" w:eastAsia="Arial" w:hAnsi="Arial"/>
            <w:sz w:val="18"/>
            <w:szCs w:val="18"/>
            <w:u w:val="single" w:color="auto"/>
            <w:color w:val="0000FF"/>
          </w:rPr>
          <w:t>Fifth Amendment to Credit Agreement, dated as of March 7, 2018, among Booz Allen Hamilton Inc., as Borrower, Booz Allen Hamilton</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Investor Corporation, Booz Allen Hamilton Engineering Holding Co., LLC, Booz Allen Hamilton Engineering Services, LLC, SDI</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Technology Corporation, eGov Holdings, Inc. and Aquilent, Inc., as Guarantors, Bank of America, N.A., as Administrative Agent, Collateral</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Agent, Exchanging Lender and New Refinancing Tranche B Term Lender, and the other Lenders and financial institutions from time to time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party thereto (Incorporated by reference to Exhibit 10.1 to the Company’s Current Report on Form 8-K filed on March 7, 2018 (File No. 001-</w:t>
        </w:r>
      </w:hyperlink>
      <w:hyperlink r:id="rId57">
        <w:r>
          <w:rPr>
            <w:rFonts w:ascii="Arial" w:cs="Arial" w:eastAsia="Arial" w:hAnsi="Arial"/>
            <w:sz w:val="18"/>
            <w:szCs w:val="18"/>
            <w:u w:val="single" w:color="auto"/>
            <w:color w:val="0000FF"/>
          </w:rPr>
          <w:t>34972))</w:t>
        </w:r>
      </w:hyperlink>
    </w:p>
    <w:p>
      <w:pPr>
        <w:spacing w:after="0" w:line="152" w:lineRule="exact"/>
        <w:rPr>
          <w:rFonts w:ascii="Arial" w:cs="Arial" w:eastAsia="Arial" w:hAnsi="Arial"/>
          <w:sz w:val="18"/>
          <w:szCs w:val="18"/>
          <w:u w:val="single" w:color="auto"/>
          <w:color w:val="0000FF"/>
        </w:rPr>
      </w:pPr>
    </w:p>
    <w:p>
      <w:pPr>
        <w:ind w:right="100" w:hanging="903"/>
        <w:spacing w:after="0" w:line="275" w:lineRule="auto"/>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 xml:space="preserve"> </w:t>
      </w:r>
      <w:hyperlink r:id="rId58">
        <w:r>
          <w:rPr>
            <w:rFonts w:ascii="Arial" w:cs="Arial" w:eastAsia="Arial" w:hAnsi="Arial"/>
            <w:sz w:val="17"/>
            <w:szCs w:val="17"/>
            <w:u w:val="single" w:color="auto"/>
            <w:color w:val="0000FF"/>
          </w:rPr>
          <w:t>Sixth Amendment to Credit Agreement, dated as of July 23, 2018, among Booz Allen Hamilton Inc., as Borrower, Booz Allen Hamilton</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Investor Corporation, Booz Allen Hamilton Engineering Holding Co., LLC, Booz Allen Hamilton Engineering Services, LLC, SDI</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Technology Corporation, eGov Holdings, Inc. and Aquilent, Inc. as Guarantors, Bank of America, N.A., as Administrative Agent and</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Collateral Agent and the other Lenders and financial institutions from time to time party thereto (Incorporated by reference to Exhibit 10.1 to</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the Company's Current Report on Form 8-K filed on July 24, 2018 (File No. 001-34972))</w:t>
        </w:r>
      </w:hyperlink>
    </w:p>
    <w:p>
      <w:pPr>
        <w:spacing w:after="0" w:line="136" w:lineRule="exact"/>
        <w:rPr>
          <w:rFonts w:ascii="Arial" w:cs="Arial" w:eastAsia="Arial" w:hAnsi="Arial"/>
          <w:sz w:val="17"/>
          <w:szCs w:val="17"/>
          <w:u w:val="single" w:color="auto"/>
          <w:color w:val="0000FF"/>
        </w:rPr>
      </w:pPr>
    </w:p>
    <w:p>
      <w:pPr>
        <w:ind w:right="60" w:hanging="903"/>
        <w:spacing w:after="0" w:line="255" w:lineRule="auto"/>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 xml:space="preserve"> </w:t>
      </w:r>
      <w:hyperlink r:id="rId59">
        <w:r>
          <w:rPr>
            <w:rFonts w:ascii="Arial" w:cs="Arial" w:eastAsia="Arial" w:hAnsi="Arial"/>
            <w:sz w:val="18"/>
            <w:szCs w:val="18"/>
            <w:u w:val="single" w:color="auto"/>
            <w:color w:val="0000FF"/>
          </w:rPr>
          <w:t>Seventh Amendment to the Credit Agreement, dated as of November 26, 2019, among Booz Allen Hamilton Inc., as Borrower, Booz Allen</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Hamilton Investor Corporation, Booz Allen Hamilton Engineering Holding Co., LLC, Booz Allen Hamilton Engineering Services, LLC, SDI</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Technology Corporation, eGov Holdings, Inc. and Aquilent, Inc., as Guarantors, Bank of America, N.A., as Administrative Agent, Collateral</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Agent, Exchanging Lender and New Refinancing Tranche B Term Lender and the other Lenders and financial institutions from time to time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party thereto (Incorporated by reference to Exhibit 10.1 to the Company’s Current Report on Form 8-K filed on November 26, 2019 (File No</w:t>
        </w:r>
        <w:r>
          <w:rPr>
            <w:rFonts w:ascii="Arial" w:cs="Arial" w:eastAsia="Arial" w:hAnsi="Arial"/>
            <w:sz w:val="18"/>
            <w:szCs w:val="18"/>
            <w:color w:val="0000FF"/>
          </w:rPr>
          <w:t>.</w:t>
        </w:r>
      </w:hyperlink>
      <w:r>
        <w:rPr>
          <w:rFonts w:ascii="Arial" w:cs="Arial" w:eastAsia="Arial" w:hAnsi="Arial"/>
          <w:sz w:val="18"/>
          <w:szCs w:val="18"/>
          <w:color w:val="0000FF"/>
        </w:rPr>
        <w:t xml:space="preserve"> </w:t>
      </w:r>
      <w:hyperlink r:id="rId59">
        <w:r>
          <w:rPr>
            <w:rFonts w:ascii="Arial" w:cs="Arial" w:eastAsia="Arial" w:hAnsi="Arial"/>
            <w:sz w:val="18"/>
            <w:szCs w:val="18"/>
            <w:u w:val="single" w:color="auto"/>
            <w:color w:val="0000FF"/>
          </w:rPr>
          <w:t>001-34972))</w:t>
        </w:r>
      </w:hyperlink>
    </w:p>
    <w:p>
      <w:pPr>
        <w:spacing w:after="0" w:line="152" w:lineRule="exact"/>
        <w:rPr>
          <w:rFonts w:ascii="Arial" w:cs="Arial" w:eastAsia="Arial" w:hAnsi="Arial"/>
          <w:sz w:val="18"/>
          <w:szCs w:val="18"/>
          <w:u w:val="single" w:color="auto"/>
          <w:color w:val="0000FF"/>
        </w:rPr>
      </w:pPr>
    </w:p>
    <w:p>
      <w:pPr>
        <w:ind w:right="120" w:hanging="903"/>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 xml:space="preserve"> </w:t>
      </w:r>
      <w:hyperlink r:id="rId60">
        <w:r>
          <w:rPr>
            <w:rFonts w:ascii="Arial" w:cs="Arial" w:eastAsia="Arial" w:hAnsi="Arial"/>
            <w:sz w:val="18"/>
            <w:szCs w:val="18"/>
            <w:u w:val="single" w:color="auto"/>
            <w:color w:val="0000FF"/>
          </w:rPr>
          <w:t>ISDA 2002 Master Agreement, by and between Booz Allen Hamilton Inc. and Bank of America, N.A., dated as of December 17, 2014 (the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“Bank of America Master Agreement”), and the Amended and Restated Schedule to the Bank of America Master Agreement, dated as of</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February 6, 2017 (Incorporated by reference to Exhibit 10.1 to the Company’s Current Report on Form 8-K filed on April 11, 2017 (File No.</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ind w:right="140" w:hanging="903"/>
        <w:spacing w:after="0" w:line="311" w:lineRule="auto"/>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 xml:space="preserve"> </w:t>
      </w:r>
      <w:hyperlink r:id="rId61">
        <w:r>
          <w:rPr>
            <w:rFonts w:ascii="Arial" w:cs="Arial" w:eastAsia="Arial" w:hAnsi="Arial"/>
            <w:sz w:val="16"/>
            <w:szCs w:val="16"/>
            <w:u w:val="single" w:color="auto"/>
            <w:color w:val="0000FF"/>
          </w:rPr>
          <w:t>ISDA 2002 Master Agreement, by and between Booz Allen Hamilton Inc. and JPMorgan Chase Bank, N.A., dated as of December 17, 2014</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(the “JPM Master Agreement”), and the Amended and Restated Schedule to the JPM Master Agreement, dated as of February 8, 2017</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(Incorporated by reference to Exhibit 10.2 to the Company’s Current Report on Form 8-K filed on April 11, 2017 (File No. 001-34972))</w:t>
        </w:r>
      </w:hyperlink>
    </w:p>
    <w:p>
      <w:pPr>
        <w:spacing w:after="0" w:line="108" w:lineRule="exact"/>
        <w:rPr>
          <w:rFonts w:ascii="Arial" w:cs="Arial" w:eastAsia="Arial" w:hAnsi="Arial"/>
          <w:sz w:val="16"/>
          <w:szCs w:val="16"/>
          <w:u w:val="single" w:color="auto"/>
          <w:color w:val="0000FF"/>
        </w:rPr>
      </w:pPr>
    </w:p>
    <w:p>
      <w:pPr>
        <w:ind w:right="220" w:hanging="903"/>
        <w:spacing w:after="0" w:line="311" w:lineRule="auto"/>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 xml:space="preserve"> </w:t>
      </w:r>
      <w:hyperlink r:id="rId62">
        <w:r>
          <w:rPr>
            <w:rFonts w:ascii="Arial" w:cs="Arial" w:eastAsia="Arial" w:hAnsi="Arial"/>
            <w:sz w:val="16"/>
            <w:szCs w:val="16"/>
            <w:u w:val="single" w:color="auto"/>
            <w:color w:val="0000FF"/>
          </w:rPr>
          <w:t>ISDA 2002 Master Agreement, by and between Booz Allen Hamilton Inc. and Fifth Third Bank, dated as of December 16, 2014 (the “Fifth</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Third Master Agreement”), and the Amended and Restated Schedule to the Fifth Third Master Agreement, dated as of February 7, 2017</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(Incorporated by reference to Exhibit 10.3 to the Company’s Current Report on Form 8-K filed on April 11, 2017 (File No. 001-34972))</w:t>
        </w:r>
      </w:hyperlink>
    </w:p>
    <w:p>
      <w:pPr>
        <w:spacing w:after="0" w:line="108" w:lineRule="exact"/>
        <w:rPr>
          <w:rFonts w:ascii="Arial" w:cs="Arial" w:eastAsia="Arial" w:hAnsi="Arial"/>
          <w:sz w:val="16"/>
          <w:szCs w:val="16"/>
          <w:u w:val="single" w:color="auto"/>
          <w:color w:val="0000FF"/>
        </w:rPr>
      </w:pPr>
    </w:p>
    <w:p>
      <w:pPr>
        <w:ind w:hanging="903"/>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 xml:space="preserve"> </w:t>
      </w:r>
      <w:hyperlink r:id="rId63">
        <w:r>
          <w:rPr>
            <w:rFonts w:ascii="Arial" w:cs="Arial" w:eastAsia="Arial" w:hAnsi="Arial"/>
            <w:sz w:val="18"/>
            <w:szCs w:val="18"/>
            <w:u w:val="single" w:color="auto"/>
            <w:color w:val="0000FF"/>
          </w:rPr>
          <w:t>ISDA Master Agreement, by and between Booz Allen Hamilton Inc. and The Bank of Tokyo-Mitsubishi UFJ, Ltd. dated as of January 13,</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2015 (the “Bank of Tokyo-Mitsubishi Master Agreement”), and the Amendment to the Bank of Tokyo-Mitsubishi Master Agreement, dated as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of April 18, 2017 (including the Schedule thereto) (Incorporated by reference to Exhibit 10.1 to the Company's Current Report on Form 8-K</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filed on May 31, 2017 (File No. 001-34972))</w:t>
        </w:r>
      </w:hyperlink>
    </w:p>
    <w:p>
      <w:pPr>
        <w:spacing w:after="0" w:line="146" w:lineRule="exact"/>
        <w:rPr>
          <w:rFonts w:ascii="Arial" w:cs="Arial" w:eastAsia="Arial" w:hAnsi="Arial"/>
          <w:sz w:val="18"/>
          <w:szCs w:val="18"/>
          <w:u w:val="single" w:color="auto"/>
          <w:color w:val="0000FF"/>
        </w:rPr>
      </w:pPr>
    </w:p>
    <w:p>
      <w:pPr>
        <w:ind w:right="40" w:hanging="903"/>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 xml:space="preserve"> </w:t>
      </w:r>
      <w:hyperlink r:id="rId64">
        <w:r>
          <w:rPr>
            <w:rFonts w:ascii="Arial" w:cs="Arial" w:eastAsia="Arial" w:hAnsi="Arial"/>
            <w:sz w:val="18"/>
            <w:szCs w:val="18"/>
            <w:u w:val="single" w:color="auto"/>
            <w:color w:val="0000FF"/>
          </w:rPr>
          <w:t>ISDA Master Agreement, by and between Booz Allen Hamilton Inc. and Barclays Bank Plc, dated as of December 11, 2014 (the “Barclays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Master Agreement”), and the Amendment to the Barclays Master Agreement, dated as of May 18, 2017 (including the Amended and Restated</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Schedule thereto) (Incorporated by reference to Exhibit 10.2 to the Company's Current Report on Form 8-K filed on May 31, 2017 (File No.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ind w:right="140" w:hanging="903"/>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 xml:space="preserve"> </w:t>
      </w:r>
      <w:hyperlink r:id="rId65">
        <w:r>
          <w:rPr>
            <w:rFonts w:ascii="Arial" w:cs="Arial" w:eastAsia="Arial" w:hAnsi="Arial"/>
            <w:sz w:val="18"/>
            <w:szCs w:val="18"/>
            <w:u w:val="single" w:color="auto"/>
            <w:color w:val="0000FF"/>
          </w:rPr>
          <w:t>ISDA Master Agreement, by and between Booz Allen Hamilton Inc. and Wells Fargo Bank, N.A., dated as of February 13, 2017 (the “Wells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Fargo Master Agreement”), including the Schedule thereto (Incorporated by reference to Exhibit 10.3 to the Company's Current Report 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Form 8-K filed on May 31, 2017 (File No. 001-34972))</w:t>
        </w:r>
      </w:hyperlink>
    </w:p>
    <w:p>
      <w:pPr>
        <w:spacing w:after="0" w:line="143" w:lineRule="exact"/>
        <w:rPr>
          <w:rFonts w:ascii="Arial" w:cs="Arial" w:eastAsia="Arial" w:hAnsi="Arial"/>
          <w:sz w:val="18"/>
          <w:szCs w:val="18"/>
          <w:u w:val="single" w:color="auto"/>
          <w:color w:val="0000FF"/>
        </w:rPr>
      </w:pPr>
    </w:p>
    <w:p>
      <w:pPr>
        <w:ind w:right="240" w:hanging="903"/>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 xml:space="preserve"> </w:t>
      </w:r>
      <w:hyperlink r:id="rId66">
        <w:r>
          <w:rPr>
            <w:rFonts w:ascii="Arial" w:cs="Arial" w:eastAsia="Arial" w:hAnsi="Arial"/>
            <w:sz w:val="18"/>
            <w:szCs w:val="18"/>
            <w:u w:val="single" w:color="auto"/>
            <w:color w:val="0000FF"/>
          </w:rPr>
          <w:t>ISDA Master Agreement, by and between Booz Allen Hamilton Inc. and SMBC Capital Markets, Inc., dated as of December 11, 2014, and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the Amended and Restated Schedule thereto, dated as of February 6, 2017 (Incorporated by reference to Exhibit 10.1 to the Company's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Current Report on Form 8-K filed on November 1, 2018 (File No. 001-34972))</w:t>
        </w:r>
      </w:hyperlink>
    </w:p>
    <w:p>
      <w:pPr>
        <w:spacing w:after="0" w:line="143" w:lineRule="exact"/>
        <w:rPr>
          <w:rFonts w:ascii="Arial" w:cs="Arial" w:eastAsia="Arial" w:hAnsi="Arial"/>
          <w:sz w:val="18"/>
          <w:szCs w:val="18"/>
          <w:u w:val="single" w:color="auto"/>
          <w:color w:val="0000FF"/>
        </w:rPr>
      </w:pPr>
    </w:p>
    <w:p>
      <w:pPr>
        <w:jc w:val="both"/>
        <w:ind w:right="180" w:hanging="903"/>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 xml:space="preserve"> </w:t>
      </w:r>
      <w:hyperlink r:id="rId67">
        <w:r>
          <w:rPr>
            <w:rFonts w:ascii="Arial" w:cs="Arial" w:eastAsia="Arial" w:hAnsi="Arial"/>
            <w:sz w:val="18"/>
            <w:szCs w:val="18"/>
            <w:u w:val="single" w:color="auto"/>
            <w:color w:val="0000FF"/>
          </w:rPr>
          <w:t>ISDA Master Agreement, by and between Booz Allen Hamilton Inc. and SunTrust Bank, dated as of April 10, 2017, including the Schedule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thereto (Incorporated by reference to Exhibit 10.2 to the Company's Current Report on Form 8-K filed on November 1, 2018 (File No. 001-</w:t>
        </w:r>
      </w:hyperlink>
      <w:hyperlink r:id="rId67">
        <w:r>
          <w:rPr>
            <w:rFonts w:ascii="Arial" w:cs="Arial" w:eastAsia="Arial" w:hAnsi="Arial"/>
            <w:sz w:val="18"/>
            <w:szCs w:val="18"/>
            <w:u w:val="single" w:color="auto"/>
            <w:color w:val="0000FF"/>
          </w:rPr>
          <w:t>34972))</w:t>
        </w:r>
      </w:hyperlink>
    </w:p>
    <w:p>
      <w:pPr>
        <w:sectPr>
          <w:pgSz w:w="11900" w:h="16838" w:orient="portrait"/>
          <w:cols w:equalWidth="0" w:num="1">
            <w:col w:w="10260"/>
          </w:cols>
          <w:pgMar w:left="1260" w:top="827" w:right="379" w:bottom="1440" w:gutter="0" w:footer="0" w:header="0"/>
        </w:sectPr>
      </w:pPr>
    </w:p>
    <w:p>
      <w:pPr>
        <w:spacing w:after="0" w:line="332" w:lineRule="exact"/>
        <w:rPr>
          <w:rFonts w:ascii="Arial" w:cs="Arial" w:eastAsia="Arial" w:hAnsi="Arial"/>
          <w:sz w:val="18"/>
          <w:szCs w:val="18"/>
          <w:u w:val="single" w:color="auto"/>
          <w:color w:val="0000FF"/>
        </w:rPr>
      </w:pPr>
    </w:p>
    <w:p>
      <w:pPr>
        <w:jc w:val="center"/>
        <w:ind w:right="88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260"/>
          </w:cols>
          <w:pgMar w:left="1260" w:top="827" w:right="379" w:bottom="1440" w:gutter="0" w:footer="0" w:header="0"/>
          <w:type w:val="continuous"/>
        </w:sectPr>
      </w:pPr>
    </w:p>
    <w:bookmarkStart w:id="119" w:name="page120"/>
    <w:bookmarkEnd w:id="119"/>
    <w:p>
      <w:pPr>
        <w:ind w:left="900" w:hanging="903"/>
        <w:spacing w:after="0" w:line="263"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68">
        <w:r>
          <w:rPr>
            <w:rFonts w:ascii="Arial" w:cs="Arial" w:eastAsia="Arial" w:hAnsi="Arial"/>
            <w:sz w:val="18"/>
            <w:szCs w:val="18"/>
            <w:u w:val="single" w:color="auto"/>
            <w:color w:val="0000FF"/>
          </w:rPr>
          <w:t>ISDA Master Agreement, by and between Booz Allen Hamilton Inc. and U.S. Bank National Association, dated as of September 26, 2018,</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including the Schedule thereto (Incorporated by reference to Exhibit 10.3 to the Company's Current Report on Form 8-K filed on November 1,</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2018 (File No. 001-34972))</w:t>
        </w:r>
      </w:hyperlink>
    </w:p>
    <w:p>
      <w:pPr>
        <w:spacing w:after="0" w:line="143" w:lineRule="exact"/>
        <w:rPr>
          <w:rFonts w:ascii="Arial" w:cs="Arial" w:eastAsia="Arial" w:hAnsi="Arial"/>
          <w:sz w:val="18"/>
          <w:szCs w:val="18"/>
          <w:u w:val="single" w:color="auto"/>
          <w:color w:val="0000FF"/>
        </w:rPr>
      </w:pPr>
    </w:p>
    <w:p>
      <w:pPr>
        <w:jc w:val="both"/>
        <w:ind w:left="900" w:right="380" w:hanging="903"/>
        <w:spacing w:after="0" w:line="263"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9">
        <w:r>
          <w:rPr>
            <w:rFonts w:ascii="Arial" w:cs="Arial" w:eastAsia="Arial" w:hAnsi="Arial"/>
            <w:sz w:val="18"/>
            <w:szCs w:val="18"/>
            <w:u w:val="single" w:color="auto"/>
            <w:color w:val="0000FF"/>
          </w:rPr>
          <w:t>ISDA Master Agreement, by and between Booz Allen Hamilton Inc. and Capital One, National Association, dated as of March 27, 2019,</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including the Schedule thereto (Incorporated by reference to Exhibit 10.1 to the Company's Current Report on Form 8-K filed on April 8,</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2019 (File No. 001-34972))</w:t>
        </w:r>
      </w:hyperlink>
    </w:p>
    <w:p>
      <w:pPr>
        <w:spacing w:after="0" w:line="143" w:lineRule="exact"/>
        <w:rPr>
          <w:rFonts w:ascii="Arial" w:cs="Arial" w:eastAsia="Arial" w:hAnsi="Arial"/>
          <w:sz w:val="18"/>
          <w:szCs w:val="18"/>
          <w:u w:val="single" w:color="auto"/>
          <w:color w:val="0000FF"/>
        </w:rPr>
      </w:pPr>
    </w:p>
    <w:p>
      <w:pPr>
        <w:ind w:left="900" w:right="240" w:hanging="903"/>
        <w:spacing w:after="0" w:line="263"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70">
        <w:r>
          <w:rPr>
            <w:rFonts w:ascii="Arial" w:cs="Arial" w:eastAsia="Arial" w:hAnsi="Arial"/>
            <w:sz w:val="18"/>
            <w:szCs w:val="18"/>
            <w:u w:val="single" w:color="auto"/>
            <w:color w:val="0000FF"/>
          </w:rPr>
          <w:t>ISDA Master Agreement, by and between Booz Allen Hamilton Inc. and PNC Bank, National Association, dated as of December 11, 2018,</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including the Schedule thereto (Incorporated by reference to Exhibit 10.2 to the Company's Current Report on Form 8-K filed on April 8,</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2019 (File No. 001-34972))</w:t>
        </w:r>
      </w:hyperlink>
    </w:p>
    <w:p>
      <w:pPr>
        <w:spacing w:after="0" w:line="143" w:lineRule="exact"/>
        <w:rPr>
          <w:rFonts w:ascii="Arial" w:cs="Arial" w:eastAsia="Arial" w:hAnsi="Arial"/>
          <w:sz w:val="18"/>
          <w:szCs w:val="18"/>
          <w:u w:val="single" w:color="auto"/>
          <w:color w:val="0000FF"/>
        </w:rPr>
      </w:pPr>
    </w:p>
    <w:p>
      <w:pPr>
        <w:ind w:left="900" w:right="220" w:hanging="903"/>
        <w:spacing w:after="0" w:line="30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71">
        <w:r>
          <w:rPr>
            <w:rFonts w:ascii="Arial" w:cs="Arial" w:eastAsia="Arial" w:hAnsi="Arial"/>
            <w:sz w:val="17"/>
            <w:szCs w:val="17"/>
            <w:u w:val="single" w:color="auto"/>
            <w:color w:val="0000FF"/>
          </w:rPr>
          <w:t>Confirmation of transaction, by and between Booz Allen Hamilton Inc. and Bank of America, N.A., dated as of April 6, 2017 (Incorporated</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by reference to Exhibit 10.4 to the Company’s Current Report on Form 8-K filed on April 11, 2017 (File No. 001-34972))</w:t>
        </w:r>
      </w:hyperlink>
    </w:p>
    <w:p>
      <w:pPr>
        <w:spacing w:after="0" w:line="106" w:lineRule="exact"/>
        <w:rPr>
          <w:sz w:val="20"/>
          <w:szCs w:val="20"/>
          <w:color w:val="auto"/>
        </w:rPr>
      </w:pPr>
    </w:p>
    <w:p>
      <w:pPr>
        <w:ind w:left="900" w:right="48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68">
        <w:r>
          <w:rPr>
            <w:rFonts w:ascii="Arial" w:cs="Arial" w:eastAsia="Arial" w:hAnsi="Arial"/>
            <w:sz w:val="16"/>
            <w:szCs w:val="16"/>
            <w:u w:val="single" w:color="auto"/>
            <w:color w:val="0000FF"/>
          </w:rPr>
          <w:t>Confirmation of transaction, by and between Booz Allen Hamilton Inc. and JPMorgan Chase Bank, N.A., dated as of April 6, 2017</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(Incorporated by reference to Exhibit 10.5 to the Company’s Current Report on Form 8-K filed on April 11, 2017 (File No. 001-34972))</w:t>
        </w:r>
      </w:hyperlink>
    </w:p>
    <w:p>
      <w:pPr>
        <w:spacing w:after="0" w:line="83" w:lineRule="exact"/>
        <w:rPr>
          <w:sz w:val="20"/>
          <w:szCs w:val="20"/>
          <w:color w:val="auto"/>
        </w:rPr>
      </w:pPr>
    </w:p>
    <w:p>
      <w:pPr>
        <w:ind w:left="900" w:right="460" w:hanging="903"/>
        <w:spacing w:after="0" w:line="30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10.39</w:t>
      </w:r>
      <w:r>
        <w:rPr>
          <w:sz w:val="20"/>
          <w:szCs w:val="20"/>
          <w:color w:val="auto"/>
        </w:rPr>
        <w:tab/>
      </w:r>
      <w:hyperlink r:id="rId70">
        <w:r>
          <w:rPr>
            <w:rFonts w:ascii="Arial" w:cs="Arial" w:eastAsia="Arial" w:hAnsi="Arial"/>
            <w:sz w:val="17"/>
            <w:szCs w:val="17"/>
            <w:u w:val="single" w:color="auto"/>
            <w:color w:val="0000FF"/>
          </w:rPr>
          <w:t>Confirmation of transaction, by and between Booz Allen Hamilton Inc. and Fifth Third Bank, dated as of April 6, 2017 (Incorporated by</w:t>
        </w:r>
      </w:hyperlink>
      <w:r>
        <w:rPr>
          <w:rFonts w:ascii="Arial" w:cs="Arial" w:eastAsia="Arial" w:hAnsi="Arial"/>
          <w:sz w:val="17"/>
          <w:szCs w:val="17"/>
          <w:u w:val="single" w:color="auto"/>
          <w:color w:val="0000FF"/>
        </w:rPr>
        <w:t xml:space="preserve"> </w:t>
      </w:r>
      <w:hyperlink r:id="rId70">
        <w:r>
          <w:rPr>
            <w:rFonts w:ascii="Arial" w:cs="Arial" w:eastAsia="Arial" w:hAnsi="Arial"/>
            <w:sz w:val="17"/>
            <w:szCs w:val="17"/>
            <w:u w:val="single" w:color="auto"/>
            <w:color w:val="0000FF"/>
          </w:rPr>
          <w:t>reference to Exhibit 10.6 to the Company’s Current Report on Form 8-K filed on April 11, 2017 (File No. 001-34972))</w:t>
        </w:r>
      </w:hyperlink>
    </w:p>
    <w:p>
      <w:pPr>
        <w:spacing w:after="0" w:line="106" w:lineRule="exact"/>
        <w:rPr>
          <w:sz w:val="20"/>
          <w:szCs w:val="20"/>
          <w:color w:val="auto"/>
        </w:rPr>
      </w:pPr>
    </w:p>
    <w:p>
      <w:pPr>
        <w:spacing w:after="0"/>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72">
        <w:r>
          <w:rPr>
            <w:rFonts w:ascii="Arial" w:cs="Arial" w:eastAsia="Arial" w:hAnsi="Arial"/>
            <w:sz w:val="16"/>
            <w:szCs w:val="16"/>
            <w:u w:val="single" w:color="auto"/>
            <w:color w:val="0000FF"/>
          </w:rPr>
          <w:t>Confirmation of transaction, by and between Booz Allen Hamilton Inc. and The Bank of Tokyo-Mitsubishi UFJ, Ltd., dated as of May 26,</w:t>
        </w:r>
      </w:hyperlink>
    </w:p>
    <w:p>
      <w:pPr>
        <w:spacing w:after="0" w:line="23" w:lineRule="exact"/>
        <w:rPr>
          <w:sz w:val="20"/>
          <w:szCs w:val="20"/>
          <w:color w:val="auto"/>
        </w:rPr>
      </w:pPr>
    </w:p>
    <w:p>
      <w:pPr>
        <w:ind w:left="900"/>
        <w:spacing w:after="0"/>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2017 (Incorporated by reference to Exhibit 10.4 to the Company's Current Report on Form 8-K filed on May 31, 2017 (File No. 001-34972))</w:t>
        </w:r>
      </w:hyperlink>
    </w:p>
    <w:p>
      <w:pPr>
        <w:spacing w:after="0" w:line="193" w:lineRule="exact"/>
        <w:rPr>
          <w:sz w:val="20"/>
          <w:szCs w:val="20"/>
          <w:color w:val="auto"/>
        </w:rPr>
      </w:pPr>
    </w:p>
    <w:p>
      <w:pPr>
        <w:ind w:left="900" w:right="30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73">
        <w:r>
          <w:rPr>
            <w:rFonts w:ascii="Arial" w:cs="Arial" w:eastAsia="Arial" w:hAnsi="Arial"/>
            <w:sz w:val="16"/>
            <w:szCs w:val="16"/>
            <w:u w:val="single" w:color="auto"/>
            <w:color w:val="0000FF"/>
          </w:rPr>
          <w:t>Confirmation of transaction, by and between Booz Allen Hamilton Inc. and Barclays Bank Plc, dated as of May 30, 2017 (Incorporated by</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reference to Exhibit 10.5 to the Company's Current Report on Form 8-K filed on May 31, 2017 (File No. 001-34972))</w:t>
        </w:r>
      </w:hyperlink>
    </w:p>
    <w:p>
      <w:pPr>
        <w:spacing w:after="0" w:line="83" w:lineRule="exact"/>
        <w:rPr>
          <w:sz w:val="20"/>
          <w:szCs w:val="20"/>
          <w:color w:val="auto"/>
        </w:rPr>
      </w:pPr>
    </w:p>
    <w:p>
      <w:pPr>
        <w:ind w:left="900" w:right="120" w:hanging="903"/>
        <w:spacing w:after="0" w:line="30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10.42</w:t>
      </w:r>
      <w:r>
        <w:rPr>
          <w:sz w:val="20"/>
          <w:szCs w:val="20"/>
          <w:color w:val="auto"/>
        </w:rPr>
        <w:tab/>
      </w:r>
      <w:hyperlink r:id="rId74">
        <w:r>
          <w:rPr>
            <w:rFonts w:ascii="Arial" w:cs="Arial" w:eastAsia="Arial" w:hAnsi="Arial"/>
            <w:sz w:val="17"/>
            <w:szCs w:val="17"/>
            <w:u w:val="single" w:color="auto"/>
            <w:color w:val="0000FF"/>
          </w:rPr>
          <w:t>Confirmation of transaction, by and between Booz Allen Hamilton Inc. and Wells Fargo Bank, N.A., dated as of May 25, 2017 (Incorporated</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by reference to Exhibit 10.6 to the Company's Current Report on Form 8-K filed on May 31, 2017 (File No. 001-34972))</w:t>
        </w:r>
      </w:hyperlink>
    </w:p>
    <w:p>
      <w:pPr>
        <w:spacing w:after="0" w:line="106" w:lineRule="exact"/>
        <w:rPr>
          <w:sz w:val="20"/>
          <w:szCs w:val="20"/>
          <w:color w:val="auto"/>
        </w:rPr>
      </w:pPr>
    </w:p>
    <w:p>
      <w:pPr>
        <w:ind w:left="900" w:right="30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10.43</w:t>
      </w:r>
      <w:r>
        <w:rPr>
          <w:sz w:val="20"/>
          <w:szCs w:val="20"/>
          <w:color w:val="auto"/>
        </w:rPr>
        <w:tab/>
      </w:r>
      <w:hyperlink r:id="rId75">
        <w:r>
          <w:rPr>
            <w:rFonts w:ascii="Arial" w:cs="Arial" w:eastAsia="Arial" w:hAnsi="Arial"/>
            <w:sz w:val="16"/>
            <w:szCs w:val="16"/>
            <w:u w:val="single" w:color="auto"/>
            <w:color w:val="0000FF"/>
          </w:rPr>
          <w:t>Confirmation of transaction, by and between Booz Allen Hamilton Inc. and SunTrust Bank, dated as of October 29, 2018 (Incorporated by</w:t>
        </w:r>
      </w:hyperlink>
      <w:r>
        <w:rPr>
          <w:rFonts w:ascii="Arial" w:cs="Arial" w:eastAsia="Arial" w:hAnsi="Arial"/>
          <w:sz w:val="16"/>
          <w:szCs w:val="16"/>
          <w:u w:val="single" w:color="auto"/>
          <w:color w:val="0000FF"/>
        </w:rPr>
        <w:t xml:space="preserve"> </w:t>
      </w:r>
      <w:hyperlink r:id="rId75">
        <w:r>
          <w:rPr>
            <w:rFonts w:ascii="Arial" w:cs="Arial" w:eastAsia="Arial" w:hAnsi="Arial"/>
            <w:sz w:val="16"/>
            <w:szCs w:val="16"/>
            <w:u w:val="single" w:color="auto"/>
            <w:color w:val="0000FF"/>
          </w:rPr>
          <w:t>reference to Exhibit 10.5 to the Company's Current Report on Form 8-K filed on November 1, 2018 (File No. 001-34972))</w:t>
        </w:r>
      </w:hyperlink>
    </w:p>
    <w:p>
      <w:pPr>
        <w:spacing w:after="0" w:line="83" w:lineRule="exact"/>
        <w:rPr>
          <w:sz w:val="20"/>
          <w:szCs w:val="20"/>
          <w:color w:val="auto"/>
        </w:rPr>
      </w:pPr>
    </w:p>
    <w:p>
      <w:pPr>
        <w:ind w:left="900" w:right="20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76">
        <w:r>
          <w:rPr>
            <w:rFonts w:ascii="Arial" w:cs="Arial" w:eastAsia="Arial" w:hAnsi="Arial"/>
            <w:sz w:val="16"/>
            <w:szCs w:val="16"/>
            <w:u w:val="single" w:color="auto"/>
            <w:color w:val="0000FF"/>
          </w:rPr>
          <w:t>Confirmation of transaction, by and between Booz Allen Hamilton Inc. and U.S. Bank National Association, dated as of October 29, 2018</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(Incorporated by reference to Exhibit 10.6 to the Company's Current Report on Form 8-K filed on November 1, 2018 (File No. 001-34972))</w:t>
        </w:r>
      </w:hyperlink>
    </w:p>
    <w:p>
      <w:pPr>
        <w:spacing w:after="0" w:line="83" w:lineRule="exact"/>
        <w:rPr>
          <w:sz w:val="20"/>
          <w:szCs w:val="20"/>
          <w:color w:val="auto"/>
        </w:rPr>
      </w:pPr>
    </w:p>
    <w:p>
      <w:pPr>
        <w:ind w:left="900" w:right="46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77">
        <w:r>
          <w:rPr>
            <w:rFonts w:ascii="Arial" w:cs="Arial" w:eastAsia="Arial" w:hAnsi="Arial"/>
            <w:sz w:val="16"/>
            <w:szCs w:val="16"/>
            <w:u w:val="single" w:color="auto"/>
            <w:color w:val="0000FF"/>
          </w:rPr>
          <w:t>Confirmation of transaction, by and between Booz Allen Hamilton Inc. and Capital One, National Association, dated as of April 4, 2019</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(Incorporated by reference to Exhibit 10.7 to the Company's Current Report on Form 8-K filed on April 8, 2019 (File No. 001-34972))</w:t>
        </w:r>
      </w:hyperlink>
    </w:p>
    <w:p>
      <w:pPr>
        <w:spacing w:after="0" w:line="83" w:lineRule="exact"/>
        <w:rPr>
          <w:sz w:val="20"/>
          <w:szCs w:val="20"/>
          <w:color w:val="auto"/>
        </w:rPr>
      </w:pPr>
    </w:p>
    <w:p>
      <w:pPr>
        <w:ind w:left="900" w:right="460" w:hanging="903"/>
        <w:spacing w:after="0" w:line="30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10.46</w:t>
      </w:r>
      <w:r>
        <w:rPr>
          <w:sz w:val="20"/>
          <w:szCs w:val="20"/>
          <w:color w:val="auto"/>
        </w:rPr>
        <w:tab/>
      </w:r>
      <w:hyperlink r:id="rId78">
        <w:r>
          <w:rPr>
            <w:rFonts w:ascii="Arial" w:cs="Arial" w:eastAsia="Arial" w:hAnsi="Arial"/>
            <w:sz w:val="17"/>
            <w:szCs w:val="17"/>
            <w:u w:val="single" w:color="auto"/>
            <w:color w:val="0000FF"/>
          </w:rPr>
          <w:t>Confirmation of transaction, by and between Booz Allen Hamilton Inc. and Fifth Third Bank, dated as of April 2, 2019 (Incorporated by</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reference to Exhibit 10.8 to the Company's Current Report on Form 8-K filed on April 8, 2019 (File No. 001-34972))</w:t>
        </w:r>
      </w:hyperlink>
    </w:p>
    <w:p>
      <w:pPr>
        <w:spacing w:after="0" w:line="106" w:lineRule="exact"/>
        <w:rPr>
          <w:sz w:val="20"/>
          <w:szCs w:val="20"/>
          <w:color w:val="auto"/>
        </w:rPr>
      </w:pPr>
    </w:p>
    <w:p>
      <w:pPr>
        <w:ind w:left="900" w:right="46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10.47</w:t>
      </w:r>
      <w:r>
        <w:rPr>
          <w:sz w:val="20"/>
          <w:szCs w:val="20"/>
          <w:color w:val="auto"/>
        </w:rPr>
        <w:tab/>
      </w:r>
      <w:hyperlink r:id="rId79">
        <w:r>
          <w:rPr>
            <w:rFonts w:ascii="Arial" w:cs="Arial" w:eastAsia="Arial" w:hAnsi="Arial"/>
            <w:sz w:val="16"/>
            <w:szCs w:val="16"/>
            <w:u w:val="single" w:color="auto"/>
            <w:color w:val="0000FF"/>
          </w:rPr>
          <w:t>Confirmation of transaction, by and between Booz Allen Hamilton Inc. and Capital One, National Association, dated as of April 4, 2019</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(Incorporated by reference to Exhibit 10.9 to the Company's Current Report on Form 8-K filed on April 8, 2019 (File No. 001-34972))</w:t>
        </w:r>
      </w:hyperlink>
    </w:p>
    <w:p>
      <w:pPr>
        <w:spacing w:after="0" w:line="83" w:lineRule="exact"/>
        <w:rPr>
          <w:sz w:val="20"/>
          <w:szCs w:val="20"/>
          <w:color w:val="auto"/>
        </w:rPr>
      </w:pPr>
    </w:p>
    <w:p>
      <w:pPr>
        <w:jc w:val="right"/>
        <w:ind w:right="50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10.48      </w:t>
      </w:r>
      <w:hyperlink r:id="rId80">
        <w:r>
          <w:rPr>
            <w:rFonts w:ascii="Arial" w:cs="Arial" w:eastAsia="Arial" w:hAnsi="Arial"/>
            <w:sz w:val="17"/>
            <w:szCs w:val="17"/>
            <w:u w:val="single" w:color="auto"/>
            <w:color w:val="0000FF"/>
          </w:rPr>
          <w:t>Confirmation of transaction, by and between Booz Allen Hamilton Inc. and PNC Bank, National Association, dated as of April 2, 2019</w:t>
        </w:r>
      </w:hyperlink>
      <w:r>
        <w:rPr>
          <w:rFonts w:ascii="Arial" w:cs="Arial" w:eastAsia="Arial" w:hAnsi="Arial"/>
          <w:sz w:val="17"/>
          <w:szCs w:val="17"/>
          <w:color w:val="auto"/>
        </w:rPr>
        <w:t xml:space="preserve"> </w:t>
      </w:r>
      <w:hyperlink r:id="rId80">
        <w:r>
          <w:rPr>
            <w:rFonts w:ascii="Arial" w:cs="Arial" w:eastAsia="Arial" w:hAnsi="Arial"/>
            <w:sz w:val="17"/>
            <w:szCs w:val="17"/>
            <w:u w:val="single" w:color="auto"/>
            <w:color w:val="0000FF"/>
          </w:rPr>
          <w:t>(Incorporated by reference to Exhibit 10.10 to the Company's Current Report on Form 8-K filed on April 8, 2019 (File No. 001-34972))</w:t>
        </w:r>
      </w:hyperlink>
    </w:p>
    <w:p>
      <w:pPr>
        <w:spacing w:after="0" w:line="106" w:lineRule="exact"/>
        <w:rPr>
          <w:sz w:val="20"/>
          <w:szCs w:val="20"/>
          <w:color w:val="auto"/>
        </w:rPr>
      </w:pPr>
    </w:p>
    <w:p>
      <w:pPr>
        <w:ind w:left="900" w:right="50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10.49</w:t>
      </w:r>
      <w:r>
        <w:rPr>
          <w:sz w:val="20"/>
          <w:szCs w:val="20"/>
          <w:color w:val="auto"/>
        </w:rPr>
        <w:tab/>
      </w:r>
      <w:hyperlink r:id="rId81">
        <w:r>
          <w:rPr>
            <w:rFonts w:ascii="Arial" w:cs="Arial" w:eastAsia="Arial" w:hAnsi="Arial"/>
            <w:sz w:val="16"/>
            <w:szCs w:val="16"/>
            <w:u w:val="single" w:color="auto"/>
            <w:color w:val="0000FF"/>
          </w:rPr>
          <w:t>Confirmation of transaction, by and between Booz Allen Hamilton Inc. and SMBC Capital Markets, Inc., dated as of April 2, 2019</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(Incorporated by reference to Exhibit 10.11 to the Company's Current Report on Form 8-K filed on April 8, 2019 (File No. 001-34972))</w:t>
        </w:r>
      </w:hyperlink>
    </w:p>
    <w:p>
      <w:pPr>
        <w:spacing w:after="0" w:line="83" w:lineRule="exact"/>
        <w:rPr>
          <w:sz w:val="20"/>
          <w:szCs w:val="20"/>
          <w:color w:val="auto"/>
        </w:rPr>
      </w:pPr>
    </w:p>
    <w:p>
      <w:pPr>
        <w:ind w:left="900" w:right="220" w:hanging="903"/>
        <w:spacing w:after="0" w:line="30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10.50</w:t>
      </w:r>
      <w:r>
        <w:rPr>
          <w:sz w:val="20"/>
          <w:szCs w:val="20"/>
          <w:color w:val="auto"/>
        </w:rPr>
        <w:tab/>
      </w:r>
      <w:hyperlink r:id="rId82">
        <w:r>
          <w:rPr>
            <w:rFonts w:ascii="Arial" w:cs="Arial" w:eastAsia="Arial" w:hAnsi="Arial"/>
            <w:sz w:val="17"/>
            <w:szCs w:val="17"/>
            <w:u w:val="single" w:color="auto"/>
            <w:color w:val="0000FF"/>
          </w:rPr>
          <w:t>Confirmation of transaction, by and between Booz Allen Hamilton Inc. and Bank of America, N.A., dated as of April 3, 2019 (Incorporated</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by reference to Exhibit 10.12 to the Company's Current Report on Form 8-K filed on April 8, 2019 (File No. 001-34972))</w:t>
        </w:r>
      </w:hyperlink>
    </w:p>
    <w:p>
      <w:pPr>
        <w:spacing w:after="0" w:line="106" w:lineRule="exact"/>
        <w:rPr>
          <w:sz w:val="20"/>
          <w:szCs w:val="20"/>
          <w:color w:val="auto"/>
        </w:rPr>
      </w:pPr>
    </w:p>
    <w:p>
      <w:pPr>
        <w:ind w:left="900" w:right="500" w:hanging="903"/>
        <w:spacing w:after="0" w:line="342"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10.51</w:t>
      </w:r>
      <w:r>
        <w:rPr>
          <w:sz w:val="20"/>
          <w:szCs w:val="20"/>
          <w:color w:val="auto"/>
        </w:rPr>
        <w:tab/>
      </w:r>
      <w:hyperlink r:id="rId83">
        <w:r>
          <w:rPr>
            <w:rFonts w:ascii="Arial" w:cs="Arial" w:eastAsia="Arial" w:hAnsi="Arial"/>
            <w:sz w:val="16"/>
            <w:szCs w:val="16"/>
            <w:u w:val="single" w:color="auto"/>
            <w:color w:val="0000FF"/>
          </w:rPr>
          <w:t>Confirmation of transaction, by and between Booz Allen Hamilton Inc. and U.S. Bank National Association, dated as of April 2, 2019</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(Incorporated by reference to Exhibit 10.13 to the Company's Current Report on Form 8-K filed on April 8, 2019 (File No. 001-34972))</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60" w:top="827" w:right="359" w:bottom="1440" w:gutter="0" w:footer="0" w:header="0"/>
        </w:sectPr>
      </w:pPr>
    </w:p>
    <w:bookmarkStart w:id="120" w:name="page121"/>
    <w:bookmarkEnd w:id="120"/>
    <w:p>
      <w:pPr>
        <w:ind w:left="905" w:right="400" w:hanging="903"/>
        <w:spacing w:after="0" w:line="308" w:lineRule="auto"/>
        <w:tabs>
          <w:tab w:leader="none" w:pos="885" w:val="left"/>
        </w:tabs>
        <w:rPr>
          <w:rFonts w:ascii="Arial" w:cs="Arial" w:eastAsia="Arial" w:hAnsi="Arial"/>
          <w:sz w:val="17"/>
          <w:szCs w:val="17"/>
          <w:u w:val="single" w:color="auto"/>
          <w:color w:val="0000FF"/>
        </w:rPr>
      </w:pPr>
      <w:r>
        <w:rPr>
          <w:rFonts w:ascii="Arial" w:cs="Arial" w:eastAsia="Arial" w:hAnsi="Arial"/>
          <w:sz w:val="18"/>
          <w:szCs w:val="18"/>
          <w:color w:val="auto"/>
        </w:rPr>
        <w:t>10.52</w:t>
      </w:r>
      <w:r>
        <w:rPr>
          <w:sz w:val="20"/>
          <w:szCs w:val="20"/>
          <w:color w:val="auto"/>
        </w:rPr>
        <w:tab/>
      </w:r>
      <w:hyperlink r:id="rId84">
        <w:r>
          <w:rPr>
            <w:rFonts w:ascii="Arial" w:cs="Arial" w:eastAsia="Arial" w:hAnsi="Arial"/>
            <w:sz w:val="17"/>
            <w:szCs w:val="17"/>
            <w:u w:val="single" w:color="auto"/>
            <w:color w:val="0000FF"/>
          </w:rPr>
          <w:t>Confirmation of transaction, by and between Booz Allen Hamilton Inc. and Fifth Third Bank, dated as of April 2, 2019 (Incorporated by</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reference to Exhibit 10.14 to the Company's Current Report on Form 8-K filed on April 8, 2019 (File No. 001-34972))</w:t>
        </w:r>
      </w:hyperlink>
    </w:p>
    <w:p>
      <w:pPr>
        <w:spacing w:after="0" w:line="106" w:lineRule="exact"/>
        <w:rPr>
          <w:sz w:val="20"/>
          <w:szCs w:val="20"/>
          <w:color w:val="auto"/>
        </w:rPr>
      </w:pPr>
    </w:p>
    <w:p>
      <w:pPr>
        <w:ind w:left="905" w:right="40" w:hanging="903"/>
        <w:spacing w:after="0" w:line="286" w:lineRule="auto"/>
        <w:tabs>
          <w:tab w:leader="none" w:pos="885" w:val="left"/>
        </w:tabs>
        <w:rPr>
          <w:rFonts w:ascii="Arial" w:cs="Arial" w:eastAsia="Arial" w:hAnsi="Arial"/>
          <w:sz w:val="17"/>
          <w:szCs w:val="17"/>
          <w:u w:val="single" w:color="auto"/>
          <w:color w:val="0000FF"/>
        </w:rPr>
      </w:pPr>
      <w:r>
        <w:rPr>
          <w:rFonts w:ascii="Arial" w:cs="Arial" w:eastAsia="Arial" w:hAnsi="Arial"/>
          <w:sz w:val="18"/>
          <w:szCs w:val="18"/>
          <w:color w:val="auto"/>
        </w:rPr>
        <w:t>10.53</w:t>
      </w:r>
      <w:r>
        <w:rPr>
          <w:sz w:val="20"/>
          <w:szCs w:val="20"/>
          <w:color w:val="auto"/>
        </w:rPr>
        <w:tab/>
      </w:r>
      <w:hyperlink r:id="rId85">
        <w:r>
          <w:rPr>
            <w:rFonts w:ascii="Arial" w:cs="Arial" w:eastAsia="Arial" w:hAnsi="Arial"/>
            <w:sz w:val="17"/>
            <w:szCs w:val="17"/>
            <w:u w:val="single" w:color="auto"/>
            <w:color w:val="0000FF"/>
          </w:rPr>
          <w:t>Assumption Agreement, dated as of April 14, 2017, by eGov Holdings, Inc. and Aquilent, Inc. in favor of Bank of America, N.A., as</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collateral agent for the banks and other financial institutions or entities party to the Credit Agreement, as amended (Incorporated by reference</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to Exhibit 10.10 to the Company’s Quarterly Report for the period ended June 30, 2017 on Form 10-Q (File No. 001-34972))</w:t>
        </w:r>
      </w:hyperlink>
    </w:p>
    <w:p>
      <w:pPr>
        <w:spacing w:after="0" w:line="125" w:lineRule="exact"/>
        <w:rPr>
          <w:rFonts w:ascii="Arial" w:cs="Arial" w:eastAsia="Arial" w:hAnsi="Arial"/>
          <w:sz w:val="17"/>
          <w:szCs w:val="17"/>
          <w:u w:val="single" w:color="auto"/>
          <w:color w:val="0000FF"/>
        </w:rPr>
      </w:pPr>
    </w:p>
    <w:p>
      <w:pPr>
        <w:ind w:left="905" w:right="100" w:hanging="903"/>
        <w:spacing w:after="0" w:line="277"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86">
        <w:r>
          <w:rPr>
            <w:rFonts w:ascii="Arial" w:cs="Arial" w:eastAsia="Arial" w:hAnsi="Arial"/>
            <w:sz w:val="18"/>
            <w:szCs w:val="18"/>
            <w:u w:val="single" w:color="auto"/>
            <w:color w:val="0000FF"/>
          </w:rPr>
          <w:t>Booz Allen Hamilton Inc. Nonqualified Deferred Compensation Plan (Incorporated by reference to Exhibit 10.7 to the Company’s Quarterly</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Report for the period ended December 31, 2018 on Form 10-Q (File No. 001-34972))</w:t>
        </w:r>
      </w:hyperlink>
    </w:p>
    <w:p>
      <w:pPr>
        <w:spacing w:after="0" w:line="130" w:lineRule="exact"/>
        <w:rPr>
          <w:sz w:val="20"/>
          <w:szCs w:val="20"/>
          <w:color w:val="auto"/>
        </w:rPr>
      </w:pPr>
    </w:p>
    <w:p>
      <w:pPr>
        <w:ind w:left="905" w:right="240" w:hanging="903"/>
        <w:spacing w:after="0" w:line="277"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10.55†</w:t>
      </w:r>
      <w:r>
        <w:rPr>
          <w:sz w:val="20"/>
          <w:szCs w:val="20"/>
          <w:color w:val="auto"/>
        </w:rPr>
        <w:tab/>
      </w:r>
      <w:hyperlink r:id="rId87">
        <w:r>
          <w:rPr>
            <w:rFonts w:ascii="Arial" w:cs="Arial" w:eastAsia="Arial" w:hAnsi="Arial"/>
            <w:sz w:val="18"/>
            <w:szCs w:val="18"/>
            <w:u w:val="single" w:color="auto"/>
            <w:color w:val="0000FF"/>
          </w:rPr>
          <w:t>First Amendment to the Nonqualified Deferred Compensation Plan (Incorporated by reference to Exhibit 10.1 to the Company’s Quarterly</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Report for the period ended September 30, 2019 on Form 10-Q (File No. 001-34972))</w:t>
        </w:r>
      </w:hyperlink>
    </w:p>
    <w:p>
      <w:pPr>
        <w:spacing w:after="0" w:line="130" w:lineRule="exact"/>
        <w:rPr>
          <w:sz w:val="20"/>
          <w:szCs w:val="20"/>
          <w:color w:val="auto"/>
        </w:rPr>
      </w:pPr>
    </w:p>
    <w:p>
      <w:pPr>
        <w:jc w:val="both"/>
        <w:ind w:left="905" w:right="16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88">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Corporation (Incorporated by reference to Exhibit 10.39 to the Company’s Annual Report for the year ended March 31, 2017 of Form 10-K</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(File No. 001-34972))</w:t>
        </w:r>
      </w:hyperlink>
    </w:p>
    <w:p>
      <w:pPr>
        <w:spacing w:after="0" w:line="143" w:lineRule="exact"/>
        <w:rPr>
          <w:rFonts w:ascii="Arial" w:cs="Arial" w:eastAsia="Arial" w:hAnsi="Arial"/>
          <w:sz w:val="18"/>
          <w:szCs w:val="18"/>
          <w:u w:val="single" w:color="auto"/>
          <w:color w:val="0000FF"/>
        </w:rPr>
      </w:pPr>
    </w:p>
    <w:p>
      <w:pPr>
        <w:jc w:val="both"/>
        <w:ind w:left="905" w:right="16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89">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Corporation (Incorporated by reference to Exhibit 10.58 to the Company’s Annual Report for the year ended March 31, 2019 of Form 10-K</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(File No. 001-34972))</w:t>
        </w:r>
      </w:hyperlink>
    </w:p>
    <w:p>
      <w:pPr>
        <w:spacing w:after="0" w:line="143" w:lineRule="exact"/>
        <w:rPr>
          <w:rFonts w:ascii="Arial" w:cs="Arial" w:eastAsia="Arial" w:hAnsi="Arial"/>
          <w:sz w:val="18"/>
          <w:szCs w:val="18"/>
          <w:u w:val="single" w:color="auto"/>
          <w:color w:val="0000FF"/>
        </w:rPr>
      </w:pPr>
    </w:p>
    <w:p>
      <w:pPr>
        <w:ind w:left="905" w:right="300" w:hanging="903"/>
        <w:spacing w:after="0" w:line="277"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w:anchor="page149">
        <w:r>
          <w:rPr>
            <w:rFonts w:ascii="Arial" w:cs="Arial" w:eastAsia="Arial" w:hAnsi="Arial"/>
            <w:sz w:val="18"/>
            <w:szCs w:val="18"/>
            <w:u w:val="single" w:color="auto"/>
            <w:color w:val="0000FF"/>
          </w:rPr>
          <w:t>Form of Restricted Stock Unit Agreement under the Third Amended and Restated Equity Incentive Plan of Booz Allen Hamilton Holding</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Corporation*</w:t>
        </w:r>
      </w:hyperlink>
    </w:p>
    <w:p>
      <w:pPr>
        <w:spacing w:after="0" w:line="130" w:lineRule="exact"/>
        <w:rPr>
          <w:sz w:val="20"/>
          <w:szCs w:val="20"/>
          <w:color w:val="auto"/>
        </w:rPr>
      </w:pPr>
    </w:p>
    <w:p>
      <w:pPr>
        <w:ind w:left="905" w:right="18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90">
        <w:r>
          <w:rPr>
            <w:rFonts w:ascii="Arial" w:cs="Arial" w:eastAsia="Arial" w:hAnsi="Arial"/>
            <w:sz w:val="18"/>
            <w:szCs w:val="18"/>
            <w:u w:val="single" w:color="auto"/>
            <w:color w:val="0000FF"/>
          </w:rPr>
          <w:t>Form of Stock Option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Corporation (Incorporated by reference to Exhibit 10.36 to the Company’s Annual Report for the year ended March 31, 2017 of Form 10-K</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(File No. 001-34972))</w:t>
        </w:r>
      </w:hyperlink>
    </w:p>
    <w:p>
      <w:pPr>
        <w:spacing w:after="0" w:line="143" w:lineRule="exact"/>
        <w:rPr>
          <w:rFonts w:ascii="Arial" w:cs="Arial" w:eastAsia="Arial" w:hAnsi="Arial"/>
          <w:sz w:val="18"/>
          <w:szCs w:val="18"/>
          <w:u w:val="single" w:color="auto"/>
          <w:color w:val="0000FF"/>
        </w:rPr>
      </w:pPr>
    </w:p>
    <w:p>
      <w:pPr>
        <w:ind w:left="905" w:right="18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91">
        <w:r>
          <w:rPr>
            <w:rFonts w:ascii="Arial" w:cs="Arial" w:eastAsia="Arial" w:hAnsi="Arial"/>
            <w:sz w:val="18"/>
            <w:szCs w:val="18"/>
            <w:u w:val="single" w:color="auto"/>
            <w:color w:val="0000FF"/>
          </w:rPr>
          <w:t>Form of Stock Option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Corporation (Incorporated by reference to Exhibit 10.59 to the Company’s Annual Report for the year ended March 31, 2019 of Form 10-K</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(File No. 001-34972))</w:t>
        </w:r>
      </w:hyperlink>
    </w:p>
    <w:p>
      <w:pPr>
        <w:spacing w:after="0" w:line="143" w:lineRule="exact"/>
        <w:rPr>
          <w:rFonts w:ascii="Arial" w:cs="Arial" w:eastAsia="Arial" w:hAnsi="Arial"/>
          <w:sz w:val="18"/>
          <w:szCs w:val="18"/>
          <w:u w:val="single" w:color="auto"/>
          <w:color w:val="0000FF"/>
        </w:rPr>
      </w:pPr>
    </w:p>
    <w:p>
      <w:pPr>
        <w:ind w:left="905" w:right="880" w:hanging="903"/>
        <w:spacing w:after="0" w:line="277"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w:anchor="page159">
        <w:r>
          <w:rPr>
            <w:rFonts w:ascii="Arial" w:cs="Arial" w:eastAsia="Arial" w:hAnsi="Arial"/>
            <w:sz w:val="18"/>
            <w:szCs w:val="18"/>
            <w:u w:val="single" w:color="auto"/>
            <w:color w:val="0000FF"/>
          </w:rPr>
          <w:t>Form of Stock Option Agreement under the Third Amended and Restated Equity Incentive Plan of Booz Allen Hamilton Holding</w:t>
        </w:r>
      </w:hyperlink>
      <w:r>
        <w:rPr>
          <w:rFonts w:ascii="Arial" w:cs="Arial" w:eastAsia="Arial" w:hAnsi="Arial"/>
          <w:sz w:val="18"/>
          <w:szCs w:val="18"/>
          <w:u w:val="single" w:color="auto"/>
          <w:color w:val="0000FF"/>
        </w:rPr>
        <w:t xml:space="preserve"> </w:t>
      </w:r>
      <w:hyperlink w:anchor="page159">
        <w:r>
          <w:rPr>
            <w:rFonts w:ascii="Arial" w:cs="Arial" w:eastAsia="Arial" w:hAnsi="Arial"/>
            <w:sz w:val="18"/>
            <w:szCs w:val="18"/>
            <w:u w:val="single" w:color="auto"/>
            <w:color w:val="0000FF"/>
          </w:rPr>
          <w:t>Corporation*</w:t>
        </w:r>
      </w:hyperlink>
    </w:p>
    <w:p>
      <w:pPr>
        <w:spacing w:after="0" w:line="130" w:lineRule="exact"/>
        <w:rPr>
          <w:sz w:val="20"/>
          <w:szCs w:val="20"/>
          <w:color w:val="auto"/>
        </w:rPr>
      </w:pPr>
    </w:p>
    <w:p>
      <w:pPr>
        <w:ind w:left="905" w:right="26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92">
        <w:r>
          <w:rPr>
            <w:rFonts w:ascii="Arial" w:cs="Arial" w:eastAsia="Arial" w:hAnsi="Arial"/>
            <w:sz w:val="18"/>
            <w:szCs w:val="18"/>
            <w:u w:val="single" w:color="auto"/>
            <w:color w:val="0000FF"/>
          </w:rPr>
          <w:t>Form of Performance Restricted Stock Unit Agreement under the Second Amended and Restated Equity Incentive Plan of Booz Allen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Hamilton Holding Corporation (Incorporated by reference to Exhibit 10.37 to the Company’s Annual Report for the year ended March 31,</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2017 on Form 10-K (File No. 001-34972))</w:t>
        </w:r>
      </w:hyperlink>
    </w:p>
    <w:p>
      <w:pPr>
        <w:spacing w:after="0" w:line="143" w:lineRule="exact"/>
        <w:rPr>
          <w:rFonts w:ascii="Arial" w:cs="Arial" w:eastAsia="Arial" w:hAnsi="Arial"/>
          <w:sz w:val="18"/>
          <w:szCs w:val="18"/>
          <w:u w:val="single" w:color="auto"/>
          <w:color w:val="0000FF"/>
        </w:rPr>
      </w:pPr>
    </w:p>
    <w:p>
      <w:pPr>
        <w:ind w:left="905" w:right="26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93">
        <w:r>
          <w:rPr>
            <w:rFonts w:ascii="Arial" w:cs="Arial" w:eastAsia="Arial" w:hAnsi="Arial"/>
            <w:sz w:val="18"/>
            <w:szCs w:val="18"/>
            <w:u w:val="single" w:color="auto"/>
            <w:color w:val="0000FF"/>
          </w:rPr>
          <w:t>Form of Performance Restricted Stock Unit Agreement under the Second Amended and Restated Equity Incentive Plan of Booz Allen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Hamilton Holding Corporation (Incorporated by reference to Exhibit 10.60 to the Company’s Annual Report for the year ended March 31,</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2019 on Form 10-K (File No. 001-34972))</w:t>
        </w:r>
      </w:hyperlink>
    </w:p>
    <w:p>
      <w:pPr>
        <w:spacing w:after="0" w:line="157" w:lineRule="exact"/>
        <w:rPr>
          <w:rFonts w:ascii="Arial" w:cs="Arial" w:eastAsia="Arial" w:hAnsi="Arial"/>
          <w:sz w:val="18"/>
          <w:szCs w:val="18"/>
          <w:u w:val="single" w:color="auto"/>
          <w:color w:val="0000FF"/>
        </w:rPr>
      </w:pPr>
    </w:p>
    <w:p>
      <w:pPr>
        <w:ind w:left="905" w:right="200" w:hanging="903"/>
        <w:spacing w:after="0" w:line="263"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94">
        <w:r>
          <w:rPr>
            <w:rFonts w:ascii="Arial" w:cs="Arial" w:eastAsia="Arial" w:hAnsi="Arial"/>
            <w:sz w:val="18"/>
            <w:szCs w:val="18"/>
            <w:u w:val="single" w:color="auto"/>
            <w:color w:val="0000FF"/>
          </w:rPr>
          <w:t>Form of Restricted Stock Agreement for Directors under the Second Amended and Restated Equity Incentive Plan of Booz Allen Hamilton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Holding Corporation (Incorporated by reference to Exhibit 10.44 to the Company’s Annual Report for the year ended March 31, 2018 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Form 10-K (File No. 001-34972))</w:t>
        </w:r>
      </w:hyperlink>
    </w:p>
    <w:p>
      <w:pPr>
        <w:spacing w:after="0" w:line="157" w:lineRule="exact"/>
        <w:rPr>
          <w:rFonts w:ascii="Arial" w:cs="Arial" w:eastAsia="Arial" w:hAnsi="Arial"/>
          <w:sz w:val="18"/>
          <w:szCs w:val="18"/>
          <w:u w:val="single" w:color="auto"/>
          <w:color w:val="0000FF"/>
        </w:rPr>
      </w:pPr>
    </w:p>
    <w:p>
      <w:pPr>
        <w:ind w:left="905" w:hanging="903"/>
        <w:spacing w:after="0" w:line="277" w:lineRule="auto"/>
        <w:tabs>
          <w:tab w:leader="none" w:pos="885"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95">
        <w:r>
          <w:rPr>
            <w:rFonts w:ascii="Arial" w:cs="Arial" w:eastAsia="Arial" w:hAnsi="Arial"/>
            <w:sz w:val="18"/>
            <w:szCs w:val="18"/>
            <w:u w:val="single" w:color="auto"/>
            <w:color w:val="0000FF"/>
          </w:rPr>
          <w:t>Officer Perquisites Policy (Incorporated by reference to Exhibit 10.45 to the Company’s Annual Report for the year ended March 31, 2018 on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Form 10-K (File No. 001-34972))</w:t>
        </w:r>
      </w:hyperlink>
    </w:p>
    <w:p>
      <w:pPr>
        <w:spacing w:after="0" w:line="130" w:lineRule="exact"/>
        <w:rPr>
          <w:sz w:val="20"/>
          <w:szCs w:val="20"/>
          <w:color w:val="auto"/>
        </w:rPr>
      </w:pPr>
    </w:p>
    <w:p>
      <w:pPr>
        <w:ind w:left="905" w:hanging="905"/>
        <w:spacing w:after="0"/>
        <w:tabs>
          <w:tab w:leader="none" w:pos="905" w:val="left"/>
        </w:tabs>
        <w:numPr>
          <w:ilvl w:val="0"/>
          <w:numId w:val="76"/>
        </w:numPr>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Subsidiaries of the registrant*</w:t>
        </w:r>
      </w:hyperlink>
    </w:p>
    <w:p>
      <w:pPr>
        <w:spacing w:after="0" w:line="185" w:lineRule="exact"/>
        <w:rPr>
          <w:sz w:val="20"/>
          <w:szCs w:val="20"/>
          <w:color w:val="auto"/>
        </w:rPr>
      </w:pPr>
    </w:p>
    <w:p>
      <w:pPr>
        <w:ind w:left="905" w:hanging="905"/>
        <w:spacing w:after="0"/>
        <w:tabs>
          <w:tab w:leader="none" w:pos="905" w:val="left"/>
        </w:tabs>
        <w:numPr>
          <w:ilvl w:val="0"/>
          <w:numId w:val="77"/>
        </w:numPr>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Consent of Independent Registered Public Accounting Firm*</w:t>
        </w:r>
      </w:hyperlink>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31.1</w:t>
            </w:r>
          </w:p>
        </w:tc>
        <w:tc>
          <w:tcPr>
            <w:tcW w:w="10080" w:type="dxa"/>
            <w:vAlign w:val="bottom"/>
            <w:gridSpan w:val="3"/>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Rule 13a-14(a)/15d-14(a) Certification of the Chief Executive Officer*</w:t>
              </w:r>
            </w:hyperlink>
          </w:p>
        </w:tc>
      </w:tr>
      <w:tr>
        <w:trPr>
          <w:trHeight w:val="391"/>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31.2</w:t>
            </w:r>
          </w:p>
        </w:tc>
        <w:tc>
          <w:tcPr>
            <w:tcW w:w="10080" w:type="dxa"/>
            <w:vAlign w:val="bottom"/>
            <w:gridSpan w:val="3"/>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Rule 13a-14(a)/15d-14(a) Certification of the Chief Financial Officer*</w:t>
              </w:r>
            </w:hyperlink>
          </w:p>
        </w:tc>
      </w:tr>
      <w:tr>
        <w:trPr>
          <w:trHeight w:val="351"/>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32.1</w:t>
            </w:r>
          </w:p>
        </w:tc>
        <w:tc>
          <w:tcPr>
            <w:tcW w:w="1008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73">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r>
      <w:tr>
        <w:trPr>
          <w:trHeight w:val="196"/>
        </w:trPr>
        <w:tc>
          <w:tcPr>
            <w:tcW w:w="90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173">
              <w:r>
                <w:rPr>
                  <w:rFonts w:ascii="Arial" w:cs="Arial" w:eastAsia="Arial" w:hAnsi="Arial"/>
                  <w:sz w:val="18"/>
                  <w:szCs w:val="18"/>
                  <w:color w:val="0000FF"/>
                  <w:w w:val="90"/>
                </w:rPr>
                <w:t>United States Code (18 U.S.C. 1350)*</w:t>
              </w:r>
            </w:hyperlink>
          </w:p>
        </w:tc>
        <w:tc>
          <w:tcPr>
            <w:tcW w:w="7320" w:type="dxa"/>
            <w:vAlign w:val="bottom"/>
            <w:gridSpan w:val="2"/>
          </w:tcPr>
          <w:p>
            <w:pPr>
              <w:spacing w:after="0"/>
              <w:rPr>
                <w:sz w:val="17"/>
                <w:szCs w:val="17"/>
                <w:color w:val="auto"/>
              </w:rPr>
            </w:pPr>
          </w:p>
        </w:tc>
      </w:tr>
      <w:tr>
        <w:trPr>
          <w:trHeight w:val="371"/>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32.2</w:t>
            </w:r>
          </w:p>
        </w:tc>
        <w:tc>
          <w:tcPr>
            <w:tcW w:w="10080" w:type="dxa"/>
            <w:vAlign w:val="bottom"/>
            <w:gridSpan w:val="3"/>
          </w:tcPr>
          <w:p>
            <w:pPr>
              <w:spacing w:after="0"/>
              <w:rPr>
                <w:rFonts w:ascii="Arial" w:cs="Arial" w:eastAsia="Arial" w:hAnsi="Arial"/>
                <w:sz w:val="18"/>
                <w:szCs w:val="18"/>
                <w:color w:val="0000FF"/>
                <w:w w:val="92"/>
              </w:rPr>
            </w:pPr>
            <w:hyperlink w:anchor="page174">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r>
      <w:tr>
        <w:trPr>
          <w:trHeight w:val="196"/>
        </w:trPr>
        <w:tc>
          <w:tcPr>
            <w:tcW w:w="900" w:type="dxa"/>
            <w:vAlign w:val="bottom"/>
          </w:tcPr>
          <w:p>
            <w:pPr>
              <w:spacing w:after="0"/>
              <w:rPr>
                <w:sz w:val="17"/>
                <w:szCs w:val="17"/>
                <w:color w:val="auto"/>
              </w:rPr>
            </w:pPr>
          </w:p>
        </w:tc>
        <w:tc>
          <w:tcPr>
            <w:tcW w:w="27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174">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25"/>
          </w:cols>
          <w:pgMar w:left="355" w:top="827" w:right="419" w:bottom="1440" w:gutter="0" w:footer="0" w:header="0"/>
        </w:sectPr>
      </w:pPr>
    </w:p>
    <w:p>
      <w:pPr>
        <w:spacing w:after="0" w:line="177"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5"/>
          </w:cols>
          <w:pgMar w:left="355" w:top="827" w:right="419" w:bottom="1440" w:gutter="0" w:footer="0" w:header="0"/>
          <w:type w:val="continuous"/>
        </w:sectPr>
      </w:pPr>
    </w:p>
    <w:bookmarkStart w:id="121" w:name="page122"/>
    <w:bookmarkEnd w:id="121"/>
    <w:p>
      <w:pPr>
        <w:ind w:left="940" w:hanging="905"/>
        <w:spacing w:after="0" w:line="270"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2020, formatted in Inline XBRL (eXtensible Business Reporting Language): (i) Consolidated Balance Sheets as of March 31, 2020 and 2019; (ii) Consolidated Statements of Operations for the fiscal years ended March 31, 2020, 2019 and 2018; (iii) Consolidated Statements of Comprehensive Income for the fiscal years ended March 31, 2020, 2019 and 2018; (iv) Consolidated Statements of Cash Flows for the fiscal years ended March 31, 2020, 2019 and 2018; (v) Consolidated Statements of Stockholders' Equity for the fiscal years ended March 31, 2020, 2019 and 2018;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Form 10-K Summary.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827" w:right="43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26th day of May, 2020.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16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31750</wp:posOffset>
            </wp:positionV>
            <wp:extent cx="216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Horacio D. Rozanski</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President and Chief Executive Officer</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ind w:left="1780"/>
              <w:spacing w:after="0"/>
              <w:rPr>
                <w:sz w:val="20"/>
                <w:szCs w:val="20"/>
                <w:color w:val="auto"/>
              </w:rPr>
            </w:pPr>
            <w:r>
              <w:rPr>
                <w:rFonts w:ascii="Arial" w:cs="Arial" w:eastAsia="Arial" w:hAnsi="Arial"/>
                <w:sz w:val="14"/>
                <w:szCs w:val="14"/>
                <w:b w:val="1"/>
                <w:bCs w:val="1"/>
                <w:color w:val="auto"/>
              </w:rPr>
              <w:t>Signature</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tcPr>
          <w:p>
            <w:pPr>
              <w:jc w:val="center"/>
              <w:ind w:left="4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65"/>
        </w:trPr>
        <w:tc>
          <w:tcPr>
            <w:tcW w:w="4160" w:type="dxa"/>
            <w:vAlign w:val="bottom"/>
          </w:tcPr>
          <w:p>
            <w:pPr>
              <w:ind w:left="40"/>
              <w:spacing w:after="0"/>
              <w:rPr>
                <w:sz w:val="20"/>
                <w:szCs w:val="20"/>
                <w:color w:val="auto"/>
              </w:rPr>
            </w:pPr>
            <w:r>
              <w:rPr>
                <w:rFonts w:ascii="Arial" w:cs="Arial" w:eastAsia="Arial" w:hAnsi="Arial"/>
                <w:sz w:val="18"/>
                <w:szCs w:val="18"/>
                <w:color w:val="auto"/>
              </w:rPr>
              <w:t>/s/ Horacio D. Rozanski</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41"/>
        </w:trPr>
        <w:tc>
          <w:tcPr>
            <w:tcW w:w="4160" w:type="dxa"/>
            <w:vAlign w:val="bottom"/>
            <w:tcBorders>
              <w:bottom w:val="single" w:sz="8" w:color="auto"/>
            </w:tcBorders>
          </w:tcPr>
          <w:p>
            <w:pPr>
              <w:spacing w:after="0"/>
              <w:rPr>
                <w:sz w:val="3"/>
                <w:szCs w:val="3"/>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Horacio D. Rozanski</w:t>
            </w:r>
          </w:p>
        </w:tc>
        <w:tc>
          <w:tcPr>
            <w:tcW w:w="502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60" w:type="dxa"/>
            <w:vAlign w:val="bottom"/>
            <w:vMerge w:val="continue"/>
          </w:tcPr>
          <w:p>
            <w:pPr>
              <w:spacing w:after="0"/>
              <w:rPr>
                <w:sz w:val="5"/>
                <w:szCs w:val="5"/>
                <w:color w:val="auto"/>
              </w:rPr>
            </w:pPr>
          </w:p>
        </w:tc>
        <w:tc>
          <w:tcPr>
            <w:tcW w:w="5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160" w:type="dxa"/>
            <w:vAlign w:val="bottom"/>
          </w:tcPr>
          <w:p>
            <w:pPr>
              <w:ind w:left="40"/>
              <w:spacing w:after="0"/>
              <w:rPr>
                <w:sz w:val="20"/>
                <w:szCs w:val="20"/>
                <w:color w:val="auto"/>
              </w:rPr>
            </w:pPr>
            <w:r>
              <w:rPr>
                <w:rFonts w:ascii="Arial" w:cs="Arial" w:eastAsia="Arial" w:hAnsi="Arial"/>
                <w:sz w:val="18"/>
                <w:szCs w:val="18"/>
                <w:color w:val="auto"/>
              </w:rPr>
              <w:t>/s/ Lloyd W. Howell, Jr.</w:t>
            </w: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and</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41"/>
        </w:trPr>
        <w:tc>
          <w:tcPr>
            <w:tcW w:w="4160" w:type="dxa"/>
            <w:vAlign w:val="bottom"/>
            <w:tcBorders>
              <w:bottom w:val="single" w:sz="8" w:color="auto"/>
            </w:tcBorders>
          </w:tcPr>
          <w:p>
            <w:pPr>
              <w:spacing w:after="0"/>
              <w:rPr>
                <w:sz w:val="3"/>
                <w:szCs w:val="3"/>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2"/>
              </w:rPr>
              <w:t>Treasurer (Principal Financial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Lloyd W. Howell, Jr.</w:t>
            </w:r>
          </w:p>
        </w:tc>
        <w:tc>
          <w:tcPr>
            <w:tcW w:w="502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60" w:type="dxa"/>
            <w:vAlign w:val="bottom"/>
            <w:vMerge w:val="continue"/>
          </w:tcPr>
          <w:p>
            <w:pPr>
              <w:spacing w:after="0"/>
              <w:rPr>
                <w:sz w:val="5"/>
                <w:szCs w:val="5"/>
                <w:color w:val="auto"/>
              </w:rPr>
            </w:pPr>
          </w:p>
        </w:tc>
        <w:tc>
          <w:tcPr>
            <w:tcW w:w="5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160" w:type="dxa"/>
            <w:vAlign w:val="bottom"/>
          </w:tcPr>
          <w:p>
            <w:pPr>
              <w:ind w:left="40"/>
              <w:spacing w:after="0"/>
              <w:rPr>
                <w:sz w:val="20"/>
                <w:szCs w:val="20"/>
                <w:color w:val="auto"/>
              </w:rPr>
            </w:pPr>
            <w:r>
              <w:rPr>
                <w:rFonts w:ascii="Arial" w:cs="Arial" w:eastAsia="Arial" w:hAnsi="Arial"/>
                <w:sz w:val="18"/>
                <w:szCs w:val="18"/>
                <w:color w:val="auto"/>
              </w:rPr>
              <w:t>/s/ Laura S. Adams</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 and Chief</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41"/>
        </w:trPr>
        <w:tc>
          <w:tcPr>
            <w:tcW w:w="4160" w:type="dxa"/>
            <w:vAlign w:val="bottom"/>
            <w:tcBorders>
              <w:bottom w:val="single" w:sz="8" w:color="auto"/>
            </w:tcBorders>
          </w:tcPr>
          <w:p>
            <w:pPr>
              <w:spacing w:after="0"/>
              <w:rPr>
                <w:sz w:val="3"/>
                <w:szCs w:val="3"/>
                <w:color w:val="auto"/>
              </w:rPr>
            </w:pP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 (Principal Accounting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Laura S. Adams</w:t>
            </w:r>
          </w:p>
        </w:tc>
        <w:tc>
          <w:tcPr>
            <w:tcW w:w="502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60" w:type="dxa"/>
            <w:vAlign w:val="bottom"/>
            <w:vMerge w:val="continue"/>
          </w:tcPr>
          <w:p>
            <w:pPr>
              <w:spacing w:after="0"/>
              <w:rPr>
                <w:sz w:val="5"/>
                <w:szCs w:val="5"/>
                <w:color w:val="auto"/>
              </w:rPr>
            </w:pPr>
          </w:p>
        </w:tc>
        <w:tc>
          <w:tcPr>
            <w:tcW w:w="5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Ralph W. Shrader</w:t>
            </w:r>
          </w:p>
        </w:tc>
        <w:tc>
          <w:tcPr>
            <w:tcW w:w="5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Joan Lordi C. Amble</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16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Melody C. Barnes</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Melody C. Barnes</w:t>
            </w:r>
          </w:p>
        </w:tc>
        <w:tc>
          <w:tcPr>
            <w:tcW w:w="5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16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160" w:type="dxa"/>
            <w:vAlign w:val="bottom"/>
          </w:tcPr>
          <w:p>
            <w:pPr>
              <w:ind w:left="40"/>
              <w:spacing w:after="0"/>
              <w:rPr>
                <w:sz w:val="20"/>
                <w:szCs w:val="20"/>
                <w:color w:val="auto"/>
              </w:rPr>
            </w:pPr>
            <w:r>
              <w:rPr>
                <w:rFonts w:ascii="Arial" w:cs="Arial" w:eastAsia="Arial" w:hAnsi="Arial"/>
                <w:sz w:val="18"/>
                <w:szCs w:val="18"/>
                <w:color w:val="auto"/>
              </w:rPr>
              <w:t>/s/ Michèle A. Flournoy</w:t>
            </w: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26, 2020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Michèle A. Flournoy</w:t>
            </w:r>
          </w:p>
        </w:tc>
        <w:tc>
          <w:tcPr>
            <w:tcW w:w="5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6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00"/>
          </w:cols>
          <w:pgMar w:left="320" w:top="661" w:right="37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Mark E. Gaumond</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Mark E. Gaumond</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99"/>
        </w:trPr>
        <w:tc>
          <w:tcPr>
            <w:tcW w:w="4160" w:type="dxa"/>
            <w:vAlign w:val="bottom"/>
          </w:tcPr>
          <w:p>
            <w:pPr>
              <w:ind w:left="40"/>
              <w:spacing w:after="0"/>
              <w:rPr>
                <w:sz w:val="20"/>
                <w:szCs w:val="20"/>
                <w:color w:val="auto"/>
              </w:rPr>
            </w:pPr>
            <w:r>
              <w:rPr>
                <w:rFonts w:ascii="Arial" w:cs="Arial" w:eastAsia="Arial" w:hAnsi="Arial"/>
                <w:sz w:val="18"/>
                <w:szCs w:val="18"/>
                <w:color w:val="auto"/>
              </w:rPr>
              <w:t>/s/ Ellen Jewett</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Ellen Jewett</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99"/>
        </w:trPr>
        <w:tc>
          <w:tcPr>
            <w:tcW w:w="4160" w:type="dxa"/>
            <w:vAlign w:val="bottom"/>
          </w:tcPr>
          <w:p>
            <w:pPr>
              <w:ind w:left="40"/>
              <w:spacing w:after="0"/>
              <w:rPr>
                <w:sz w:val="20"/>
                <w:szCs w:val="20"/>
                <w:color w:val="auto"/>
              </w:rPr>
            </w:pPr>
            <w:r>
              <w:rPr>
                <w:rFonts w:ascii="Arial" w:cs="Arial" w:eastAsia="Arial" w:hAnsi="Arial"/>
                <w:sz w:val="18"/>
                <w:szCs w:val="18"/>
                <w:color w:val="auto"/>
              </w:rPr>
              <w:t>/s/ Gretchen W. McClain</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Gretchen W. McClain</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00"/>
        </w:trPr>
        <w:tc>
          <w:tcPr>
            <w:tcW w:w="416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420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380"/>
              <w:spacing w:after="0"/>
              <w:rPr>
                <w:sz w:val="20"/>
                <w:szCs w:val="20"/>
                <w:color w:val="auto"/>
              </w:rPr>
            </w:pPr>
            <w:r>
              <w:rPr>
                <w:rFonts w:ascii="Arial" w:cs="Arial" w:eastAsia="Arial" w:hAnsi="Arial"/>
                <w:sz w:val="18"/>
                <w:szCs w:val="18"/>
                <w:color w:val="auto"/>
                <w:w w:val="89"/>
              </w:rPr>
              <w:t>May 26, 2020</w:t>
            </w:r>
          </w:p>
        </w:tc>
      </w:tr>
      <w:tr>
        <w:trPr>
          <w:trHeight w:val="27"/>
        </w:trPr>
        <w:tc>
          <w:tcPr>
            <w:tcW w:w="416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42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675"/>
        </w:trPr>
        <w:tc>
          <w:tcPr>
            <w:tcW w:w="4160" w:type="dxa"/>
            <w:vAlign w:val="bottom"/>
          </w:tcPr>
          <w:p>
            <w:pPr>
              <w:spacing w:after="0"/>
              <w:rPr>
                <w:sz w:val="24"/>
                <w:szCs w:val="24"/>
                <w:color w:val="auto"/>
              </w:rPr>
            </w:pPr>
          </w:p>
        </w:tc>
        <w:tc>
          <w:tcPr>
            <w:tcW w:w="4200" w:type="dxa"/>
            <w:vAlign w:val="bottom"/>
          </w:tcPr>
          <w:p>
            <w:pPr>
              <w:ind w:left="1380"/>
              <w:spacing w:after="0"/>
              <w:rPr>
                <w:sz w:val="20"/>
                <w:szCs w:val="20"/>
                <w:color w:val="auto"/>
              </w:rPr>
            </w:pPr>
            <w:r>
              <w:rPr>
                <w:rFonts w:ascii="Arial" w:cs="Arial" w:eastAsia="Arial" w:hAnsi="Arial"/>
                <w:sz w:val="18"/>
                <w:szCs w:val="18"/>
                <w:color w:val="auto"/>
              </w:rPr>
              <w:t>76</w:t>
            </w:r>
          </w:p>
        </w:tc>
        <w:tc>
          <w:tcPr>
            <w:tcW w:w="2380" w:type="dxa"/>
            <w:vAlign w:val="bottom"/>
          </w:tcPr>
          <w:p>
            <w:pPr>
              <w:spacing w:after="0"/>
              <w:rPr>
                <w:sz w:val="24"/>
                <w:szCs w:val="24"/>
                <w:color w:val="auto"/>
              </w:rPr>
            </w:pPr>
          </w:p>
        </w:tc>
      </w:tr>
    </w:tbl>
    <w:p>
      <w:pPr>
        <w:sectPr>
          <w:pgSz w:w="11900" w:h="16838" w:orient="portrait"/>
          <w:cols w:equalWidth="0" w:num="1">
            <w:col w:w="10740"/>
          </w:cols>
          <w:pgMar w:left="320" w:top="989" w:right="8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10.10</w:t>
      </w:r>
    </w:p>
    <w:p>
      <w:pPr>
        <w:spacing w:after="0" w:line="241" w:lineRule="exact"/>
        <w:rPr>
          <w:sz w:val="20"/>
          <w:szCs w:val="20"/>
          <w:color w:val="auto"/>
        </w:rPr>
      </w:pPr>
    </w:p>
    <w:p>
      <w:pPr>
        <w:ind w:left="4900"/>
        <w:spacing w:after="0"/>
        <w:rPr>
          <w:sz w:val="20"/>
          <w:szCs w:val="20"/>
          <w:color w:val="auto"/>
        </w:rPr>
      </w:pPr>
      <w:r>
        <w:rPr>
          <w:rFonts w:ascii="Arial" w:cs="Arial" w:eastAsia="Arial" w:hAnsi="Arial"/>
          <w:sz w:val="22"/>
          <w:szCs w:val="22"/>
          <w:b w:val="1"/>
          <w:bCs w:val="1"/>
          <w:i w:val="1"/>
          <w:iCs w:val="1"/>
          <w:color w:val="383836"/>
        </w:rPr>
        <w:t xml:space="preserve">Group Personal </w:t>
      </w:r>
      <w:r>
        <w:rPr>
          <w:rFonts w:ascii="Arial" w:cs="Arial" w:eastAsia="Arial" w:hAnsi="Arial"/>
          <w:sz w:val="22"/>
          <w:szCs w:val="22"/>
          <w:b w:val="1"/>
          <w:bCs w:val="1"/>
          <w:color w:val="383836"/>
        </w:rPr>
        <w:t>Excess</w:t>
      </w:r>
      <w:r>
        <w:rPr>
          <w:rFonts w:ascii="Arial" w:cs="Arial" w:eastAsia="Arial" w:hAnsi="Arial"/>
          <w:sz w:val="22"/>
          <w:szCs w:val="22"/>
          <w:b w:val="1"/>
          <w:bCs w:val="1"/>
          <w:i w:val="1"/>
          <w:iCs w:val="1"/>
          <w:color w:val="383836"/>
        </w:rPr>
        <w:t xml:space="preserve">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8013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7">
                      <a:extLst>
                        <a:ext uri="{28A0092B-C50C-407E-A947-70E740481C1C}"/>
                      </a:extLst>
                    </a:blip>
                    <a:srcRect/>
                    <a:stretch>
                      <a:fillRect/>
                    </a:stretch>
                  </pic:blipFill>
                  <pic:spPr bwMode="auto">
                    <a:xfrm>
                      <a:off x="0" y="0"/>
                      <a:ext cx="1080135" cy="137160"/>
                    </a:xfrm>
                    <a:prstGeom prst="rect">
                      <a:avLst/>
                    </a:prstGeom>
                    <a:noFill/>
                  </pic:spPr>
                </pic:pic>
              </a:graphicData>
            </a:graphic>
          </wp:anchor>
        </w:drawing>
      </w:r>
    </w:p>
    <w:p>
      <w:pPr>
        <w:spacing w:after="0" w:line="345"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83836"/>
        </w:rPr>
        <w:t>Coverage Summary</w:t>
      </w:r>
    </w:p>
    <w:p>
      <w:pPr>
        <w:spacing w:after="0" w:line="200" w:lineRule="exact"/>
        <w:rPr>
          <w:sz w:val="20"/>
          <w:szCs w:val="20"/>
          <w:color w:val="auto"/>
        </w:rPr>
      </w:pPr>
    </w:p>
    <w:p>
      <w:pPr>
        <w:spacing w:after="0" w:line="215"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383836"/>
        </w:rPr>
        <w:t>Chubb Group of Insurance Companies</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383836"/>
        </w:rPr>
        <w:t>PO BOX 1600,</w:t>
      </w:r>
    </w:p>
    <w:p>
      <w:pPr>
        <w:ind w:left="6320"/>
        <w:spacing w:after="0"/>
        <w:rPr>
          <w:sz w:val="20"/>
          <w:szCs w:val="20"/>
          <w:color w:val="auto"/>
        </w:rPr>
      </w:pPr>
      <w:r>
        <w:rPr>
          <w:rFonts w:ascii="Arial" w:cs="Arial" w:eastAsia="Arial" w:hAnsi="Arial"/>
          <w:sz w:val="17"/>
          <w:szCs w:val="17"/>
          <w:b w:val="1"/>
          <w:bCs w:val="1"/>
          <w:i w:val="1"/>
          <w:iCs w:val="1"/>
          <w:color w:val="383836"/>
        </w:rPr>
        <w:t>Whitehouse Station, NJ 08889-1600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383836"/>
        </w:rPr>
        <w:t xml:space="preserve">Name </w:t>
      </w:r>
      <w:r>
        <w:rPr>
          <w:rFonts w:ascii="Arial" w:cs="Arial" w:eastAsia="Arial" w:hAnsi="Arial"/>
          <w:sz w:val="17"/>
          <w:szCs w:val="17"/>
          <w:i w:val="1"/>
          <w:iCs w:val="1"/>
          <w:color w:val="4B4B49"/>
        </w:rPr>
        <w:t>and address of Insured</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Booz Allen Hamilton Inc.</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 xml:space="preserve">Group Personal Excess </w:t>
      </w:r>
      <w:r>
        <w:rPr>
          <w:rFonts w:ascii="Arial" w:cs="Arial" w:eastAsia="Arial" w:hAnsi="Arial"/>
          <w:sz w:val="17"/>
          <w:szCs w:val="17"/>
          <w:color w:val="4B4B49"/>
        </w:rPr>
        <w:t>Program</w:t>
      </w:r>
    </w:p>
    <w:p>
      <w:pPr>
        <w:spacing w:after="0" w:line="102" w:lineRule="exact"/>
        <w:rPr>
          <w:sz w:val="20"/>
          <w:szCs w:val="20"/>
          <w:color w:val="auto"/>
        </w:rPr>
      </w:pPr>
    </w:p>
    <w:p>
      <w:pPr>
        <w:ind w:left="660" w:right="1500"/>
        <w:spacing w:after="0" w:line="243" w:lineRule="auto"/>
        <w:rPr>
          <w:sz w:val="20"/>
          <w:szCs w:val="20"/>
          <w:color w:val="auto"/>
        </w:rPr>
      </w:pPr>
      <w:r>
        <w:rPr>
          <w:rFonts w:ascii="Arial" w:cs="Arial" w:eastAsia="Arial" w:hAnsi="Arial"/>
          <w:sz w:val="17"/>
          <w:szCs w:val="17"/>
          <w:color w:val="383836"/>
        </w:rPr>
        <w:t xml:space="preserve">GREENSBORO DRIVE </w:t>
      </w:r>
      <w:r>
        <w:rPr>
          <w:rFonts w:ascii="Arial" w:cs="Arial" w:eastAsia="Arial" w:hAnsi="Arial"/>
          <w:sz w:val="17"/>
          <w:szCs w:val="17"/>
          <w:color w:val="4B4B49"/>
        </w:rPr>
        <w:t>MC</w:t>
      </w:r>
      <w:r>
        <w:rPr>
          <w:rFonts w:ascii="Arial" w:cs="Arial" w:eastAsia="Arial" w:hAnsi="Arial"/>
          <w:sz w:val="17"/>
          <w:szCs w:val="17"/>
          <w:color w:val="383836"/>
        </w:rPr>
        <w:t>LEAN</w:t>
      </w:r>
      <w:r>
        <w:rPr>
          <w:rFonts w:ascii="Arial" w:cs="Arial" w:eastAsia="Arial" w:hAnsi="Arial"/>
          <w:sz w:val="17"/>
          <w:szCs w:val="17"/>
          <w:color w:val="626260"/>
        </w:rPr>
        <w:t>,</w:t>
      </w:r>
      <w:r>
        <w:rPr>
          <w:rFonts w:ascii="Arial" w:cs="Arial" w:eastAsia="Arial" w:hAnsi="Arial"/>
          <w:sz w:val="17"/>
          <w:szCs w:val="17"/>
          <w:color w:val="383836"/>
        </w:rPr>
        <w:t xml:space="preserve"> VIRGINIA </w:t>
      </w:r>
      <w:r>
        <w:rPr>
          <w:rFonts w:ascii="Arial" w:cs="Arial" w:eastAsia="Arial" w:hAnsi="Arial"/>
          <w:sz w:val="17"/>
          <w:szCs w:val="17"/>
          <w:color w:val="4B4B49"/>
        </w:rPr>
        <w:t>22102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383836"/>
        </w:rPr>
        <w:t>Policy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60"/>
        <w:spacing w:after="0" w:line="265" w:lineRule="auto"/>
        <w:rPr>
          <w:sz w:val="20"/>
          <w:szCs w:val="20"/>
          <w:color w:val="auto"/>
        </w:rPr>
      </w:pPr>
      <w:r>
        <w:rPr>
          <w:rFonts w:ascii="Arial" w:cs="Arial" w:eastAsia="Arial" w:hAnsi="Arial"/>
          <w:sz w:val="17"/>
          <w:szCs w:val="17"/>
          <w:i w:val="1"/>
          <w:iCs w:val="1"/>
          <w:color w:val="4B4B49"/>
        </w:rPr>
        <w:t xml:space="preserve">Issued by </w:t>
      </w:r>
      <w:r>
        <w:rPr>
          <w:rFonts w:ascii="Arial" w:cs="Arial" w:eastAsia="Arial" w:hAnsi="Arial"/>
          <w:sz w:val="17"/>
          <w:szCs w:val="17"/>
          <w:i w:val="1"/>
          <w:iCs w:val="1"/>
          <w:color w:val="383836"/>
        </w:rPr>
        <w:t>the</w:t>
      </w:r>
      <w:r>
        <w:rPr>
          <w:rFonts w:ascii="Arial" w:cs="Arial" w:eastAsia="Arial" w:hAnsi="Arial"/>
          <w:sz w:val="17"/>
          <w:szCs w:val="17"/>
          <w:i w:val="1"/>
          <w:iCs w:val="1"/>
          <w:color w:val="4B4B49"/>
        </w:rPr>
        <w:t xml:space="preserve"> stock </w:t>
      </w:r>
      <w:r>
        <w:rPr>
          <w:rFonts w:ascii="Arial" w:cs="Arial" w:eastAsia="Arial" w:hAnsi="Arial"/>
          <w:sz w:val="17"/>
          <w:szCs w:val="17"/>
          <w:i w:val="1"/>
          <w:iCs w:val="1"/>
          <w:color w:val="626260"/>
        </w:rPr>
        <w:t>insurance</w:t>
      </w:r>
      <w:r>
        <w:rPr>
          <w:rFonts w:ascii="Arial" w:cs="Arial" w:eastAsia="Arial" w:hAnsi="Arial"/>
          <w:sz w:val="17"/>
          <w:szCs w:val="17"/>
          <w:i w:val="1"/>
          <w:iCs w:val="1"/>
          <w:color w:val="4B4B49"/>
        </w:rPr>
        <w:t xml:space="preserve"> company </w:t>
      </w:r>
      <w:r>
        <w:rPr>
          <w:rFonts w:ascii="Arial" w:cs="Arial" w:eastAsia="Arial" w:hAnsi="Arial"/>
          <w:sz w:val="17"/>
          <w:szCs w:val="17"/>
          <w:i w:val="1"/>
          <w:iCs w:val="1"/>
          <w:color w:val="626260"/>
        </w:rPr>
        <w:t>indicated</w:t>
      </w:r>
      <w:r>
        <w:rPr>
          <w:rFonts w:ascii="Arial" w:cs="Arial" w:eastAsia="Arial" w:hAnsi="Arial"/>
          <w:sz w:val="17"/>
          <w:szCs w:val="17"/>
          <w:i w:val="1"/>
          <w:iCs w:val="1"/>
          <w:color w:val="4B4B49"/>
        </w:rPr>
        <w:t xml:space="preserve"> below</w:t>
      </w:r>
      <w:r>
        <w:rPr>
          <w:rFonts w:ascii="Arial" w:cs="Arial" w:eastAsia="Arial" w:hAnsi="Arial"/>
          <w:sz w:val="17"/>
          <w:szCs w:val="17"/>
          <w:i w:val="1"/>
          <w:iCs w:val="1"/>
          <w:color w:val="777575"/>
        </w:rPr>
        <w:t>,</w:t>
      </w:r>
      <w:r>
        <w:rPr>
          <w:rFonts w:ascii="Arial" w:cs="Arial" w:eastAsia="Arial" w:hAnsi="Arial"/>
          <w:sz w:val="17"/>
          <w:szCs w:val="17"/>
          <w:i w:val="1"/>
          <w:iCs w:val="1"/>
          <w:color w:val="4B4B49"/>
        </w:rPr>
        <w:t xml:space="preserve"> herein called the company.</w:t>
      </w:r>
    </w:p>
    <w:p>
      <w:pPr>
        <w:spacing w:after="0" w:line="228" w:lineRule="exact"/>
        <w:rPr>
          <w:sz w:val="20"/>
          <w:szCs w:val="20"/>
          <w:color w:val="auto"/>
        </w:rPr>
      </w:pPr>
    </w:p>
    <w:p>
      <w:pPr>
        <w:jc w:val="center"/>
        <w:ind w:right="2140"/>
        <w:spacing w:after="0"/>
        <w:rPr>
          <w:sz w:val="20"/>
          <w:szCs w:val="20"/>
          <w:color w:val="auto"/>
        </w:rPr>
      </w:pPr>
      <w:r>
        <w:rPr>
          <w:rFonts w:ascii="Arial" w:cs="Arial" w:eastAsia="Arial" w:hAnsi="Arial"/>
          <w:sz w:val="17"/>
          <w:szCs w:val="17"/>
          <w:b w:val="1"/>
          <w:bCs w:val="1"/>
          <w:color w:val="383836"/>
        </w:rPr>
        <w:t>FEDERAL INSURANCE COMPANY</w:t>
      </w:r>
    </w:p>
    <w:p>
      <w:pPr>
        <w:spacing w:after="0" w:line="200"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106" w:lineRule="exact"/>
        <w:rPr>
          <w:sz w:val="20"/>
          <w:szCs w:val="20"/>
          <w:color w:val="auto"/>
        </w:rPr>
      </w:pPr>
    </w:p>
    <w:p>
      <w:pPr>
        <w:ind w:left="660"/>
        <w:spacing w:after="0"/>
        <w:tabs>
          <w:tab w:leader="none" w:pos="6300" w:val="left"/>
        </w:tabs>
        <w:rPr>
          <w:sz w:val="20"/>
          <w:szCs w:val="20"/>
          <w:color w:val="auto"/>
        </w:rPr>
      </w:pPr>
      <w:r>
        <w:rPr>
          <w:rFonts w:ascii="Arial" w:cs="Arial" w:eastAsia="Arial" w:hAnsi="Arial"/>
          <w:sz w:val="17"/>
          <w:szCs w:val="17"/>
          <w:i w:val="1"/>
          <w:iCs w:val="1"/>
          <w:color w:val="383836"/>
        </w:rPr>
        <w:t xml:space="preserve">Producer No.: </w:t>
      </w:r>
      <w:r>
        <w:rPr>
          <w:rFonts w:ascii="Arial" w:cs="Arial" w:eastAsia="Arial" w:hAnsi="Arial"/>
          <w:sz w:val="17"/>
          <w:szCs w:val="17"/>
          <w:color w:val="4B4B49"/>
        </w:rPr>
        <w:t>0017811</w:t>
      </w:r>
      <w:r>
        <w:rPr>
          <w:sz w:val="20"/>
          <w:szCs w:val="20"/>
          <w:color w:val="auto"/>
        </w:rPr>
        <w:tab/>
      </w:r>
      <w:r>
        <w:rPr>
          <w:rFonts w:ascii="Arial" w:cs="Arial" w:eastAsia="Arial" w:hAnsi="Arial"/>
          <w:sz w:val="17"/>
          <w:szCs w:val="17"/>
          <w:i w:val="1"/>
          <w:iCs w:val="1"/>
          <w:color w:val="4B4B49"/>
        </w:rPr>
        <w:t>Incorporated under the laws of INDIANA</w:t>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4B4B49"/>
        </w:rPr>
        <w:t xml:space="preserve">Sponsoring Organization </w:t>
      </w:r>
      <w:r>
        <w:rPr>
          <w:rFonts w:ascii="Arial" w:cs="Arial" w:eastAsia="Arial" w:hAnsi="Arial"/>
          <w:sz w:val="17"/>
          <w:szCs w:val="17"/>
          <w:i w:val="1"/>
          <w:iCs w:val="1"/>
          <w:color w:val="383836"/>
        </w:rPr>
        <w:t>and</w:t>
      </w:r>
      <w:r>
        <w:rPr>
          <w:rFonts w:ascii="Arial" w:cs="Arial" w:eastAsia="Arial" w:hAnsi="Arial"/>
          <w:sz w:val="17"/>
          <w:szCs w:val="17"/>
          <w:i w:val="1"/>
          <w:iCs w:val="1"/>
          <w:color w:val="4B4B49"/>
        </w:rPr>
        <w:t xml:space="preserve"> Address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Booz Allen Hamilton Inc.</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8283 Greensboro Dr.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7"/>
          <w:szCs w:val="17"/>
          <w:color w:val="4B4B49"/>
        </w:rPr>
        <w:t xml:space="preserve">McLean, </w:t>
      </w:r>
      <w:r>
        <w:rPr>
          <w:rFonts w:ascii="Arial" w:cs="Arial" w:eastAsia="Arial" w:hAnsi="Arial"/>
          <w:sz w:val="17"/>
          <w:szCs w:val="17"/>
          <w:color w:val="383836"/>
        </w:rPr>
        <w:t>VA</w:t>
      </w:r>
      <w:r>
        <w:rPr>
          <w:rFonts w:ascii="Arial" w:cs="Arial" w:eastAsia="Arial" w:hAnsi="Arial"/>
          <w:sz w:val="17"/>
          <w:szCs w:val="17"/>
          <w:color w:val="4B4B49"/>
        </w:rPr>
        <w:t xml:space="preserve">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Policy Period</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 xml:space="preserve">From: JANUARY </w:t>
      </w:r>
      <w:r>
        <w:rPr>
          <w:rFonts w:ascii="Arial" w:cs="Arial" w:eastAsia="Arial" w:hAnsi="Arial"/>
          <w:sz w:val="17"/>
          <w:szCs w:val="17"/>
          <w:color w:val="4B4B49"/>
        </w:rPr>
        <w:t>01, 2020</w:t>
      </w:r>
      <w:r>
        <w:rPr>
          <w:rFonts w:ascii="Arial" w:cs="Arial" w:eastAsia="Arial" w:hAnsi="Arial"/>
          <w:sz w:val="17"/>
          <w:szCs w:val="17"/>
          <w:color w:val="383836"/>
        </w:rPr>
        <w:t xml:space="preserve"> To: JANUARY </w:t>
      </w:r>
      <w:r>
        <w:rPr>
          <w:rFonts w:ascii="Arial" w:cs="Arial" w:eastAsia="Arial" w:hAnsi="Arial"/>
          <w:sz w:val="17"/>
          <w:szCs w:val="17"/>
          <w:color w:val="4B4B49"/>
        </w:rPr>
        <w:t>01, 2021</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12:01 A.M</w:t>
      </w:r>
      <w:r>
        <w:rPr>
          <w:rFonts w:ascii="Arial" w:cs="Arial" w:eastAsia="Arial" w:hAnsi="Arial"/>
          <w:sz w:val="17"/>
          <w:szCs w:val="17"/>
          <w:color w:val="1F1F1F"/>
        </w:rPr>
        <w:t>.</w:t>
      </w:r>
      <w:r>
        <w:rPr>
          <w:rFonts w:ascii="Arial" w:cs="Arial" w:eastAsia="Arial" w:hAnsi="Arial"/>
          <w:sz w:val="17"/>
          <w:szCs w:val="17"/>
          <w:color w:val="383836"/>
        </w:rPr>
        <w:t xml:space="preserve"> Standard Time at the Named </w:t>
      </w:r>
      <w:r>
        <w:rPr>
          <w:rFonts w:ascii="Arial" w:cs="Arial" w:eastAsia="Arial" w:hAnsi="Arial"/>
          <w:sz w:val="17"/>
          <w:szCs w:val="17"/>
          <w:color w:val="1F1F1F"/>
        </w:rPr>
        <w:t>l</w:t>
      </w:r>
      <w:r>
        <w:rPr>
          <w:rFonts w:ascii="Arial" w:cs="Arial" w:eastAsia="Arial" w:hAnsi="Arial"/>
          <w:sz w:val="17"/>
          <w:szCs w:val="17"/>
          <w:color w:val="383836"/>
        </w:rPr>
        <w:t>nsured's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Premium</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Amount</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7"/>
          <w:szCs w:val="17"/>
          <w:color w:val="4B4B49"/>
        </w:rPr>
        <w:t>$206,134.00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Limit Of Liability</w:t>
      </w:r>
    </w:p>
    <w:p>
      <w:pPr>
        <w:spacing w:after="0" w:line="210" w:lineRule="exact"/>
        <w:rPr>
          <w:sz w:val="20"/>
          <w:szCs w:val="20"/>
          <w:color w:val="auto"/>
        </w:rPr>
      </w:pPr>
    </w:p>
    <w:p>
      <w:pPr>
        <w:ind w:left="300"/>
        <w:spacing w:after="0"/>
        <w:tabs>
          <w:tab w:leader="none" w:pos="2440" w:val="left"/>
        </w:tabs>
        <w:rPr>
          <w:sz w:val="20"/>
          <w:szCs w:val="20"/>
          <w:color w:val="auto"/>
        </w:rPr>
      </w:pPr>
      <w:r>
        <w:rPr>
          <w:rFonts w:ascii="Arial" w:cs="Arial" w:eastAsia="Arial" w:hAnsi="Arial"/>
          <w:sz w:val="17"/>
          <w:szCs w:val="17"/>
          <w:color w:val="4B4B49"/>
        </w:rPr>
        <w:t xml:space="preserve">SEE </w:t>
      </w:r>
      <w:r>
        <w:rPr>
          <w:rFonts w:ascii="Arial" w:cs="Arial" w:eastAsia="Arial" w:hAnsi="Arial"/>
          <w:sz w:val="17"/>
          <w:szCs w:val="17"/>
          <w:color w:val="383836"/>
        </w:rPr>
        <w:t>ENDT</w:t>
      </w:r>
      <w:r>
        <w:rPr>
          <w:sz w:val="20"/>
          <w:szCs w:val="20"/>
          <w:color w:val="auto"/>
        </w:rPr>
        <w:tab/>
      </w:r>
      <w:r>
        <w:rPr>
          <w:rFonts w:ascii="Arial" w:cs="Arial" w:eastAsia="Arial" w:hAnsi="Arial"/>
          <w:sz w:val="17"/>
          <w:szCs w:val="17"/>
          <w:color w:val="383836"/>
        </w:rPr>
        <w:t xml:space="preserve">Each </w:t>
      </w:r>
      <w:r>
        <w:rPr>
          <w:rFonts w:ascii="Arial" w:cs="Arial" w:eastAsia="Arial" w:hAnsi="Arial"/>
          <w:sz w:val="17"/>
          <w:szCs w:val="17"/>
          <w:color w:val="4B4B49"/>
        </w:rPr>
        <w:t>Occurrence</w:t>
      </w:r>
    </w:p>
    <w:p>
      <w:pPr>
        <w:spacing w:after="0" w:line="66" w:lineRule="exact"/>
        <w:rPr>
          <w:sz w:val="20"/>
          <w:szCs w:val="20"/>
          <w:color w:val="auto"/>
        </w:rPr>
      </w:pPr>
    </w:p>
    <w:p>
      <w:pPr>
        <w:ind w:left="300"/>
        <w:spacing w:after="0"/>
        <w:tabs>
          <w:tab w:leader="none" w:pos="244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7"/>
          <w:szCs w:val="17"/>
          <w:color w:val="4B4B49"/>
        </w:rPr>
        <w:t xml:space="preserve">Excess </w:t>
      </w:r>
      <w:r>
        <w:rPr>
          <w:rFonts w:ascii="Arial" w:cs="Arial" w:eastAsia="Arial" w:hAnsi="Arial"/>
          <w:sz w:val="17"/>
          <w:szCs w:val="17"/>
          <w:color w:val="383836"/>
        </w:rPr>
        <w:t>Uninsured</w:t>
      </w:r>
      <w:r>
        <w:rPr>
          <w:rFonts w:ascii="Arial" w:cs="Arial" w:eastAsia="Arial" w:hAnsi="Arial"/>
          <w:sz w:val="17"/>
          <w:szCs w:val="17"/>
          <w:color w:val="4B4B49"/>
        </w:rPr>
        <w:t xml:space="preserve"> </w:t>
      </w:r>
      <w:r>
        <w:rPr>
          <w:rFonts w:ascii="Arial" w:cs="Arial" w:eastAsia="Arial" w:hAnsi="Arial"/>
          <w:sz w:val="17"/>
          <w:szCs w:val="17"/>
          <w:color w:val="898787"/>
        </w:rPr>
        <w:t>/</w:t>
      </w:r>
      <w:r>
        <w:rPr>
          <w:rFonts w:ascii="Arial" w:cs="Arial" w:eastAsia="Arial" w:hAnsi="Arial"/>
          <w:sz w:val="17"/>
          <w:szCs w:val="17"/>
          <w:color w:val="4B4B49"/>
        </w:rPr>
        <w:t xml:space="preserve"> </w:t>
      </w:r>
      <w:r>
        <w:rPr>
          <w:rFonts w:ascii="Arial" w:cs="Arial" w:eastAsia="Arial" w:hAnsi="Arial"/>
          <w:sz w:val="17"/>
          <w:szCs w:val="17"/>
          <w:color w:val="383836"/>
        </w:rPr>
        <w:t>Underin</w:t>
      </w:r>
      <w:r>
        <w:rPr>
          <w:rFonts w:ascii="Arial" w:cs="Arial" w:eastAsia="Arial" w:hAnsi="Arial"/>
          <w:sz w:val="17"/>
          <w:szCs w:val="17"/>
          <w:color w:val="626260"/>
        </w:rPr>
        <w:t>su</w:t>
      </w:r>
      <w:r>
        <w:rPr>
          <w:rFonts w:ascii="Arial" w:cs="Arial" w:eastAsia="Arial" w:hAnsi="Arial"/>
          <w:sz w:val="17"/>
          <w:szCs w:val="17"/>
          <w:color w:val="383836"/>
        </w:rPr>
        <w:t>red</w:t>
      </w:r>
    </w:p>
    <w:p>
      <w:pPr>
        <w:spacing w:after="0" w:line="125" w:lineRule="exact"/>
        <w:rPr>
          <w:sz w:val="20"/>
          <w:szCs w:val="20"/>
          <w:color w:val="auto"/>
        </w:rPr>
      </w:pPr>
    </w:p>
    <w:p>
      <w:pPr>
        <w:ind w:left="2460"/>
        <w:spacing w:after="0"/>
        <w:rPr>
          <w:sz w:val="20"/>
          <w:szCs w:val="20"/>
          <w:color w:val="auto"/>
        </w:rPr>
      </w:pPr>
      <w:r>
        <w:rPr>
          <w:rFonts w:ascii="Arial" w:cs="Arial" w:eastAsia="Arial" w:hAnsi="Arial"/>
          <w:sz w:val="17"/>
          <w:szCs w:val="17"/>
          <w:color w:val="4B4B49"/>
        </w:rPr>
        <w:t xml:space="preserve">Motorists </w:t>
      </w:r>
      <w:r>
        <w:rPr>
          <w:rFonts w:ascii="Arial" w:cs="Arial" w:eastAsia="Arial" w:hAnsi="Arial"/>
          <w:sz w:val="17"/>
          <w:szCs w:val="17"/>
          <w:color w:val="383836"/>
        </w:rPr>
        <w:t>Protection</w:t>
      </w:r>
      <w:r>
        <w:rPr>
          <w:rFonts w:ascii="Arial" w:cs="Arial" w:eastAsia="Arial" w:hAnsi="Arial"/>
          <w:sz w:val="17"/>
          <w:szCs w:val="17"/>
          <w:color w:val="4B4B49"/>
        </w:rPr>
        <w:t xml:space="preserve"> Each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83836"/>
        </w:rPr>
        <w:t>Required Primary Underlying Insurance</w:t>
      </w:r>
    </w:p>
    <w:p>
      <w:pPr>
        <w:spacing w:after="0" w:line="264" w:lineRule="exact"/>
        <w:rPr>
          <w:sz w:val="20"/>
          <w:szCs w:val="20"/>
          <w:color w:val="auto"/>
        </w:rPr>
      </w:pPr>
    </w:p>
    <w:p>
      <w:pPr>
        <w:ind w:right="2920"/>
        <w:spacing w:after="0" w:line="270" w:lineRule="auto"/>
        <w:rPr>
          <w:sz w:val="20"/>
          <w:szCs w:val="20"/>
          <w:color w:val="auto"/>
        </w:rPr>
      </w:pPr>
      <w:r>
        <w:rPr>
          <w:rFonts w:ascii="Arial" w:cs="Arial" w:eastAsia="Arial" w:hAnsi="Arial"/>
          <w:sz w:val="17"/>
          <w:szCs w:val="17"/>
          <w:color w:val="383836"/>
        </w:rPr>
        <w:t>Personal Liabi</w:t>
      </w:r>
      <w:r>
        <w:rPr>
          <w:rFonts w:ascii="Arial" w:cs="Arial" w:eastAsia="Arial" w:hAnsi="Arial"/>
          <w:sz w:val="17"/>
          <w:szCs w:val="17"/>
          <w:color w:val="1F1F1F"/>
        </w:rPr>
        <w:t>l</w:t>
      </w:r>
      <w:r>
        <w:rPr>
          <w:rFonts w:ascii="Arial" w:cs="Arial" w:eastAsia="Arial" w:hAnsi="Arial"/>
          <w:sz w:val="17"/>
          <w:szCs w:val="17"/>
          <w:color w:val="383836"/>
        </w:rPr>
        <w:t xml:space="preserve">ity </w:t>
      </w:r>
      <w:r>
        <w:rPr>
          <w:rFonts w:ascii="Arial" w:cs="Arial" w:eastAsia="Arial" w:hAnsi="Arial"/>
          <w:sz w:val="17"/>
          <w:szCs w:val="17"/>
          <w:color w:val="4B4B49"/>
        </w:rPr>
        <w:t>(Homeowners) for</w:t>
      </w:r>
      <w:r>
        <w:rPr>
          <w:rFonts w:ascii="Arial" w:cs="Arial" w:eastAsia="Arial" w:hAnsi="Arial"/>
          <w:sz w:val="17"/>
          <w:szCs w:val="17"/>
          <w:color w:val="383836"/>
        </w:rPr>
        <w:t xml:space="preserve"> personal injury </w:t>
      </w:r>
      <w:r>
        <w:rPr>
          <w:rFonts w:ascii="Arial" w:cs="Arial" w:eastAsia="Arial" w:hAnsi="Arial"/>
          <w:sz w:val="17"/>
          <w:szCs w:val="17"/>
          <w:color w:val="4B4B49"/>
        </w:rPr>
        <w:t>and</w:t>
      </w:r>
      <w:r>
        <w:rPr>
          <w:rFonts w:ascii="Arial" w:cs="Arial" w:eastAsia="Arial" w:hAnsi="Arial"/>
          <w:sz w:val="17"/>
          <w:szCs w:val="17"/>
          <w:color w:val="383836"/>
        </w:rPr>
        <w:t xml:space="preserve"> property </w:t>
      </w:r>
      <w:r>
        <w:rPr>
          <w:rFonts w:ascii="Arial" w:cs="Arial" w:eastAsia="Arial" w:hAnsi="Arial"/>
          <w:sz w:val="17"/>
          <w:szCs w:val="17"/>
          <w:color w:val="4B4B49"/>
        </w:rPr>
        <w:t>damage</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$300,000</w:t>
      </w:r>
      <w:r>
        <w:rPr>
          <w:rFonts w:ascii="Arial" w:cs="Arial" w:eastAsia="Arial" w:hAnsi="Arial"/>
          <w:sz w:val="17"/>
          <w:szCs w:val="17"/>
          <w:color w:val="383836"/>
        </w:rPr>
        <w:t xml:space="preserve"> each </w:t>
      </w:r>
      <w:r>
        <w:rPr>
          <w:rFonts w:ascii="Arial" w:cs="Arial" w:eastAsia="Arial" w:hAnsi="Arial"/>
          <w:sz w:val="17"/>
          <w:szCs w:val="17"/>
          <w:color w:val="4B4B49"/>
        </w:rPr>
        <w:t>occurrence</w:t>
      </w:r>
      <w:r>
        <w:rPr>
          <w:rFonts w:ascii="Arial" w:cs="Arial" w:eastAsia="Arial" w:hAnsi="Arial"/>
          <w:sz w:val="19"/>
          <w:szCs w:val="19"/>
          <w:color w:val="1F1F1F"/>
        </w:rPr>
        <w:t>.</w:t>
      </w:r>
    </w:p>
    <w:p>
      <w:pPr>
        <w:spacing w:after="0" w:line="18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383836"/>
        </w:rPr>
        <w:t xml:space="preserve">Registered </w:t>
      </w:r>
      <w:r>
        <w:rPr>
          <w:rFonts w:ascii="Arial" w:cs="Arial" w:eastAsia="Arial" w:hAnsi="Arial"/>
          <w:sz w:val="17"/>
          <w:szCs w:val="17"/>
          <w:color w:val="4B4B49"/>
        </w:rPr>
        <w:t>vehic</w:t>
      </w:r>
      <w:r>
        <w:rPr>
          <w:rFonts w:ascii="Arial" w:cs="Arial" w:eastAsia="Arial" w:hAnsi="Arial"/>
          <w:sz w:val="17"/>
          <w:szCs w:val="17"/>
          <w:color w:val="1F1F1F"/>
        </w:rPr>
        <w:t>l</w:t>
      </w:r>
      <w:r>
        <w:rPr>
          <w:rFonts w:ascii="Arial" w:cs="Arial" w:eastAsia="Arial" w:hAnsi="Arial"/>
          <w:sz w:val="17"/>
          <w:szCs w:val="17"/>
          <w:color w:val="4B4B49"/>
        </w:rPr>
        <w:t>es</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$250,000</w:t>
      </w:r>
      <w:r>
        <w:rPr>
          <w:rFonts w:ascii="Arial" w:cs="Arial" w:eastAsia="Arial" w:hAnsi="Arial"/>
          <w:sz w:val="17"/>
          <w:szCs w:val="17"/>
          <w:color w:val="383836"/>
        </w:rPr>
        <w:t xml:space="preserve"> </w:t>
      </w:r>
      <w:r>
        <w:rPr>
          <w:rFonts w:ascii="Arial" w:cs="Arial" w:eastAsia="Arial" w:hAnsi="Arial"/>
          <w:sz w:val="17"/>
          <w:szCs w:val="17"/>
          <w:i w:val="1"/>
          <w:iCs w:val="1"/>
          <w:color w:val="898787"/>
        </w:rPr>
        <w:t>I</w:t>
      </w:r>
      <w:r>
        <w:rPr>
          <w:rFonts w:ascii="Arial" w:cs="Arial" w:eastAsia="Arial" w:hAnsi="Arial"/>
          <w:sz w:val="17"/>
          <w:szCs w:val="17"/>
          <w:color w:val="383836"/>
        </w:rPr>
        <w:t xml:space="preserve"> </w:t>
      </w:r>
      <w:r>
        <w:rPr>
          <w:rFonts w:ascii="Arial" w:cs="Arial" w:eastAsia="Arial" w:hAnsi="Arial"/>
          <w:sz w:val="17"/>
          <w:szCs w:val="17"/>
          <w:color w:val="4B4B49"/>
        </w:rPr>
        <w:t>$500,000 bodily injury and</w:t>
      </w:r>
      <w:r>
        <w:rPr>
          <w:rFonts w:ascii="Arial" w:cs="Arial" w:eastAsia="Arial" w:hAnsi="Arial"/>
          <w:sz w:val="17"/>
          <w:szCs w:val="17"/>
          <w:color w:val="383836"/>
        </w:rPr>
        <w:t xml:space="preserve"> </w:t>
      </w:r>
      <w:r>
        <w:rPr>
          <w:rFonts w:ascii="Arial" w:cs="Arial" w:eastAsia="Arial" w:hAnsi="Arial"/>
          <w:sz w:val="17"/>
          <w:szCs w:val="17"/>
          <w:color w:val="626260"/>
        </w:rPr>
        <w:t>$100,</w:t>
      </w:r>
      <w:r>
        <w:rPr>
          <w:rFonts w:ascii="Arial" w:cs="Arial" w:eastAsia="Arial" w:hAnsi="Arial"/>
          <w:sz w:val="17"/>
          <w:szCs w:val="17"/>
          <w:color w:val="383836"/>
        </w:rPr>
        <w:t xml:space="preserve">000 </w:t>
      </w:r>
      <w:r>
        <w:rPr>
          <w:rFonts w:ascii="Arial" w:cs="Arial" w:eastAsia="Arial" w:hAnsi="Arial"/>
          <w:sz w:val="17"/>
          <w:szCs w:val="17"/>
          <w:color w:val="4B4B49"/>
        </w:rPr>
        <w:t>property damage; or $300,000 single</w:t>
      </w:r>
      <w:r>
        <w:rPr>
          <w:rFonts w:ascii="Arial" w:cs="Arial" w:eastAsia="Arial" w:hAnsi="Arial"/>
          <w:sz w:val="17"/>
          <w:szCs w:val="17"/>
          <w:color w:val="383836"/>
        </w:rPr>
        <w:t xml:space="preserve"> limit </w:t>
      </w:r>
      <w:r>
        <w:rPr>
          <w:rFonts w:ascii="Arial" w:cs="Arial" w:eastAsia="Arial" w:hAnsi="Arial"/>
          <w:sz w:val="17"/>
          <w:szCs w:val="17"/>
          <w:color w:val="4B4B49"/>
        </w:rPr>
        <w:t>each</w:t>
      </w:r>
      <w:r>
        <w:rPr>
          <w:rFonts w:ascii="Arial" w:cs="Arial" w:eastAsia="Arial" w:hAnsi="Arial"/>
          <w:sz w:val="17"/>
          <w:szCs w:val="17"/>
          <w:color w:val="383836"/>
        </w:rPr>
        <w:t xml:space="preserve"> occurrence.</w:t>
      </w:r>
    </w:p>
    <w:p>
      <w:pPr>
        <w:spacing w:after="0" w:line="156" w:lineRule="exact"/>
        <w:rPr>
          <w:sz w:val="20"/>
          <w:szCs w:val="20"/>
          <w:color w:val="auto"/>
        </w:rPr>
      </w:pPr>
    </w:p>
    <w:p>
      <w:pPr>
        <w:spacing w:after="0"/>
        <w:tabs>
          <w:tab w:leader="none" w:pos="3920" w:val="left"/>
        </w:tabs>
        <w:rPr>
          <w:sz w:val="20"/>
          <w:szCs w:val="20"/>
          <w:color w:val="auto"/>
        </w:rPr>
      </w:pPr>
      <w:r>
        <w:rPr>
          <w:rFonts w:ascii="Arial" w:cs="Arial" w:eastAsia="Arial" w:hAnsi="Arial"/>
          <w:sz w:val="14"/>
          <w:szCs w:val="14"/>
          <w:i w:val="1"/>
          <w:iCs w:val="1"/>
          <w:u w:val="single" w:color="auto"/>
          <w:color w:val="464644"/>
        </w:rPr>
        <w:t>Group</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u w:val="single" w:color="auto"/>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Liability</w:t>
      </w:r>
      <w:r>
        <w:rPr>
          <w:rFonts w:ascii="Arial" w:cs="Arial" w:eastAsia="Arial" w:hAnsi="Arial"/>
          <w:sz w:val="14"/>
          <w:szCs w:val="14"/>
          <w:i w:val="1"/>
          <w:iCs w:val="1"/>
          <w:color w:val="464644"/>
        </w:rPr>
        <w:t xml:space="preserve"> Policy</w:t>
      </w:r>
      <w:r>
        <w:rPr>
          <w:sz w:val="20"/>
          <w:szCs w:val="20"/>
          <w:color w:val="auto"/>
        </w:rPr>
        <w:tab/>
      </w:r>
      <w:r>
        <w:rPr>
          <w:rFonts w:ascii="Arial" w:cs="Arial" w:eastAsia="Arial" w:hAnsi="Arial"/>
          <w:sz w:val="14"/>
          <w:szCs w:val="14"/>
          <w:i w:val="1"/>
          <w:iCs w:val="1"/>
          <w:color w:val="464644"/>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-8890</wp:posOffset>
            </wp:positionV>
            <wp:extent cx="1553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2">
                      <a:extLst>
                        <a:ext uri="{28A0092B-C50C-407E-A947-70E740481C1C}"/>
                      </a:extLst>
                    </a:blip>
                    <a:srcRect/>
                    <a:stretch>
                      <a:fillRect/>
                    </a:stretch>
                  </pic:blipFill>
                  <pic:spPr bwMode="auto">
                    <a:xfrm>
                      <a:off x="0" y="0"/>
                      <a:ext cx="155321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44" w:lineRule="exact"/>
        <w:rPr>
          <w:sz w:val="20"/>
          <w:szCs w:val="20"/>
          <w:color w:val="auto"/>
        </w:rPr>
      </w:pPr>
    </w:p>
    <w:p>
      <w:pPr>
        <w:spacing w:after="0"/>
        <w:tabs>
          <w:tab w:leader="none" w:pos="2000" w:val="left"/>
          <w:tab w:leader="none" w:pos="3840" w:val="left"/>
        </w:tabs>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w:t>
      </w:r>
      <w:r>
        <w:rPr>
          <w:rFonts w:ascii="Arial" w:cs="Arial" w:eastAsia="Arial" w:hAnsi="Arial"/>
          <w:sz w:val="14"/>
          <w:szCs w:val="14"/>
          <w:i w:val="1"/>
          <w:iCs w:val="1"/>
          <w:color w:val="363636"/>
        </w:rPr>
        <w:tab/>
        <w:t>Declarations</w:t>
      </w:r>
      <w:r>
        <w:rPr>
          <w:sz w:val="20"/>
          <w:szCs w:val="20"/>
          <w:color w:val="auto"/>
        </w:rPr>
        <w:tab/>
      </w:r>
      <w:r>
        <w:rPr>
          <w:rFonts w:ascii="Arial" w:cs="Arial" w:eastAsia="Arial" w:hAnsi="Arial"/>
          <w:sz w:val="14"/>
          <w:szCs w:val="14"/>
          <w:i w:val="1"/>
          <w:iCs w:val="1"/>
          <w:color w:val="363636"/>
        </w:rPr>
        <w:t>Page 1</w:t>
      </w:r>
    </w:p>
    <w:p>
      <w:pPr>
        <w:sectPr>
          <w:pgSz w:w="11900" w:h="16838" w:orient="portrait"/>
          <w:cols w:equalWidth="0" w:num="1">
            <w:col w:w="11240"/>
          </w:cols>
          <w:pgMar w:left="320" w:top="121" w:right="339" w:bottom="1440" w:gutter="0" w:footer="0" w:header="0"/>
          <w:type w:val="continuous"/>
        </w:sectPr>
      </w:pPr>
    </w:p>
    <w:bookmarkStart w:id="125" w:name="page126"/>
    <w:bookmarkEnd w:id="125"/>
    <w:p>
      <w:pPr>
        <w:ind w:left="120"/>
        <w:spacing w:after="0"/>
        <w:rPr>
          <w:sz w:val="20"/>
          <w:szCs w:val="20"/>
          <w:color w:val="auto"/>
        </w:rPr>
      </w:pPr>
      <w:r>
        <w:rPr>
          <w:rFonts w:ascii="Arial" w:cs="Arial" w:eastAsia="Arial" w:hAnsi="Arial"/>
          <w:sz w:val="21"/>
          <w:szCs w:val="21"/>
          <w:b w:val="1"/>
          <w:bCs w:val="1"/>
          <w:i w:val="1"/>
          <w:iCs w:val="1"/>
          <w:color w:val="363636"/>
        </w:rPr>
        <w:drawing>
          <wp:anchor simplePos="0" relativeHeight="251657728" behindDoc="1" locked="0" layoutInCell="0" allowOverlap="1">
            <wp:simplePos x="0" y="0"/>
            <wp:positionH relativeFrom="page">
              <wp:posOffset>208280</wp:posOffset>
            </wp:positionH>
            <wp:positionV relativeFrom="page">
              <wp:posOffset>388620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Required Primary Underlying Insurance</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7"/>
          <w:szCs w:val="17"/>
          <w:color w:val="464644"/>
        </w:rPr>
        <w:t xml:space="preserve">Unregistered vehicles in the </w:t>
      </w:r>
      <w:r>
        <w:rPr>
          <w:rFonts w:ascii="Arial" w:cs="Arial" w:eastAsia="Arial" w:hAnsi="Arial"/>
          <w:sz w:val="17"/>
          <w:szCs w:val="17"/>
          <w:color w:val="363636"/>
        </w:rPr>
        <w:t>minimum amount of</w:t>
      </w:r>
      <w:r>
        <w:rPr>
          <w:rFonts w:ascii="Arial" w:cs="Arial" w:eastAsia="Arial" w:hAnsi="Arial"/>
          <w:sz w:val="17"/>
          <w:szCs w:val="17"/>
          <w:color w:val="464644"/>
        </w:rPr>
        <w:t xml:space="preserve"> $300,000 bodily </w:t>
      </w:r>
      <w:r>
        <w:rPr>
          <w:rFonts w:ascii="Arial" w:cs="Arial" w:eastAsia="Arial" w:hAnsi="Arial"/>
          <w:sz w:val="17"/>
          <w:szCs w:val="17"/>
          <w:color w:val="363636"/>
        </w:rPr>
        <w:t>injury and property damage each</w:t>
      </w:r>
      <w:r>
        <w:rPr>
          <w:rFonts w:ascii="Arial" w:cs="Arial" w:eastAsia="Arial" w:hAnsi="Arial"/>
          <w:sz w:val="17"/>
          <w:szCs w:val="17"/>
          <w:color w:val="464644"/>
        </w:rPr>
        <w:t xml:space="preserve"> occurrence.</w:t>
      </w:r>
    </w:p>
    <w:p>
      <w:pPr>
        <w:spacing w:after="0" w:line="304" w:lineRule="exact"/>
        <w:rPr>
          <w:sz w:val="20"/>
          <w:szCs w:val="20"/>
          <w:color w:val="auto"/>
        </w:rPr>
      </w:pPr>
    </w:p>
    <w:p>
      <w:pPr>
        <w:ind w:left="120"/>
        <w:spacing w:after="0" w:line="309" w:lineRule="auto"/>
        <w:rPr>
          <w:sz w:val="20"/>
          <w:szCs w:val="20"/>
          <w:color w:val="auto"/>
        </w:rPr>
      </w:pPr>
      <w:r>
        <w:rPr>
          <w:rFonts w:ascii="Arial" w:cs="Arial" w:eastAsia="Arial" w:hAnsi="Arial"/>
          <w:sz w:val="17"/>
          <w:szCs w:val="17"/>
          <w:color w:val="363636"/>
        </w:rPr>
        <w:t xml:space="preserve">Registered vehicles with less than four wheels and </w:t>
      </w:r>
      <w:r>
        <w:rPr>
          <w:rFonts w:ascii="Arial" w:cs="Arial" w:eastAsia="Arial" w:hAnsi="Arial"/>
          <w:sz w:val="17"/>
          <w:szCs w:val="17"/>
          <w:color w:val="464644"/>
        </w:rPr>
        <w:t>motorhomes</w:t>
      </w:r>
      <w:r>
        <w:rPr>
          <w:rFonts w:ascii="Arial" w:cs="Arial" w:eastAsia="Arial" w:hAnsi="Arial"/>
          <w:sz w:val="17"/>
          <w:szCs w:val="17"/>
          <w:color w:val="363636"/>
        </w:rPr>
        <w:t xml:space="preserve"> in the </w:t>
      </w:r>
      <w:r>
        <w:rPr>
          <w:rFonts w:ascii="Arial" w:cs="Arial" w:eastAsia="Arial" w:hAnsi="Arial"/>
          <w:sz w:val="17"/>
          <w:szCs w:val="17"/>
          <w:color w:val="464644"/>
        </w:rPr>
        <w:t>minimum</w:t>
      </w:r>
      <w:r>
        <w:rPr>
          <w:rFonts w:ascii="Arial" w:cs="Arial" w:eastAsia="Arial" w:hAnsi="Arial"/>
          <w:sz w:val="17"/>
          <w:szCs w:val="17"/>
          <w:color w:val="363636"/>
        </w:rPr>
        <w:t xml:space="preserve"> amount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$500,000 bodily injury and </w:t>
      </w:r>
      <w:r>
        <w:rPr>
          <w:rFonts w:ascii="Arial" w:cs="Arial" w:eastAsia="Arial" w:hAnsi="Arial"/>
          <w:sz w:val="17"/>
          <w:szCs w:val="17"/>
          <w:color w:val="464644"/>
        </w:rPr>
        <w:t>$100,000</w:t>
      </w:r>
      <w:r>
        <w:rPr>
          <w:rFonts w:ascii="Arial" w:cs="Arial" w:eastAsia="Arial" w:hAnsi="Arial"/>
          <w:sz w:val="17"/>
          <w:szCs w:val="17"/>
          <w:color w:val="363636"/>
        </w:rPr>
        <w:t xml:space="preserve"> property damage; or </w:t>
      </w:r>
      <w:r>
        <w:rPr>
          <w:rFonts w:ascii="Arial" w:cs="Arial" w:eastAsia="Arial" w:hAnsi="Arial"/>
          <w:sz w:val="17"/>
          <w:szCs w:val="17"/>
          <w:color w:val="464644"/>
        </w:rPr>
        <w:t>$300,000 single</w:t>
      </w:r>
      <w:r>
        <w:rPr>
          <w:rFonts w:ascii="Arial" w:cs="Arial" w:eastAsia="Arial" w:hAnsi="Arial"/>
          <w:sz w:val="17"/>
          <w:szCs w:val="17"/>
          <w:color w:val="363636"/>
        </w:rPr>
        <w:t xml:space="preserve"> limit </w:t>
      </w:r>
      <w:r>
        <w:rPr>
          <w:rFonts w:ascii="Arial" w:cs="Arial" w:eastAsia="Arial" w:hAnsi="Arial"/>
          <w:sz w:val="17"/>
          <w:szCs w:val="17"/>
          <w:color w:val="464644"/>
        </w:rPr>
        <w:t>each occurrence.</w:t>
      </w:r>
    </w:p>
    <w:p>
      <w:pPr>
        <w:spacing w:after="0" w:line="266" w:lineRule="exact"/>
        <w:rPr>
          <w:sz w:val="20"/>
          <w:szCs w:val="20"/>
          <w:color w:val="auto"/>
        </w:rPr>
      </w:pPr>
    </w:p>
    <w:p>
      <w:pPr>
        <w:ind w:left="120" w:right="240"/>
        <w:spacing w:after="0" w:line="326" w:lineRule="auto"/>
        <w:rPr>
          <w:sz w:val="20"/>
          <w:szCs w:val="20"/>
          <w:color w:val="auto"/>
        </w:rPr>
      </w:pPr>
      <w:r>
        <w:rPr>
          <w:rFonts w:ascii="Arial" w:cs="Arial" w:eastAsia="Arial" w:hAnsi="Arial"/>
          <w:sz w:val="17"/>
          <w:szCs w:val="17"/>
          <w:color w:val="363636"/>
        </w:rPr>
        <w:t xml:space="preserve">Watercraft less than 26 feet and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or less for bodily and property damage in the minimum amount of $</w:t>
      </w:r>
      <w:r>
        <w:rPr>
          <w:rFonts w:ascii="Arial" w:cs="Arial" w:eastAsia="Arial" w:hAnsi="Arial"/>
          <w:sz w:val="17"/>
          <w:szCs w:val="17"/>
          <w:color w:val="464644"/>
        </w:rPr>
        <w:t>300,000 each</w:t>
      </w:r>
      <w:r>
        <w:rPr>
          <w:rFonts w:ascii="Arial" w:cs="Arial" w:eastAsia="Arial" w:hAnsi="Arial"/>
          <w:sz w:val="17"/>
          <w:szCs w:val="17"/>
          <w:color w:val="363636"/>
        </w:rPr>
        <w:t xml:space="preserve"> occurrence.</w:t>
      </w:r>
    </w:p>
    <w:p>
      <w:pPr>
        <w:spacing w:after="0" w:line="225" w:lineRule="exact"/>
        <w:rPr>
          <w:sz w:val="20"/>
          <w:szCs w:val="20"/>
          <w:color w:val="auto"/>
        </w:rPr>
      </w:pPr>
    </w:p>
    <w:p>
      <w:pPr>
        <w:ind w:left="120" w:right="80"/>
        <w:spacing w:after="0" w:line="326" w:lineRule="auto"/>
        <w:rPr>
          <w:sz w:val="20"/>
          <w:szCs w:val="20"/>
          <w:color w:val="auto"/>
        </w:rPr>
      </w:pPr>
      <w:r>
        <w:rPr>
          <w:rFonts w:ascii="Arial" w:cs="Arial" w:eastAsia="Arial" w:hAnsi="Arial"/>
          <w:sz w:val="17"/>
          <w:szCs w:val="17"/>
          <w:color w:val="363636"/>
        </w:rPr>
        <w:t xml:space="preserve">Watercraft 26 feet or longer </w:t>
      </w:r>
      <w:r>
        <w:rPr>
          <w:rFonts w:ascii="Arial" w:cs="Arial" w:eastAsia="Arial" w:hAnsi="Arial"/>
          <w:sz w:val="17"/>
          <w:szCs w:val="17"/>
          <w:color w:val="464644"/>
        </w:rPr>
        <w:t>or</w:t>
      </w:r>
      <w:r>
        <w:rPr>
          <w:rFonts w:ascii="Arial" w:cs="Arial" w:eastAsia="Arial" w:hAnsi="Arial"/>
          <w:sz w:val="17"/>
          <w:szCs w:val="17"/>
          <w:color w:val="363636"/>
        </w:rPr>
        <w:t xml:space="preserve"> more </w:t>
      </w:r>
      <w:r>
        <w:rPr>
          <w:rFonts w:ascii="Arial" w:cs="Arial" w:eastAsia="Arial" w:hAnsi="Arial"/>
          <w:sz w:val="17"/>
          <w:szCs w:val="17"/>
          <w:color w:val="464644"/>
        </w:rPr>
        <w:t>than</w:t>
      </w:r>
      <w:r>
        <w:rPr>
          <w:rFonts w:ascii="Arial" w:cs="Arial" w:eastAsia="Arial" w:hAnsi="Arial"/>
          <w:sz w:val="17"/>
          <w:szCs w:val="17"/>
          <w:color w:val="363636"/>
        </w:rPr>
        <w:t xml:space="preserve">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w:t>
      </w:r>
      <w:r>
        <w:rPr>
          <w:rFonts w:ascii="Arial" w:cs="Arial" w:eastAsia="Arial" w:hAnsi="Arial"/>
          <w:sz w:val="17"/>
          <w:szCs w:val="17"/>
          <w:color w:val="464644"/>
        </w:rPr>
        <w:t>for</w:t>
      </w:r>
      <w:r>
        <w:rPr>
          <w:rFonts w:ascii="Arial" w:cs="Arial" w:eastAsia="Arial" w:hAnsi="Arial"/>
          <w:sz w:val="17"/>
          <w:szCs w:val="17"/>
          <w:color w:val="363636"/>
        </w:rPr>
        <w:t xml:space="preserve"> bodily </w:t>
      </w:r>
      <w:r>
        <w:rPr>
          <w:rFonts w:ascii="Arial" w:cs="Arial" w:eastAsia="Arial" w:hAnsi="Arial"/>
          <w:sz w:val="17"/>
          <w:szCs w:val="17"/>
          <w:color w:val="464644"/>
        </w:rPr>
        <w:t>injury</w:t>
      </w:r>
      <w:r>
        <w:rPr>
          <w:rFonts w:ascii="Arial" w:cs="Arial" w:eastAsia="Arial" w:hAnsi="Arial"/>
          <w:sz w:val="17"/>
          <w:szCs w:val="17"/>
          <w:color w:val="363636"/>
        </w:rPr>
        <w:t xml:space="preserve"> and property </w:t>
      </w:r>
      <w:r>
        <w:rPr>
          <w:rFonts w:ascii="Arial" w:cs="Arial" w:eastAsia="Arial" w:hAnsi="Arial"/>
          <w:sz w:val="17"/>
          <w:szCs w:val="17"/>
          <w:color w:val="464644"/>
        </w:rPr>
        <w:t>damage</w:t>
      </w:r>
      <w:r>
        <w:rPr>
          <w:rFonts w:ascii="Arial" w:cs="Arial" w:eastAsia="Arial" w:hAnsi="Arial"/>
          <w:sz w:val="17"/>
          <w:szCs w:val="17"/>
          <w:color w:val="363636"/>
        </w:rPr>
        <w:t xml:space="preserve"> in the minimum amount of $500</w:t>
      </w:r>
      <w:r>
        <w:rPr>
          <w:rFonts w:ascii="Arial" w:cs="Arial" w:eastAsia="Arial" w:hAnsi="Arial"/>
          <w:sz w:val="17"/>
          <w:szCs w:val="17"/>
          <w:color w:val="777775"/>
        </w:rPr>
        <w:t>,</w:t>
      </w:r>
      <w:r>
        <w:rPr>
          <w:rFonts w:ascii="Arial" w:cs="Arial" w:eastAsia="Arial" w:hAnsi="Arial"/>
          <w:sz w:val="17"/>
          <w:szCs w:val="17"/>
          <w:color w:val="363636"/>
        </w:rPr>
        <w:t xml:space="preserve">000 each </w:t>
      </w:r>
      <w:r>
        <w:rPr>
          <w:rFonts w:ascii="Arial" w:cs="Arial" w:eastAsia="Arial" w:hAnsi="Arial"/>
          <w:sz w:val="17"/>
          <w:szCs w:val="17"/>
          <w:color w:val="464644"/>
        </w:rPr>
        <w:t>occurrence.</w:t>
      </w:r>
    </w:p>
    <w:p>
      <w:pPr>
        <w:spacing w:after="0" w:line="252" w:lineRule="exact"/>
        <w:rPr>
          <w:sz w:val="20"/>
          <w:szCs w:val="20"/>
          <w:color w:val="auto"/>
        </w:rPr>
      </w:pPr>
    </w:p>
    <w:p>
      <w:pPr>
        <w:ind w:left="120" w:right="540"/>
        <w:spacing w:after="0" w:line="326" w:lineRule="auto"/>
        <w:rPr>
          <w:sz w:val="20"/>
          <w:szCs w:val="20"/>
          <w:color w:val="auto"/>
        </w:rPr>
      </w:pPr>
      <w:r>
        <w:rPr>
          <w:rFonts w:ascii="Arial" w:cs="Arial" w:eastAsia="Arial" w:hAnsi="Arial"/>
          <w:sz w:val="17"/>
          <w:szCs w:val="17"/>
          <w:color w:val="363636"/>
        </w:rPr>
        <w:t>Uninsured motorists</w:t>
      </w:r>
      <w:r>
        <w:rPr>
          <w:rFonts w:ascii="Arial" w:cs="Arial" w:eastAsia="Arial" w:hAnsi="Arial"/>
          <w:sz w:val="17"/>
          <w:szCs w:val="17"/>
          <w:color w:val="777775"/>
        </w:rPr>
        <w:t>/</w:t>
      </w:r>
      <w:r>
        <w:rPr>
          <w:rFonts w:ascii="Arial" w:cs="Arial" w:eastAsia="Arial" w:hAnsi="Arial"/>
          <w:sz w:val="17"/>
          <w:szCs w:val="17"/>
          <w:color w:val="363636"/>
        </w:rPr>
        <w:t xml:space="preserve">underinsured motorists </w:t>
      </w:r>
      <w:r>
        <w:rPr>
          <w:rFonts w:ascii="Arial" w:cs="Arial" w:eastAsia="Arial" w:hAnsi="Arial"/>
          <w:sz w:val="17"/>
          <w:szCs w:val="17"/>
          <w:color w:val="464644"/>
        </w:rPr>
        <w:t>protection in the</w:t>
      </w:r>
      <w:r>
        <w:rPr>
          <w:rFonts w:ascii="Arial" w:cs="Arial" w:eastAsia="Arial" w:hAnsi="Arial"/>
          <w:sz w:val="17"/>
          <w:szCs w:val="17"/>
          <w:color w:val="363636"/>
        </w:rPr>
        <w:t xml:space="preserve"> minimum amount of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w:t>
      </w:r>
      <w:r>
        <w:rPr>
          <w:rFonts w:ascii="Arial" w:cs="Arial" w:eastAsia="Arial" w:hAnsi="Arial"/>
          <w:sz w:val="17"/>
          <w:szCs w:val="17"/>
          <w:color w:val="464644"/>
        </w:rPr>
        <w:t>$500,000</w:t>
      </w:r>
      <w:r>
        <w:rPr>
          <w:rFonts w:ascii="Arial" w:cs="Arial" w:eastAsia="Arial" w:hAnsi="Arial"/>
          <w:sz w:val="17"/>
          <w:szCs w:val="17"/>
          <w:color w:val="363636"/>
        </w:rPr>
        <w:t xml:space="preserve"> bodily injury and $100,000 property damage; </w:t>
      </w:r>
      <w:r>
        <w:rPr>
          <w:rFonts w:ascii="Arial" w:cs="Arial" w:eastAsia="Arial" w:hAnsi="Arial"/>
          <w:sz w:val="17"/>
          <w:szCs w:val="17"/>
          <w:color w:val="464644"/>
        </w:rPr>
        <w:t>or</w:t>
      </w:r>
      <w:r>
        <w:rPr>
          <w:rFonts w:ascii="Arial" w:cs="Arial" w:eastAsia="Arial" w:hAnsi="Arial"/>
          <w:sz w:val="17"/>
          <w:szCs w:val="17"/>
          <w:color w:val="363636"/>
        </w:rPr>
        <w:t xml:space="preserve"> $300,000 single limit occurrence.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63636"/>
        </w:rPr>
        <w:t xml:space="preserve">FAILURE TO COMPLY WITH THE REQUIRED PRIMARY UNDERLYING </w:t>
      </w:r>
      <w:r>
        <w:rPr>
          <w:rFonts w:ascii="Arial" w:cs="Arial" w:eastAsia="Arial" w:hAnsi="Arial"/>
          <w:sz w:val="16"/>
          <w:szCs w:val="16"/>
          <w:b w:val="1"/>
          <w:bCs w:val="1"/>
          <w:color w:val="464644"/>
        </w:rPr>
        <w:t>INSURANCE</w:t>
      </w:r>
      <w:r>
        <w:rPr>
          <w:rFonts w:ascii="Arial" w:cs="Arial" w:eastAsia="Arial" w:hAnsi="Arial"/>
          <w:sz w:val="16"/>
          <w:szCs w:val="16"/>
          <w:b w:val="1"/>
          <w:bCs w:val="1"/>
          <w:color w:val="363636"/>
        </w:rPr>
        <w:t xml:space="preserve"> WILL RESULT IN A GAP </w:t>
      </w:r>
      <w:r>
        <w:rPr>
          <w:rFonts w:ascii="Arial" w:cs="Arial" w:eastAsia="Arial" w:hAnsi="Arial"/>
          <w:sz w:val="16"/>
          <w:szCs w:val="16"/>
          <w:b w:val="1"/>
          <w:bCs w:val="1"/>
          <w:color w:val="464644"/>
        </w:rPr>
        <w:t>IN</w:t>
      </w:r>
      <w:r>
        <w:rPr>
          <w:rFonts w:ascii="Arial" w:cs="Arial" w:eastAsia="Arial" w:hAnsi="Arial"/>
          <w:sz w:val="16"/>
          <w:szCs w:val="16"/>
          <w:b w:val="1"/>
          <w:bCs w:val="1"/>
          <w:color w:val="363636"/>
        </w:rPr>
        <w:t xml:space="preserv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1043305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1380" w:type="dxa"/>
            <w:vAlign w:val="bottom"/>
          </w:tcPr>
          <w:p>
            <w:pPr>
              <w:ind w:left="760"/>
              <w:spacing w:after="0"/>
              <w:rPr>
                <w:sz w:val="20"/>
                <w:szCs w:val="20"/>
                <w:color w:val="auto"/>
              </w:rPr>
            </w:pPr>
            <w:r>
              <w:rPr>
                <w:rFonts w:ascii="Arial" w:cs="Arial" w:eastAsia="Arial" w:hAnsi="Arial"/>
                <w:sz w:val="14"/>
                <w:szCs w:val="14"/>
                <w:i w:val="1"/>
                <w:iCs w:val="1"/>
                <w:color w:val="464644"/>
                <w:w w:val="98"/>
              </w:rPr>
              <w:t>continued</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1220" w:type="dxa"/>
            <w:vAlign w:val="bottom"/>
            <w:shd w:val="clear" w:color="auto" w:fill="464644"/>
          </w:tcPr>
          <w:p>
            <w:pPr>
              <w:spacing w:after="0" w:line="20" w:lineRule="exact"/>
              <w:rPr>
                <w:sz w:val="1"/>
                <w:szCs w:val="1"/>
                <w:color w:val="auto"/>
              </w:rPr>
            </w:pPr>
          </w:p>
        </w:tc>
        <w:tc>
          <w:tcPr>
            <w:tcW w:w="1380" w:type="dxa"/>
            <w:vAlign w:val="bottom"/>
            <w:shd w:val="clear" w:color="auto" w:fill="464644"/>
          </w:tcPr>
          <w:p>
            <w:pPr>
              <w:spacing w:after="0" w:line="20" w:lineRule="exact"/>
              <w:rPr>
                <w:sz w:val="1"/>
                <w:szCs w:val="1"/>
                <w:color w:val="auto"/>
              </w:rPr>
            </w:pPr>
          </w:p>
        </w:tc>
      </w:tr>
      <w:tr>
        <w:trPr>
          <w:trHeight w:val="225"/>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  </w:t>
            </w:r>
            <w:r>
              <w:rPr>
                <w:rFonts w:ascii="Arial" w:cs="Arial" w:eastAsia="Arial" w:hAnsi="Arial"/>
                <w:sz w:val="14"/>
                <w:szCs w:val="14"/>
                <w:i w:val="1"/>
                <w:iCs w:val="1"/>
                <w:color w:val="363636"/>
              </w:rPr>
              <w:t>Declarations</w:t>
            </w:r>
          </w:p>
        </w:tc>
        <w:tc>
          <w:tcPr>
            <w:tcW w:w="1380" w:type="dxa"/>
            <w:vAlign w:val="bottom"/>
          </w:tcPr>
          <w:p>
            <w:pPr>
              <w:ind w:left="520"/>
              <w:spacing w:after="0"/>
              <w:rPr>
                <w:sz w:val="20"/>
                <w:szCs w:val="20"/>
                <w:color w:val="auto"/>
              </w:rPr>
            </w:pPr>
            <w:r>
              <w:rPr>
                <w:rFonts w:ascii="Arial" w:cs="Arial" w:eastAsia="Arial" w:hAnsi="Arial"/>
                <w:sz w:val="14"/>
                <w:szCs w:val="14"/>
                <w:i w:val="1"/>
                <w:iCs w:val="1"/>
                <w:color w:val="363636"/>
              </w:rPr>
              <w:t>Page 2</w:t>
            </w:r>
          </w:p>
        </w:tc>
      </w:tr>
    </w:tbl>
    <w:p>
      <w:pPr>
        <w:sectPr>
          <w:pgSz w:w="11900" w:h="16838" w:orient="portrait"/>
          <w:cols w:equalWidth="0" w:num="1">
            <w:col w:w="11100"/>
          </w:cols>
          <w:pgMar w:left="320" w:top="725" w:right="479" w:bottom="1440" w:gutter="0" w:footer="0" w:header="0"/>
        </w:sectPr>
      </w:pPr>
    </w:p>
    <w:bookmarkStart w:id="126" w:name="page127"/>
    <w:bookmarkEnd w:id="126"/>
    <w:p>
      <w:pPr>
        <w:ind w:left="2600"/>
        <w:spacing w:after="0"/>
        <w:rPr>
          <w:sz w:val="20"/>
          <w:szCs w:val="20"/>
          <w:color w:val="auto"/>
        </w:rPr>
      </w:pPr>
      <w:r>
        <w:rPr>
          <w:rFonts w:ascii="Arial" w:cs="Arial" w:eastAsia="Arial" w:hAnsi="Arial"/>
          <w:sz w:val="22"/>
          <w:szCs w:val="22"/>
          <w:b w:val="1"/>
          <w:bCs w:val="1"/>
          <w:i w:val="1"/>
          <w:iCs w:val="1"/>
          <w:color w:val="3F3F3D"/>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12001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6">
                      <a:extLst>
                        <a:ext uri="{28A0092B-C50C-407E-A947-70E740481C1C}"/>
                      </a:extLst>
                    </a:blip>
                    <a:srcRect/>
                    <a:stretch>
                      <a:fillRect/>
                    </a:stretch>
                  </pic:blipFill>
                  <pic:spPr bwMode="auto">
                    <a:xfrm>
                      <a:off x="0" y="0"/>
                      <a:ext cx="1200150" cy="154305"/>
                    </a:xfrm>
                    <a:prstGeom prst="rect">
                      <a:avLst/>
                    </a:prstGeom>
                    <a:noFill/>
                  </pic:spPr>
                </pic:pic>
              </a:graphicData>
            </a:graphic>
          </wp:anchor>
        </w:drawing>
      </w:r>
    </w:p>
    <w:p>
      <w:pPr>
        <w:spacing w:after="0" w:line="362"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F3F3D"/>
        </w:rPr>
        <w:t>Coverage Summary</w:t>
      </w:r>
    </w:p>
    <w:p>
      <w:pPr>
        <w:spacing w:after="0" w:line="200" w:lineRule="exact"/>
        <w:rPr>
          <w:sz w:val="20"/>
          <w:szCs w:val="20"/>
          <w:color w:val="auto"/>
        </w:rPr>
      </w:pPr>
    </w:p>
    <w:p>
      <w:pPr>
        <w:spacing w:after="0" w:line="214" w:lineRule="exact"/>
        <w:rPr>
          <w:sz w:val="20"/>
          <w:szCs w:val="20"/>
          <w:color w:val="auto"/>
        </w:rPr>
      </w:pPr>
    </w:p>
    <w:p>
      <w:pPr>
        <w:ind w:left="2600"/>
        <w:spacing w:after="0"/>
        <w:tabs>
          <w:tab w:leader="none" w:pos="4040" w:val="left"/>
        </w:tabs>
        <w:rPr>
          <w:sz w:val="20"/>
          <w:szCs w:val="20"/>
          <w:color w:val="auto"/>
        </w:rPr>
      </w:pPr>
      <w:r>
        <w:rPr>
          <w:rFonts w:ascii="Arial" w:cs="Arial" w:eastAsia="Arial" w:hAnsi="Arial"/>
          <w:sz w:val="20"/>
          <w:szCs w:val="20"/>
          <w:i w:val="1"/>
          <w:iCs w:val="1"/>
          <w:color w:val="3F3F3D"/>
        </w:rPr>
        <w:t>Effective Date</w:t>
      </w:r>
      <w:r>
        <w:rPr>
          <w:sz w:val="20"/>
          <w:szCs w:val="20"/>
          <w:color w:val="auto"/>
        </w:rPr>
        <w:tab/>
      </w:r>
      <w:r>
        <w:rPr>
          <w:rFonts w:ascii="Arial" w:cs="Arial" w:eastAsia="Arial" w:hAnsi="Arial"/>
          <w:sz w:val="16"/>
          <w:szCs w:val="16"/>
          <w:color w:val="3F3F3D"/>
        </w:rPr>
        <w:t>JANUARY 01</w:t>
      </w:r>
      <w:r>
        <w:rPr>
          <w:rFonts w:ascii="Arial" w:cs="Arial" w:eastAsia="Arial" w:hAnsi="Arial"/>
          <w:sz w:val="16"/>
          <w:szCs w:val="16"/>
          <w:color w:val="5D5D5B"/>
        </w:rPr>
        <w:t>, 2020</w:t>
      </w:r>
    </w:p>
    <w:p>
      <w:pPr>
        <w:spacing w:after="0" w:line="386" w:lineRule="exact"/>
        <w:rPr>
          <w:sz w:val="20"/>
          <w:szCs w:val="20"/>
          <w:color w:val="auto"/>
        </w:rPr>
      </w:pPr>
    </w:p>
    <w:p>
      <w:pPr>
        <w:ind w:left="2600"/>
        <w:spacing w:after="0"/>
        <w:rPr>
          <w:sz w:val="20"/>
          <w:szCs w:val="20"/>
          <w:color w:val="auto"/>
        </w:rPr>
      </w:pPr>
      <w:r>
        <w:rPr>
          <w:rFonts w:ascii="Arial" w:cs="Arial" w:eastAsia="Arial" w:hAnsi="Arial"/>
          <w:sz w:val="19"/>
          <w:szCs w:val="19"/>
          <w:i w:val="1"/>
          <w:iCs w:val="1"/>
          <w:color w:val="3F3F3D"/>
        </w:rPr>
        <w:t>Policy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F3F3D"/>
        </w:rPr>
        <w:t>Authorization</w:t>
      </w:r>
    </w:p>
    <w:p>
      <w:pPr>
        <w:spacing w:after="0" w:line="237" w:lineRule="exact"/>
        <w:rPr>
          <w:sz w:val="20"/>
          <w:szCs w:val="20"/>
          <w:color w:val="auto"/>
        </w:rPr>
      </w:pPr>
    </w:p>
    <w:p>
      <w:pPr>
        <w:ind w:right="240"/>
        <w:spacing w:after="0" w:line="326" w:lineRule="auto"/>
        <w:rPr>
          <w:sz w:val="20"/>
          <w:szCs w:val="20"/>
          <w:color w:val="auto"/>
        </w:rPr>
      </w:pPr>
      <w:r>
        <w:rPr>
          <w:rFonts w:ascii="Arial" w:cs="Arial" w:eastAsia="Arial" w:hAnsi="Arial"/>
          <w:sz w:val="17"/>
          <w:szCs w:val="17"/>
          <w:color w:val="2D2D2B"/>
        </w:rPr>
        <w:t xml:space="preserve">In </w:t>
      </w:r>
      <w:r>
        <w:rPr>
          <w:rFonts w:ascii="Arial" w:cs="Arial" w:eastAsia="Arial" w:hAnsi="Arial"/>
          <w:sz w:val="17"/>
          <w:szCs w:val="17"/>
          <w:color w:val="3F3F3D"/>
        </w:rPr>
        <w:t>Witness Whereof, the</w:t>
      </w:r>
      <w:r>
        <w:rPr>
          <w:rFonts w:ascii="Arial" w:cs="Arial" w:eastAsia="Arial" w:hAnsi="Arial"/>
          <w:sz w:val="17"/>
          <w:szCs w:val="17"/>
          <w:color w:val="2D2D2B"/>
        </w:rPr>
        <w:t xml:space="preserve"> </w:t>
      </w:r>
      <w:r>
        <w:rPr>
          <w:rFonts w:ascii="Arial" w:cs="Arial" w:eastAsia="Arial" w:hAnsi="Arial"/>
          <w:sz w:val="17"/>
          <w:szCs w:val="17"/>
          <w:color w:val="5D5D5B"/>
        </w:rPr>
        <w:t>c</w:t>
      </w:r>
      <w:r>
        <w:rPr>
          <w:rFonts w:ascii="Arial" w:cs="Arial" w:eastAsia="Arial" w:hAnsi="Arial"/>
          <w:sz w:val="17"/>
          <w:szCs w:val="17"/>
          <w:color w:val="3F3F3D"/>
        </w:rPr>
        <w:t>ompany</w:t>
      </w:r>
      <w:r>
        <w:rPr>
          <w:rFonts w:ascii="Arial" w:cs="Arial" w:eastAsia="Arial" w:hAnsi="Arial"/>
          <w:sz w:val="17"/>
          <w:szCs w:val="17"/>
          <w:color w:val="2D2D2B"/>
        </w:rPr>
        <w:t xml:space="preserve"> </w:t>
      </w:r>
      <w:r>
        <w:rPr>
          <w:rFonts w:ascii="Arial" w:cs="Arial" w:eastAsia="Arial" w:hAnsi="Arial"/>
          <w:sz w:val="17"/>
          <w:szCs w:val="17"/>
          <w:color w:val="5D5D5B"/>
        </w:rPr>
        <w:t>i</w:t>
      </w:r>
      <w:r>
        <w:rPr>
          <w:rFonts w:ascii="Arial" w:cs="Arial" w:eastAsia="Arial" w:hAnsi="Arial"/>
          <w:sz w:val="17"/>
          <w:szCs w:val="17"/>
          <w:color w:val="3F3F3D"/>
        </w:rPr>
        <w:t>ssu</w:t>
      </w:r>
      <w:r>
        <w:rPr>
          <w:rFonts w:ascii="Arial" w:cs="Arial" w:eastAsia="Arial" w:hAnsi="Arial"/>
          <w:sz w:val="17"/>
          <w:szCs w:val="17"/>
          <w:color w:val="5D5D5B"/>
        </w:rPr>
        <w:t>i</w:t>
      </w:r>
      <w:r>
        <w:rPr>
          <w:rFonts w:ascii="Arial" w:cs="Arial" w:eastAsia="Arial" w:hAnsi="Arial"/>
          <w:sz w:val="17"/>
          <w:szCs w:val="17"/>
          <w:color w:val="3F3F3D"/>
        </w:rPr>
        <w:t>ng this policy has caused this policy to be signed by its</w:t>
      </w:r>
      <w:r>
        <w:rPr>
          <w:rFonts w:ascii="Arial" w:cs="Arial" w:eastAsia="Arial" w:hAnsi="Arial"/>
          <w:sz w:val="17"/>
          <w:szCs w:val="17"/>
          <w:color w:val="2D2D2B"/>
        </w:rPr>
        <w:t xml:space="preserve"> </w:t>
      </w:r>
      <w:r>
        <w:rPr>
          <w:rFonts w:ascii="Arial" w:cs="Arial" w:eastAsia="Arial" w:hAnsi="Arial"/>
          <w:sz w:val="17"/>
          <w:szCs w:val="17"/>
          <w:color w:val="5D5D5B"/>
        </w:rPr>
        <w:t>au</w:t>
      </w:r>
      <w:r>
        <w:rPr>
          <w:rFonts w:ascii="Arial" w:cs="Arial" w:eastAsia="Arial" w:hAnsi="Arial"/>
          <w:sz w:val="17"/>
          <w:szCs w:val="17"/>
          <w:color w:val="3F3F3D"/>
        </w:rPr>
        <w:t>thorized officer</w:t>
      </w:r>
      <w:r>
        <w:rPr>
          <w:rFonts w:ascii="Arial" w:cs="Arial" w:eastAsia="Arial" w:hAnsi="Arial"/>
          <w:sz w:val="17"/>
          <w:szCs w:val="17"/>
          <w:color w:val="5D5D5B"/>
        </w:rPr>
        <w:t>s</w:t>
      </w:r>
      <w:r>
        <w:rPr>
          <w:rFonts w:ascii="Arial" w:cs="Arial" w:eastAsia="Arial" w:hAnsi="Arial"/>
          <w:sz w:val="17"/>
          <w:szCs w:val="17"/>
          <w:color w:val="2D2D2B"/>
        </w:rPr>
        <w:t xml:space="preserve"> </w:t>
      </w:r>
      <w:r>
        <w:rPr>
          <w:rFonts w:ascii="Arial" w:cs="Arial" w:eastAsia="Arial" w:hAnsi="Arial"/>
          <w:sz w:val="17"/>
          <w:szCs w:val="17"/>
          <w:color w:val="3F3F3D"/>
        </w:rPr>
        <w:t>and</w:t>
      </w:r>
      <w:r>
        <w:rPr>
          <w:rFonts w:ascii="Arial" w:cs="Arial" w:eastAsia="Arial" w:hAnsi="Arial"/>
          <w:sz w:val="17"/>
          <w:szCs w:val="17"/>
          <w:color w:val="2D2D2B"/>
        </w:rPr>
        <w:t xml:space="preserve"> </w:t>
      </w:r>
      <w:r>
        <w:rPr>
          <w:rFonts w:ascii="Arial" w:cs="Arial" w:eastAsia="Arial" w:hAnsi="Arial"/>
          <w:sz w:val="17"/>
          <w:szCs w:val="17"/>
          <w:color w:val="5D5D5B"/>
        </w:rPr>
        <w:t>s</w:t>
      </w:r>
      <w:r>
        <w:rPr>
          <w:rFonts w:ascii="Arial" w:cs="Arial" w:eastAsia="Arial" w:hAnsi="Arial"/>
          <w:sz w:val="17"/>
          <w:szCs w:val="17"/>
          <w:color w:val="3F3F3D"/>
        </w:rPr>
        <w:t>igned by a duly authorized</w:t>
      </w:r>
      <w:r>
        <w:rPr>
          <w:rFonts w:ascii="Arial" w:cs="Arial" w:eastAsia="Arial" w:hAnsi="Arial"/>
          <w:sz w:val="17"/>
          <w:szCs w:val="17"/>
          <w:color w:val="2D2D2B"/>
        </w:rPr>
        <w:t xml:space="preserve"> </w:t>
      </w:r>
      <w:r>
        <w:rPr>
          <w:rFonts w:ascii="Arial" w:cs="Arial" w:eastAsia="Arial" w:hAnsi="Arial"/>
          <w:sz w:val="17"/>
          <w:szCs w:val="17"/>
          <w:color w:val="3F3F3D"/>
        </w:rPr>
        <w:t>representative of the compan</w:t>
      </w:r>
      <w:r>
        <w:rPr>
          <w:rFonts w:ascii="Arial" w:cs="Arial" w:eastAsia="Arial" w:hAnsi="Arial"/>
          <w:sz w:val="17"/>
          <w:szCs w:val="17"/>
          <w:color w:val="5D5D5B"/>
        </w:rPr>
        <w:t>y.</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3F3F3D"/>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85090</wp:posOffset>
            </wp:positionV>
            <wp:extent cx="4620260" cy="419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8">
                      <a:extLst>
                        <a:ext uri="{28A0092B-C50C-407E-A947-70E740481C1C}"/>
                      </a:extLst>
                    </a:blip>
                    <a:srcRect/>
                    <a:stretch>
                      <a:fillRect/>
                    </a:stretch>
                  </pic:blipFill>
                  <pic:spPr bwMode="auto">
                    <a:xfrm>
                      <a:off x="0" y="0"/>
                      <a:ext cx="4620260" cy="41973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00"/>
        <w:spacing w:after="0"/>
        <w:rPr>
          <w:sz w:val="20"/>
          <w:szCs w:val="20"/>
          <w:color w:val="auto"/>
        </w:rPr>
      </w:pPr>
      <w:r>
        <w:rPr>
          <w:rFonts w:ascii="Arial" w:cs="Arial" w:eastAsia="Arial" w:hAnsi="Arial"/>
          <w:sz w:val="13"/>
          <w:szCs w:val="13"/>
          <w:color w:val="3F3F3D"/>
        </w:rPr>
        <w:t>Pr</w:t>
      </w:r>
      <w:r>
        <w:rPr>
          <w:rFonts w:ascii="Arial" w:cs="Arial" w:eastAsia="Arial" w:hAnsi="Arial"/>
          <w:sz w:val="13"/>
          <w:szCs w:val="13"/>
          <w:color w:val="5D5D5B"/>
        </w:rPr>
        <w:t>es</w:t>
      </w:r>
      <w:r>
        <w:rPr>
          <w:rFonts w:ascii="Arial" w:cs="Arial" w:eastAsia="Arial" w:hAnsi="Arial"/>
          <w:sz w:val="13"/>
          <w:szCs w:val="13"/>
          <w:color w:val="3F3F3D"/>
        </w:rPr>
        <w:t>id</w:t>
      </w:r>
      <w:r>
        <w:rPr>
          <w:rFonts w:ascii="Arial" w:cs="Arial" w:eastAsia="Arial" w:hAnsi="Arial"/>
          <w:sz w:val="13"/>
          <w:szCs w:val="13"/>
          <w:color w:val="5D5D5B"/>
        </w:rPr>
        <w:t>e</w:t>
      </w:r>
      <w:r>
        <w:rPr>
          <w:rFonts w:ascii="Arial" w:cs="Arial" w:eastAsia="Arial" w:hAnsi="Arial"/>
          <w:sz w:val="13"/>
          <w:szCs w:val="13"/>
          <w:color w:val="3F3F3D"/>
        </w:rPr>
        <w:t>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500"/>
        <w:spacing w:after="0"/>
        <w:rPr>
          <w:sz w:val="20"/>
          <w:szCs w:val="20"/>
          <w:color w:val="auto"/>
        </w:rPr>
      </w:pPr>
      <w:r>
        <w:rPr>
          <w:rFonts w:ascii="Arial" w:cs="Arial" w:eastAsia="Arial" w:hAnsi="Arial"/>
          <w:sz w:val="13"/>
          <w:szCs w:val="13"/>
          <w:color w:val="3F3F3D"/>
        </w:rPr>
        <w:t>D</w:t>
      </w:r>
      <w:r>
        <w:rPr>
          <w:rFonts w:ascii="Arial" w:cs="Arial" w:eastAsia="Arial" w:hAnsi="Arial"/>
          <w:sz w:val="13"/>
          <w:szCs w:val="13"/>
          <w:color w:val="5D5D5B"/>
        </w:rPr>
        <w:t>ate</w:t>
      </w:r>
    </w:p>
    <w:p>
      <w:pPr>
        <w:spacing w:after="0" w:line="83"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January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3F3F3D"/>
        </w:rPr>
        <w:t>Producer</w:t>
      </w:r>
      <w:r>
        <w:rPr>
          <w:rFonts w:ascii="Arial" w:cs="Arial" w:eastAsia="Arial" w:hAnsi="Arial"/>
          <w:sz w:val="17"/>
          <w:szCs w:val="17"/>
          <w:color w:val="5D5D5B"/>
        </w:rPr>
        <w:t>'</w:t>
      </w:r>
      <w:r>
        <w:rPr>
          <w:rFonts w:ascii="Arial" w:cs="Arial" w:eastAsia="Arial" w:hAnsi="Arial"/>
          <w:sz w:val="17"/>
          <w:szCs w:val="17"/>
          <w:color w:val="3F3F3D"/>
        </w:rPr>
        <w:t xml:space="preserve">s Name </w:t>
      </w:r>
      <w:r>
        <w:rPr>
          <w:rFonts w:ascii="Arial" w:cs="Arial" w:eastAsia="Arial" w:hAnsi="Arial"/>
          <w:sz w:val="16"/>
          <w:szCs w:val="16"/>
          <w:color w:val="3F3F3D"/>
        </w:rPr>
        <w:t>&amp;</w:t>
      </w:r>
      <w:r>
        <w:rPr>
          <w:rFonts w:ascii="Arial" w:cs="Arial" w:eastAsia="Arial" w:hAnsi="Arial"/>
          <w:sz w:val="17"/>
          <w:szCs w:val="17"/>
          <w:color w:val="3F3F3D"/>
        </w:rPr>
        <w:t xml:space="preserve"> Add</w:t>
      </w:r>
      <w:r>
        <w:rPr>
          <w:rFonts w:ascii="Arial" w:cs="Arial" w:eastAsia="Arial" w:hAnsi="Arial"/>
          <w:sz w:val="17"/>
          <w:szCs w:val="17"/>
          <w:color w:val="5D5D5B"/>
        </w:rPr>
        <w:t>res</w:t>
      </w:r>
      <w:r>
        <w:rPr>
          <w:rFonts w:ascii="Arial" w:cs="Arial" w:eastAsia="Arial" w:hAnsi="Arial"/>
          <w:sz w:val="17"/>
          <w:szCs w:val="17"/>
          <w:color w:val="3F3F3D"/>
        </w:rPr>
        <w: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MARSH </w:t>
      </w:r>
      <w:r>
        <w:rPr>
          <w:rFonts w:ascii="Arial" w:cs="Arial" w:eastAsia="Arial" w:hAnsi="Arial"/>
          <w:sz w:val="17"/>
          <w:szCs w:val="17"/>
          <w:color w:val="2D2D2B"/>
        </w:rPr>
        <w:t>USA</w:t>
      </w:r>
      <w:r>
        <w:rPr>
          <w:rFonts w:ascii="Arial" w:cs="Arial" w:eastAsia="Arial" w:hAnsi="Arial"/>
          <w:sz w:val="17"/>
          <w:szCs w:val="17"/>
          <w:color w:val="5D5D5B"/>
        </w:rPr>
        <w:t>,</w:t>
      </w:r>
      <w:r>
        <w:rPr>
          <w:rFonts w:ascii="Arial" w:cs="Arial" w:eastAsia="Arial" w:hAnsi="Arial"/>
          <w:sz w:val="17"/>
          <w:szCs w:val="17"/>
          <w:color w:val="3F3F3D"/>
        </w:rPr>
        <w:t xml:space="preserve"> INC</w:t>
      </w:r>
      <w:r>
        <w:rPr>
          <w:rFonts w:ascii="Arial" w:cs="Arial" w:eastAsia="Arial" w:hAnsi="Arial"/>
          <w:sz w:val="17"/>
          <w:szCs w:val="17"/>
          <w:color w:val="5D5D5B"/>
        </w:rPr>
        <w:t>.</w:t>
      </w:r>
      <w:r>
        <w:rPr>
          <w:rFonts w:ascii="Arial" w:cs="Arial" w:eastAsia="Arial" w:hAnsi="Arial"/>
          <w:sz w:val="17"/>
          <w:szCs w:val="17"/>
          <w:color w:val="3F3F3D"/>
        </w:rPr>
        <w:t xml:space="preserve"> (SOUTHWEST</w:t>
      </w:r>
      <w:r>
        <w:rPr>
          <w:rFonts w:ascii="Arial" w:cs="Arial" w:eastAsia="Arial" w:hAnsi="Arial"/>
          <w:sz w:val="17"/>
          <w:szCs w:val="17"/>
          <w:color w:val="5D5D5B"/>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7201 </w:t>
      </w:r>
      <w:r>
        <w:rPr>
          <w:rFonts w:ascii="Arial" w:cs="Arial" w:eastAsia="Arial" w:hAnsi="Arial"/>
          <w:sz w:val="17"/>
          <w:szCs w:val="17"/>
          <w:color w:val="2D2D2B"/>
        </w:rPr>
        <w:t>W</w:t>
      </w:r>
      <w:r>
        <w:rPr>
          <w:rFonts w:ascii="Arial" w:cs="Arial" w:eastAsia="Arial" w:hAnsi="Arial"/>
          <w:sz w:val="17"/>
          <w:szCs w:val="17"/>
          <w:color w:val="3F3F3D"/>
        </w:rPr>
        <w:t xml:space="preserve"> LK MEAD BLVD #400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3F3F3D"/>
        </w:rPr>
        <w:t>LAS VEGAS</w:t>
      </w:r>
      <w:r>
        <w:rPr>
          <w:rFonts w:ascii="Arial" w:cs="Arial" w:eastAsia="Arial" w:hAnsi="Arial"/>
          <w:sz w:val="17"/>
          <w:szCs w:val="17"/>
          <w:color w:val="5D5D5B"/>
        </w:rPr>
        <w:t>,</w:t>
      </w:r>
      <w:r>
        <w:rPr>
          <w:rFonts w:ascii="Arial" w:cs="Arial" w:eastAsia="Arial" w:hAnsi="Arial"/>
          <w:sz w:val="17"/>
          <w:szCs w:val="17"/>
          <w:color w:val="3F3F3D"/>
        </w:rPr>
        <w:t xml:space="preserve"> NV 89128</w:t>
      </w:r>
      <w:r>
        <w:rPr>
          <w:rFonts w:ascii="Arial" w:cs="Arial" w:eastAsia="Arial" w:hAnsi="Arial"/>
          <w:sz w:val="17"/>
          <w:szCs w:val="17"/>
          <w:color w:val="5D5D5B"/>
        </w:rPr>
        <w:t>-</w:t>
      </w:r>
      <w:r>
        <w:rPr>
          <w:rFonts w:ascii="Arial" w:cs="Arial" w:eastAsia="Arial" w:hAnsi="Arial"/>
          <w:sz w:val="17"/>
          <w:szCs w:val="17"/>
          <w:color w:val="3F3F3D"/>
        </w:rPr>
        <w:t>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1340" w:type="dxa"/>
            <w:vAlign w:val="bottom"/>
          </w:tcPr>
          <w:p>
            <w:pPr>
              <w:ind w:left="760"/>
              <w:spacing w:after="0"/>
              <w:rPr>
                <w:sz w:val="20"/>
                <w:szCs w:val="20"/>
                <w:color w:val="auto"/>
              </w:rPr>
            </w:pPr>
            <w:r>
              <w:rPr>
                <w:rFonts w:ascii="Arial" w:cs="Arial" w:eastAsia="Arial" w:hAnsi="Arial"/>
                <w:sz w:val="14"/>
                <w:szCs w:val="14"/>
                <w:i w:val="1"/>
                <w:iCs w:val="1"/>
                <w:color w:val="464644"/>
                <w:w w:val="98"/>
              </w:rPr>
              <w:t>last page</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1220" w:type="dxa"/>
            <w:vAlign w:val="bottom"/>
            <w:shd w:val="clear" w:color="auto" w:fill="464644"/>
          </w:tcPr>
          <w:p>
            <w:pPr>
              <w:spacing w:after="0" w:line="20" w:lineRule="exact"/>
              <w:rPr>
                <w:sz w:val="1"/>
                <w:szCs w:val="1"/>
                <w:color w:val="auto"/>
              </w:rPr>
            </w:pPr>
          </w:p>
        </w:tc>
        <w:tc>
          <w:tcPr>
            <w:tcW w:w="1340" w:type="dxa"/>
            <w:vAlign w:val="bottom"/>
            <w:shd w:val="clear" w:color="auto" w:fill="464644"/>
          </w:tcPr>
          <w:p>
            <w:pPr>
              <w:spacing w:after="0" w:line="20" w:lineRule="exact"/>
              <w:rPr>
                <w:sz w:val="1"/>
                <w:szCs w:val="1"/>
                <w:color w:val="auto"/>
              </w:rPr>
            </w:pPr>
          </w:p>
        </w:tc>
      </w:tr>
      <w:tr>
        <w:trPr>
          <w:trHeight w:val="225"/>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  </w:t>
            </w:r>
            <w:r>
              <w:rPr>
                <w:rFonts w:ascii="Arial" w:cs="Arial" w:eastAsia="Arial" w:hAnsi="Arial"/>
                <w:sz w:val="14"/>
                <w:szCs w:val="14"/>
                <w:i w:val="1"/>
                <w:iCs w:val="1"/>
                <w:color w:val="363636"/>
              </w:rPr>
              <w:t>Declarations</w:t>
            </w:r>
          </w:p>
        </w:tc>
        <w:tc>
          <w:tcPr>
            <w:tcW w:w="1340" w:type="dxa"/>
            <w:vAlign w:val="bottom"/>
          </w:tcPr>
          <w:p>
            <w:pPr>
              <w:ind w:left="520"/>
              <w:spacing w:after="0"/>
              <w:rPr>
                <w:sz w:val="20"/>
                <w:szCs w:val="20"/>
                <w:color w:val="auto"/>
              </w:rPr>
            </w:pPr>
            <w:r>
              <w:rPr>
                <w:rFonts w:ascii="Arial" w:cs="Arial" w:eastAsia="Arial" w:hAnsi="Arial"/>
                <w:sz w:val="14"/>
                <w:szCs w:val="14"/>
                <w:i w:val="1"/>
                <w:iCs w:val="1"/>
                <w:color w:val="363636"/>
              </w:rPr>
              <w:t>Page 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5D5D5B"/>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325755</wp:posOffset>
            </wp:positionV>
            <wp:extent cx="110617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9">
                      <a:extLst>
                        <a:ext uri="{28A0092B-C50C-407E-A947-70E740481C1C}"/>
                      </a:extLst>
                    </a:blip>
                    <a:srcRect/>
                    <a:stretch>
                      <a:fillRect/>
                    </a:stretch>
                  </pic:blipFill>
                  <pic:spPr bwMode="auto">
                    <a:xfrm>
                      <a:off x="0" y="0"/>
                      <a:ext cx="11061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color w:val="5D5D5B"/>
        </w:rPr>
        <w:t>A</w:t>
      </w:r>
      <w:r>
        <w:rPr>
          <w:rFonts w:ascii="Arial" w:cs="Arial" w:eastAsia="Arial" w:hAnsi="Arial"/>
          <w:sz w:val="13"/>
          <w:szCs w:val="13"/>
          <w:color w:val="3F3F3D"/>
        </w:rPr>
        <w:t>ut</w:t>
      </w:r>
      <w:r>
        <w:rPr>
          <w:rFonts w:ascii="Arial" w:cs="Arial" w:eastAsia="Arial" w:hAnsi="Arial"/>
          <w:sz w:val="13"/>
          <w:szCs w:val="13"/>
          <w:color w:val="5D5D5B"/>
        </w:rPr>
        <w:t>ho</w:t>
      </w:r>
      <w:r>
        <w:rPr>
          <w:rFonts w:ascii="Arial" w:cs="Arial" w:eastAsia="Arial" w:hAnsi="Arial"/>
          <w:sz w:val="13"/>
          <w:szCs w:val="13"/>
          <w:color w:val="3F3F3D"/>
        </w:rPr>
        <w:t>r</w:t>
      </w:r>
      <w:r>
        <w:rPr>
          <w:rFonts w:ascii="Arial" w:cs="Arial" w:eastAsia="Arial" w:hAnsi="Arial"/>
          <w:sz w:val="13"/>
          <w:szCs w:val="13"/>
          <w:color w:val="5D5D5B"/>
        </w:rPr>
        <w:t>ize</w:t>
      </w:r>
      <w:r>
        <w:rPr>
          <w:rFonts w:ascii="Arial" w:cs="Arial" w:eastAsia="Arial" w:hAnsi="Arial"/>
          <w:sz w:val="13"/>
          <w:szCs w:val="13"/>
          <w:color w:val="3F3F3D"/>
        </w:rPr>
        <w:t>d R</w:t>
      </w:r>
      <w:r>
        <w:rPr>
          <w:rFonts w:ascii="Arial" w:cs="Arial" w:eastAsia="Arial" w:hAnsi="Arial"/>
          <w:sz w:val="13"/>
          <w:szCs w:val="13"/>
          <w:color w:val="5D5D5B"/>
        </w:rPr>
        <w:t>ep</w:t>
      </w:r>
      <w:r>
        <w:rPr>
          <w:rFonts w:ascii="Arial" w:cs="Arial" w:eastAsia="Arial" w:hAnsi="Arial"/>
          <w:sz w:val="13"/>
          <w:szCs w:val="13"/>
          <w:color w:val="3F3F3D"/>
        </w:rPr>
        <w:t>r</w:t>
      </w:r>
      <w:r>
        <w:rPr>
          <w:rFonts w:ascii="Arial" w:cs="Arial" w:eastAsia="Arial" w:hAnsi="Arial"/>
          <w:sz w:val="13"/>
          <w:szCs w:val="13"/>
          <w:color w:val="5D5D5B"/>
        </w:rPr>
        <w:t>ese</w:t>
      </w:r>
      <w:r>
        <w:rPr>
          <w:rFonts w:ascii="Arial" w:cs="Arial" w:eastAsia="Arial" w:hAnsi="Arial"/>
          <w:sz w:val="13"/>
          <w:szCs w:val="13"/>
          <w:color w:val="3F3F3D"/>
        </w:rPr>
        <w:t>nt</w:t>
      </w:r>
      <w:r>
        <w:rPr>
          <w:rFonts w:ascii="Arial" w:cs="Arial" w:eastAsia="Arial" w:hAnsi="Arial"/>
          <w:sz w:val="13"/>
          <w:szCs w:val="13"/>
          <w:color w:val="5D5D5B"/>
        </w:rPr>
        <w:t>a</w:t>
      </w:r>
      <w:r>
        <w:rPr>
          <w:rFonts w:ascii="Arial" w:cs="Arial" w:eastAsia="Arial" w:hAnsi="Arial"/>
          <w:sz w:val="13"/>
          <w:szCs w:val="13"/>
          <w:color w:val="2D2D2B"/>
        </w:rPr>
        <w:t>ti</w:t>
      </w:r>
      <w:r>
        <w:rPr>
          <w:rFonts w:ascii="Arial" w:cs="Arial" w:eastAsia="Arial" w:hAnsi="Arial"/>
          <w:sz w:val="13"/>
          <w:szCs w:val="13"/>
          <w:color w:val="5D5D5B"/>
        </w:rPr>
        <w:t>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34"/>
          <w:szCs w:val="34"/>
          <w:b w:val="1"/>
          <w:bCs w:val="1"/>
          <w:color w:val="3F3F3D"/>
        </w:rPr>
        <w:t>Chubb. Insured</w:t>
      </w:r>
    </w:p>
    <w:p>
      <w:pPr>
        <w:sectPr>
          <w:pgSz w:w="11900" w:h="16838" w:orient="portrait"/>
          <w:cols w:equalWidth="0" w:num="2">
            <w:col w:w="5000" w:space="720"/>
            <w:col w:w="5520"/>
          </w:cols>
          <w:pgMar w:left="320" w:top="380" w:right="339" w:bottom="1440" w:gutter="0" w:footer="0" w:header="0"/>
          <w:type w:val="continuous"/>
        </w:sectPr>
      </w:pPr>
    </w:p>
    <w:bookmarkStart w:id="127" w:name="page128"/>
    <w:bookmarkEnd w:id="127"/>
    <w:p>
      <w:pPr>
        <w:ind w:left="4080"/>
        <w:spacing w:after="0"/>
        <w:rPr>
          <w:sz w:val="20"/>
          <w:szCs w:val="20"/>
          <w:color w:val="auto"/>
        </w:rPr>
      </w:pPr>
      <w:r>
        <w:rPr>
          <w:rFonts w:ascii="Arial" w:cs="Arial" w:eastAsia="Arial" w:hAnsi="Arial"/>
          <w:sz w:val="23"/>
          <w:szCs w:val="23"/>
          <w:b w:val="1"/>
          <w:bCs w:val="1"/>
          <w:i w:val="1"/>
          <w:iCs w:val="1"/>
          <w:color w:val="42423F"/>
        </w:rPr>
        <w:t>Schedule of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10553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0">
                      <a:extLst>
                        <a:ext uri="{28A0092B-C50C-407E-A947-70E740481C1C}"/>
                      </a:extLst>
                    </a:blip>
                    <a:srcRect/>
                    <a:stretch>
                      <a:fillRect/>
                    </a:stretch>
                  </pic:blipFill>
                  <pic:spPr bwMode="auto">
                    <a:xfrm>
                      <a:off x="0" y="0"/>
                      <a:ext cx="1105535" cy="146050"/>
                    </a:xfrm>
                    <a:prstGeom prst="rect">
                      <a:avLst/>
                    </a:prstGeom>
                    <a:noFill/>
                  </pic:spPr>
                </pic:pic>
              </a:graphicData>
            </a:graphic>
          </wp:anchor>
        </w:drawing>
      </w:r>
    </w:p>
    <w:p>
      <w:pPr>
        <w:sectPr>
          <w:pgSz w:w="11900" w:h="16838" w:orient="portrait"/>
          <w:cols w:equalWidth="0" w:num="1">
            <w:col w:w="10000"/>
          </w:cols>
          <w:pgMar w:left="460" w:top="494"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42423F"/>
        </w:rPr>
        <w:t>Policy Number</w:t>
      </w:r>
      <w:r>
        <w:rPr>
          <w:rFonts w:ascii="Arial" w:cs="Arial" w:eastAsia="Arial" w:hAnsi="Arial"/>
          <w:sz w:val="17"/>
          <w:szCs w:val="17"/>
          <w:color w:val="1F1F1D"/>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42423F"/>
        </w:rPr>
        <w:t>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42423F"/>
        </w:rPr>
        <w:t>BOOZ ALLEN HAMILTON INC</w:t>
      </w:r>
    </w:p>
    <w:p>
      <w:pPr>
        <w:spacing w:after="0" w:line="231" w:lineRule="exact"/>
        <w:rPr>
          <w:sz w:val="20"/>
          <w:szCs w:val="20"/>
          <w:color w:val="auto"/>
        </w:rPr>
      </w:pPr>
    </w:p>
    <w:p>
      <w:pPr>
        <w:sectPr>
          <w:pgSz w:w="11900" w:h="16838" w:orient="portrait"/>
          <w:cols w:equalWidth="0" w:num="2">
            <w:col w:w="2260" w:space="720"/>
            <w:col w:w="7020"/>
          </w:cols>
          <w:pgMar w:left="460" w:top="494" w:right="1439" w:bottom="1440" w:gutter="0" w:footer="0" w:header="0"/>
          <w:type w:val="continuous"/>
        </w:sectPr>
      </w:pPr>
    </w:p>
    <w:p>
      <w:pPr>
        <w:spacing w:after="0" w:line="79" w:lineRule="exact"/>
        <w:rPr>
          <w:sz w:val="20"/>
          <w:szCs w:val="20"/>
          <w:color w:val="auto"/>
        </w:rPr>
      </w:pPr>
    </w:p>
    <w:p>
      <w:pPr>
        <w:ind w:left="2980"/>
        <w:spacing w:after="0"/>
        <w:rPr>
          <w:sz w:val="20"/>
          <w:szCs w:val="20"/>
          <w:color w:val="auto"/>
        </w:rPr>
      </w:pPr>
      <w:r>
        <w:rPr>
          <w:rFonts w:ascii="Arial" w:cs="Arial" w:eastAsia="Arial" w:hAnsi="Arial"/>
          <w:sz w:val="17"/>
          <w:szCs w:val="17"/>
          <w:color w:val="42423F"/>
        </w:rPr>
        <w:t>Group Personal Excess Program</w:t>
      </w:r>
    </w:p>
    <w:p>
      <w:pPr>
        <w:spacing w:after="0" w:line="286" w:lineRule="exact"/>
        <w:rPr>
          <w:sz w:val="20"/>
          <w:szCs w:val="20"/>
          <w:color w:val="auto"/>
        </w:rPr>
      </w:pPr>
    </w:p>
    <w:p>
      <w:pPr>
        <w:ind w:left="2980"/>
        <w:spacing w:after="0"/>
        <w:rPr>
          <w:sz w:val="20"/>
          <w:szCs w:val="20"/>
          <w:color w:val="auto"/>
        </w:rPr>
      </w:pPr>
      <w:r>
        <w:rPr>
          <w:rFonts w:ascii="Arial" w:cs="Arial" w:eastAsia="Arial" w:hAnsi="Arial"/>
          <w:sz w:val="18"/>
          <w:szCs w:val="18"/>
          <w:color w:val="565654"/>
        </w:rPr>
        <w:t xml:space="preserve">JANUARY </w:t>
      </w:r>
      <w:r>
        <w:rPr>
          <w:rFonts w:ascii="Arial" w:cs="Arial" w:eastAsia="Arial" w:hAnsi="Arial"/>
          <w:sz w:val="16"/>
          <w:szCs w:val="16"/>
          <w:color w:val="42423F"/>
        </w:rPr>
        <w:t>01, 2020 to</w:t>
      </w:r>
      <w:r>
        <w:rPr>
          <w:rFonts w:ascii="Arial" w:cs="Arial" w:eastAsia="Arial" w:hAnsi="Arial"/>
          <w:sz w:val="18"/>
          <w:szCs w:val="18"/>
          <w:color w:val="565654"/>
        </w:rPr>
        <w:t xml:space="preserve"> </w:t>
      </w:r>
      <w:r>
        <w:rPr>
          <w:rFonts w:ascii="Arial" w:cs="Arial" w:eastAsia="Arial" w:hAnsi="Arial"/>
          <w:sz w:val="18"/>
          <w:szCs w:val="18"/>
          <w:color w:val="42423F"/>
        </w:rPr>
        <w:t>JANUARY</w:t>
      </w:r>
      <w:r>
        <w:rPr>
          <w:rFonts w:ascii="Arial" w:cs="Arial" w:eastAsia="Arial" w:hAnsi="Arial"/>
          <w:sz w:val="18"/>
          <w:szCs w:val="18"/>
          <w:color w:val="565654"/>
        </w:rPr>
        <w:t xml:space="preserve"> </w:t>
      </w:r>
      <w:r>
        <w:rPr>
          <w:rFonts w:ascii="Arial" w:cs="Arial" w:eastAsia="Arial" w:hAnsi="Arial"/>
          <w:sz w:val="16"/>
          <w:szCs w:val="16"/>
          <w:color w:val="42423F"/>
        </w:rPr>
        <w:t>01, 2021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2F2F2D"/>
        </w:rPr>
        <w:t xml:space="preserve">Policy </w:t>
      </w:r>
      <w:r>
        <w:rPr>
          <w:rFonts w:ascii="Arial" w:cs="Arial" w:eastAsia="Arial" w:hAnsi="Arial"/>
          <w:sz w:val="17"/>
          <w:szCs w:val="17"/>
          <w:color w:val="42423F"/>
        </w:rPr>
        <w:t>Period From:</w:t>
      </w:r>
    </w:p>
    <w:p>
      <w:pPr>
        <w:sectPr>
          <w:pgSz w:w="11900" w:h="16838" w:orient="portrait"/>
          <w:cols w:equalWidth="0" w:num="1">
            <w:col w:w="10000"/>
          </w:cols>
          <w:pgMar w:left="460" w:top="494"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2F2F2D"/>
        </w:rPr>
        <w:t xml:space="preserve">The following </w:t>
      </w:r>
      <w:r>
        <w:rPr>
          <w:rFonts w:ascii="Arial" w:cs="Arial" w:eastAsia="Arial" w:hAnsi="Arial"/>
          <w:sz w:val="17"/>
          <w:szCs w:val="17"/>
          <w:color w:val="42423F"/>
        </w:rPr>
        <w:t>is a</w:t>
      </w:r>
      <w:r>
        <w:rPr>
          <w:rFonts w:ascii="Arial" w:cs="Arial" w:eastAsia="Arial" w:hAnsi="Arial"/>
          <w:sz w:val="17"/>
          <w:szCs w:val="17"/>
          <w:color w:val="2F2F2D"/>
        </w:rPr>
        <w:t xml:space="preserve"> </w:t>
      </w:r>
      <w:r>
        <w:rPr>
          <w:rFonts w:ascii="Arial" w:cs="Arial" w:eastAsia="Arial" w:hAnsi="Arial"/>
          <w:sz w:val="17"/>
          <w:szCs w:val="17"/>
          <w:color w:val="565654"/>
        </w:rPr>
        <w:t>schedule</w:t>
      </w:r>
      <w:r>
        <w:rPr>
          <w:rFonts w:ascii="Arial" w:cs="Arial" w:eastAsia="Arial" w:hAnsi="Arial"/>
          <w:sz w:val="17"/>
          <w:szCs w:val="17"/>
          <w:color w:val="2F2F2D"/>
        </w:rPr>
        <w:t xml:space="preserve"> </w:t>
      </w:r>
      <w:r>
        <w:rPr>
          <w:rFonts w:ascii="Arial" w:cs="Arial" w:eastAsia="Arial" w:hAnsi="Arial"/>
          <w:sz w:val="17"/>
          <w:szCs w:val="17"/>
          <w:color w:val="42423F"/>
        </w:rPr>
        <w:t>of forms issued with the policy at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5680" w:type="dxa"/>
            <w:vAlign w:val="bottom"/>
          </w:tcPr>
          <w:p>
            <w:pPr>
              <w:ind w:left="80"/>
              <w:spacing w:after="0"/>
              <w:rPr>
                <w:sz w:val="20"/>
                <w:szCs w:val="20"/>
                <w:color w:val="auto"/>
              </w:rPr>
            </w:pPr>
            <w:r>
              <w:rPr>
                <w:rFonts w:ascii="Arial" w:cs="Arial" w:eastAsia="Arial" w:hAnsi="Arial"/>
                <w:sz w:val="21"/>
                <w:szCs w:val="21"/>
                <w:b w:val="1"/>
                <w:bCs w:val="1"/>
                <w:color w:val="42423F"/>
              </w:rPr>
              <w:t>Form Name</w:t>
            </w:r>
          </w:p>
        </w:tc>
        <w:tc>
          <w:tcPr>
            <w:tcW w:w="4120" w:type="dxa"/>
            <w:vAlign w:val="bottom"/>
            <w:gridSpan w:val="2"/>
          </w:tcPr>
          <w:p>
            <w:pPr>
              <w:jc w:val="right"/>
              <w:ind w:right="1275"/>
              <w:spacing w:after="0"/>
              <w:rPr>
                <w:sz w:val="20"/>
                <w:szCs w:val="20"/>
                <w:color w:val="auto"/>
              </w:rPr>
            </w:pPr>
            <w:r>
              <w:rPr>
                <w:rFonts w:ascii="Arial" w:cs="Arial" w:eastAsia="Arial" w:hAnsi="Arial"/>
                <w:sz w:val="21"/>
                <w:szCs w:val="21"/>
                <w:b w:val="1"/>
                <w:bCs w:val="1"/>
                <w:color w:val="42423F"/>
              </w:rPr>
              <w:t>Form Number</w:t>
            </w:r>
          </w:p>
        </w:tc>
      </w:tr>
      <w:tr>
        <w:trPr>
          <w:trHeight w:val="235"/>
        </w:trPr>
        <w:tc>
          <w:tcPr>
            <w:tcW w:w="5680" w:type="dxa"/>
            <w:vAlign w:val="bottom"/>
            <w:tcBorders>
              <w:bottom w:val="single" w:sz="8" w:color="484844"/>
            </w:tcBorders>
          </w:tcPr>
          <w:p>
            <w:pPr>
              <w:spacing w:after="0"/>
              <w:rPr>
                <w:sz w:val="20"/>
                <w:szCs w:val="20"/>
                <w:color w:val="auto"/>
              </w:rPr>
            </w:pPr>
          </w:p>
        </w:tc>
        <w:tc>
          <w:tcPr>
            <w:tcW w:w="4120" w:type="dxa"/>
            <w:vAlign w:val="bottom"/>
            <w:tcBorders>
              <w:bottom w:val="single" w:sz="8" w:color="auto"/>
            </w:tcBorders>
            <w:gridSpan w:val="2"/>
          </w:tcPr>
          <w:p>
            <w:pPr>
              <w:spacing w:after="0"/>
              <w:rPr>
                <w:sz w:val="20"/>
                <w:szCs w:val="20"/>
                <w:color w:val="auto"/>
              </w:rPr>
            </w:pPr>
          </w:p>
        </w:tc>
      </w:tr>
      <w:tr>
        <w:trPr>
          <w:trHeight w:val="238"/>
        </w:trPr>
        <w:tc>
          <w:tcPr>
            <w:tcW w:w="5680" w:type="dxa"/>
            <w:vAlign w:val="bottom"/>
          </w:tcPr>
          <w:p>
            <w:pPr>
              <w:ind w:left="80"/>
              <w:spacing w:after="0"/>
              <w:rPr>
                <w:sz w:val="20"/>
                <w:szCs w:val="20"/>
                <w:color w:val="auto"/>
              </w:rPr>
            </w:pPr>
            <w:r>
              <w:rPr>
                <w:rFonts w:ascii="Arial" w:cs="Arial" w:eastAsia="Arial" w:hAnsi="Arial"/>
                <w:sz w:val="19"/>
                <w:szCs w:val="19"/>
                <w:color w:val="auto"/>
              </w:rPr>
              <w:t>PRIVACY NOTICE - GROUP MASTER POLICY</w:t>
            </w:r>
          </w:p>
        </w:tc>
        <w:tc>
          <w:tcPr>
            <w:tcW w:w="4120" w:type="dxa"/>
            <w:vAlign w:val="bottom"/>
            <w:gridSpan w:val="2"/>
          </w:tcPr>
          <w:p>
            <w:pPr>
              <w:jc w:val="right"/>
              <w:ind w:right="1155"/>
              <w:spacing w:after="0"/>
              <w:rPr>
                <w:sz w:val="20"/>
                <w:szCs w:val="20"/>
                <w:color w:val="auto"/>
              </w:rPr>
            </w:pPr>
            <w:r>
              <w:rPr>
                <w:rFonts w:ascii="Arial" w:cs="Arial" w:eastAsia="Arial" w:hAnsi="Arial"/>
                <w:sz w:val="17"/>
                <w:szCs w:val="17"/>
                <w:color w:val="auto"/>
              </w:rPr>
              <w:t>10-02-1058 (10/16)</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IMPORTANT NOTICE - OFAC</w:t>
            </w:r>
          </w:p>
        </w:tc>
        <w:tc>
          <w:tcPr>
            <w:tcW w:w="4120" w:type="dxa"/>
            <w:vAlign w:val="bottom"/>
            <w:gridSpan w:val="2"/>
          </w:tcPr>
          <w:p>
            <w:pPr>
              <w:jc w:val="right"/>
              <w:ind w:right="1155"/>
              <w:spacing w:after="0"/>
              <w:rPr>
                <w:sz w:val="20"/>
                <w:szCs w:val="20"/>
                <w:color w:val="auto"/>
              </w:rPr>
            </w:pPr>
            <w:r>
              <w:rPr>
                <w:rFonts w:ascii="Arial" w:cs="Arial" w:eastAsia="Arial" w:hAnsi="Arial"/>
                <w:sz w:val="17"/>
                <w:szCs w:val="17"/>
                <w:color w:val="auto"/>
              </w:rPr>
              <w:t>99-10-0796 (09/04)</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AOD POLICYHOLDER NOTICE</w:t>
            </w:r>
          </w:p>
        </w:tc>
        <w:tc>
          <w:tcPr>
            <w:tcW w:w="4120" w:type="dxa"/>
            <w:vAlign w:val="bottom"/>
            <w:gridSpan w:val="2"/>
          </w:tcPr>
          <w:p>
            <w:pPr>
              <w:jc w:val="right"/>
              <w:ind w:right="1155"/>
              <w:spacing w:after="0"/>
              <w:rPr>
                <w:sz w:val="20"/>
                <w:szCs w:val="20"/>
                <w:color w:val="auto"/>
              </w:rPr>
            </w:pPr>
            <w:r>
              <w:rPr>
                <w:rFonts w:ascii="Arial" w:cs="Arial" w:eastAsia="Arial" w:hAnsi="Arial"/>
                <w:sz w:val="17"/>
                <w:szCs w:val="17"/>
                <w:color w:val="auto"/>
              </w:rPr>
              <w:t>99-10-0872 (06/07)</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COVERAGE SUMMARY/DECLARATIONS</w:t>
            </w:r>
          </w:p>
        </w:tc>
        <w:tc>
          <w:tcPr>
            <w:tcW w:w="4120" w:type="dxa"/>
            <w:vAlign w:val="bottom"/>
            <w:gridSpan w:val="2"/>
          </w:tcPr>
          <w:p>
            <w:pPr>
              <w:jc w:val="right"/>
              <w:ind w:right="1155"/>
              <w:spacing w:after="0"/>
              <w:rPr>
                <w:sz w:val="20"/>
                <w:szCs w:val="20"/>
                <w:color w:val="auto"/>
              </w:rPr>
            </w:pPr>
            <w:r>
              <w:rPr>
                <w:rFonts w:ascii="Arial" w:cs="Arial" w:eastAsia="Arial" w:hAnsi="Arial"/>
                <w:sz w:val="17"/>
                <w:szCs w:val="17"/>
                <w:color w:val="auto"/>
              </w:rPr>
              <w:t>10-02-0690 (08/07)</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GROUP PERSONAL EXCESS - CONTRACT/POLICY TERMS</w:t>
            </w:r>
          </w:p>
        </w:tc>
        <w:tc>
          <w:tcPr>
            <w:tcW w:w="2300" w:type="dxa"/>
            <w:vAlign w:val="bottom"/>
          </w:tcPr>
          <w:p>
            <w:pPr>
              <w:jc w:val="right"/>
              <w:spacing w:after="0"/>
              <w:rPr>
                <w:sz w:val="20"/>
                <w:szCs w:val="20"/>
                <w:color w:val="auto"/>
              </w:rPr>
            </w:pPr>
            <w:r>
              <w:rPr>
                <w:rFonts w:ascii="Arial" w:cs="Arial" w:eastAsia="Arial" w:hAnsi="Arial"/>
                <w:sz w:val="17"/>
                <w:szCs w:val="17"/>
                <w:color w:val="auto"/>
              </w:rPr>
              <w:t>10-02-0691</w:t>
            </w:r>
          </w:p>
        </w:tc>
        <w:tc>
          <w:tcPr>
            <w:tcW w:w="1820" w:type="dxa"/>
            <w:vAlign w:val="bottom"/>
          </w:tcPr>
          <w:p>
            <w:pPr>
              <w:jc w:val="right"/>
              <w:ind w:right="1155"/>
              <w:spacing w:after="0"/>
              <w:rPr>
                <w:sz w:val="20"/>
                <w:szCs w:val="20"/>
                <w:color w:val="auto"/>
              </w:rPr>
            </w:pPr>
            <w:r>
              <w:rPr>
                <w:rFonts w:ascii="Arial" w:cs="Arial" w:eastAsia="Arial" w:hAnsi="Arial"/>
                <w:sz w:val="17"/>
                <w:szCs w:val="17"/>
                <w:color w:val="auto"/>
              </w:rPr>
              <w:t>(07/16)</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ANNUAL PREMIUM ADJUSTMENT CLAUSE</w:t>
            </w:r>
          </w:p>
        </w:tc>
        <w:tc>
          <w:tcPr>
            <w:tcW w:w="2300" w:type="dxa"/>
            <w:vAlign w:val="bottom"/>
          </w:tcPr>
          <w:p>
            <w:pPr>
              <w:jc w:val="right"/>
              <w:spacing w:after="0"/>
              <w:rPr>
                <w:sz w:val="20"/>
                <w:szCs w:val="20"/>
                <w:color w:val="auto"/>
              </w:rPr>
            </w:pPr>
            <w:r>
              <w:rPr>
                <w:rFonts w:ascii="Arial" w:cs="Arial" w:eastAsia="Arial" w:hAnsi="Arial"/>
                <w:sz w:val="17"/>
                <w:szCs w:val="17"/>
                <w:color w:val="auto"/>
              </w:rPr>
              <w:t>10-02-0692</w:t>
            </w:r>
          </w:p>
        </w:tc>
        <w:tc>
          <w:tcPr>
            <w:tcW w:w="1820" w:type="dxa"/>
            <w:vAlign w:val="bottom"/>
          </w:tcPr>
          <w:p>
            <w:pPr>
              <w:jc w:val="right"/>
              <w:ind w:right="1155"/>
              <w:spacing w:after="0"/>
              <w:rPr>
                <w:sz w:val="20"/>
                <w:szCs w:val="20"/>
                <w:color w:val="auto"/>
              </w:rPr>
            </w:pPr>
            <w:r>
              <w:rPr>
                <w:rFonts w:ascii="Arial" w:cs="Arial" w:eastAsia="Arial" w:hAnsi="Arial"/>
                <w:sz w:val="17"/>
                <w:szCs w:val="17"/>
                <w:color w:val="auto"/>
              </w:rPr>
              <w:t>(08/96)</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NAMED INSURED ENDORSEMENT</w:t>
            </w:r>
          </w:p>
        </w:tc>
        <w:tc>
          <w:tcPr>
            <w:tcW w:w="2300" w:type="dxa"/>
            <w:vAlign w:val="bottom"/>
          </w:tcPr>
          <w:p>
            <w:pPr>
              <w:jc w:val="right"/>
              <w:spacing w:after="0"/>
              <w:rPr>
                <w:sz w:val="20"/>
                <w:szCs w:val="20"/>
                <w:color w:val="auto"/>
              </w:rPr>
            </w:pPr>
            <w:r>
              <w:rPr>
                <w:rFonts w:ascii="Arial" w:cs="Arial" w:eastAsia="Arial" w:hAnsi="Arial"/>
                <w:sz w:val="17"/>
                <w:szCs w:val="17"/>
                <w:color w:val="auto"/>
              </w:rPr>
              <w:t>10-02-0692</w:t>
            </w:r>
          </w:p>
        </w:tc>
        <w:tc>
          <w:tcPr>
            <w:tcW w:w="1820" w:type="dxa"/>
            <w:vAlign w:val="bottom"/>
          </w:tcPr>
          <w:p>
            <w:pPr>
              <w:jc w:val="right"/>
              <w:ind w:right="1155"/>
              <w:spacing w:after="0"/>
              <w:rPr>
                <w:sz w:val="20"/>
                <w:szCs w:val="20"/>
                <w:color w:val="auto"/>
              </w:rPr>
            </w:pPr>
            <w:r>
              <w:rPr>
                <w:rFonts w:ascii="Arial" w:cs="Arial" w:eastAsia="Arial" w:hAnsi="Arial"/>
                <w:sz w:val="17"/>
                <w:szCs w:val="17"/>
                <w:color w:val="auto"/>
              </w:rPr>
              <w:t>(08/96)</w:t>
            </w:r>
          </w:p>
        </w:tc>
      </w:tr>
      <w:tr>
        <w:trPr>
          <w:trHeight w:val="297"/>
        </w:trPr>
        <w:tc>
          <w:tcPr>
            <w:tcW w:w="5680" w:type="dxa"/>
            <w:vAlign w:val="bottom"/>
          </w:tcPr>
          <w:p>
            <w:pPr>
              <w:ind w:left="80"/>
              <w:spacing w:after="0"/>
              <w:rPr>
                <w:sz w:val="20"/>
                <w:szCs w:val="20"/>
                <w:color w:val="auto"/>
              </w:rPr>
            </w:pPr>
            <w:r>
              <w:rPr>
                <w:rFonts w:ascii="Arial" w:cs="Arial" w:eastAsia="Arial" w:hAnsi="Arial"/>
                <w:sz w:val="19"/>
                <w:szCs w:val="19"/>
                <w:color w:val="auto"/>
              </w:rPr>
              <w:t>UNDERLYING LIMITS ENDORSEMENT</w:t>
            </w:r>
          </w:p>
        </w:tc>
        <w:tc>
          <w:tcPr>
            <w:tcW w:w="2300" w:type="dxa"/>
            <w:vAlign w:val="bottom"/>
          </w:tcPr>
          <w:p>
            <w:pPr>
              <w:jc w:val="right"/>
              <w:spacing w:after="0"/>
              <w:rPr>
                <w:sz w:val="20"/>
                <w:szCs w:val="20"/>
                <w:color w:val="auto"/>
              </w:rPr>
            </w:pPr>
            <w:r>
              <w:rPr>
                <w:rFonts w:ascii="Arial" w:cs="Arial" w:eastAsia="Arial" w:hAnsi="Arial"/>
                <w:sz w:val="17"/>
                <w:szCs w:val="17"/>
                <w:color w:val="auto"/>
              </w:rPr>
              <w:t>10-02-0692</w:t>
            </w:r>
          </w:p>
        </w:tc>
        <w:tc>
          <w:tcPr>
            <w:tcW w:w="1820" w:type="dxa"/>
            <w:vAlign w:val="bottom"/>
          </w:tcPr>
          <w:p>
            <w:pPr>
              <w:jc w:val="right"/>
              <w:ind w:right="1155"/>
              <w:spacing w:after="0"/>
              <w:rPr>
                <w:sz w:val="20"/>
                <w:szCs w:val="20"/>
                <w:color w:val="auto"/>
              </w:rPr>
            </w:pPr>
            <w:r>
              <w:rPr>
                <w:rFonts w:ascii="Arial" w:cs="Arial" w:eastAsia="Arial" w:hAnsi="Arial"/>
                <w:sz w:val="17"/>
                <w:szCs w:val="17"/>
                <w:color w:val="auto"/>
              </w:rPr>
              <w:t>(08/96)</w:t>
            </w:r>
          </w:p>
        </w:tc>
      </w:tr>
    </w:tbl>
    <w:p>
      <w:pPr>
        <w:sectPr>
          <w:pgSz w:w="11900" w:h="16838" w:orient="portrait"/>
          <w:cols w:equalWidth="0" w:num="1">
            <w:col w:w="10000"/>
          </w:cols>
          <w:pgMar w:left="460" w:top="494" w:right="14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4"/>
          <w:szCs w:val="14"/>
          <w:color w:val="42423F"/>
        </w:rPr>
        <w:t xml:space="preserve">Last </w:t>
      </w:r>
      <w:r>
        <w:rPr>
          <w:rFonts w:ascii="Arial" w:cs="Arial" w:eastAsia="Arial" w:hAnsi="Arial"/>
          <w:sz w:val="14"/>
          <w:szCs w:val="14"/>
          <w:color w:val="565654"/>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237490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42423F"/>
        </w:rPr>
        <w:t>Page 1</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6B6B69"/>
        </w:rPr>
        <w:t>Form 10-02-041</w:t>
      </w:r>
      <w:r>
        <w:rPr>
          <w:rFonts w:ascii="Arial" w:cs="Arial" w:eastAsia="Arial" w:hAnsi="Arial"/>
          <w:sz w:val="10"/>
          <w:szCs w:val="10"/>
          <w:color w:val="42423F"/>
        </w:rPr>
        <w:t>4</w:t>
      </w:r>
      <w:r>
        <w:rPr>
          <w:rFonts w:ascii="Arial" w:cs="Arial" w:eastAsia="Arial" w:hAnsi="Arial"/>
          <w:sz w:val="10"/>
          <w:szCs w:val="10"/>
          <w:color w:val="6B6B69"/>
        </w:rPr>
        <w:t xml:space="preserve"> </w:t>
      </w:r>
      <w:r>
        <w:rPr>
          <w:rFonts w:ascii="Arial" w:cs="Arial" w:eastAsia="Arial" w:hAnsi="Arial"/>
          <w:sz w:val="10"/>
          <w:szCs w:val="10"/>
          <w:color w:val="565654"/>
        </w:rPr>
        <w:t>(Ed</w:t>
      </w:r>
      <w:r>
        <w:rPr>
          <w:rFonts w:ascii="Arial" w:cs="Arial" w:eastAsia="Arial" w:hAnsi="Arial"/>
          <w:sz w:val="10"/>
          <w:szCs w:val="10"/>
          <w:color w:val="ACACAA"/>
        </w:rPr>
        <w:t>.</w:t>
      </w:r>
      <w:r>
        <w:rPr>
          <w:rFonts w:ascii="Arial" w:cs="Arial" w:eastAsia="Arial" w:hAnsi="Arial"/>
          <w:sz w:val="10"/>
          <w:szCs w:val="10"/>
          <w:color w:val="6B6B69"/>
        </w:rPr>
        <w:t xml:space="preserve"> </w:t>
      </w:r>
      <w:r>
        <w:rPr>
          <w:rFonts w:ascii="Arial" w:cs="Arial" w:eastAsia="Arial" w:hAnsi="Arial"/>
          <w:sz w:val="10"/>
          <w:szCs w:val="10"/>
          <w:color w:val="565654"/>
        </w:rPr>
        <w:t>9/93)</w:t>
      </w:r>
    </w:p>
    <w:p>
      <w:pPr>
        <w:sectPr>
          <w:pgSz w:w="11900" w:h="16838" w:orient="portrait"/>
          <w:cols w:equalWidth="0" w:num="1">
            <w:col w:w="10860"/>
          </w:cols>
          <w:pgMar w:left="700" w:top="873"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120015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001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363634"/>
        </w:rPr>
        <w:t>GROUP PERSONAL</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363634"/>
        </w:rPr>
        <w:t>EXCESS LIABILITY</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363634"/>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 of 15</w:t>
      </w:r>
    </w:p>
    <w:p>
      <w:pPr>
        <w:sectPr>
          <w:pgSz w:w="11900" w:h="16838" w:orient="portrait"/>
          <w:cols w:equalWidth="0" w:num="1">
            <w:col w:w="11240"/>
          </w:cols>
          <w:pgMar w:left="320" w:top="1440" w:right="339" w:bottom="1440" w:gutter="0" w:footer="0" w:header="0"/>
        </w:sectPr>
      </w:pPr>
    </w:p>
    <w:bookmarkStart w:id="130" w:name="page131"/>
    <w:bookmarkEnd w:id="130"/>
    <w:p>
      <w:pPr>
        <w:ind w:left="960"/>
        <w:spacing w:after="0"/>
        <w:rPr>
          <w:sz w:val="20"/>
          <w:szCs w:val="20"/>
          <w:color w:val="auto"/>
        </w:rPr>
      </w:pPr>
      <w:r>
        <w:rPr>
          <w:rFonts w:ascii="Arial" w:cs="Arial" w:eastAsia="Arial" w:hAnsi="Arial"/>
          <w:sz w:val="19"/>
          <w:szCs w:val="19"/>
          <w:i w:val="1"/>
          <w:iCs w:val="1"/>
          <w:color w:val="363634"/>
        </w:rPr>
        <w:drawing>
          <wp:anchor simplePos="0" relativeHeight="251657728" behindDoc="1" locked="0" layoutInCell="0" allowOverlap="1">
            <wp:simplePos x="0" y="0"/>
            <wp:positionH relativeFrom="page">
              <wp:posOffset>208280</wp:posOffset>
            </wp:positionH>
            <wp:positionV relativeFrom="page">
              <wp:posOffset>388620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PAGE INTENTIONALLY LEFT BLANK</w:t>
      </w:r>
    </w:p>
    <w:p>
      <w:pPr>
        <w:sectPr>
          <w:pgSz w:w="11900" w:h="16838" w:orient="portrait"/>
          <w:cols w:equalWidth="0" w:num="1">
            <w:col w:w="9019"/>
          </w:cols>
          <w:pgMar w:left="1440" w:top="750" w:right="1440" w:bottom="1440" w:gutter="0" w:footer="0" w:header="0"/>
        </w:sectPr>
      </w:pPr>
    </w:p>
    <w:bookmarkStart w:id="131" w:name="page132"/>
    <w:bookmarkEnd w:id="131"/>
    <w:p>
      <w:pPr>
        <w:ind w:left="3620"/>
        <w:spacing w:after="0"/>
        <w:rPr>
          <w:sz w:val="20"/>
          <w:szCs w:val="20"/>
          <w:color w:val="auto"/>
        </w:rPr>
      </w:pPr>
      <w:r>
        <w:rPr>
          <w:rFonts w:ascii="Arial" w:cs="Arial" w:eastAsia="Arial" w:hAnsi="Arial"/>
          <w:sz w:val="25"/>
          <w:szCs w:val="25"/>
          <w:b w:val="1"/>
          <w:bCs w:val="1"/>
          <w:color w:val="42423F"/>
        </w:rPr>
        <w:drawing>
          <wp:anchor simplePos="0" relativeHeight="251657728" behindDoc="1" locked="0" layoutInCell="0" allowOverlap="1">
            <wp:simplePos x="0" y="0"/>
            <wp:positionH relativeFrom="page">
              <wp:posOffset>276860</wp:posOffset>
            </wp:positionH>
            <wp:positionV relativeFrom="page">
              <wp:posOffset>226060</wp:posOffset>
            </wp:positionV>
            <wp:extent cx="107124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37160"/>
                    </a:xfrm>
                    <a:prstGeom prst="rect">
                      <a:avLst/>
                    </a:prstGeom>
                    <a:noFill/>
                  </pic:spPr>
                </pic:pic>
              </a:graphicData>
            </a:graphic>
          </wp:anchor>
        </w:drawing>
        <w:t>GROUP PERSONAL EXCESS LIABILITY POLICY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42423F"/>
        </w:rPr>
        <w:t>INTRODUCTION</w:t>
      </w:r>
    </w:p>
    <w:p>
      <w:pPr>
        <w:spacing w:after="0" w:line="133" w:lineRule="exact"/>
        <w:rPr>
          <w:sz w:val="20"/>
          <w:szCs w:val="20"/>
          <w:color w:val="auto"/>
        </w:rPr>
      </w:pPr>
    </w:p>
    <w:p>
      <w:pPr>
        <w:ind w:left="520" w:right="560"/>
        <w:spacing w:after="0" w:line="321" w:lineRule="auto"/>
        <w:rPr>
          <w:sz w:val="20"/>
          <w:szCs w:val="20"/>
          <w:color w:val="auto"/>
        </w:rPr>
      </w:pPr>
      <w:r>
        <w:rPr>
          <w:rFonts w:ascii="Arial" w:cs="Arial" w:eastAsia="Arial" w:hAnsi="Arial"/>
          <w:sz w:val="17"/>
          <w:szCs w:val="17"/>
          <w:color w:val="42423F"/>
        </w:rPr>
        <w:t xml:space="preserve">This </w:t>
      </w:r>
      <w:r>
        <w:rPr>
          <w:rFonts w:ascii="Arial" w:cs="Arial" w:eastAsia="Arial" w:hAnsi="Arial"/>
          <w:sz w:val="16"/>
          <w:szCs w:val="16"/>
          <w:color w:val="42423F"/>
        </w:rPr>
        <w:t>is your Chubb Group Personal Excess Liability Policy</w:t>
      </w:r>
      <w:r>
        <w:rPr>
          <w:rFonts w:ascii="Arial" w:cs="Arial" w:eastAsia="Arial" w:hAnsi="Arial"/>
          <w:sz w:val="16"/>
          <w:szCs w:val="16"/>
          <w:color w:val="5D5D5B"/>
        </w:rPr>
        <w:t>.</w:t>
      </w:r>
      <w:r>
        <w:rPr>
          <w:rFonts w:ascii="Arial" w:cs="Arial" w:eastAsia="Arial" w:hAnsi="Arial"/>
          <w:sz w:val="17"/>
          <w:szCs w:val="17"/>
          <w:color w:val="42423F"/>
        </w:rPr>
        <w:t xml:space="preserve"> </w:t>
      </w:r>
      <w:r>
        <w:rPr>
          <w:rFonts w:ascii="Arial" w:cs="Arial" w:eastAsia="Arial" w:hAnsi="Arial"/>
          <w:sz w:val="16"/>
          <w:szCs w:val="16"/>
          <w:color w:val="42423F"/>
        </w:rPr>
        <w:t>Together with your Coverage Summary, it explains your coverages and other conditions of your</w:t>
      </w:r>
      <w:r>
        <w:rPr>
          <w:rFonts w:ascii="Arial" w:cs="Arial" w:eastAsia="Arial" w:hAnsi="Arial"/>
          <w:sz w:val="17"/>
          <w:szCs w:val="17"/>
          <w:color w:val="42423F"/>
        </w:rPr>
        <w:t xml:space="preserve"> </w:t>
      </w:r>
      <w:r>
        <w:rPr>
          <w:rFonts w:ascii="Arial" w:cs="Arial" w:eastAsia="Arial" w:hAnsi="Arial"/>
          <w:sz w:val="16"/>
          <w:szCs w:val="16"/>
          <w:color w:val="42423F"/>
        </w:rPr>
        <w:t>insurance in detail.</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6"/>
          <w:szCs w:val="16"/>
          <w:color w:val="42423F"/>
        </w:rPr>
        <w:t xml:space="preserve">This policy is a contract between you and </w:t>
      </w:r>
      <w:r>
        <w:rPr>
          <w:rFonts w:ascii="Arial" w:cs="Arial" w:eastAsia="Arial" w:hAnsi="Arial"/>
          <w:sz w:val="16"/>
          <w:szCs w:val="16"/>
          <w:color w:val="31312F"/>
        </w:rPr>
        <w:t>us.</w:t>
      </w:r>
      <w:r>
        <w:rPr>
          <w:rFonts w:ascii="Arial" w:cs="Arial" w:eastAsia="Arial" w:hAnsi="Arial"/>
          <w:sz w:val="16"/>
          <w:szCs w:val="16"/>
          <w:color w:val="42423F"/>
        </w:rPr>
        <w:t xml:space="preserve"> READ YOUR POLICY CAREFULLY and keep it in a safe place.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Agreement</w:t>
      </w:r>
    </w:p>
    <w:p>
      <w:pPr>
        <w:spacing w:after="0" w:line="31" w:lineRule="exact"/>
        <w:rPr>
          <w:sz w:val="20"/>
          <w:szCs w:val="20"/>
          <w:color w:val="auto"/>
        </w:rPr>
      </w:pPr>
    </w:p>
    <w:p>
      <w:pPr>
        <w:ind w:left="520" w:right="20" w:hanging="26"/>
        <w:spacing w:after="0" w:line="275" w:lineRule="auto"/>
        <w:rPr>
          <w:sz w:val="20"/>
          <w:szCs w:val="20"/>
          <w:color w:val="auto"/>
        </w:rPr>
      </w:pPr>
      <w:r>
        <w:rPr>
          <w:rFonts w:ascii="Arial" w:cs="Arial" w:eastAsia="Arial" w:hAnsi="Arial"/>
          <w:sz w:val="16"/>
          <w:szCs w:val="16"/>
          <w:color w:val="42423F"/>
        </w:rPr>
        <w:t xml:space="preserve">We agree </w:t>
      </w:r>
      <w:r>
        <w:rPr>
          <w:rFonts w:ascii="Arial" w:cs="Arial" w:eastAsia="Arial" w:hAnsi="Arial"/>
          <w:sz w:val="14"/>
          <w:szCs w:val="14"/>
          <w:color w:val="42423F"/>
        </w:rPr>
        <w:t>to</w:t>
      </w:r>
      <w:r>
        <w:rPr>
          <w:rFonts w:ascii="Arial" w:cs="Arial" w:eastAsia="Arial" w:hAnsi="Arial"/>
          <w:sz w:val="16"/>
          <w:szCs w:val="16"/>
          <w:color w:val="42423F"/>
        </w:rPr>
        <w:t xml:space="preserve"> provide the insurance described in this policy in return for the premium paid by you or the Sponsoring Organization and your compliance with the policy conditions.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Definitions</w:t>
      </w:r>
    </w:p>
    <w:p>
      <w:pPr>
        <w:spacing w:after="0" w:line="58" w:lineRule="exact"/>
        <w:rPr>
          <w:sz w:val="20"/>
          <w:szCs w:val="20"/>
          <w:color w:val="auto"/>
        </w:rPr>
      </w:pPr>
    </w:p>
    <w:p>
      <w:pPr>
        <w:ind w:left="520" w:right="140"/>
        <w:spacing w:after="0" w:line="328" w:lineRule="auto"/>
        <w:rPr>
          <w:sz w:val="20"/>
          <w:szCs w:val="20"/>
          <w:color w:val="auto"/>
        </w:rPr>
      </w:pPr>
      <w:r>
        <w:rPr>
          <w:rFonts w:ascii="Arial" w:cs="Arial" w:eastAsia="Arial" w:hAnsi="Arial"/>
          <w:sz w:val="16"/>
          <w:szCs w:val="16"/>
          <w:color w:val="42423F"/>
        </w:rPr>
        <w:t xml:space="preserve">In this policy, we </w:t>
      </w:r>
      <w:r>
        <w:rPr>
          <w:rFonts w:ascii="Arial" w:cs="Arial" w:eastAsia="Arial" w:hAnsi="Arial"/>
          <w:sz w:val="16"/>
          <w:szCs w:val="16"/>
          <w:color w:val="31312F"/>
        </w:rPr>
        <w:t>use</w:t>
      </w:r>
      <w:r>
        <w:rPr>
          <w:rFonts w:ascii="Arial" w:cs="Arial" w:eastAsia="Arial" w:hAnsi="Arial"/>
          <w:sz w:val="16"/>
          <w:szCs w:val="16"/>
          <w:color w:val="42423F"/>
        </w:rPr>
        <w:t xml:space="preserve"> words in their plain English meaning. Words with special meanings are </w:t>
      </w:r>
      <w:r>
        <w:rPr>
          <w:rFonts w:ascii="Arial" w:cs="Arial" w:eastAsia="Arial" w:hAnsi="Arial"/>
          <w:sz w:val="16"/>
          <w:szCs w:val="16"/>
          <w:color w:val="31312F"/>
        </w:rPr>
        <w:t>defined</w:t>
      </w:r>
      <w:r>
        <w:rPr>
          <w:rFonts w:ascii="Arial" w:cs="Arial" w:eastAsia="Arial" w:hAnsi="Arial"/>
          <w:sz w:val="16"/>
          <w:szCs w:val="16"/>
          <w:color w:val="42423F"/>
        </w:rPr>
        <w:t xml:space="preserve"> in the part of the policy where they are used. The few defined terms </w:t>
      </w:r>
      <w:r>
        <w:rPr>
          <w:rFonts w:ascii="Arial" w:cs="Arial" w:eastAsia="Arial" w:hAnsi="Arial"/>
          <w:sz w:val="16"/>
          <w:szCs w:val="16"/>
          <w:color w:val="31312F"/>
        </w:rPr>
        <w:t>used</w:t>
      </w:r>
      <w:r>
        <w:rPr>
          <w:rFonts w:ascii="Arial" w:cs="Arial" w:eastAsia="Arial" w:hAnsi="Arial"/>
          <w:sz w:val="16"/>
          <w:szCs w:val="16"/>
          <w:color w:val="42423F"/>
        </w:rPr>
        <w:t xml:space="preserve"> throughout the policy are defined here: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You </w:t>
      </w:r>
      <w:r>
        <w:rPr>
          <w:rFonts w:ascii="Arial" w:cs="Arial" w:eastAsia="Arial" w:hAnsi="Arial"/>
          <w:sz w:val="16"/>
          <w:szCs w:val="16"/>
          <w:color w:val="42423F"/>
        </w:rPr>
        <w:t>means the individual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a member of the Defined Group shown as the Insured named in the Coverage Summary.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Spouse </w:t>
      </w:r>
      <w:r>
        <w:rPr>
          <w:rFonts w:ascii="Arial" w:cs="Arial" w:eastAsia="Arial" w:hAnsi="Arial"/>
          <w:sz w:val="16"/>
          <w:szCs w:val="16"/>
          <w:color w:val="42423F"/>
        </w:rPr>
        <w:t>means a partner in marriage or a partner in a civil</w:t>
      </w:r>
      <w:r>
        <w:rPr>
          <w:rFonts w:ascii="Arial" w:cs="Arial" w:eastAsia="Arial" w:hAnsi="Arial"/>
          <w:sz w:val="16"/>
          <w:szCs w:val="16"/>
          <w:b w:val="1"/>
          <w:bCs w:val="1"/>
          <w:color w:val="42423F"/>
        </w:rPr>
        <w:t xml:space="preserve"> </w:t>
      </w:r>
      <w:r>
        <w:rPr>
          <w:rFonts w:ascii="Arial" w:cs="Arial" w:eastAsia="Arial" w:hAnsi="Arial"/>
          <w:sz w:val="16"/>
          <w:szCs w:val="16"/>
          <w:color w:val="31312F"/>
        </w:rPr>
        <w:t>union</w:t>
      </w:r>
      <w:r>
        <w:rPr>
          <w:rFonts w:ascii="Arial" w:cs="Arial" w:eastAsia="Arial" w:hAnsi="Arial"/>
          <w:sz w:val="16"/>
          <w:szCs w:val="16"/>
          <w:b w:val="1"/>
          <w:bCs w:val="1"/>
          <w:color w:val="42423F"/>
        </w:rPr>
        <w:t xml:space="preserve"> </w:t>
      </w:r>
      <w:r>
        <w:rPr>
          <w:rFonts w:ascii="Arial" w:cs="Arial" w:eastAsia="Arial" w:hAnsi="Arial"/>
          <w:sz w:val="16"/>
          <w:szCs w:val="16"/>
          <w:color w:val="42423F"/>
        </w:rPr>
        <w:t>recognized under state law and who lives with you.</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We </w:t>
      </w:r>
      <w:r>
        <w:rPr>
          <w:rFonts w:ascii="Arial" w:cs="Arial" w:eastAsia="Arial" w:hAnsi="Arial"/>
          <w:sz w:val="16"/>
          <w:szCs w:val="16"/>
          <w:color w:val="42423F"/>
        </w:rPr>
        <w:t>and</w:t>
      </w:r>
      <w:r>
        <w:rPr>
          <w:rFonts w:ascii="Arial" w:cs="Arial" w:eastAsia="Arial" w:hAnsi="Arial"/>
          <w:sz w:val="16"/>
          <w:szCs w:val="16"/>
          <w:b w:val="1"/>
          <w:bCs w:val="1"/>
          <w:color w:val="42423F"/>
        </w:rPr>
        <w:t xml:space="preserve"> us </w:t>
      </w:r>
      <w:r>
        <w:rPr>
          <w:rFonts w:ascii="Arial" w:cs="Arial" w:eastAsia="Arial" w:hAnsi="Arial"/>
          <w:sz w:val="16"/>
          <w:szCs w:val="16"/>
          <w:color w:val="42423F"/>
        </w:rPr>
        <w:t>mean the insurance company named in the</w:t>
      </w:r>
      <w:r>
        <w:rPr>
          <w:rFonts w:ascii="Arial" w:cs="Arial" w:eastAsia="Arial" w:hAnsi="Arial"/>
          <w:sz w:val="16"/>
          <w:szCs w:val="16"/>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r>
        <w:rPr>
          <w:rFonts w:ascii="Arial" w:cs="Arial" w:eastAsia="Arial" w:hAnsi="Arial"/>
          <w:sz w:val="16"/>
          <w:szCs w:val="16"/>
          <w:color w:val="5D5D5B"/>
        </w:rPr>
        <w:t>.</w:t>
      </w:r>
    </w:p>
    <w:p>
      <w:pPr>
        <w:spacing w:after="0" w:line="136" w:lineRule="exact"/>
        <w:rPr>
          <w:sz w:val="20"/>
          <w:szCs w:val="20"/>
          <w:color w:val="auto"/>
        </w:rPr>
      </w:pPr>
    </w:p>
    <w:p>
      <w:pPr>
        <w:ind w:left="520" w:right="60"/>
        <w:spacing w:after="0" w:line="322" w:lineRule="auto"/>
        <w:rPr>
          <w:sz w:val="20"/>
          <w:szCs w:val="20"/>
          <w:color w:val="auto"/>
        </w:rPr>
      </w:pPr>
      <w:r>
        <w:rPr>
          <w:rFonts w:ascii="Arial" w:cs="Arial" w:eastAsia="Arial" w:hAnsi="Arial"/>
          <w:sz w:val="18"/>
          <w:szCs w:val="18"/>
          <w:b w:val="1"/>
          <w:bCs w:val="1"/>
          <w:color w:val="42423F"/>
        </w:rPr>
        <w:t xml:space="preserve">Family </w:t>
      </w:r>
      <w:r>
        <w:rPr>
          <w:rFonts w:ascii="Arial" w:cs="Arial" w:eastAsia="Arial" w:hAnsi="Arial"/>
          <w:sz w:val="16"/>
          <w:szCs w:val="16"/>
          <w:b w:val="1"/>
          <w:bCs w:val="1"/>
          <w:color w:val="42423F"/>
        </w:rPr>
        <w:t>member</w:t>
      </w:r>
      <w:r>
        <w:rPr>
          <w:rFonts w:ascii="Arial" w:cs="Arial" w:eastAsia="Arial" w:hAnsi="Arial"/>
          <w:sz w:val="18"/>
          <w:szCs w:val="18"/>
          <w:b w:val="1"/>
          <w:bCs w:val="1"/>
          <w:color w:val="42423F"/>
        </w:rPr>
        <w:t xml:space="preserve"> </w:t>
      </w:r>
      <w:r>
        <w:rPr>
          <w:rFonts w:ascii="Arial" w:cs="Arial" w:eastAsia="Arial" w:hAnsi="Arial"/>
          <w:sz w:val="16"/>
          <w:szCs w:val="16"/>
          <w:color w:val="42423F"/>
        </w:rPr>
        <w:t>means your spouse or domestic partner or other relative who lives with you, or any other person</w:t>
      </w:r>
      <w:r>
        <w:rPr>
          <w:rFonts w:ascii="Arial" w:cs="Arial" w:eastAsia="Arial" w:hAnsi="Arial"/>
          <w:sz w:val="18"/>
          <w:szCs w:val="18"/>
          <w:b w:val="1"/>
          <w:bCs w:val="1"/>
          <w:color w:val="42423F"/>
        </w:rPr>
        <w:t xml:space="preserve"> </w:t>
      </w:r>
      <w:r>
        <w:rPr>
          <w:rFonts w:ascii="Arial" w:cs="Arial" w:eastAsia="Arial" w:hAnsi="Arial"/>
          <w:sz w:val="16"/>
          <w:szCs w:val="16"/>
          <w:color w:val="31312F"/>
        </w:rPr>
        <w:t>under</w:t>
      </w:r>
      <w:r>
        <w:rPr>
          <w:rFonts w:ascii="Arial" w:cs="Arial" w:eastAsia="Arial" w:hAnsi="Arial"/>
          <w:sz w:val="18"/>
          <w:szCs w:val="18"/>
          <w:b w:val="1"/>
          <w:bCs w:val="1"/>
          <w:color w:val="42423F"/>
        </w:rPr>
        <w:t xml:space="preserve"> </w:t>
      </w:r>
      <w:r>
        <w:rPr>
          <w:rFonts w:ascii="Arial" w:cs="Arial" w:eastAsia="Arial" w:hAnsi="Arial"/>
          <w:sz w:val="16"/>
          <w:szCs w:val="16"/>
          <w:color w:val="42423F"/>
        </w:rPr>
        <w:t>25 in your care or your relative</w:t>
      </w:r>
      <w:r>
        <w:rPr>
          <w:rFonts w:ascii="Arial" w:cs="Arial" w:eastAsia="Arial" w:hAnsi="Arial"/>
          <w:sz w:val="16"/>
          <w:szCs w:val="16"/>
          <w:color w:val="747572"/>
        </w:rPr>
        <w:t>'</w:t>
      </w:r>
      <w:r>
        <w:rPr>
          <w:rFonts w:ascii="Arial" w:cs="Arial" w:eastAsia="Arial" w:hAnsi="Arial"/>
          <w:sz w:val="18"/>
          <w:szCs w:val="18"/>
          <w:b w:val="1"/>
          <w:bCs w:val="1"/>
          <w:color w:val="42423F"/>
        </w:rPr>
        <w:t xml:space="preserve"> </w:t>
      </w:r>
      <w:r>
        <w:rPr>
          <w:rFonts w:ascii="Arial" w:cs="Arial" w:eastAsia="Arial" w:hAnsi="Arial"/>
          <w:sz w:val="16"/>
          <w:szCs w:val="16"/>
          <w:color w:val="42423F"/>
        </w:rPr>
        <w:t>s care who</w:t>
      </w:r>
      <w:r>
        <w:rPr>
          <w:rFonts w:ascii="Arial" w:cs="Arial" w:eastAsia="Arial" w:hAnsi="Arial"/>
          <w:sz w:val="18"/>
          <w:szCs w:val="18"/>
          <w:b w:val="1"/>
          <w:bCs w:val="1"/>
          <w:color w:val="42423F"/>
        </w:rPr>
        <w:t xml:space="preserve"> </w:t>
      </w:r>
      <w:r>
        <w:rPr>
          <w:rFonts w:ascii="Arial" w:cs="Arial" w:eastAsia="Arial" w:hAnsi="Arial"/>
          <w:sz w:val="16"/>
          <w:szCs w:val="16"/>
          <w:color w:val="42423F"/>
        </w:rPr>
        <w:t>lives with you.</w:t>
      </w:r>
    </w:p>
    <w:p>
      <w:pPr>
        <w:spacing w:after="0" w:line="97" w:lineRule="exact"/>
        <w:rPr>
          <w:sz w:val="20"/>
          <w:szCs w:val="20"/>
          <w:color w:val="auto"/>
        </w:rPr>
      </w:pPr>
    </w:p>
    <w:p>
      <w:pPr>
        <w:ind w:left="520" w:right="140"/>
        <w:spacing w:after="0" w:line="333" w:lineRule="auto"/>
        <w:rPr>
          <w:sz w:val="20"/>
          <w:szCs w:val="20"/>
          <w:color w:val="auto"/>
        </w:rPr>
      </w:pPr>
      <w:r>
        <w:rPr>
          <w:rFonts w:ascii="Arial" w:cs="Arial" w:eastAsia="Arial" w:hAnsi="Arial"/>
          <w:sz w:val="16"/>
          <w:szCs w:val="16"/>
          <w:b w:val="1"/>
          <w:bCs w:val="1"/>
          <w:color w:val="42423F"/>
        </w:rPr>
        <w:t xml:space="preserve">Domestic partner </w:t>
      </w:r>
      <w:r>
        <w:rPr>
          <w:rFonts w:ascii="Arial" w:cs="Arial" w:eastAsia="Arial" w:hAnsi="Arial"/>
          <w:sz w:val="16"/>
          <w:szCs w:val="16"/>
          <w:color w:val="42423F"/>
        </w:rPr>
        <w:t>means a person in a legal or personal relationship with you, who lives with you and shares a common domestic life with you, and meeting all of</w:t>
      </w:r>
      <w:r>
        <w:rPr>
          <w:rFonts w:ascii="Arial" w:cs="Arial" w:eastAsia="Arial" w:hAnsi="Arial"/>
          <w:sz w:val="16"/>
          <w:szCs w:val="16"/>
          <w:b w:val="1"/>
          <w:bCs w:val="1"/>
          <w:color w:val="42423F"/>
        </w:rPr>
        <w:t xml:space="preserve"> </w:t>
      </w:r>
      <w:r>
        <w:rPr>
          <w:rFonts w:ascii="Arial" w:cs="Arial" w:eastAsia="Arial" w:hAnsi="Arial"/>
          <w:sz w:val="16"/>
          <w:szCs w:val="16"/>
          <w:color w:val="42423F"/>
        </w:rPr>
        <w:t>the benefits eligibility criteria as defined by the Sponsoring Organization.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Sponsoring Organization </w:t>
      </w:r>
      <w:r>
        <w:rPr>
          <w:rFonts w:ascii="Arial" w:cs="Arial" w:eastAsia="Arial" w:hAnsi="Arial"/>
          <w:sz w:val="15"/>
          <w:szCs w:val="15"/>
          <w:color w:val="42423F"/>
        </w:rPr>
        <w:t>means the entity, corporation, partnership or sole proprietorship sponsoring and defining the criteria for qualification as an Insured.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42423F"/>
        </w:rPr>
        <w:t xml:space="preserve">Policy </w:t>
      </w:r>
      <w:r>
        <w:rPr>
          <w:rFonts w:ascii="Arial" w:cs="Arial" w:eastAsia="Arial" w:hAnsi="Arial"/>
          <w:sz w:val="16"/>
          <w:szCs w:val="16"/>
          <w:color w:val="42423F"/>
        </w:rPr>
        <w:t>means your entire Group Personal Excess Liability Policy, including the</w:t>
      </w:r>
      <w:r>
        <w:rPr>
          <w:rFonts w:ascii="Arial" w:cs="Arial" w:eastAsia="Arial" w:hAnsi="Arial"/>
          <w:sz w:val="18"/>
          <w:szCs w:val="18"/>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Coverage Summary </w:t>
      </w:r>
      <w:r>
        <w:rPr>
          <w:rFonts w:ascii="Arial" w:cs="Arial" w:eastAsia="Arial" w:hAnsi="Arial"/>
          <w:sz w:val="16"/>
          <w:szCs w:val="16"/>
          <w:color w:val="42423F"/>
        </w:rPr>
        <w:t>means the most recent Coverage Summary we</w:t>
      </w:r>
      <w:r>
        <w:rPr>
          <w:rFonts w:ascii="Arial" w:cs="Arial" w:eastAsia="Arial" w:hAnsi="Arial"/>
          <w:sz w:val="16"/>
          <w:szCs w:val="16"/>
          <w:b w:val="1"/>
          <w:bCs w:val="1"/>
          <w:color w:val="42423F"/>
        </w:rPr>
        <w:t xml:space="preserve"> </w:t>
      </w:r>
      <w:r>
        <w:rPr>
          <w:rFonts w:ascii="Arial" w:cs="Arial" w:eastAsia="Arial" w:hAnsi="Arial"/>
          <w:sz w:val="16"/>
          <w:szCs w:val="16"/>
          <w:color w:val="31312F"/>
        </w:rPr>
        <w:t>issued</w:t>
      </w:r>
      <w:r>
        <w:rPr>
          <w:rFonts w:ascii="Arial" w:cs="Arial" w:eastAsia="Arial" w:hAnsi="Arial"/>
          <w:sz w:val="16"/>
          <w:szCs w:val="16"/>
          <w:b w:val="1"/>
          <w:bCs w:val="1"/>
          <w:color w:val="42423F"/>
        </w:rPr>
        <w:t xml:space="preserve"> </w:t>
      </w:r>
      <w:r>
        <w:rPr>
          <w:rFonts w:ascii="Arial" w:cs="Arial" w:eastAsia="Arial" w:hAnsi="Arial"/>
          <w:sz w:val="15"/>
          <w:szCs w:val="15"/>
          <w:color w:val="42423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including any endorsements.</w:t>
      </w:r>
    </w:p>
    <w:p>
      <w:pPr>
        <w:spacing w:after="0" w:line="194" w:lineRule="exact"/>
        <w:rPr>
          <w:sz w:val="20"/>
          <w:szCs w:val="20"/>
          <w:color w:val="auto"/>
        </w:rPr>
      </w:pPr>
    </w:p>
    <w:p>
      <w:pPr>
        <w:ind w:left="520" w:right="800"/>
        <w:spacing w:after="0" w:line="351" w:lineRule="auto"/>
        <w:rPr>
          <w:sz w:val="20"/>
          <w:szCs w:val="20"/>
          <w:color w:val="auto"/>
        </w:rPr>
      </w:pPr>
      <w:r>
        <w:rPr>
          <w:rFonts w:ascii="Arial" w:cs="Arial" w:eastAsia="Arial" w:hAnsi="Arial"/>
          <w:sz w:val="16"/>
          <w:szCs w:val="16"/>
          <w:b w:val="1"/>
          <w:bCs w:val="1"/>
          <w:color w:val="42423F"/>
        </w:rPr>
        <w:t xml:space="preserve">Occurrence </w:t>
      </w:r>
      <w:r>
        <w:rPr>
          <w:rFonts w:ascii="Arial" w:cs="Arial" w:eastAsia="Arial" w:hAnsi="Arial"/>
          <w:sz w:val="16"/>
          <w:szCs w:val="16"/>
          <w:color w:val="42423F"/>
        </w:rPr>
        <w:t>means an</w:t>
      </w:r>
      <w:r>
        <w:rPr>
          <w:rFonts w:ascii="Arial" w:cs="Arial" w:eastAsia="Arial" w:hAnsi="Arial"/>
          <w:sz w:val="16"/>
          <w:szCs w:val="16"/>
          <w:b w:val="1"/>
          <w:bCs w:val="1"/>
          <w:color w:val="42423F"/>
        </w:rPr>
        <w:t xml:space="preserve"> </w:t>
      </w:r>
      <w:r>
        <w:rPr>
          <w:rFonts w:ascii="Arial" w:cs="Arial" w:eastAsia="Arial" w:hAnsi="Arial"/>
          <w:sz w:val="16"/>
          <w:szCs w:val="16"/>
          <w:color w:val="5D5D5B"/>
        </w:rPr>
        <w:t>a</w:t>
      </w:r>
      <w:r>
        <w:rPr>
          <w:rFonts w:ascii="Arial" w:cs="Arial" w:eastAsia="Arial" w:hAnsi="Arial"/>
          <w:sz w:val="16"/>
          <w:szCs w:val="16"/>
          <w:color w:val="42423F"/>
        </w:rPr>
        <w:t>ccident or offense to which this insurance applies and which begins within the policy period. Continuous or repeated exposure</w:t>
      </w:r>
      <w:r>
        <w:rPr>
          <w:rFonts w:ascii="Arial" w:cs="Arial" w:eastAsia="Arial" w:hAnsi="Arial"/>
          <w:sz w:val="16"/>
          <w:szCs w:val="16"/>
          <w:b w:val="1"/>
          <w:bCs w:val="1"/>
          <w:color w:val="42423F"/>
        </w:rPr>
        <w:t xml:space="preserve"> </w:t>
      </w:r>
      <w:r>
        <w:rPr>
          <w:rFonts w:ascii="Arial" w:cs="Arial" w:eastAsia="Arial" w:hAnsi="Arial"/>
          <w:sz w:val="16"/>
          <w:szCs w:val="16"/>
          <w:color w:val="31312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substantially the same general conditions unless excluded is considered to </w:t>
      </w:r>
      <w:r>
        <w:rPr>
          <w:rFonts w:ascii="Arial" w:cs="Arial" w:eastAsia="Arial" w:hAnsi="Arial"/>
          <w:sz w:val="16"/>
          <w:szCs w:val="16"/>
          <w:color w:val="31312F"/>
        </w:rPr>
        <w:t>be</w:t>
      </w:r>
      <w:r>
        <w:rPr>
          <w:rFonts w:ascii="Arial" w:cs="Arial" w:eastAsia="Arial" w:hAnsi="Arial"/>
          <w:sz w:val="16"/>
          <w:szCs w:val="16"/>
          <w:color w:val="42423F"/>
        </w:rPr>
        <w:t xml:space="preserve"> one occurrence</w:t>
      </w:r>
      <w:r>
        <w:rPr>
          <w:rFonts w:ascii="Arial" w:cs="Arial" w:eastAsia="Arial" w:hAnsi="Arial"/>
          <w:sz w:val="16"/>
          <w:szCs w:val="16"/>
          <w:color w:val="5D5D5B"/>
        </w:rPr>
        <w:t>.</w:t>
      </w:r>
    </w:p>
    <w:p>
      <w:pPr>
        <w:spacing w:after="0" w:line="83" w:lineRule="exact"/>
        <w:rPr>
          <w:sz w:val="20"/>
          <w:szCs w:val="20"/>
          <w:color w:val="auto"/>
        </w:rPr>
      </w:pPr>
    </w:p>
    <w:p>
      <w:pPr>
        <w:ind w:left="520" w:right="380"/>
        <w:spacing w:after="0" w:line="298" w:lineRule="auto"/>
        <w:rPr>
          <w:sz w:val="20"/>
          <w:szCs w:val="20"/>
          <w:color w:val="auto"/>
        </w:rPr>
      </w:pPr>
      <w:r>
        <w:rPr>
          <w:rFonts w:ascii="Arial" w:cs="Arial" w:eastAsia="Arial" w:hAnsi="Arial"/>
          <w:sz w:val="16"/>
          <w:szCs w:val="16"/>
          <w:b w:val="1"/>
          <w:bCs w:val="1"/>
          <w:color w:val="42423F"/>
        </w:rPr>
        <w:t xml:space="preserve">Business </w:t>
      </w:r>
      <w:r>
        <w:rPr>
          <w:rFonts w:ascii="Arial" w:cs="Arial" w:eastAsia="Arial" w:hAnsi="Arial"/>
          <w:sz w:val="16"/>
          <w:szCs w:val="16"/>
          <w:color w:val="42423F"/>
        </w:rPr>
        <w:t>means any employment, trade, occupation, profession, or farm operation including the raising or care of animals or any activities</w:t>
      </w:r>
      <w:r>
        <w:rPr>
          <w:rFonts w:ascii="Arial" w:cs="Arial" w:eastAsia="Arial" w:hAnsi="Arial"/>
          <w:sz w:val="16"/>
          <w:szCs w:val="16"/>
          <w:b w:val="1"/>
          <w:bCs w:val="1"/>
          <w:color w:val="42423F"/>
        </w:rPr>
        <w:t xml:space="preserve"> </w:t>
      </w:r>
      <w:r>
        <w:rPr>
          <w:rFonts w:ascii="Arial" w:cs="Arial" w:eastAsia="Arial" w:hAnsi="Arial"/>
          <w:sz w:val="16"/>
          <w:szCs w:val="16"/>
          <w:color w:val="31312F"/>
        </w:rPr>
        <w:t>intended to</w:t>
      </w:r>
      <w:r>
        <w:rPr>
          <w:rFonts w:ascii="Arial" w:cs="Arial" w:eastAsia="Arial" w:hAnsi="Arial"/>
          <w:sz w:val="16"/>
          <w:szCs w:val="16"/>
          <w:b w:val="1"/>
          <w:bCs w:val="1"/>
          <w:color w:val="42423F"/>
        </w:rPr>
        <w:t xml:space="preserve"> </w:t>
      </w:r>
      <w:r>
        <w:rPr>
          <w:rFonts w:ascii="Arial" w:cs="Arial" w:eastAsia="Arial" w:hAnsi="Arial"/>
          <w:sz w:val="16"/>
          <w:szCs w:val="16"/>
          <w:color w:val="42423F"/>
        </w:rPr>
        <w:t>realize a</w:t>
      </w:r>
      <w:r>
        <w:rPr>
          <w:rFonts w:ascii="Arial" w:cs="Arial" w:eastAsia="Arial" w:hAnsi="Arial"/>
          <w:sz w:val="16"/>
          <w:szCs w:val="16"/>
          <w:b w:val="1"/>
          <w:bCs w:val="1"/>
          <w:color w:val="42423F"/>
        </w:rPr>
        <w:t xml:space="preserve"> </w:t>
      </w:r>
      <w:r>
        <w:rPr>
          <w:rFonts w:ascii="Arial" w:cs="Arial" w:eastAsia="Arial" w:hAnsi="Arial"/>
          <w:sz w:val="16"/>
          <w:szCs w:val="16"/>
          <w:color w:val="42423F"/>
        </w:rPr>
        <w:t>benefit or financial gain engaged in on a full</w:t>
      </w:r>
      <w:r>
        <w:rPr>
          <w:rFonts w:ascii="Arial" w:cs="Arial" w:eastAsia="Arial" w:hAnsi="Arial"/>
          <w:sz w:val="16"/>
          <w:szCs w:val="16"/>
          <w:color w:val="5D5D5B"/>
        </w:rPr>
        <w:t>-</w:t>
      </w:r>
      <w:r>
        <w:rPr>
          <w:rFonts w:ascii="Arial" w:cs="Arial" w:eastAsia="Arial" w:hAnsi="Arial"/>
          <w:sz w:val="16"/>
          <w:szCs w:val="16"/>
          <w:color w:val="42423F"/>
        </w:rPr>
        <w:t>time, part-time or occasional basis.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Defined Group </w:t>
      </w:r>
      <w:r>
        <w:rPr>
          <w:rFonts w:ascii="Arial" w:cs="Arial" w:eastAsia="Arial" w:hAnsi="Arial"/>
          <w:sz w:val="15"/>
          <w:szCs w:val="15"/>
          <w:color w:val="42423F"/>
        </w:rPr>
        <w:t>means those individuals meeting the criteria for</w:t>
      </w:r>
      <w:r>
        <w:rPr>
          <w:rFonts w:ascii="Arial" w:cs="Arial" w:eastAsia="Arial" w:hAnsi="Arial"/>
          <w:sz w:val="15"/>
          <w:szCs w:val="15"/>
          <w:b w:val="1"/>
          <w:bCs w:val="1"/>
          <w:color w:val="42423F"/>
        </w:rPr>
        <w:t xml:space="preserve"> </w:t>
      </w:r>
      <w:r>
        <w:rPr>
          <w:rFonts w:ascii="Arial" w:cs="Arial" w:eastAsia="Arial" w:hAnsi="Arial"/>
          <w:sz w:val="15"/>
          <w:szCs w:val="15"/>
          <w:color w:val="31312F"/>
        </w:rPr>
        <w:t>qualification</w:t>
      </w:r>
      <w:r>
        <w:rPr>
          <w:rFonts w:ascii="Arial" w:cs="Arial" w:eastAsia="Arial" w:hAnsi="Arial"/>
          <w:sz w:val="15"/>
          <w:szCs w:val="15"/>
          <w:b w:val="1"/>
          <w:bCs w:val="1"/>
          <w:color w:val="42423F"/>
        </w:rPr>
        <w:t xml:space="preserve"> </w:t>
      </w:r>
      <w:r>
        <w:rPr>
          <w:rFonts w:ascii="Arial" w:cs="Arial" w:eastAsia="Arial" w:hAnsi="Arial"/>
          <w:sz w:val="15"/>
          <w:szCs w:val="15"/>
          <w:color w:val="42423F"/>
        </w:rPr>
        <w:t>as an Insured as defined by the Sponsoring Organization and accepted</w:t>
      </w:r>
      <w:r>
        <w:rPr>
          <w:rFonts w:ascii="Arial" w:cs="Arial" w:eastAsia="Arial" w:hAnsi="Arial"/>
          <w:sz w:val="15"/>
          <w:szCs w:val="15"/>
          <w:b w:val="1"/>
          <w:bCs w:val="1"/>
          <w:color w:val="42423F"/>
        </w:rPr>
        <w:t xml:space="preserve"> </w:t>
      </w:r>
      <w:r>
        <w:rPr>
          <w:rFonts w:ascii="Arial" w:cs="Arial" w:eastAsia="Arial" w:hAnsi="Arial"/>
          <w:sz w:val="15"/>
          <w:szCs w:val="15"/>
          <w:color w:val="31312F"/>
        </w:rPr>
        <w:t>by</w:t>
      </w:r>
      <w:r>
        <w:rPr>
          <w:rFonts w:ascii="Arial" w:cs="Arial" w:eastAsia="Arial" w:hAnsi="Arial"/>
          <w:sz w:val="15"/>
          <w:szCs w:val="15"/>
          <w:b w:val="1"/>
          <w:bCs w:val="1"/>
          <w:color w:val="42423F"/>
        </w:rPr>
        <w:t xml:space="preserve"> </w:t>
      </w:r>
      <w:r>
        <w:rPr>
          <w:rFonts w:ascii="Arial" w:cs="Arial" w:eastAsia="Arial" w:hAnsi="Arial"/>
          <w:sz w:val="15"/>
          <w:szCs w:val="15"/>
          <w:color w:val="42423F"/>
        </w:rPr>
        <w:t>us.</w:t>
      </w:r>
    </w:p>
    <w:p>
      <w:pPr>
        <w:spacing w:after="0" w:line="179" w:lineRule="exact"/>
        <w:rPr>
          <w:sz w:val="20"/>
          <w:szCs w:val="20"/>
          <w:color w:val="auto"/>
        </w:rPr>
      </w:pPr>
    </w:p>
    <w:p>
      <w:pPr>
        <w:jc w:val="both"/>
        <w:ind w:left="520"/>
        <w:spacing w:after="0" w:line="307" w:lineRule="auto"/>
        <w:rPr>
          <w:sz w:val="20"/>
          <w:szCs w:val="20"/>
          <w:color w:val="auto"/>
        </w:rPr>
      </w:pPr>
      <w:r>
        <w:rPr>
          <w:rFonts w:ascii="Arial" w:cs="Arial" w:eastAsia="Arial" w:hAnsi="Arial"/>
          <w:sz w:val="16"/>
          <w:szCs w:val="16"/>
          <w:b w:val="1"/>
          <w:bCs w:val="1"/>
          <w:color w:val="42423F"/>
        </w:rPr>
        <w:t xml:space="preserve">Follow form </w:t>
      </w:r>
      <w:r>
        <w:rPr>
          <w:rFonts w:ascii="Arial" w:cs="Arial" w:eastAsia="Arial" w:hAnsi="Arial"/>
          <w:sz w:val="16"/>
          <w:szCs w:val="16"/>
          <w:color w:val="42423F"/>
        </w:rPr>
        <w:t>means we cover damages to the</w:t>
      </w:r>
      <w:r>
        <w:rPr>
          <w:rFonts w:ascii="Arial" w:cs="Arial" w:eastAsia="Arial" w:hAnsi="Arial"/>
          <w:sz w:val="16"/>
          <w:szCs w:val="16"/>
          <w:b w:val="1"/>
          <w:bCs w:val="1"/>
          <w:color w:val="42423F"/>
        </w:rPr>
        <w:t xml:space="preserve"> </w:t>
      </w:r>
      <w:r>
        <w:rPr>
          <w:rFonts w:ascii="Arial" w:cs="Arial" w:eastAsia="Arial" w:hAnsi="Arial"/>
          <w:sz w:val="16"/>
          <w:szCs w:val="16"/>
          <w:color w:val="31312F"/>
        </w:rPr>
        <w:t>extent</w:t>
      </w:r>
      <w:r>
        <w:rPr>
          <w:rFonts w:ascii="Arial" w:cs="Arial" w:eastAsia="Arial" w:hAnsi="Arial"/>
          <w:sz w:val="16"/>
          <w:szCs w:val="16"/>
          <w:b w:val="1"/>
          <w:bCs w:val="1"/>
          <w:color w:val="42423F"/>
        </w:rPr>
        <w:t xml:space="preserve"> </w:t>
      </w:r>
      <w:r>
        <w:rPr>
          <w:rFonts w:ascii="Arial" w:cs="Arial" w:eastAsia="Arial" w:hAnsi="Arial"/>
          <w:sz w:val="16"/>
          <w:szCs w:val="16"/>
          <w:color w:val="42423F"/>
        </w:rPr>
        <w:t>they are both covered under the Required Primary Underlying Insurance and, not excluded under this policy.</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Also, the amount of coverage, defense coverages, cancellation </w:t>
      </w:r>
      <w:r>
        <w:rPr>
          <w:rFonts w:ascii="Arial" w:cs="Arial" w:eastAsia="Arial" w:hAnsi="Arial"/>
          <w:sz w:val="16"/>
          <w:szCs w:val="16"/>
          <w:color w:val="31312F"/>
        </w:rPr>
        <w:t>and</w:t>
      </w:r>
      <w:r>
        <w:rPr>
          <w:rFonts w:ascii="Arial" w:cs="Arial" w:eastAsia="Arial" w:hAnsi="Arial"/>
          <w:sz w:val="16"/>
          <w:szCs w:val="16"/>
          <w:color w:val="42423F"/>
        </w:rPr>
        <w:t xml:space="preserve"> </w:t>
      </w:r>
      <w:r>
        <w:rPr>
          <w:rFonts w:ascii="Arial" w:cs="Arial" w:eastAsia="Arial" w:hAnsi="Arial"/>
          <w:sz w:val="16"/>
          <w:szCs w:val="16"/>
          <w:color w:val="5D5D5B"/>
        </w:rPr>
        <w:t>"</w:t>
      </w:r>
      <w:r>
        <w:rPr>
          <w:rFonts w:ascii="Arial" w:cs="Arial" w:eastAsia="Arial" w:hAnsi="Arial"/>
          <w:sz w:val="16"/>
          <w:szCs w:val="16"/>
          <w:color w:val="42423F"/>
        </w:rPr>
        <w:t xml:space="preserve">other insurance" provisions of this policy supersede and replace the similar provisions contained in such other policies. When this policy is called </w:t>
      </w:r>
      <w:r>
        <w:rPr>
          <w:rFonts w:ascii="Arial" w:cs="Arial" w:eastAsia="Arial" w:hAnsi="Arial"/>
          <w:sz w:val="16"/>
          <w:szCs w:val="16"/>
          <w:color w:val="31312F"/>
        </w:rPr>
        <w:t>upon</w:t>
      </w:r>
      <w:r>
        <w:rPr>
          <w:rFonts w:ascii="Arial" w:cs="Arial" w:eastAsia="Arial" w:hAnsi="Arial"/>
          <w:sz w:val="16"/>
          <w:szCs w:val="16"/>
          <w:color w:val="42423F"/>
        </w:rPr>
        <w:t xml:space="preserve"> to pay losses in excess of required primary underlying policies exhausted by payment of claims, we do not provide broader coverage </w:t>
      </w:r>
      <w:r>
        <w:rPr>
          <w:rFonts w:ascii="Arial" w:cs="Arial" w:eastAsia="Arial" w:hAnsi="Arial"/>
          <w:sz w:val="16"/>
          <w:szCs w:val="16"/>
          <w:color w:val="31312F"/>
        </w:rPr>
        <w:t>than</w:t>
      </w:r>
      <w:r>
        <w:rPr>
          <w:rFonts w:ascii="Arial" w:cs="Arial" w:eastAsia="Arial" w:hAnsi="Arial"/>
          <w:sz w:val="16"/>
          <w:szCs w:val="16"/>
          <w:color w:val="42423F"/>
        </w:rPr>
        <w:t xml:space="preserve"> provided by such policies</w:t>
      </w:r>
      <w:r>
        <w:rPr>
          <w:rFonts w:ascii="Arial" w:cs="Arial" w:eastAsia="Arial" w:hAnsi="Arial"/>
          <w:sz w:val="16"/>
          <w:szCs w:val="16"/>
          <w:color w:val="5D5D5B"/>
        </w:rPr>
        <w:t>.</w:t>
      </w:r>
      <w:r>
        <w:rPr>
          <w:rFonts w:ascii="Arial" w:cs="Arial" w:eastAsia="Arial" w:hAnsi="Arial"/>
          <w:sz w:val="16"/>
          <w:szCs w:val="16"/>
          <w:color w:val="42423F"/>
        </w:rPr>
        <w:t xml:space="preserve"> When no primary underlying coverage exists, the extent of coverage provided on a follow form </w:t>
      </w:r>
      <w:r>
        <w:rPr>
          <w:rFonts w:ascii="Arial" w:cs="Arial" w:eastAsia="Arial" w:hAnsi="Arial"/>
          <w:sz w:val="16"/>
          <w:szCs w:val="16"/>
          <w:color w:val="31312F"/>
        </w:rPr>
        <w:t>basis</w:t>
      </w:r>
      <w:r>
        <w:rPr>
          <w:rFonts w:ascii="Arial" w:cs="Arial" w:eastAsia="Arial" w:hAnsi="Arial"/>
          <w:sz w:val="16"/>
          <w:szCs w:val="16"/>
          <w:color w:val="42423F"/>
        </w:rPr>
        <w:t xml:space="preserve"> will </w:t>
      </w:r>
      <w:r>
        <w:rPr>
          <w:rFonts w:ascii="Arial" w:cs="Arial" w:eastAsia="Arial" w:hAnsi="Arial"/>
          <w:sz w:val="15"/>
          <w:szCs w:val="15"/>
          <w:color w:val="42423F"/>
        </w:rPr>
        <w:t xml:space="preserve">be </w:t>
      </w:r>
      <w:r>
        <w:rPr>
          <w:rFonts w:ascii="Arial" w:cs="Arial" w:eastAsia="Arial" w:hAnsi="Arial"/>
          <w:sz w:val="16"/>
          <w:szCs w:val="16"/>
          <w:color w:val="42423F"/>
        </w:rPr>
        <w:t>determined as</w:t>
      </w:r>
      <w:r>
        <w:rPr>
          <w:rFonts w:ascii="Arial" w:cs="Arial" w:eastAsia="Arial" w:hAnsi="Arial"/>
          <w:sz w:val="15"/>
          <w:szCs w:val="15"/>
          <w:color w:val="42423F"/>
        </w:rPr>
        <w:t xml:space="preserve"> if </w:t>
      </w:r>
      <w:r>
        <w:rPr>
          <w:rFonts w:ascii="Arial" w:cs="Arial" w:eastAsia="Arial" w:hAnsi="Arial"/>
          <w:sz w:val="16"/>
          <w:szCs w:val="16"/>
          <w:color w:val="42423F"/>
        </w:rPr>
        <w:t>the required primary underlying insurance had been purchased from us.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Covered person </w:t>
      </w:r>
      <w:r>
        <w:rPr>
          <w:rFonts w:ascii="Arial" w:cs="Arial" w:eastAsia="Arial" w:hAnsi="Arial"/>
          <w:sz w:val="16"/>
          <w:szCs w:val="16"/>
          <w:color w:val="42423F"/>
        </w:rPr>
        <w:t>means</w:t>
      </w:r>
      <w:r>
        <w:rPr>
          <w:rFonts w:ascii="Arial" w:cs="Arial" w:eastAsia="Arial" w:hAnsi="Arial"/>
          <w:sz w:val="16"/>
          <w:szCs w:val="16"/>
          <w:color w:val="5D5D5B"/>
        </w:rPr>
        <w:t>:</w:t>
      </w:r>
    </w:p>
    <w:p>
      <w:pPr>
        <w:spacing w:after="0" w:line="77" w:lineRule="exact"/>
        <w:rPr>
          <w:sz w:val="20"/>
          <w:szCs w:val="20"/>
          <w:color w:val="auto"/>
        </w:rPr>
      </w:pPr>
    </w:p>
    <w:p>
      <w:pPr>
        <w:ind w:left="820" w:hanging="259"/>
        <w:spacing w:after="0"/>
        <w:tabs>
          <w:tab w:leader="none" w:pos="820" w:val="left"/>
        </w:tabs>
        <w:numPr>
          <w:ilvl w:val="0"/>
          <w:numId w:val="81"/>
        </w:numPr>
        <w:rPr>
          <w:rFonts w:ascii="Arial" w:cs="Arial" w:eastAsia="Arial" w:hAnsi="Arial"/>
          <w:sz w:val="16"/>
          <w:szCs w:val="16"/>
          <w:color w:val="42423F"/>
        </w:rPr>
      </w:pPr>
      <w:r>
        <w:rPr>
          <w:rFonts w:ascii="Arial" w:cs="Arial" w:eastAsia="Arial" w:hAnsi="Arial"/>
          <w:sz w:val="16"/>
          <w:szCs w:val="16"/>
          <w:color w:val="42423F"/>
        </w:rPr>
        <w:t>you or a family member;</w:t>
      </w:r>
    </w:p>
    <w:p>
      <w:pPr>
        <w:spacing w:after="0" w:line="86" w:lineRule="exact"/>
        <w:rPr>
          <w:rFonts w:ascii="Arial" w:cs="Arial" w:eastAsia="Arial" w:hAnsi="Arial"/>
          <w:sz w:val="16"/>
          <w:szCs w:val="16"/>
          <w:color w:val="42423F"/>
        </w:rPr>
      </w:pPr>
    </w:p>
    <w:p>
      <w:pPr>
        <w:ind w:left="820" w:right="20" w:hanging="259"/>
        <w:spacing w:after="0" w:line="347" w:lineRule="auto"/>
        <w:tabs>
          <w:tab w:leader="none" w:pos="820" w:val="left"/>
        </w:tabs>
        <w:numPr>
          <w:ilvl w:val="0"/>
          <w:numId w:val="81"/>
        </w:numPr>
        <w:rPr>
          <w:rFonts w:ascii="Arial" w:cs="Arial" w:eastAsia="Arial" w:hAnsi="Arial"/>
          <w:sz w:val="16"/>
          <w:szCs w:val="16"/>
          <w:color w:val="42423F"/>
        </w:rPr>
      </w:pPr>
      <w:r>
        <w:rPr>
          <w:rFonts w:ascii="Arial" w:cs="Arial" w:eastAsia="Arial" w:hAnsi="Arial"/>
          <w:sz w:val="16"/>
          <w:szCs w:val="16"/>
          <w:color w:val="42423F"/>
        </w:rPr>
        <w:t xml:space="preserve">any person using a vehicle or watercraft covered under this policy with permission from you or a family member with </w:t>
      </w:r>
      <w:r>
        <w:rPr>
          <w:rFonts w:ascii="Arial" w:cs="Arial" w:eastAsia="Arial" w:hAnsi="Arial"/>
          <w:sz w:val="16"/>
          <w:szCs w:val="16"/>
          <w:color w:val="31312F"/>
        </w:rPr>
        <w:t>respect</w:t>
      </w:r>
      <w:r>
        <w:rPr>
          <w:rFonts w:ascii="Arial" w:cs="Arial" w:eastAsia="Arial" w:hAnsi="Arial"/>
          <w:sz w:val="16"/>
          <w:szCs w:val="16"/>
          <w:color w:val="42423F"/>
        </w:rPr>
        <w:t xml:space="preserve"> to their legal responsibility arising out of its </w:t>
      </w:r>
      <w:r>
        <w:rPr>
          <w:rFonts w:ascii="Arial" w:cs="Arial" w:eastAsia="Arial" w:hAnsi="Arial"/>
          <w:sz w:val="16"/>
          <w:szCs w:val="16"/>
          <w:color w:val="31312F"/>
        </w:rPr>
        <w:t>use;</w:t>
      </w:r>
    </w:p>
    <w:p>
      <w:pPr>
        <w:ind w:left="820" w:hanging="259"/>
        <w:spacing w:after="0"/>
        <w:tabs>
          <w:tab w:leader="none" w:pos="820" w:val="left"/>
        </w:tabs>
        <w:numPr>
          <w:ilvl w:val="0"/>
          <w:numId w:val="81"/>
        </w:numPr>
        <w:rPr>
          <w:rFonts w:ascii="Arial" w:cs="Arial" w:eastAsia="Arial" w:hAnsi="Arial"/>
          <w:sz w:val="16"/>
          <w:szCs w:val="16"/>
          <w:color w:val="42423F"/>
        </w:rPr>
      </w:pPr>
      <w:r>
        <w:rPr>
          <w:rFonts w:ascii="Arial" w:cs="Arial" w:eastAsia="Arial" w:hAnsi="Arial"/>
          <w:sz w:val="16"/>
          <w:szCs w:val="16"/>
          <w:color w:val="42423F"/>
        </w:rPr>
        <w:t xml:space="preserve">any other person who is a covered person under your Required </w:t>
      </w:r>
      <w:r>
        <w:rPr>
          <w:rFonts w:ascii="Arial" w:cs="Arial" w:eastAsia="Arial" w:hAnsi="Arial"/>
          <w:sz w:val="17"/>
          <w:szCs w:val="17"/>
          <w:color w:val="42423F"/>
        </w:rPr>
        <w:t>Primary</w:t>
      </w:r>
      <w:r>
        <w:rPr>
          <w:rFonts w:ascii="Arial" w:cs="Arial" w:eastAsia="Arial" w:hAnsi="Arial"/>
          <w:sz w:val="16"/>
          <w:szCs w:val="16"/>
          <w:color w:val="42423F"/>
        </w:rPr>
        <w:t xml:space="preserve"> Underlying Insurance;</w:t>
      </w:r>
    </w:p>
    <w:p>
      <w:pPr>
        <w:spacing w:after="0" w:line="55" w:lineRule="exact"/>
        <w:rPr>
          <w:rFonts w:ascii="Arial" w:cs="Arial" w:eastAsia="Arial" w:hAnsi="Arial"/>
          <w:sz w:val="16"/>
          <w:szCs w:val="16"/>
          <w:color w:val="42423F"/>
        </w:rPr>
      </w:pPr>
    </w:p>
    <w:p>
      <w:pPr>
        <w:ind w:left="820" w:hanging="259"/>
        <w:spacing w:after="0"/>
        <w:tabs>
          <w:tab w:leader="none" w:pos="820" w:val="left"/>
        </w:tabs>
        <w:numPr>
          <w:ilvl w:val="0"/>
          <w:numId w:val="81"/>
        </w:numPr>
        <w:rPr>
          <w:rFonts w:ascii="Arial" w:cs="Arial" w:eastAsia="Arial" w:hAnsi="Arial"/>
          <w:sz w:val="16"/>
          <w:szCs w:val="16"/>
          <w:color w:val="42423F"/>
        </w:rPr>
      </w:pPr>
      <w:r>
        <w:rPr>
          <w:rFonts w:ascii="Arial" w:cs="Arial" w:eastAsia="Arial" w:hAnsi="Arial"/>
          <w:sz w:val="16"/>
          <w:szCs w:val="16"/>
          <w:color w:val="42423F"/>
        </w:rPr>
        <w:t xml:space="preserve">any person or organization with respect </w:t>
      </w:r>
      <w:r>
        <w:rPr>
          <w:rFonts w:ascii="Arial" w:cs="Arial" w:eastAsia="Arial" w:hAnsi="Arial"/>
          <w:sz w:val="16"/>
          <w:szCs w:val="16"/>
          <w:color w:val="31312F"/>
        </w:rPr>
        <w:t>to</w:t>
      </w:r>
      <w:r>
        <w:rPr>
          <w:rFonts w:ascii="Arial" w:cs="Arial" w:eastAsia="Arial" w:hAnsi="Arial"/>
          <w:sz w:val="16"/>
          <w:szCs w:val="16"/>
          <w:color w:val="42423F"/>
        </w:rPr>
        <w:t xml:space="preserve"> their legal responsibility for covered acts or omissions of you or a family member; or</w:t>
      </w:r>
    </w:p>
    <w:p>
      <w:pPr>
        <w:spacing w:after="0" w:line="22" w:lineRule="exact"/>
        <w:rPr>
          <w:rFonts w:ascii="Arial" w:cs="Arial" w:eastAsia="Arial" w:hAnsi="Arial"/>
          <w:sz w:val="16"/>
          <w:szCs w:val="16"/>
          <w:color w:val="42423F"/>
        </w:rPr>
      </w:pPr>
    </w:p>
    <w:p>
      <w:pPr>
        <w:ind w:left="820" w:hanging="259"/>
        <w:spacing w:after="0"/>
        <w:tabs>
          <w:tab w:leader="none" w:pos="820" w:val="left"/>
        </w:tabs>
        <w:numPr>
          <w:ilvl w:val="0"/>
          <w:numId w:val="81"/>
        </w:numPr>
        <w:rPr>
          <w:rFonts w:ascii="Arial" w:cs="Arial" w:eastAsia="Arial" w:hAnsi="Arial"/>
          <w:sz w:val="16"/>
          <w:szCs w:val="16"/>
          <w:color w:val="42423F"/>
        </w:rPr>
      </w:pPr>
      <w:r>
        <w:rPr>
          <w:rFonts w:ascii="Arial" w:cs="Arial" w:eastAsia="Arial" w:hAnsi="Arial"/>
          <w:sz w:val="16"/>
          <w:szCs w:val="16"/>
          <w:color w:val="42423F"/>
        </w:rPr>
        <w:t>any combination of the above.</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2 of 15</w:t>
      </w:r>
    </w:p>
    <w:p>
      <w:pPr>
        <w:sectPr>
          <w:pgSz w:w="11900" w:h="16838" w:orient="portrait"/>
          <w:cols w:equalWidth="0" w:num="1">
            <w:col w:w="11240"/>
          </w:cols>
          <w:pgMar w:left="320" w:top="568" w:right="339" w:bottom="1440" w:gutter="0" w:footer="0" w:header="0"/>
        </w:sectPr>
      </w:pPr>
    </w:p>
    <w:bookmarkStart w:id="132" w:name="page133"/>
    <w:bookmarkEnd w:id="132"/>
    <w:p>
      <w:pPr>
        <w:ind w:left="120"/>
        <w:spacing w:after="0"/>
        <w:rPr>
          <w:sz w:val="20"/>
          <w:szCs w:val="20"/>
          <w:color w:val="auto"/>
        </w:rPr>
      </w:pPr>
      <w:r>
        <w:rPr>
          <w:rFonts w:ascii="Arial" w:cs="Arial" w:eastAsia="Arial" w:hAnsi="Arial"/>
          <w:sz w:val="22"/>
          <w:szCs w:val="22"/>
          <w:b w:val="1"/>
          <w:bCs w:val="1"/>
          <w:i w:val="1"/>
          <w:iCs w:val="1"/>
          <w:color w:val="42423F"/>
        </w:rPr>
        <w:t>Definitions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423F"/>
        </w:rPr>
        <w:t>(continued)</w:t>
      </w:r>
    </w:p>
    <w:p>
      <w:pPr>
        <w:spacing w:after="0" w:line="33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2423F"/>
        </w:rPr>
        <w:t xml:space="preserve">Damages </w:t>
      </w:r>
      <w:r>
        <w:rPr>
          <w:rFonts w:ascii="Arial" w:cs="Arial" w:eastAsia="Arial" w:hAnsi="Arial"/>
          <w:sz w:val="15"/>
          <w:szCs w:val="15"/>
          <w:color w:val="42423F"/>
        </w:rPr>
        <w:t>mean the sum that is paid or is payable to satisfy a claim settled by us or resolved by judicial procedure or by a compromise we agree to in writing.</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Personal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the following in</w:t>
      </w:r>
      <w:r>
        <w:rPr>
          <w:rFonts w:ascii="Arial" w:cs="Arial" w:eastAsia="Arial" w:hAnsi="Arial"/>
          <w:sz w:val="16"/>
          <w:szCs w:val="16"/>
          <w:color w:val="5E5E5D"/>
        </w:rPr>
        <w:t>j</w:t>
      </w:r>
      <w:r>
        <w:rPr>
          <w:rFonts w:ascii="Arial" w:cs="Arial" w:eastAsia="Arial" w:hAnsi="Arial"/>
          <w:sz w:val="16"/>
          <w:szCs w:val="16"/>
          <w:color w:val="42423F"/>
        </w:rPr>
        <w:t>uries, and resulting death:</w:t>
      </w:r>
    </w:p>
    <w:p>
      <w:pPr>
        <w:spacing w:after="0" w:line="46" w:lineRule="exact"/>
        <w:rPr>
          <w:sz w:val="20"/>
          <w:szCs w:val="20"/>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bodily injury;</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shock, mental anguish, or mental injury;</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false arrest, false imprisonment, or wrongful detention</w:t>
      </w:r>
      <w:r>
        <w:rPr>
          <w:rFonts w:ascii="Arial" w:cs="Arial" w:eastAsia="Arial" w:hAnsi="Arial"/>
          <w:sz w:val="16"/>
          <w:szCs w:val="16"/>
          <w:color w:val="5E5E5D"/>
        </w:rPr>
        <w:t>;</w:t>
      </w:r>
    </w:p>
    <w:p>
      <w:pPr>
        <w:spacing w:after="0" w:line="22" w:lineRule="exact"/>
        <w:rPr>
          <w:rFonts w:ascii="Arial" w:cs="Arial" w:eastAsia="Arial" w:hAnsi="Arial"/>
          <w:sz w:val="16"/>
          <w:szCs w:val="16"/>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wrongful entry or eviction;</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malicious prosecution or humiliation; and</w:t>
      </w:r>
    </w:p>
    <w:p>
      <w:pPr>
        <w:spacing w:after="0" w:line="82" w:lineRule="exact"/>
        <w:rPr>
          <w:rFonts w:ascii="Arial" w:cs="Arial" w:eastAsia="Arial" w:hAnsi="Arial"/>
          <w:sz w:val="16"/>
          <w:szCs w:val="16"/>
          <w:color w:val="auto"/>
        </w:rPr>
      </w:pPr>
    </w:p>
    <w:p>
      <w:pPr>
        <w:ind w:left="500" w:hanging="330"/>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42423F"/>
        </w:rPr>
        <w:t>libel, slander, defamation of character, or invasion of privacy.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Bodily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physical bodily harm, including sickne</w:t>
      </w:r>
      <w:r>
        <w:rPr>
          <w:rFonts w:ascii="Arial" w:cs="Arial" w:eastAsia="Arial" w:hAnsi="Arial"/>
          <w:sz w:val="16"/>
          <w:szCs w:val="16"/>
          <w:color w:val="5E5E5D"/>
        </w:rPr>
        <w:t>s</w:t>
      </w:r>
      <w:r>
        <w:rPr>
          <w:rFonts w:ascii="Arial" w:cs="Arial" w:eastAsia="Arial" w:hAnsi="Arial"/>
          <w:sz w:val="16"/>
          <w:szCs w:val="16"/>
          <w:color w:val="42423F"/>
        </w:rPr>
        <w:t>s or disease that results from it, and required care, loss of services and resulting death.</w:t>
      </w:r>
    </w:p>
    <w:p>
      <w:pPr>
        <w:spacing w:after="0" w:line="142" w:lineRule="exact"/>
        <w:rPr>
          <w:sz w:val="20"/>
          <w:szCs w:val="20"/>
          <w:color w:val="auto"/>
        </w:rPr>
      </w:pPr>
    </w:p>
    <w:p>
      <w:pPr>
        <w:jc w:val="both"/>
        <w:ind w:left="120"/>
        <w:spacing w:after="0" w:line="321" w:lineRule="auto"/>
        <w:rPr>
          <w:sz w:val="20"/>
          <w:szCs w:val="20"/>
          <w:color w:val="auto"/>
        </w:rPr>
      </w:pPr>
      <w:r>
        <w:rPr>
          <w:rFonts w:ascii="Arial" w:cs="Arial" w:eastAsia="Arial" w:hAnsi="Arial"/>
          <w:sz w:val="17"/>
          <w:szCs w:val="17"/>
          <w:b w:val="1"/>
          <w:bCs w:val="1"/>
          <w:color w:val="42423F"/>
        </w:rPr>
        <w:t xml:space="preserve">Property damage </w:t>
      </w:r>
      <w:r>
        <w:rPr>
          <w:rFonts w:ascii="Arial" w:cs="Arial" w:eastAsia="Arial" w:hAnsi="Arial"/>
          <w:sz w:val="16"/>
          <w:szCs w:val="16"/>
          <w:color w:val="42423F"/>
        </w:rPr>
        <w:t>means physical injury to or destruction of tangible property and the resulting loss of</w:t>
      </w:r>
      <w:r>
        <w:rPr>
          <w:rFonts w:ascii="Arial" w:cs="Arial" w:eastAsia="Arial" w:hAnsi="Arial"/>
          <w:sz w:val="17"/>
          <w:szCs w:val="17"/>
          <w:b w:val="1"/>
          <w:bCs w:val="1"/>
          <w:color w:val="42423F"/>
        </w:rPr>
        <w:t xml:space="preserve"> </w:t>
      </w:r>
      <w:r>
        <w:rPr>
          <w:rFonts w:ascii="Arial" w:cs="Arial" w:eastAsia="Arial" w:hAnsi="Arial"/>
          <w:sz w:val="16"/>
          <w:szCs w:val="16"/>
          <w:color w:val="2F2F2F"/>
        </w:rPr>
        <w:t>its</w:t>
      </w:r>
      <w:r>
        <w:rPr>
          <w:rFonts w:ascii="Arial" w:cs="Arial" w:eastAsia="Arial" w:hAnsi="Arial"/>
          <w:sz w:val="17"/>
          <w:szCs w:val="17"/>
          <w:b w:val="1"/>
          <w:bCs w:val="1"/>
          <w:color w:val="42423F"/>
        </w:rPr>
        <w:t xml:space="preserve"> </w:t>
      </w:r>
      <w:r>
        <w:rPr>
          <w:rFonts w:ascii="Arial" w:cs="Arial" w:eastAsia="Arial" w:hAnsi="Arial"/>
          <w:sz w:val="16"/>
          <w:szCs w:val="16"/>
          <w:color w:val="42423F"/>
        </w:rPr>
        <w:t>use. Tangible property includes the cost of recreating or</w:t>
      </w:r>
      <w:r>
        <w:rPr>
          <w:rFonts w:ascii="Arial" w:cs="Arial" w:eastAsia="Arial" w:hAnsi="Arial"/>
          <w:sz w:val="17"/>
          <w:szCs w:val="17"/>
          <w:b w:val="1"/>
          <w:bCs w:val="1"/>
          <w:color w:val="42423F"/>
        </w:rPr>
        <w:t xml:space="preserve"> </w:t>
      </w:r>
      <w:r>
        <w:rPr>
          <w:rFonts w:ascii="Arial" w:cs="Arial" w:eastAsia="Arial" w:hAnsi="Arial"/>
          <w:sz w:val="16"/>
          <w:szCs w:val="16"/>
          <w:color w:val="42423F"/>
        </w:rPr>
        <w:t>replacing stocks, bonds</w:t>
      </w:r>
      <w:r>
        <w:rPr>
          <w:rFonts w:ascii="Arial" w:cs="Arial" w:eastAsia="Arial" w:hAnsi="Arial"/>
          <w:sz w:val="16"/>
          <w:szCs w:val="16"/>
          <w:color w:val="5E5E5D"/>
        </w:rPr>
        <w:t>,</w:t>
      </w:r>
      <w:r>
        <w:rPr>
          <w:rFonts w:ascii="Arial" w:cs="Arial" w:eastAsia="Arial" w:hAnsi="Arial"/>
          <w:sz w:val="16"/>
          <w:szCs w:val="16"/>
          <w:color w:val="42423F"/>
        </w:rPr>
        <w:t xml:space="preserve"> deeds</w:t>
      </w:r>
      <w:r>
        <w:rPr>
          <w:rFonts w:ascii="Arial" w:cs="Arial" w:eastAsia="Arial" w:hAnsi="Arial"/>
          <w:sz w:val="16"/>
          <w:szCs w:val="16"/>
          <w:color w:val="5E5E5D"/>
        </w:rPr>
        <w:t>,</w:t>
      </w:r>
      <w:r>
        <w:rPr>
          <w:rFonts w:ascii="Arial" w:cs="Arial" w:eastAsia="Arial" w:hAnsi="Arial"/>
          <w:sz w:val="16"/>
          <w:szCs w:val="16"/>
          <w:color w:val="42423F"/>
        </w:rPr>
        <w:t xml:space="preserve"> mortgages, bank deposits, and similar instruments, but does not include the value represented by such instruments</w:t>
      </w:r>
      <w:r>
        <w:rPr>
          <w:rFonts w:ascii="Arial" w:cs="Arial" w:eastAsia="Arial" w:hAnsi="Arial"/>
          <w:sz w:val="16"/>
          <w:szCs w:val="16"/>
          <w:color w:val="1C1C1A"/>
        </w:rPr>
        <w:t>.</w:t>
      </w:r>
      <w:r>
        <w:rPr>
          <w:rFonts w:ascii="Arial" w:cs="Arial" w:eastAsia="Arial" w:hAnsi="Arial"/>
          <w:sz w:val="16"/>
          <w:szCs w:val="16"/>
          <w:color w:val="42423F"/>
        </w:rPr>
        <w:t xml:space="preserve"> Tangible property does not include the cost of recreating </w:t>
      </w:r>
      <w:r>
        <w:rPr>
          <w:rFonts w:ascii="Arial" w:cs="Arial" w:eastAsia="Arial" w:hAnsi="Arial"/>
          <w:sz w:val="16"/>
          <w:szCs w:val="16"/>
          <w:color w:val="5E5E5D"/>
        </w:rPr>
        <w:t>o</w:t>
      </w:r>
      <w:r>
        <w:rPr>
          <w:rFonts w:ascii="Arial" w:cs="Arial" w:eastAsia="Arial" w:hAnsi="Arial"/>
          <w:sz w:val="16"/>
          <w:szCs w:val="16"/>
          <w:color w:val="42423F"/>
        </w:rPr>
        <w:t>r replacing any software, data or other information that is in electronic form.</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 any motorized land vehicle not described in</w:t>
      </w:r>
      <w:r>
        <w:rPr>
          <w:rFonts w:ascii="Arial" w:cs="Arial" w:eastAsia="Arial" w:hAnsi="Arial"/>
          <w:sz w:val="16"/>
          <w:szCs w:val="16"/>
          <w:b w:val="1"/>
          <w:bCs w:val="1"/>
          <w:color w:val="42423F"/>
        </w:rPr>
        <w:t xml:space="preserve"> </w:t>
      </w:r>
      <w:r>
        <w:rPr>
          <w:rFonts w:ascii="Arial" w:cs="Arial" w:eastAsia="Arial" w:hAnsi="Arial"/>
          <w:sz w:val="16"/>
          <w:szCs w:val="16"/>
          <w:color w:val="5E5E5D"/>
        </w:rPr>
        <w:t>"</w:t>
      </w:r>
      <w:r>
        <w:rPr>
          <w:rFonts w:ascii="Arial" w:cs="Arial" w:eastAsia="Arial" w:hAnsi="Arial"/>
          <w:sz w:val="16"/>
          <w:szCs w:val="16"/>
          <w:color w:val="42423F"/>
        </w:rPr>
        <w:t>unregistered vehicle.</w:t>
      </w:r>
      <w:r>
        <w:rPr>
          <w:rFonts w:ascii="Arial" w:cs="Arial" w:eastAsia="Arial" w:hAnsi="Arial"/>
          <w:sz w:val="16"/>
          <w:szCs w:val="16"/>
          <w:color w:val="5E5E5D"/>
        </w:rPr>
        <w:t>"</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Unregistered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w:t>
      </w:r>
    </w:p>
    <w:p>
      <w:pPr>
        <w:spacing w:after="0" w:line="32" w:lineRule="exact"/>
        <w:rPr>
          <w:sz w:val="20"/>
          <w:szCs w:val="20"/>
          <w:color w:val="auto"/>
        </w:rPr>
      </w:pPr>
    </w:p>
    <w:p>
      <w:pPr>
        <w:ind w:left="500" w:hanging="330"/>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42423F"/>
        </w:rPr>
        <w:t xml:space="preserve">any motorized </w:t>
      </w:r>
      <w:r>
        <w:rPr>
          <w:rFonts w:ascii="Arial" w:cs="Arial" w:eastAsia="Arial" w:hAnsi="Arial"/>
          <w:sz w:val="16"/>
          <w:szCs w:val="16"/>
          <w:color w:val="2F2F2F"/>
        </w:rPr>
        <w:t>land</w:t>
      </w:r>
      <w:r>
        <w:rPr>
          <w:rFonts w:ascii="Arial" w:cs="Arial" w:eastAsia="Arial" w:hAnsi="Arial"/>
          <w:sz w:val="16"/>
          <w:szCs w:val="16"/>
          <w:color w:val="42423F"/>
        </w:rPr>
        <w:t xml:space="preserve"> vehicle </w:t>
      </w:r>
      <w:r>
        <w:rPr>
          <w:rFonts w:ascii="Arial" w:cs="Arial" w:eastAsia="Arial" w:hAnsi="Arial"/>
          <w:sz w:val="16"/>
          <w:szCs w:val="16"/>
          <w:color w:val="2F2F2F"/>
        </w:rPr>
        <w:t>not</w:t>
      </w:r>
      <w:r>
        <w:rPr>
          <w:rFonts w:ascii="Arial" w:cs="Arial" w:eastAsia="Arial" w:hAnsi="Arial"/>
          <w:sz w:val="16"/>
          <w:szCs w:val="16"/>
          <w:color w:val="42423F"/>
        </w:rPr>
        <w:t xml:space="preserve"> designed for or required to be registered for use on public roads;</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42423F"/>
        </w:rPr>
        <w:t>any motorized land vehicle which is in dead storage at your residence;</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42423F"/>
        </w:rPr>
        <w:t>any motorized land vehicle used solely on and to service your residence premises;</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42423F"/>
        </w:rPr>
        <w:t xml:space="preserve">any motorized land vehicle used to assist the </w:t>
      </w:r>
      <w:r>
        <w:rPr>
          <w:rFonts w:ascii="Arial" w:cs="Arial" w:eastAsia="Arial" w:hAnsi="Arial"/>
          <w:sz w:val="16"/>
          <w:szCs w:val="16"/>
          <w:color w:val="2F2F2F"/>
        </w:rPr>
        <w:t>disabled</w:t>
      </w:r>
      <w:r>
        <w:rPr>
          <w:rFonts w:ascii="Arial" w:cs="Arial" w:eastAsia="Arial" w:hAnsi="Arial"/>
          <w:sz w:val="16"/>
          <w:szCs w:val="16"/>
          <w:color w:val="42423F"/>
        </w:rPr>
        <w:t xml:space="preserve"> that is not designed for or required to be registered for </w:t>
      </w:r>
      <w:r>
        <w:rPr>
          <w:rFonts w:ascii="Arial" w:cs="Arial" w:eastAsia="Arial" w:hAnsi="Arial"/>
          <w:sz w:val="16"/>
          <w:szCs w:val="16"/>
          <w:color w:val="2F2F2F"/>
        </w:rPr>
        <w:t>use</w:t>
      </w:r>
      <w:r>
        <w:rPr>
          <w:rFonts w:ascii="Arial" w:cs="Arial" w:eastAsia="Arial" w:hAnsi="Arial"/>
          <w:sz w:val="16"/>
          <w:szCs w:val="16"/>
          <w:color w:val="42423F"/>
        </w:rPr>
        <w:t xml:space="preserve"> on public roads; or</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42423F"/>
        </w:rPr>
        <w:t>golf carts</w:t>
      </w:r>
      <w:r>
        <w:rPr>
          <w:rFonts w:ascii="Arial" w:cs="Arial" w:eastAsia="Arial" w:hAnsi="Arial"/>
          <w:sz w:val="16"/>
          <w:szCs w:val="16"/>
          <w:color w:val="5E5E5D"/>
        </w:rPr>
        <w:t>.</w:t>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42423F"/>
        </w:rPr>
        <w:t>GROUP PERSONAL EXCESS COVERAGE</w:t>
      </w:r>
    </w:p>
    <w:p>
      <w:pPr>
        <w:spacing w:after="0" w:line="54" w:lineRule="exact"/>
        <w:rPr>
          <w:sz w:val="20"/>
          <w:szCs w:val="20"/>
          <w:color w:val="auto"/>
        </w:rPr>
      </w:pPr>
    </w:p>
    <w:p>
      <w:pPr>
        <w:ind w:left="180" w:right="40"/>
        <w:spacing w:after="0" w:line="328" w:lineRule="auto"/>
        <w:rPr>
          <w:sz w:val="20"/>
          <w:szCs w:val="20"/>
          <w:color w:val="auto"/>
        </w:rPr>
      </w:pPr>
      <w:r>
        <w:rPr>
          <w:rFonts w:ascii="Arial" w:cs="Arial" w:eastAsia="Arial" w:hAnsi="Arial"/>
          <w:sz w:val="16"/>
          <w:szCs w:val="16"/>
          <w:color w:val="42423F"/>
        </w:rPr>
        <w:t>This part of your Group Personal Excess Liability Policy provides you or a family member with liability coverage in excess of your underlying insurance anywhere in the world unless stated otherwise or an exclusion applies</w:t>
      </w:r>
      <w:r>
        <w:rPr>
          <w:rFonts w:ascii="Arial" w:cs="Arial" w:eastAsia="Arial" w:hAnsi="Arial"/>
          <w:sz w:val="16"/>
          <w:szCs w:val="16"/>
          <w:color w:val="1C1C1A"/>
        </w:rPr>
        <w: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42423F"/>
        </w:rPr>
        <w:t>Payment for a Loss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Amount of coverage</w:t>
      </w:r>
    </w:p>
    <w:p>
      <w:pPr>
        <w:spacing w:after="0" w:line="46" w:lineRule="exact"/>
        <w:rPr>
          <w:sz w:val="20"/>
          <w:szCs w:val="20"/>
          <w:color w:val="auto"/>
        </w:rPr>
      </w:pPr>
    </w:p>
    <w:p>
      <w:pPr>
        <w:jc w:val="both"/>
        <w:ind w:left="120"/>
        <w:spacing w:after="0" w:line="328" w:lineRule="auto"/>
        <w:rPr>
          <w:sz w:val="20"/>
          <w:szCs w:val="20"/>
          <w:color w:val="auto"/>
        </w:rPr>
      </w:pPr>
      <w:r>
        <w:rPr>
          <w:rFonts w:ascii="Arial" w:cs="Arial" w:eastAsia="Arial" w:hAnsi="Arial"/>
          <w:sz w:val="16"/>
          <w:szCs w:val="16"/>
          <w:color w:val="42423F"/>
        </w:rPr>
        <w:t>The amount of coverage for liability is shown in the Coverage Summary</w:t>
      </w:r>
      <w:r>
        <w:rPr>
          <w:rFonts w:ascii="Arial" w:cs="Arial" w:eastAsia="Arial" w:hAnsi="Arial"/>
          <w:sz w:val="16"/>
          <w:szCs w:val="16"/>
          <w:color w:val="5E5E5D"/>
        </w:rPr>
        <w:t>.</w:t>
      </w:r>
      <w:r>
        <w:rPr>
          <w:rFonts w:ascii="Arial" w:cs="Arial" w:eastAsia="Arial" w:hAnsi="Arial"/>
          <w:sz w:val="16"/>
          <w:szCs w:val="16"/>
          <w:color w:val="42423F"/>
        </w:rPr>
        <w:t xml:space="preserve"> We will pay on your behalf up to that amount for covered damages from any one occurrence, regardless of how many claims, homes, vehicles, watercraft, or people are </w:t>
      </w:r>
      <w:r>
        <w:rPr>
          <w:rFonts w:ascii="Arial" w:cs="Arial" w:eastAsia="Arial" w:hAnsi="Arial"/>
          <w:sz w:val="16"/>
          <w:szCs w:val="16"/>
          <w:color w:val="2F2F2F"/>
        </w:rPr>
        <w:t>involved</w:t>
      </w:r>
      <w:r>
        <w:rPr>
          <w:rFonts w:ascii="Arial" w:cs="Arial" w:eastAsia="Arial" w:hAnsi="Arial"/>
          <w:sz w:val="16"/>
          <w:szCs w:val="16"/>
          <w:color w:val="42423F"/>
        </w:rPr>
        <w:t xml:space="preserve"> in the occurrence.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Any costs we pay for legal expenses (see </w:t>
      </w:r>
      <w:r>
        <w:rPr>
          <w:rFonts w:ascii="Arial" w:cs="Arial" w:eastAsia="Arial" w:hAnsi="Arial"/>
          <w:sz w:val="17"/>
          <w:szCs w:val="17"/>
          <w:b w:val="1"/>
          <w:bCs w:val="1"/>
          <w:color w:val="42423F"/>
        </w:rPr>
        <w:t>Defense coverages)</w:t>
      </w:r>
      <w:r>
        <w:rPr>
          <w:rFonts w:ascii="Arial" w:cs="Arial" w:eastAsia="Arial" w:hAnsi="Arial"/>
          <w:sz w:val="16"/>
          <w:szCs w:val="16"/>
          <w:color w:val="42423F"/>
        </w:rPr>
        <w:t xml:space="preserve"> are in addition to the amount of coverage.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42423F"/>
        </w:rPr>
        <w:t>Underlying Insurance</w:t>
      </w:r>
    </w:p>
    <w:p>
      <w:pPr>
        <w:spacing w:after="0" w:line="30" w:lineRule="exact"/>
        <w:rPr>
          <w:sz w:val="20"/>
          <w:szCs w:val="20"/>
          <w:color w:val="auto"/>
        </w:rPr>
      </w:pPr>
    </w:p>
    <w:p>
      <w:pPr>
        <w:ind w:left="120" w:right="520" w:hanging="26"/>
        <w:spacing w:after="0" w:line="288" w:lineRule="auto"/>
        <w:rPr>
          <w:sz w:val="20"/>
          <w:szCs w:val="20"/>
          <w:color w:val="auto"/>
        </w:rPr>
      </w:pPr>
      <w:r>
        <w:rPr>
          <w:rFonts w:ascii="Arial" w:cs="Arial" w:eastAsia="Arial" w:hAnsi="Arial"/>
          <w:sz w:val="16"/>
          <w:szCs w:val="16"/>
          <w:color w:val="42423F"/>
        </w:rPr>
        <w:t>We will pay only for co</w:t>
      </w:r>
      <w:r>
        <w:rPr>
          <w:rFonts w:ascii="Arial" w:cs="Arial" w:eastAsia="Arial" w:hAnsi="Arial"/>
          <w:sz w:val="16"/>
          <w:szCs w:val="16"/>
          <w:color w:val="5E5E5D"/>
        </w:rPr>
        <w:t>v</w:t>
      </w:r>
      <w:r>
        <w:rPr>
          <w:rFonts w:ascii="Arial" w:cs="Arial" w:eastAsia="Arial" w:hAnsi="Arial"/>
          <w:sz w:val="16"/>
          <w:szCs w:val="16"/>
          <w:color w:val="42423F"/>
        </w:rPr>
        <w:t xml:space="preserve">ered damages in excess of all underlying insurance covering those damages, even </w:t>
      </w:r>
      <w:r>
        <w:rPr>
          <w:rFonts w:ascii="Arial" w:cs="Arial" w:eastAsia="Arial" w:hAnsi="Arial"/>
          <w:sz w:val="17"/>
          <w:szCs w:val="17"/>
          <w:color w:val="42423F"/>
        </w:rPr>
        <w:t>if</w:t>
      </w:r>
      <w:r>
        <w:rPr>
          <w:rFonts w:ascii="Arial" w:cs="Arial" w:eastAsia="Arial" w:hAnsi="Arial"/>
          <w:sz w:val="16"/>
          <w:szCs w:val="16"/>
          <w:color w:val="42423F"/>
        </w:rPr>
        <w:t xml:space="preserve"> the underlying coverage is for more than the minimum amount.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"Underlying insurance" includes all liability coverage that applies to the covered damages, except for other insurance purchased in excess of </w:t>
      </w:r>
      <w:r>
        <w:rPr>
          <w:rFonts w:ascii="Arial" w:cs="Arial" w:eastAsia="Arial" w:hAnsi="Arial"/>
          <w:sz w:val="15"/>
          <w:szCs w:val="15"/>
          <w:color w:val="42423F"/>
        </w:rPr>
        <w:t>this</w:t>
      </w:r>
      <w:r>
        <w:rPr>
          <w:rFonts w:ascii="Arial" w:cs="Arial" w:eastAsia="Arial" w:hAnsi="Arial"/>
          <w:sz w:val="16"/>
          <w:szCs w:val="16"/>
          <w:color w:val="42423F"/>
        </w:rPr>
        <w:t xml:space="preserve"> policy.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Required </w:t>
      </w:r>
      <w:r>
        <w:rPr>
          <w:rFonts w:ascii="Arial" w:cs="Arial" w:eastAsia="Arial" w:hAnsi="Arial"/>
          <w:sz w:val="16"/>
          <w:szCs w:val="16"/>
          <w:b w:val="1"/>
          <w:bCs w:val="1"/>
          <w:color w:val="42423F"/>
        </w:rPr>
        <w:t>primary</w:t>
      </w:r>
      <w:r>
        <w:rPr>
          <w:rFonts w:ascii="Arial" w:cs="Arial" w:eastAsia="Arial" w:hAnsi="Arial"/>
          <w:sz w:val="17"/>
          <w:szCs w:val="17"/>
          <w:b w:val="1"/>
          <w:bCs w:val="1"/>
          <w:color w:val="42423F"/>
        </w:rPr>
        <w:t xml:space="preserve"> underlying insurance</w:t>
      </w:r>
    </w:p>
    <w:p>
      <w:pPr>
        <w:spacing w:after="0" w:line="59" w:lineRule="exact"/>
        <w:rPr>
          <w:sz w:val="20"/>
          <w:szCs w:val="20"/>
          <w:color w:val="auto"/>
        </w:rPr>
      </w:pPr>
    </w:p>
    <w:p>
      <w:pPr>
        <w:jc w:val="both"/>
        <w:ind w:left="140"/>
        <w:spacing w:after="0" w:line="309" w:lineRule="auto"/>
        <w:rPr>
          <w:sz w:val="20"/>
          <w:szCs w:val="20"/>
          <w:color w:val="auto"/>
        </w:rPr>
      </w:pPr>
      <w:r>
        <w:rPr>
          <w:rFonts w:ascii="Arial" w:cs="Arial" w:eastAsia="Arial" w:hAnsi="Arial"/>
          <w:sz w:val="16"/>
          <w:szCs w:val="16"/>
          <w:color w:val="42423F"/>
        </w:rPr>
        <w:t xml:space="preserve">Regardless of whatever other primary underlying insurance may be available in the event of a claim or loss, </w:t>
      </w:r>
      <w:r>
        <w:rPr>
          <w:rFonts w:ascii="Arial" w:cs="Arial" w:eastAsia="Arial" w:hAnsi="Arial"/>
          <w:sz w:val="16"/>
          <w:szCs w:val="16"/>
          <w:color w:val="2F2F2F"/>
        </w:rPr>
        <w:t>it</w:t>
      </w:r>
      <w:r>
        <w:rPr>
          <w:rFonts w:ascii="Arial" w:cs="Arial" w:eastAsia="Arial" w:hAnsi="Arial"/>
          <w:sz w:val="16"/>
          <w:szCs w:val="16"/>
          <w:color w:val="42423F"/>
        </w:rPr>
        <w:t xml:space="preserve"> is a condition of your policy </w:t>
      </w:r>
      <w:r>
        <w:rPr>
          <w:rFonts w:ascii="Arial" w:cs="Arial" w:eastAsia="Arial" w:hAnsi="Arial"/>
          <w:sz w:val="16"/>
          <w:szCs w:val="16"/>
          <w:color w:val="2F2F2F"/>
        </w:rPr>
        <w:t>that</w:t>
      </w:r>
      <w:r>
        <w:rPr>
          <w:rFonts w:ascii="Arial" w:cs="Arial" w:eastAsia="Arial" w:hAnsi="Arial"/>
          <w:sz w:val="16"/>
          <w:szCs w:val="16"/>
          <w:color w:val="42423F"/>
        </w:rPr>
        <w:t xml:space="preserve"> you and your family members must maintain in full effect primary </w:t>
      </w:r>
      <w:r>
        <w:rPr>
          <w:rFonts w:ascii="Arial" w:cs="Arial" w:eastAsia="Arial" w:hAnsi="Arial"/>
          <w:sz w:val="16"/>
          <w:szCs w:val="16"/>
          <w:color w:val="2F2F2F"/>
        </w:rPr>
        <w:t>underlying</w:t>
      </w:r>
      <w:r>
        <w:rPr>
          <w:rFonts w:ascii="Arial" w:cs="Arial" w:eastAsia="Arial" w:hAnsi="Arial"/>
          <w:sz w:val="16"/>
          <w:szCs w:val="16"/>
          <w:color w:val="42423F"/>
        </w:rPr>
        <w:t xml:space="preserve"> liability insurance of </w:t>
      </w:r>
      <w:r>
        <w:rPr>
          <w:rFonts w:ascii="Arial" w:cs="Arial" w:eastAsia="Arial" w:hAnsi="Arial"/>
          <w:sz w:val="16"/>
          <w:szCs w:val="16"/>
          <w:color w:val="2F2F2F"/>
        </w:rPr>
        <w:t>the</w:t>
      </w:r>
      <w:r>
        <w:rPr>
          <w:rFonts w:ascii="Arial" w:cs="Arial" w:eastAsia="Arial" w:hAnsi="Arial"/>
          <w:sz w:val="16"/>
          <w:szCs w:val="16"/>
          <w:color w:val="42423F"/>
        </w:rPr>
        <w:t xml:space="preserve"> types and in at least the amounts set forth below unless a different amount is shown in your Coverage Summary, covering your personal liability and to the </w:t>
      </w:r>
      <w:r>
        <w:rPr>
          <w:rFonts w:ascii="Arial" w:cs="Arial" w:eastAsia="Arial" w:hAnsi="Arial"/>
          <w:sz w:val="16"/>
          <w:szCs w:val="16"/>
          <w:color w:val="2F2F2F"/>
        </w:rPr>
        <w:t>extent</w:t>
      </w:r>
      <w:r>
        <w:rPr>
          <w:rFonts w:ascii="Arial" w:cs="Arial" w:eastAsia="Arial" w:hAnsi="Arial"/>
          <w:sz w:val="16"/>
          <w:szCs w:val="16"/>
          <w:color w:val="42423F"/>
        </w:rPr>
        <w:t xml:space="preserve"> you or a family member h</w:t>
      </w:r>
      <w:r>
        <w:rPr>
          <w:rFonts w:ascii="Arial" w:cs="Arial" w:eastAsia="Arial" w:hAnsi="Arial"/>
          <w:sz w:val="16"/>
          <w:szCs w:val="16"/>
          <w:color w:val="5E5E5D"/>
        </w:rPr>
        <w:t>a</w:t>
      </w:r>
      <w:r>
        <w:rPr>
          <w:rFonts w:ascii="Arial" w:cs="Arial" w:eastAsia="Arial" w:hAnsi="Arial"/>
          <w:sz w:val="16"/>
          <w:szCs w:val="16"/>
          <w:color w:val="42423F"/>
        </w:rPr>
        <w:t>v</w:t>
      </w:r>
      <w:r>
        <w:rPr>
          <w:rFonts w:ascii="Arial" w:cs="Arial" w:eastAsia="Arial" w:hAnsi="Arial"/>
          <w:sz w:val="16"/>
          <w:szCs w:val="16"/>
          <w:color w:val="5E5E5D"/>
        </w:rPr>
        <w:t>e</w:t>
      </w:r>
      <w:r>
        <w:rPr>
          <w:rFonts w:ascii="Arial" w:cs="Arial" w:eastAsia="Arial" w:hAnsi="Arial"/>
          <w:sz w:val="16"/>
          <w:szCs w:val="16"/>
          <w:color w:val="42423F"/>
        </w:rPr>
        <w:t xml:space="preserve"> such liability exposures, all vehicles and watercraft you or your family members own, or rent for longer than 60 days, or </w:t>
      </w:r>
      <w:r>
        <w:rPr>
          <w:rFonts w:ascii="Arial" w:cs="Arial" w:eastAsia="Arial" w:hAnsi="Arial"/>
          <w:sz w:val="16"/>
          <w:szCs w:val="16"/>
          <w:color w:val="2F2F2F"/>
        </w:rPr>
        <w:t>have</w:t>
      </w:r>
      <w:r>
        <w:rPr>
          <w:rFonts w:ascii="Arial" w:cs="Arial" w:eastAsia="Arial" w:hAnsi="Arial"/>
          <w:sz w:val="16"/>
          <w:szCs w:val="16"/>
          <w:color w:val="42423F"/>
        </w:rPr>
        <w:t xml:space="preserve"> furnished for longer than 60 days, as follows: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Personal liability(homeowners) for personal injury and property damage in the minimum amount of $300,000 each occurrence</w:t>
      </w:r>
      <w:r>
        <w:rPr>
          <w:rFonts w:ascii="Arial" w:cs="Arial" w:eastAsia="Arial" w:hAnsi="Arial"/>
          <w:sz w:val="16"/>
          <w:szCs w:val="16"/>
          <w:color w:val="5E5E5D"/>
        </w:rPr>
        <w:t>.</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3 of 15</w:t>
      </w:r>
    </w:p>
    <w:p>
      <w:pPr>
        <w:sectPr>
          <w:pgSz w:w="11900" w:h="16838" w:orient="portrait"/>
          <w:cols w:equalWidth="0" w:num="1">
            <w:col w:w="11240"/>
          </w:cols>
          <w:pgMar w:left="320" w:top="326" w:right="339" w:bottom="1440" w:gutter="0" w:footer="0" w:header="0"/>
        </w:sectPr>
      </w:pPr>
    </w:p>
    <w:bookmarkStart w:id="133" w:name="page134"/>
    <w:bookmarkEnd w:id="133"/>
    <w:p>
      <w:pPr>
        <w:ind w:left="436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553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5">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339"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41423F"/>
        </w:rPr>
        <w:t>Payment for a Loss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41423F"/>
        </w:rPr>
        <w:t>(continued)</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in the minimum amount of:</w:t>
      </w:r>
    </w:p>
    <w:p>
      <w:pPr>
        <w:spacing w:after="0" w:line="49" w:lineRule="exact"/>
        <w:rPr>
          <w:sz w:val="20"/>
          <w:szCs w:val="20"/>
          <w:color w:val="auto"/>
        </w:rPr>
      </w:pPr>
    </w:p>
    <w:p>
      <w:pPr>
        <w:ind w:left="840" w:hanging="319"/>
        <w:spacing w:after="0"/>
        <w:tabs>
          <w:tab w:leader="none" w:pos="840" w:val="left"/>
        </w:tabs>
        <w:numPr>
          <w:ilvl w:val="0"/>
          <w:numId w:val="84"/>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53" w:lineRule="exact"/>
        <w:rPr>
          <w:rFonts w:ascii="Arial" w:cs="Arial" w:eastAsia="Arial" w:hAnsi="Arial"/>
          <w:sz w:val="20"/>
          <w:szCs w:val="20"/>
          <w:color w:val="auto"/>
        </w:rPr>
      </w:pPr>
    </w:p>
    <w:p>
      <w:pPr>
        <w:ind w:left="840" w:hanging="319"/>
        <w:spacing w:after="0"/>
        <w:tabs>
          <w:tab w:leader="none" w:pos="840" w:val="left"/>
        </w:tabs>
        <w:numPr>
          <w:ilvl w:val="0"/>
          <w:numId w:val="84"/>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53" w:lineRule="exact"/>
        <w:rPr>
          <w:rFonts w:ascii="Arial" w:cs="Arial" w:eastAsia="Arial" w:hAnsi="Arial"/>
          <w:sz w:val="20"/>
          <w:szCs w:val="20"/>
          <w:color w:val="auto"/>
        </w:rPr>
      </w:pPr>
    </w:p>
    <w:p>
      <w:pPr>
        <w:ind w:left="840" w:hanging="319"/>
        <w:spacing w:after="0"/>
        <w:tabs>
          <w:tab w:leader="none" w:pos="840" w:val="left"/>
        </w:tabs>
        <w:numPr>
          <w:ilvl w:val="0"/>
          <w:numId w:val="84"/>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Unregistered vehicles in the minimum amount of $300,000 bodily injury and property damage each occurrence.</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with less than four wheels and motorhomes in the minimum amount of:</w:t>
      </w:r>
    </w:p>
    <w:p>
      <w:pPr>
        <w:spacing w:after="0" w:line="35" w:lineRule="exact"/>
        <w:rPr>
          <w:sz w:val="20"/>
          <w:szCs w:val="20"/>
          <w:color w:val="auto"/>
        </w:rPr>
      </w:pPr>
    </w:p>
    <w:p>
      <w:pPr>
        <w:ind w:left="840" w:hanging="292"/>
        <w:spacing w:after="0"/>
        <w:tabs>
          <w:tab w:leader="none" w:pos="840" w:val="left"/>
        </w:tabs>
        <w:numPr>
          <w:ilvl w:val="0"/>
          <w:numId w:val="85"/>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53" w:lineRule="exact"/>
        <w:rPr>
          <w:rFonts w:ascii="Arial" w:cs="Arial" w:eastAsia="Arial" w:hAnsi="Arial"/>
          <w:sz w:val="20"/>
          <w:szCs w:val="20"/>
          <w:color w:val="auto"/>
        </w:rPr>
      </w:pPr>
    </w:p>
    <w:p>
      <w:pPr>
        <w:ind w:left="840" w:hanging="292"/>
        <w:spacing w:after="0"/>
        <w:tabs>
          <w:tab w:leader="none" w:pos="840" w:val="left"/>
        </w:tabs>
        <w:numPr>
          <w:ilvl w:val="0"/>
          <w:numId w:val="85"/>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67" w:lineRule="exact"/>
        <w:rPr>
          <w:rFonts w:ascii="Arial" w:cs="Arial" w:eastAsia="Arial" w:hAnsi="Arial"/>
          <w:sz w:val="20"/>
          <w:szCs w:val="20"/>
          <w:color w:val="auto"/>
        </w:rPr>
      </w:pPr>
    </w:p>
    <w:p>
      <w:pPr>
        <w:ind w:left="840" w:hanging="292"/>
        <w:spacing w:after="0"/>
        <w:tabs>
          <w:tab w:leader="none" w:pos="840" w:val="left"/>
        </w:tabs>
        <w:numPr>
          <w:ilvl w:val="0"/>
          <w:numId w:val="85"/>
        </w:numPr>
        <w:rPr>
          <w:rFonts w:ascii="Arial" w:cs="Arial" w:eastAsia="Arial" w:hAnsi="Arial"/>
          <w:sz w:val="20"/>
          <w:szCs w:val="20"/>
          <w:color w:val="auto"/>
        </w:rPr>
      </w:pPr>
      <w:r>
        <w:rPr>
          <w:rFonts w:ascii="Arial" w:cs="Arial" w:eastAsia="Arial" w:hAnsi="Arial"/>
          <w:sz w:val="16"/>
          <w:szCs w:val="16"/>
          <w:color w:val="41423F"/>
        </w:rPr>
        <w:t>$300,000 single limit each occurrence.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41423F"/>
        </w:rPr>
        <w:t>Watercraft less than 26 feet and 50 engine rated horsepower or less for bodily injury and property damage in the minimum amount of $300,000 each occurrence.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41423F"/>
        </w:rPr>
        <w:t>Watercraft 26 feet or longer or more than 50 engine rated horsepower for bodily injury and property damage in the minimum amount of $500,000 each occurrence.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Uninsured motorists/underinsured motorist protection in the minimum amounts of:</w:t>
      </w:r>
    </w:p>
    <w:p>
      <w:pPr>
        <w:spacing w:after="0" w:line="8" w:lineRule="exact"/>
        <w:rPr>
          <w:sz w:val="20"/>
          <w:szCs w:val="20"/>
          <w:color w:val="auto"/>
        </w:rPr>
      </w:pPr>
    </w:p>
    <w:p>
      <w:pPr>
        <w:ind w:left="840" w:hanging="292"/>
        <w:spacing w:after="0"/>
        <w:tabs>
          <w:tab w:leader="none" w:pos="840" w:val="left"/>
        </w:tabs>
        <w:numPr>
          <w:ilvl w:val="0"/>
          <w:numId w:val="86"/>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26" w:lineRule="exact"/>
        <w:rPr>
          <w:rFonts w:ascii="Arial" w:cs="Arial" w:eastAsia="Arial" w:hAnsi="Arial"/>
          <w:sz w:val="20"/>
          <w:szCs w:val="20"/>
          <w:color w:val="auto"/>
        </w:rPr>
      </w:pPr>
    </w:p>
    <w:p>
      <w:pPr>
        <w:ind w:left="840" w:hanging="292"/>
        <w:spacing w:after="0"/>
        <w:tabs>
          <w:tab w:leader="none" w:pos="840" w:val="left"/>
        </w:tabs>
        <w:numPr>
          <w:ilvl w:val="0"/>
          <w:numId w:val="86"/>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53" w:lineRule="exact"/>
        <w:rPr>
          <w:rFonts w:ascii="Arial" w:cs="Arial" w:eastAsia="Arial" w:hAnsi="Arial"/>
          <w:sz w:val="20"/>
          <w:szCs w:val="20"/>
          <w:color w:val="auto"/>
        </w:rPr>
      </w:pPr>
    </w:p>
    <w:p>
      <w:pPr>
        <w:ind w:left="840" w:hanging="292"/>
        <w:spacing w:after="0"/>
        <w:tabs>
          <w:tab w:leader="none" w:pos="840" w:val="left"/>
        </w:tabs>
        <w:numPr>
          <w:ilvl w:val="0"/>
          <w:numId w:val="86"/>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145" w:lineRule="exact"/>
        <w:rPr>
          <w:sz w:val="20"/>
          <w:szCs w:val="20"/>
          <w:color w:val="auto"/>
        </w:rPr>
      </w:pPr>
    </w:p>
    <w:p>
      <w:pPr>
        <w:jc w:val="both"/>
        <w:ind w:left="540"/>
        <w:spacing w:after="0" w:line="253" w:lineRule="auto"/>
        <w:rPr>
          <w:sz w:val="20"/>
          <w:szCs w:val="20"/>
          <w:color w:val="auto"/>
        </w:rPr>
      </w:pPr>
      <w:r>
        <w:rPr>
          <w:rFonts w:ascii="Arial" w:cs="Arial" w:eastAsia="Arial" w:hAnsi="Arial"/>
          <w:sz w:val="16"/>
          <w:szCs w:val="16"/>
          <w:color w:val="41423F"/>
        </w:rPr>
        <w:t xml:space="preserve">With respect to you and your family members residing outside of the </w:t>
      </w:r>
      <w:r>
        <w:rPr>
          <w:rFonts w:ascii="Arial" w:cs="Arial" w:eastAsia="Arial" w:hAnsi="Arial"/>
          <w:sz w:val="16"/>
          <w:szCs w:val="16"/>
          <w:color w:val="60605D"/>
        </w:rPr>
        <w:t>U</w:t>
      </w:r>
      <w:r>
        <w:rPr>
          <w:rFonts w:ascii="Arial" w:cs="Arial" w:eastAsia="Arial" w:hAnsi="Arial"/>
          <w:sz w:val="16"/>
          <w:szCs w:val="16"/>
          <w:color w:val="41423F"/>
        </w:rPr>
        <w:t xml:space="preserve">nited States, the required primary underlying insurance limits of liability shall </w:t>
      </w:r>
      <w:r>
        <w:rPr>
          <w:rFonts w:ascii="Arial" w:cs="Arial" w:eastAsia="Arial" w:hAnsi="Arial"/>
          <w:sz w:val="16"/>
          <w:szCs w:val="16"/>
          <w:color w:val="2F2F2F"/>
        </w:rPr>
        <w:t>be</w:t>
      </w:r>
      <w:r>
        <w:rPr>
          <w:rFonts w:ascii="Arial" w:cs="Arial" w:eastAsia="Arial" w:hAnsi="Arial"/>
          <w:sz w:val="16"/>
          <w:szCs w:val="16"/>
          <w:color w:val="41423F"/>
        </w:rPr>
        <w:t xml:space="preserve"> the same limits of liability as shown above, unless you and your family members </w:t>
      </w:r>
      <w:r>
        <w:rPr>
          <w:rFonts w:ascii="Arial" w:cs="Arial" w:eastAsia="Arial" w:hAnsi="Arial"/>
          <w:sz w:val="16"/>
          <w:szCs w:val="16"/>
          <w:color w:val="2F2F2F"/>
        </w:rPr>
        <w:t>reside</w:t>
      </w:r>
      <w:r>
        <w:rPr>
          <w:rFonts w:ascii="Arial" w:cs="Arial" w:eastAsia="Arial" w:hAnsi="Arial"/>
          <w:sz w:val="16"/>
          <w:szCs w:val="16"/>
          <w:color w:val="41423F"/>
        </w:rPr>
        <w:t xml:space="preserve"> in a country where the minimum required primary underlying insurance limits of liability are not </w:t>
      </w:r>
      <w:r>
        <w:rPr>
          <w:rFonts w:ascii="Arial" w:cs="Arial" w:eastAsia="Arial" w:hAnsi="Arial"/>
          <w:sz w:val="16"/>
          <w:szCs w:val="16"/>
          <w:color w:val="2F2F2F"/>
        </w:rPr>
        <w:t>available.</w:t>
      </w:r>
      <w:r>
        <w:rPr>
          <w:rFonts w:ascii="Arial" w:cs="Arial" w:eastAsia="Arial" w:hAnsi="Arial"/>
          <w:sz w:val="16"/>
          <w:szCs w:val="16"/>
          <w:color w:val="41423F"/>
        </w:rPr>
        <w:t xml:space="preserve"> In these countries, you and your family members must maintain in full effect primary underlying liability insurance limits equal to </w:t>
      </w:r>
      <w:r>
        <w:rPr>
          <w:rFonts w:ascii="Arial" w:cs="Arial" w:eastAsia="Arial" w:hAnsi="Arial"/>
          <w:sz w:val="16"/>
          <w:szCs w:val="16"/>
          <w:color w:val="2F2F2F"/>
        </w:rPr>
        <w:t>the</w:t>
      </w:r>
      <w:r>
        <w:rPr>
          <w:rFonts w:ascii="Arial" w:cs="Arial" w:eastAsia="Arial" w:hAnsi="Arial"/>
          <w:sz w:val="16"/>
          <w:szCs w:val="16"/>
          <w:color w:val="41423F"/>
        </w:rPr>
        <w:t xml:space="preserve"> maximum limits of liability available in that country for all coverages up to the minimum required primary </w:t>
      </w:r>
      <w:r>
        <w:rPr>
          <w:rFonts w:ascii="Arial" w:cs="Arial" w:eastAsia="Arial" w:hAnsi="Arial"/>
          <w:sz w:val="16"/>
          <w:szCs w:val="16"/>
          <w:color w:val="2F2F2F"/>
        </w:rPr>
        <w:t>underlying</w:t>
      </w:r>
      <w:r>
        <w:rPr>
          <w:rFonts w:ascii="Arial" w:cs="Arial" w:eastAsia="Arial" w:hAnsi="Arial"/>
          <w:sz w:val="16"/>
          <w:szCs w:val="16"/>
          <w:color w:val="41423F"/>
        </w:rPr>
        <w:t xml:space="preserve"> limits shown in </w:t>
      </w:r>
      <w:r>
        <w:rPr>
          <w:rFonts w:ascii="Arial" w:cs="Arial" w:eastAsia="Arial" w:hAnsi="Arial"/>
          <w:sz w:val="16"/>
          <w:szCs w:val="16"/>
          <w:color w:val="2F2F2F"/>
        </w:rPr>
        <w:t>the</w:t>
      </w:r>
      <w:r>
        <w:rPr>
          <w:rFonts w:ascii="Arial" w:cs="Arial" w:eastAsia="Arial" w:hAnsi="Arial"/>
          <w:sz w:val="16"/>
          <w:szCs w:val="16"/>
          <w:color w:val="41423F"/>
        </w:rPr>
        <w:t xml:space="preserve"> Coverage Summary under Required Primary Underlying Insurance.</w:t>
      </w:r>
    </w:p>
    <w:p>
      <w:pPr>
        <w:spacing w:after="0" w:line="83" w:lineRule="exact"/>
        <w:rPr>
          <w:sz w:val="20"/>
          <w:szCs w:val="20"/>
          <w:color w:val="auto"/>
        </w:rPr>
      </w:pPr>
    </w:p>
    <w:p>
      <w:pPr>
        <w:jc w:val="both"/>
        <w:ind w:left="540"/>
        <w:spacing w:after="0" w:line="261" w:lineRule="auto"/>
        <w:rPr>
          <w:sz w:val="20"/>
          <w:szCs w:val="20"/>
          <w:color w:val="auto"/>
        </w:rPr>
      </w:pPr>
      <w:r>
        <w:rPr>
          <w:rFonts w:ascii="Arial" w:cs="Arial" w:eastAsia="Arial" w:hAnsi="Arial"/>
          <w:sz w:val="16"/>
          <w:szCs w:val="16"/>
          <w:color w:val="41423F"/>
        </w:rPr>
        <w:t xml:space="preserve">Failure by you or your family members to comply with this condition, or failure of any of your primary underlying </w:t>
      </w:r>
      <w:r>
        <w:rPr>
          <w:rFonts w:ascii="Arial" w:cs="Arial" w:eastAsia="Arial" w:hAnsi="Arial"/>
          <w:sz w:val="16"/>
          <w:szCs w:val="16"/>
          <w:color w:val="2F2F2F"/>
        </w:rPr>
        <w:t>insurers</w:t>
      </w:r>
      <w:r>
        <w:rPr>
          <w:rFonts w:ascii="Arial" w:cs="Arial" w:eastAsia="Arial" w:hAnsi="Arial"/>
          <w:sz w:val="16"/>
          <w:szCs w:val="16"/>
          <w:color w:val="41423F"/>
        </w:rPr>
        <w:t xml:space="preserve"> due to insolvency or bankruptcy, shall not invalidate this policy. In the event of any such failure, we shall only be liable in excess of </w:t>
      </w:r>
      <w:r>
        <w:rPr>
          <w:rFonts w:ascii="Arial" w:cs="Arial" w:eastAsia="Arial" w:hAnsi="Arial"/>
          <w:sz w:val="16"/>
          <w:szCs w:val="16"/>
          <w:color w:val="2F2F2F"/>
        </w:rPr>
        <w:t>the</w:t>
      </w:r>
      <w:r>
        <w:rPr>
          <w:rFonts w:ascii="Arial" w:cs="Arial" w:eastAsia="Arial" w:hAnsi="Arial"/>
          <w:sz w:val="16"/>
          <w:szCs w:val="16"/>
          <w:color w:val="41423F"/>
        </w:rPr>
        <w:t xml:space="preserve"> foregoing minimum amounts and to </w:t>
      </w:r>
      <w:r>
        <w:rPr>
          <w:rFonts w:ascii="Arial" w:cs="Arial" w:eastAsia="Arial" w:hAnsi="Arial"/>
          <w:sz w:val="16"/>
          <w:szCs w:val="16"/>
          <w:color w:val="2F2F2F"/>
        </w:rPr>
        <w:t>no</w:t>
      </w:r>
      <w:r>
        <w:rPr>
          <w:rFonts w:ascii="Arial" w:cs="Arial" w:eastAsia="Arial" w:hAnsi="Arial"/>
          <w:sz w:val="16"/>
          <w:szCs w:val="16"/>
          <w:color w:val="41423F"/>
        </w:rPr>
        <w:t xml:space="preserve"> greater extent with respect to coverages, amounts and defense costs than we would have been had this failure not occurred.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 xml:space="preserve">You must also give notice of losses and otherwise cooperate and comply with the terms and conditions of such primary </w:t>
      </w:r>
      <w:r>
        <w:rPr>
          <w:rFonts w:ascii="Arial" w:cs="Arial" w:eastAsia="Arial" w:hAnsi="Arial"/>
          <w:sz w:val="16"/>
          <w:szCs w:val="16"/>
          <w:color w:val="2F2F2F"/>
        </w:rPr>
        <w:t>underlying</w:t>
      </w:r>
      <w:r>
        <w:rPr>
          <w:rFonts w:ascii="Arial" w:cs="Arial" w:eastAsia="Arial" w:hAnsi="Arial"/>
          <w:sz w:val="16"/>
          <w:szCs w:val="16"/>
          <w:color w:val="41423F"/>
        </w:rPr>
        <w:t xml:space="preserve"> insurance.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22"/>
          <w:szCs w:val="22"/>
          <w:b w:val="1"/>
          <w:bCs w:val="1"/>
          <w:i w:val="1"/>
          <w:iCs w:val="1"/>
          <w:color w:val="41423F"/>
        </w:rPr>
        <w:t>Group Personal Excess Liability Coverage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41423F"/>
        </w:rPr>
        <w:t xml:space="preserve">We </w:t>
      </w:r>
      <w:r>
        <w:rPr>
          <w:rFonts w:ascii="Arial" w:cs="Arial" w:eastAsia="Arial" w:hAnsi="Arial"/>
          <w:sz w:val="16"/>
          <w:szCs w:val="16"/>
          <w:color w:val="41423F"/>
        </w:rPr>
        <w:t>cover damages a covered person</w:t>
      </w:r>
      <w:r>
        <w:rPr>
          <w:rFonts w:ascii="Arial" w:cs="Arial" w:eastAsia="Arial" w:hAnsi="Arial"/>
          <w:sz w:val="14"/>
          <w:szCs w:val="14"/>
          <w:color w:val="41423F"/>
        </w:rPr>
        <w:t xml:space="preserve"> </w:t>
      </w:r>
      <w:r>
        <w:rPr>
          <w:rFonts w:ascii="Arial" w:cs="Arial" w:eastAsia="Arial" w:hAnsi="Arial"/>
          <w:sz w:val="16"/>
          <w:szCs w:val="16"/>
          <w:color w:val="2F2F2F"/>
        </w:rPr>
        <w:t>is legally</w:t>
      </w:r>
      <w:r>
        <w:rPr>
          <w:rFonts w:ascii="Arial" w:cs="Arial" w:eastAsia="Arial" w:hAnsi="Arial"/>
          <w:sz w:val="14"/>
          <w:szCs w:val="14"/>
          <w:color w:val="41423F"/>
        </w:rPr>
        <w:t xml:space="preserve"> </w:t>
      </w:r>
      <w:r>
        <w:rPr>
          <w:rFonts w:ascii="Arial" w:cs="Arial" w:eastAsia="Arial" w:hAnsi="Arial"/>
          <w:sz w:val="16"/>
          <w:szCs w:val="16"/>
          <w:color w:val="41423F"/>
        </w:rPr>
        <w:t>obligated to pay for personal injury or property damage, caused by an occurrence:</w:t>
      </w:r>
    </w:p>
    <w:p>
      <w:pPr>
        <w:spacing w:after="0" w:line="22" w:lineRule="exact"/>
        <w:rPr>
          <w:sz w:val="20"/>
          <w:szCs w:val="20"/>
          <w:color w:val="auto"/>
        </w:rPr>
      </w:pPr>
    </w:p>
    <w:p>
      <w:pPr>
        <w:ind w:left="880" w:hanging="319"/>
        <w:spacing w:after="0"/>
        <w:tabs>
          <w:tab w:leader="none" w:pos="880" w:val="left"/>
        </w:tabs>
        <w:numPr>
          <w:ilvl w:val="0"/>
          <w:numId w:val="87"/>
        </w:numPr>
        <w:rPr>
          <w:rFonts w:ascii="Arial" w:cs="Arial" w:eastAsia="Arial" w:hAnsi="Arial"/>
          <w:sz w:val="20"/>
          <w:szCs w:val="20"/>
          <w:color w:val="auto"/>
        </w:rPr>
      </w:pPr>
      <w:r>
        <w:rPr>
          <w:rFonts w:ascii="Arial" w:cs="Arial" w:eastAsia="Arial" w:hAnsi="Arial"/>
          <w:sz w:val="16"/>
          <w:szCs w:val="16"/>
          <w:color w:val="41423F"/>
        </w:rPr>
        <w:t xml:space="preserve">in excess of damages covered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or</w:t>
      </w:r>
    </w:p>
    <w:p>
      <w:pPr>
        <w:spacing w:after="0" w:line="23" w:lineRule="exact"/>
        <w:rPr>
          <w:rFonts w:ascii="Arial" w:cs="Arial" w:eastAsia="Arial" w:hAnsi="Arial"/>
          <w:sz w:val="20"/>
          <w:szCs w:val="20"/>
          <w:color w:val="auto"/>
        </w:rPr>
      </w:pPr>
    </w:p>
    <w:p>
      <w:pPr>
        <w:ind w:left="880" w:hanging="319"/>
        <w:spacing w:after="0" w:line="229" w:lineRule="auto"/>
        <w:tabs>
          <w:tab w:leader="none" w:pos="880" w:val="left"/>
        </w:tabs>
        <w:numPr>
          <w:ilvl w:val="0"/>
          <w:numId w:val="87"/>
        </w:numPr>
        <w:rPr>
          <w:rFonts w:ascii="Arial" w:cs="Arial" w:eastAsia="Arial" w:hAnsi="Arial"/>
          <w:sz w:val="20"/>
          <w:szCs w:val="20"/>
          <w:color w:val="auto"/>
        </w:rPr>
      </w:pPr>
      <w:r>
        <w:rPr>
          <w:rFonts w:ascii="Arial" w:cs="Arial" w:eastAsia="Arial" w:hAnsi="Arial"/>
          <w:sz w:val="16"/>
          <w:szCs w:val="16"/>
          <w:color w:val="41423F"/>
        </w:rPr>
        <w:t>from the first dollar of damage where no underlying insurance is required under this policy and no underlying insurance exists; or</w:t>
      </w:r>
    </w:p>
    <w:p>
      <w:pPr>
        <w:spacing w:after="0" w:line="36" w:lineRule="exact"/>
        <w:rPr>
          <w:rFonts w:ascii="Arial" w:cs="Arial" w:eastAsia="Arial" w:hAnsi="Arial"/>
          <w:sz w:val="20"/>
          <w:szCs w:val="20"/>
          <w:color w:val="auto"/>
        </w:rPr>
      </w:pPr>
    </w:p>
    <w:p>
      <w:pPr>
        <w:ind w:left="900" w:right="660" w:hanging="339"/>
        <w:spacing w:after="0" w:line="268" w:lineRule="auto"/>
        <w:tabs>
          <w:tab w:leader="none" w:pos="882" w:val="left"/>
        </w:tabs>
        <w:numPr>
          <w:ilvl w:val="0"/>
          <w:numId w:val="87"/>
        </w:numPr>
        <w:rPr>
          <w:rFonts w:ascii="Arial" w:cs="Arial" w:eastAsia="Arial" w:hAnsi="Arial"/>
          <w:sz w:val="20"/>
          <w:szCs w:val="20"/>
          <w:color w:val="auto"/>
        </w:rPr>
      </w:pPr>
      <w:r>
        <w:rPr>
          <w:rFonts w:ascii="Arial" w:cs="Arial" w:eastAsia="Arial" w:hAnsi="Arial"/>
          <w:sz w:val="16"/>
          <w:szCs w:val="16"/>
          <w:color w:val="41423F"/>
        </w:rPr>
        <w:t xml:space="preserve">from the first dollar of damage where underlying insurance </w:t>
      </w:r>
      <w:r>
        <w:rPr>
          <w:rFonts w:ascii="Arial" w:cs="Arial" w:eastAsia="Arial" w:hAnsi="Arial"/>
          <w:sz w:val="16"/>
          <w:szCs w:val="16"/>
          <w:color w:val="2F2F2F"/>
        </w:rPr>
        <w:t>is</w:t>
      </w:r>
      <w:r>
        <w:rPr>
          <w:rFonts w:ascii="Arial" w:cs="Arial" w:eastAsia="Arial" w:hAnsi="Arial"/>
          <w:sz w:val="16"/>
          <w:szCs w:val="16"/>
          <w:color w:val="41423F"/>
        </w:rPr>
        <w:t xml:space="preserve"> required </w:t>
      </w:r>
      <w:r>
        <w:rPr>
          <w:rFonts w:ascii="Arial" w:cs="Arial" w:eastAsia="Arial" w:hAnsi="Arial"/>
          <w:sz w:val="16"/>
          <w:szCs w:val="16"/>
          <w:color w:val="2F2F2F"/>
        </w:rPr>
        <w:t>under this</w:t>
      </w:r>
      <w:r>
        <w:rPr>
          <w:rFonts w:ascii="Arial" w:cs="Arial" w:eastAsia="Arial" w:hAnsi="Arial"/>
          <w:sz w:val="16"/>
          <w:szCs w:val="16"/>
          <w:color w:val="41423F"/>
        </w:rPr>
        <w:t xml:space="preserve"> policy but no coverage is provided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for a particular occurrence;</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color w:val="41423F"/>
        </w:rPr>
        <w:t>unless stated otherwise or an exclusion applies.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6"/>
          <w:szCs w:val="16"/>
          <w:color w:val="41423F"/>
        </w:rPr>
        <w:t xml:space="preserve">Exclusions to this coverage are described in </w:t>
      </w:r>
      <w:r>
        <w:rPr>
          <w:rFonts w:ascii="Arial" w:cs="Arial" w:eastAsia="Arial" w:hAnsi="Arial"/>
          <w:sz w:val="17"/>
          <w:szCs w:val="17"/>
          <w:b w:val="1"/>
          <w:bCs w:val="1"/>
          <w:color w:val="41423F"/>
        </w:rPr>
        <w:t>Exclusions.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41423F"/>
        </w:rPr>
        <w:t>Excess uninsured motorists/underinsured motorist protection</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 xml:space="preserve">This coverage is in </w:t>
      </w:r>
      <w:r>
        <w:rPr>
          <w:rFonts w:ascii="Arial" w:cs="Arial" w:eastAsia="Arial" w:hAnsi="Arial"/>
          <w:sz w:val="16"/>
          <w:szCs w:val="16"/>
          <w:color w:val="2F2F2F"/>
        </w:rPr>
        <w:t>effect</w:t>
      </w:r>
      <w:r>
        <w:rPr>
          <w:rFonts w:ascii="Arial" w:cs="Arial" w:eastAsia="Arial" w:hAnsi="Arial"/>
          <w:sz w:val="16"/>
          <w:szCs w:val="16"/>
          <w:color w:val="41423F"/>
        </w:rPr>
        <w:t xml:space="preserve"> only if excess uninsured motorists/underinsured motorists protection is shown in the Coverage Summary</w:t>
      </w:r>
      <w:r>
        <w:rPr>
          <w:rFonts w:ascii="Arial" w:cs="Arial" w:eastAsia="Arial" w:hAnsi="Arial"/>
          <w:sz w:val="16"/>
          <w:szCs w:val="16"/>
          <w:color w:val="60605D"/>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4 of 15</w:t>
      </w:r>
    </w:p>
    <w:p>
      <w:pPr>
        <w:sectPr>
          <w:pgSz w:w="11900" w:h="16838" w:orient="portrait"/>
          <w:cols w:equalWidth="0" w:num="1">
            <w:col w:w="11240"/>
          </w:cols>
          <w:pgMar w:left="320" w:top="514" w:right="339" w:bottom="1440" w:gutter="0" w:footer="0" w:header="0"/>
        </w:sectPr>
      </w:pPr>
    </w:p>
    <w:bookmarkStart w:id="134" w:name="page135"/>
    <w:bookmarkEnd w:id="134"/>
    <w:p>
      <w:pPr>
        <w:ind w:left="120"/>
        <w:spacing w:after="0"/>
        <w:rPr>
          <w:sz w:val="20"/>
          <w:szCs w:val="20"/>
          <w:color w:val="auto"/>
        </w:rPr>
      </w:pPr>
      <w:r>
        <w:rPr>
          <w:rFonts w:ascii="Arial" w:cs="Arial" w:eastAsia="Arial" w:hAnsi="Arial"/>
          <w:sz w:val="22"/>
          <w:szCs w:val="22"/>
          <w:b w:val="1"/>
          <w:bCs w:val="1"/>
          <w:i w:val="1"/>
          <w:iCs w:val="1"/>
          <w:color w:val="464644"/>
        </w:rPr>
        <w:t>Group Personal Excess Liability Coverage</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464644"/>
        </w:rPr>
        <w:t>(continued)</w:t>
      </w:r>
    </w:p>
    <w:p>
      <w:pPr>
        <w:spacing w:after="0" w:line="132" w:lineRule="exact"/>
        <w:rPr>
          <w:sz w:val="20"/>
          <w:szCs w:val="20"/>
          <w:color w:val="auto"/>
        </w:rPr>
      </w:pPr>
    </w:p>
    <w:p>
      <w:pPr>
        <w:jc w:val="both"/>
        <w:ind w:left="180"/>
        <w:spacing w:after="0" w:line="261" w:lineRule="auto"/>
        <w:rPr>
          <w:sz w:val="20"/>
          <w:szCs w:val="20"/>
          <w:color w:val="auto"/>
        </w:rPr>
      </w:pPr>
      <w:r>
        <w:rPr>
          <w:rFonts w:ascii="Arial" w:cs="Arial" w:eastAsia="Arial" w:hAnsi="Arial"/>
          <w:sz w:val="16"/>
          <w:szCs w:val="16"/>
          <w:color w:val="464644"/>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71"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64644"/>
        </w:rPr>
        <w:t xml:space="preserve">Amount of coverage. </w:t>
      </w:r>
      <w:r>
        <w:rPr>
          <w:rFonts w:ascii="Arial" w:cs="Arial" w:eastAsia="Arial" w:hAnsi="Arial"/>
          <w:sz w:val="16"/>
          <w:szCs w:val="16"/>
          <w:color w:val="464644"/>
        </w:rPr>
        <w:t>The maximum amount of excess uninsured motorists/underinsured motorists protection available for any one occurrence is the excess uninsured</w:t>
      </w:r>
      <w:r>
        <w:rPr>
          <w:rFonts w:ascii="Arial" w:cs="Arial" w:eastAsia="Arial" w:hAnsi="Arial"/>
          <w:sz w:val="16"/>
          <w:szCs w:val="16"/>
          <w:b w:val="1"/>
          <w:bCs w:val="1"/>
          <w:color w:val="464644"/>
        </w:rPr>
        <w:t xml:space="preserve"> </w:t>
      </w:r>
      <w:r>
        <w:rPr>
          <w:rFonts w:ascii="Arial" w:cs="Arial" w:eastAsia="Arial" w:hAnsi="Arial"/>
          <w:sz w:val="16"/>
          <w:szCs w:val="16"/>
          <w:color w:val="464644"/>
        </w:rPr>
        <w:t xml:space="preserve">motorists/underinsured motorists protection amount shown in the Coverage Summary regardless of the number of vehicles covered by the Required </w:t>
      </w:r>
      <w:r>
        <w:rPr>
          <w:rFonts w:ascii="Arial" w:cs="Arial" w:eastAsia="Arial" w:hAnsi="Arial"/>
          <w:sz w:val="15"/>
          <w:szCs w:val="15"/>
          <w:color w:val="464644"/>
        </w:rPr>
        <w:t>Primary</w:t>
      </w:r>
      <w:r>
        <w:rPr>
          <w:rFonts w:ascii="Arial" w:cs="Arial" w:eastAsia="Arial" w:hAnsi="Arial"/>
          <w:sz w:val="16"/>
          <w:szCs w:val="16"/>
          <w:color w:val="464644"/>
        </w:rPr>
        <w:t xml:space="preserve"> Underlying Insurance. We will not pay more than this amount in any one occurrence for covered damages regardless of how many claims, vehicles or people are involved in the occurrence. This coverage will follow form.</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64644"/>
        </w:rPr>
        <w:t>Uninsured motorists/underinsured motorists protection arbitration</w:t>
      </w:r>
    </w:p>
    <w:p>
      <w:pPr>
        <w:spacing w:after="0" w:line="36" w:lineRule="exact"/>
        <w:rPr>
          <w:sz w:val="20"/>
          <w:szCs w:val="20"/>
          <w:color w:val="auto"/>
        </w:rPr>
      </w:pPr>
    </w:p>
    <w:p>
      <w:pPr>
        <w:jc w:val="both"/>
        <w:ind w:left="140"/>
        <w:spacing w:after="0" w:line="331" w:lineRule="auto"/>
        <w:rPr>
          <w:sz w:val="20"/>
          <w:szCs w:val="20"/>
          <w:color w:val="auto"/>
        </w:rPr>
      </w:pPr>
      <w:r>
        <w:rPr>
          <w:rFonts w:ascii="Arial" w:cs="Arial" w:eastAsia="Arial" w:hAnsi="Arial"/>
          <w:sz w:val="15"/>
          <w:szCs w:val="15"/>
          <w:color w:val="464644"/>
        </w:rPr>
        <w:t xml:space="preserve">If we and a covered person disagree whether that person is legally entitled to recover damages from the owner or operator of an uninsured motor vehicle/underinsured motor vehicle, or do not agree as to the amount of damages, either party may make </w:t>
      </w:r>
      <w:r>
        <w:rPr>
          <w:rFonts w:ascii="Arial" w:cs="Arial" w:eastAsia="Arial" w:hAnsi="Arial"/>
          <w:sz w:val="15"/>
          <w:szCs w:val="15"/>
          <w:color w:val="5D5D5B"/>
        </w:rPr>
        <w:t>a</w:t>
      </w:r>
      <w:r>
        <w:rPr>
          <w:rFonts w:ascii="Arial" w:cs="Arial" w:eastAsia="Arial" w:hAnsi="Arial"/>
          <w:sz w:val="15"/>
          <w:szCs w:val="15"/>
          <w:color w:val="464644"/>
        </w:rPr>
        <w:t xml:space="preserve">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w:t>
      </w:r>
      <w:r>
        <w:rPr>
          <w:rFonts w:ascii="Arial" w:cs="Arial" w:eastAsia="Arial" w:hAnsi="Arial"/>
          <w:sz w:val="15"/>
          <w:szCs w:val="15"/>
          <w:color w:val="5D5D5B"/>
        </w:rPr>
        <w:t>jurisdiction's</w:t>
      </w:r>
      <w:r>
        <w:rPr>
          <w:rFonts w:ascii="Arial" w:cs="Arial" w:eastAsia="Arial" w:hAnsi="Arial"/>
          <w:sz w:val="15"/>
          <w:szCs w:val="15"/>
          <w:color w:val="464644"/>
        </w:rPr>
        <w:t xml:space="preserve"> financial responsibility law, each party will pay the expenses it incurs, and bear the expenses of the third arbitrator equally. Otherwise, we will bear all the expenses of the arbitration.</w:t>
      </w:r>
    </w:p>
    <w:p>
      <w:pPr>
        <w:spacing w:after="0" w:line="53" w:lineRule="exact"/>
        <w:rPr>
          <w:sz w:val="20"/>
          <w:szCs w:val="20"/>
          <w:color w:val="auto"/>
        </w:rPr>
      </w:pPr>
    </w:p>
    <w:p>
      <w:pPr>
        <w:jc w:val="both"/>
        <w:ind w:left="140"/>
        <w:spacing w:after="0" w:line="256" w:lineRule="auto"/>
        <w:rPr>
          <w:sz w:val="20"/>
          <w:szCs w:val="20"/>
          <w:color w:val="auto"/>
        </w:rPr>
      </w:pPr>
      <w:r>
        <w:rPr>
          <w:rFonts w:ascii="Arial" w:cs="Arial" w:eastAsia="Arial" w:hAnsi="Arial"/>
          <w:sz w:val="16"/>
          <w:szCs w:val="16"/>
          <w:color w:val="5D5D5B"/>
        </w:rPr>
        <w:t xml:space="preserve">Unless </w:t>
      </w:r>
      <w:r>
        <w:rPr>
          <w:rFonts w:ascii="Arial" w:cs="Arial" w:eastAsia="Arial" w:hAnsi="Arial"/>
          <w:sz w:val="16"/>
          <w:szCs w:val="16"/>
          <w:color w:val="464644"/>
        </w:rPr>
        <w:t>both parties agree otherwise, arbitration will take place in the county and state in which the covered person lives. Local rules of law as to procedure and evidence</w:t>
      </w:r>
      <w:r>
        <w:rPr>
          <w:rFonts w:ascii="Arial" w:cs="Arial" w:eastAsia="Arial" w:hAnsi="Arial"/>
          <w:sz w:val="16"/>
          <w:szCs w:val="16"/>
          <w:color w:val="5D5D5B"/>
        </w:rPr>
        <w:t xml:space="preserve"> </w:t>
      </w:r>
      <w:r>
        <w:rPr>
          <w:rFonts w:ascii="Arial" w:cs="Arial" w:eastAsia="Arial" w:hAnsi="Arial"/>
          <w:sz w:val="16"/>
          <w:szCs w:val="16"/>
          <w:color w:val="464644"/>
        </w:rPr>
        <w:t xml:space="preserve">will apply. </w:t>
      </w:r>
      <w:r>
        <w:rPr>
          <w:rFonts w:ascii="Arial" w:cs="Arial" w:eastAsia="Arial" w:hAnsi="Arial"/>
          <w:sz w:val="16"/>
          <w:szCs w:val="16"/>
          <w:b w:val="1"/>
          <w:bCs w:val="1"/>
          <w:color w:val="464644"/>
        </w:rPr>
        <w:t>A</w:t>
      </w:r>
      <w:r>
        <w:rPr>
          <w:rFonts w:ascii="Arial" w:cs="Arial" w:eastAsia="Arial" w:hAnsi="Arial"/>
          <w:sz w:val="16"/>
          <w:szCs w:val="16"/>
          <w:color w:val="464644"/>
        </w:rPr>
        <w:t xml:space="preserve"> decision agreed to by two arbitrators will be binding unless the recovery amount for bodily injury exceeds the minimum limit specified by the applicable </w:t>
      </w:r>
      <w:r>
        <w:rPr>
          <w:rFonts w:ascii="Arial" w:cs="Arial" w:eastAsia="Arial" w:hAnsi="Arial"/>
          <w:sz w:val="16"/>
          <w:szCs w:val="16"/>
          <w:color w:val="5D5D5B"/>
        </w:rPr>
        <w:t xml:space="preserve">jurisdiction's </w:t>
      </w:r>
      <w:r>
        <w:rPr>
          <w:rFonts w:ascii="Arial" w:cs="Arial" w:eastAsia="Arial" w:hAnsi="Arial"/>
          <w:sz w:val="16"/>
          <w:szCs w:val="16"/>
          <w:color w:val="464644"/>
        </w:rPr>
        <w:t>financial responsibility law. If the amount exceeds that limit, either party may demand the right to a trial. This demand must be made within 60 days of the</w:t>
      </w:r>
      <w:r>
        <w:rPr>
          <w:rFonts w:ascii="Arial" w:cs="Arial" w:eastAsia="Arial" w:hAnsi="Arial"/>
          <w:sz w:val="16"/>
          <w:szCs w:val="16"/>
          <w:color w:val="5D5D5B"/>
        </w:rPr>
        <w:t xml:space="preserve"> </w:t>
      </w:r>
      <w:r>
        <w:rPr>
          <w:rFonts w:ascii="Arial" w:cs="Arial" w:eastAsia="Arial" w:hAnsi="Arial"/>
          <w:sz w:val="16"/>
          <w:szCs w:val="16"/>
          <w:color w:val="464644"/>
        </w:rPr>
        <w:t>arbitrator's decision. If this demand is not made, the amount of damages agreed to by the arbitrators will be binding.</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4644"/>
        </w:rPr>
        <w:t>Uninsured/underinsured liability coverage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64644"/>
        </w:rPr>
        <w:t>This coverage is in effect only if excess uninsured motorists/underinsured motorists protection is shown in the Coverage Summary.</w:t>
      </w:r>
    </w:p>
    <w:p>
      <w:pPr>
        <w:spacing w:after="0" w:line="109" w:lineRule="exact"/>
        <w:rPr>
          <w:sz w:val="20"/>
          <w:szCs w:val="20"/>
          <w:color w:val="auto"/>
        </w:rPr>
      </w:pPr>
    </w:p>
    <w:p>
      <w:pPr>
        <w:jc w:val="both"/>
        <w:ind w:left="120"/>
        <w:spacing w:after="0" w:line="256" w:lineRule="auto"/>
        <w:rPr>
          <w:sz w:val="20"/>
          <w:szCs w:val="20"/>
          <w:color w:val="auto"/>
        </w:rPr>
      </w:pPr>
      <w:r>
        <w:rPr>
          <w:rFonts w:ascii="Arial" w:cs="Arial" w:eastAsia="Arial" w:hAnsi="Arial"/>
          <w:sz w:val="16"/>
          <w:szCs w:val="16"/>
          <w:color w:val="464644"/>
        </w:rPr>
        <w:t xml:space="preserve">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w:t>
      </w:r>
      <w:r>
        <w:rPr>
          <w:rFonts w:ascii="Arial" w:cs="Arial" w:eastAsia="Arial" w:hAnsi="Arial"/>
          <w:sz w:val="16"/>
          <w:szCs w:val="16"/>
          <w:color w:val="5D5D5B"/>
        </w:rPr>
        <w:t>of</w:t>
      </w:r>
      <w:r>
        <w:rPr>
          <w:rFonts w:ascii="Arial" w:cs="Arial" w:eastAsia="Arial" w:hAnsi="Arial"/>
          <w:sz w:val="16"/>
          <w:szCs w:val="16"/>
          <w:color w:val="464644"/>
        </w:rPr>
        <w:t xml:space="preserve"> any other collectible insurance that covers damages from the occurrence.</w:t>
      </w:r>
    </w:p>
    <w:p>
      <w:pPr>
        <w:spacing w:after="0" w:line="79" w:lineRule="exact"/>
        <w:rPr>
          <w:sz w:val="20"/>
          <w:szCs w:val="20"/>
          <w:color w:val="auto"/>
        </w:rPr>
      </w:pPr>
    </w:p>
    <w:p>
      <w:pPr>
        <w:jc w:val="both"/>
        <w:ind w:left="120" w:firstLine="13"/>
        <w:spacing w:after="0" w:line="274" w:lineRule="auto"/>
        <w:rPr>
          <w:sz w:val="20"/>
          <w:szCs w:val="20"/>
          <w:color w:val="auto"/>
        </w:rPr>
      </w:pPr>
      <w:r>
        <w:rPr>
          <w:rFonts w:ascii="Arial" w:cs="Arial" w:eastAsia="Arial" w:hAnsi="Arial"/>
          <w:sz w:val="15"/>
          <w:szCs w:val="15"/>
          <w:color w:val="464644"/>
        </w:rPr>
        <w:t xml:space="preserve">All the exclusions under the Group Personal Excess Liability Coverage are applicable to this </w:t>
      </w:r>
      <w:r>
        <w:rPr>
          <w:rFonts w:ascii="Arial" w:cs="Arial" w:eastAsia="Arial" w:hAnsi="Arial"/>
          <w:sz w:val="15"/>
          <w:szCs w:val="15"/>
          <w:color w:val="5D5D5B"/>
        </w:rPr>
        <w:t>Uninsured/underinsured</w:t>
      </w:r>
      <w:r>
        <w:rPr>
          <w:rFonts w:ascii="Arial" w:cs="Arial" w:eastAsia="Arial" w:hAnsi="Arial"/>
          <w:sz w:val="15"/>
          <w:szCs w:val="15"/>
          <w:color w:val="464644"/>
        </w:rPr>
        <w:t xml:space="preserve"> liability coverage, and where used, the definition of you or a family member is extended to include negligent person. This coverage also does not apply to damages from an occurrence arising out of any business </w:t>
      </w:r>
      <w:r>
        <w:rPr>
          <w:rFonts w:ascii="Arial" w:cs="Arial" w:eastAsia="Arial" w:hAnsi="Arial"/>
          <w:sz w:val="15"/>
          <w:szCs w:val="15"/>
          <w:color w:val="5D5D5B"/>
        </w:rPr>
        <w:t>activities;</w:t>
      </w:r>
      <w:r>
        <w:rPr>
          <w:rFonts w:ascii="Arial" w:cs="Arial" w:eastAsia="Arial" w:hAnsi="Arial"/>
          <w:sz w:val="15"/>
          <w:szCs w:val="15"/>
          <w:color w:val="464644"/>
        </w:rPr>
        <w:t xml:space="preserve"> any activities involving business property or the sale or transfer of property; or the ownership, maintenance, use, loading, unloading, or towing of any motor vehicle, watercraft, or aircraft</w:t>
      </w:r>
      <w:r>
        <w:rPr>
          <w:rFonts w:ascii="Arial" w:cs="Arial" w:eastAsia="Arial" w:hAnsi="Arial"/>
          <w:sz w:val="15"/>
          <w:szCs w:val="15"/>
          <w:color w:val="1D1D1C"/>
        </w:rPr>
        <w:t>.</w:t>
      </w:r>
      <w:r>
        <w:rPr>
          <w:rFonts w:ascii="Arial" w:cs="Arial" w:eastAsia="Arial" w:hAnsi="Arial"/>
          <w:sz w:val="15"/>
          <w:szCs w:val="15"/>
          <w:color w:val="464644"/>
        </w:rPr>
        <w:t xml:space="preserve"> In addition, this coverage does not apply to damages from an occurrence arising from any employment related harassment, termination, demotion, breach of an oral or written employment contract or agreement or violation of any </w:t>
      </w:r>
      <w:r>
        <w:rPr>
          <w:rFonts w:ascii="Arial" w:cs="Arial" w:eastAsia="Arial" w:hAnsi="Arial"/>
          <w:sz w:val="15"/>
          <w:szCs w:val="15"/>
          <w:color w:val="5D5D5B"/>
        </w:rPr>
        <w:t>state</w:t>
      </w:r>
      <w:r>
        <w:rPr>
          <w:rFonts w:ascii="Arial" w:cs="Arial" w:eastAsia="Arial" w:hAnsi="Arial"/>
          <w:sz w:val="15"/>
          <w:szCs w:val="15"/>
          <w:color w:val="464644"/>
        </w:rPr>
        <w:t xml:space="preserve"> or federal wrongful employment practices act or similar law.</w:t>
      </w:r>
    </w:p>
    <w:p>
      <w:pPr>
        <w:spacing w:after="0" w:line="6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464644"/>
        </w:rPr>
        <w:t xml:space="preserve">We </w:t>
      </w:r>
      <w:r>
        <w:rPr>
          <w:rFonts w:ascii="Arial" w:cs="Arial" w:eastAsia="Arial" w:hAnsi="Arial"/>
          <w:sz w:val="16"/>
          <w:szCs w:val="16"/>
          <w:color w:val="464644"/>
        </w:rPr>
        <w:t>also</w:t>
      </w:r>
      <w:r>
        <w:rPr>
          <w:rFonts w:ascii="Arial" w:cs="Arial" w:eastAsia="Arial" w:hAnsi="Arial"/>
          <w:sz w:val="17"/>
          <w:szCs w:val="17"/>
          <w:color w:val="464644"/>
        </w:rPr>
        <w:t xml:space="preserve"> do </w:t>
      </w:r>
      <w:r>
        <w:rPr>
          <w:rFonts w:ascii="Arial" w:cs="Arial" w:eastAsia="Arial" w:hAnsi="Arial"/>
          <w:sz w:val="16"/>
          <w:szCs w:val="16"/>
          <w:color w:val="464644"/>
        </w:rPr>
        <w:t>not cover any fines, penalties, taxes, punitive, exemplary or multiplied damages, or any claim or suit</w:t>
      </w:r>
      <w:r>
        <w:rPr>
          <w:rFonts w:ascii="Arial" w:cs="Arial" w:eastAsia="Arial" w:hAnsi="Arial"/>
          <w:sz w:val="17"/>
          <w:szCs w:val="17"/>
          <w:color w:val="464644"/>
        </w:rPr>
        <w:t xml:space="preserve"> </w:t>
      </w:r>
      <w:r>
        <w:rPr>
          <w:rFonts w:ascii="Arial" w:cs="Arial" w:eastAsia="Arial" w:hAnsi="Arial"/>
          <w:sz w:val="16"/>
          <w:szCs w:val="16"/>
          <w:color w:val="5D5D5B"/>
        </w:rPr>
        <w:t>seeking</w:t>
      </w:r>
      <w:r>
        <w:rPr>
          <w:rFonts w:ascii="Arial" w:cs="Arial" w:eastAsia="Arial" w:hAnsi="Arial"/>
          <w:sz w:val="17"/>
          <w:szCs w:val="17"/>
          <w:color w:val="464644"/>
        </w:rPr>
        <w:t xml:space="preserve"> </w:t>
      </w:r>
      <w:r>
        <w:rPr>
          <w:rFonts w:ascii="Arial" w:cs="Arial" w:eastAsia="Arial" w:hAnsi="Arial"/>
          <w:sz w:val="16"/>
          <w:szCs w:val="16"/>
          <w:color w:val="464644"/>
        </w:rPr>
        <w:t>non monetary relief, including but not limited to,</w:t>
      </w:r>
      <w:r>
        <w:rPr>
          <w:rFonts w:ascii="Arial" w:cs="Arial" w:eastAsia="Arial" w:hAnsi="Arial"/>
          <w:sz w:val="17"/>
          <w:szCs w:val="17"/>
          <w:color w:val="464644"/>
        </w:rPr>
        <w:t xml:space="preserve"> </w:t>
      </w:r>
      <w:r>
        <w:rPr>
          <w:rFonts w:ascii="Arial" w:cs="Arial" w:eastAsia="Arial" w:hAnsi="Arial"/>
          <w:sz w:val="16"/>
          <w:szCs w:val="16"/>
          <w:color w:val="464644"/>
        </w:rPr>
        <w:t>injunctive relief, declaratory relief or other equitable remedies.</w:t>
      </w:r>
    </w:p>
    <w:p>
      <w:pPr>
        <w:spacing w:after="0" w:line="79"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464644"/>
        </w:rPr>
        <w:t>''Negligent person" means an identifiable natural person by legal name who is not a family member, and who is legally responsible for damages sustained by you or a family member caused by an occurrence.</w:t>
      </w:r>
    </w:p>
    <w:p>
      <w:pPr>
        <w:spacing w:after="0" w:line="245" w:lineRule="exact"/>
        <w:rPr>
          <w:sz w:val="20"/>
          <w:szCs w:val="20"/>
          <w:color w:val="auto"/>
        </w:rPr>
      </w:pPr>
    </w:p>
    <w:p>
      <w:pPr>
        <w:jc w:val="both"/>
        <w:ind w:left="120"/>
        <w:spacing w:after="0" w:line="276" w:lineRule="auto"/>
        <w:rPr>
          <w:sz w:val="20"/>
          <w:szCs w:val="20"/>
          <w:color w:val="auto"/>
        </w:rPr>
      </w:pPr>
      <w:r>
        <w:rPr>
          <w:rFonts w:ascii="Arial" w:cs="Arial" w:eastAsia="Arial" w:hAnsi="Arial"/>
          <w:sz w:val="16"/>
          <w:szCs w:val="16"/>
          <w:b w:val="1"/>
          <w:bCs w:val="1"/>
          <w:color w:val="464644"/>
        </w:rPr>
        <w:t xml:space="preserve">Duplication of coverage. </w:t>
      </w:r>
      <w:r>
        <w:rPr>
          <w:rFonts w:ascii="Arial" w:cs="Arial" w:eastAsia="Arial" w:hAnsi="Arial"/>
          <w:sz w:val="16"/>
          <w:szCs w:val="16"/>
          <w:color w:val="464644"/>
        </w:rPr>
        <w:t>We</w:t>
      </w:r>
      <w:r>
        <w:rPr>
          <w:rFonts w:ascii="Arial" w:cs="Arial" w:eastAsia="Arial" w:hAnsi="Arial"/>
          <w:sz w:val="16"/>
          <w:szCs w:val="16"/>
          <w:b w:val="1"/>
          <w:bCs w:val="1"/>
          <w:color w:val="464644"/>
        </w:rPr>
        <w:t xml:space="preserve"> </w:t>
      </w:r>
      <w:r>
        <w:rPr>
          <w:rFonts w:ascii="Arial" w:cs="Arial" w:eastAsia="Arial" w:hAnsi="Arial"/>
          <w:sz w:val="16"/>
          <w:szCs w:val="16"/>
          <w:color w:val="464644"/>
        </w:rPr>
        <w:t>will</w:t>
      </w:r>
      <w:r>
        <w:rPr>
          <w:rFonts w:ascii="Arial" w:cs="Arial" w:eastAsia="Arial" w:hAnsi="Arial"/>
          <w:sz w:val="16"/>
          <w:szCs w:val="16"/>
          <w:b w:val="1"/>
          <w:bCs w:val="1"/>
          <w:color w:val="464644"/>
        </w:rPr>
        <w:t xml:space="preserve"> </w:t>
      </w:r>
      <w:r>
        <w:rPr>
          <w:rFonts w:ascii="Arial" w:cs="Arial" w:eastAsia="Arial" w:hAnsi="Arial"/>
          <w:sz w:val="16"/>
          <w:szCs w:val="16"/>
          <w:color w:val="464644"/>
        </w:rPr>
        <w:t>not make a duplicate payment for any portion of damages</w:t>
      </w:r>
      <w:r>
        <w:rPr>
          <w:rFonts w:ascii="Arial" w:cs="Arial" w:eastAsia="Arial" w:hAnsi="Arial"/>
          <w:sz w:val="16"/>
          <w:szCs w:val="16"/>
          <w:b w:val="1"/>
          <w:bCs w:val="1"/>
          <w:color w:val="464644"/>
        </w:rPr>
        <w:t xml:space="preserve"> </w:t>
      </w:r>
      <w:r>
        <w:rPr>
          <w:rFonts w:ascii="Arial" w:cs="Arial" w:eastAsia="Arial" w:hAnsi="Arial"/>
          <w:sz w:val="16"/>
          <w:szCs w:val="16"/>
          <w:color w:val="5D5D5B"/>
        </w:rPr>
        <w:t>for</w:t>
      </w:r>
      <w:r>
        <w:rPr>
          <w:rFonts w:ascii="Arial" w:cs="Arial" w:eastAsia="Arial" w:hAnsi="Arial"/>
          <w:sz w:val="16"/>
          <w:szCs w:val="16"/>
          <w:b w:val="1"/>
          <w:bCs w:val="1"/>
          <w:color w:val="464644"/>
        </w:rPr>
        <w:t xml:space="preserve"> </w:t>
      </w:r>
      <w:r>
        <w:rPr>
          <w:rFonts w:ascii="Arial" w:cs="Arial" w:eastAsia="Arial" w:hAnsi="Arial"/>
          <w:sz w:val="16"/>
          <w:szCs w:val="16"/>
          <w:color w:val="464644"/>
        </w:rPr>
        <w:t>which payment has been made by or on behalf of persons who may</w:t>
      </w:r>
      <w:r>
        <w:rPr>
          <w:rFonts w:ascii="Arial" w:cs="Arial" w:eastAsia="Arial" w:hAnsi="Arial"/>
          <w:sz w:val="16"/>
          <w:szCs w:val="16"/>
          <w:b w:val="1"/>
          <w:bCs w:val="1"/>
          <w:color w:val="464644"/>
        </w:rPr>
        <w:t xml:space="preserve"> </w:t>
      </w:r>
      <w:r>
        <w:rPr>
          <w:rFonts w:ascii="Arial" w:cs="Arial" w:eastAsia="Arial" w:hAnsi="Arial"/>
          <w:sz w:val="17"/>
          <w:szCs w:val="17"/>
          <w:color w:val="464644"/>
        </w:rPr>
        <w:t>be</w:t>
      </w:r>
      <w:r>
        <w:rPr>
          <w:rFonts w:ascii="Arial" w:cs="Arial" w:eastAsia="Arial" w:hAnsi="Arial"/>
          <w:sz w:val="16"/>
          <w:szCs w:val="16"/>
          <w:b w:val="1"/>
          <w:bCs w:val="1"/>
          <w:color w:val="464644"/>
        </w:rPr>
        <w:t xml:space="preserve"> </w:t>
      </w:r>
      <w:r>
        <w:rPr>
          <w:rFonts w:ascii="Arial" w:cs="Arial" w:eastAsia="Arial" w:hAnsi="Arial"/>
          <w:sz w:val="16"/>
          <w:szCs w:val="16"/>
          <w:color w:val="464644"/>
        </w:rPr>
        <w:t>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5 of 15</w:t>
      </w:r>
    </w:p>
    <w:p>
      <w:pPr>
        <w:sectPr>
          <w:pgSz w:w="11900" w:h="16838" w:orient="portrait"/>
          <w:cols w:equalWidth="0" w:num="1">
            <w:col w:w="11240"/>
          </w:cols>
          <w:pgMar w:left="320" w:top="326" w:right="339" w:bottom="1440" w:gutter="0" w:footer="0" w:header="0"/>
        </w:sectPr>
      </w:pPr>
    </w:p>
    <w:bookmarkStart w:id="135" w:name="page136"/>
    <w:bookmarkEnd w:id="135"/>
    <w:p>
      <w:pPr>
        <w:ind w:left="414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-162560</wp:posOffset>
            </wp:positionV>
            <wp:extent cx="110553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6">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83836"/>
        </w:rPr>
        <w:t>Group Personal Excess Liability Coverage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383836"/>
        </w:rPr>
        <w:t>(continued)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383836"/>
        </w:rPr>
        <w:t>Defense coverages</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6"/>
          <w:szCs w:val="16"/>
          <w:color w:val="383836"/>
        </w:rPr>
        <w:t>We will defend a covered person against any suit seeking covered damages for personal injury or property damage that is either:</w:t>
      </w:r>
    </w:p>
    <w:p>
      <w:pPr>
        <w:spacing w:after="0" w:line="43" w:lineRule="exact"/>
        <w:rPr>
          <w:sz w:val="20"/>
          <w:szCs w:val="20"/>
          <w:color w:val="auto"/>
        </w:rPr>
      </w:pPr>
    </w:p>
    <w:p>
      <w:pPr>
        <w:ind w:left="880" w:hanging="305"/>
        <w:spacing w:after="0"/>
        <w:tabs>
          <w:tab w:leader="none" w:pos="880" w:val="left"/>
        </w:tabs>
        <w:numPr>
          <w:ilvl w:val="0"/>
          <w:numId w:val="88"/>
        </w:numPr>
        <w:rPr>
          <w:rFonts w:ascii="Arial" w:cs="Arial" w:eastAsia="Arial" w:hAnsi="Arial"/>
          <w:sz w:val="20"/>
          <w:szCs w:val="20"/>
          <w:color w:val="auto"/>
        </w:rPr>
      </w:pPr>
      <w:r>
        <w:rPr>
          <w:rFonts w:ascii="Arial" w:cs="Arial" w:eastAsia="Arial" w:hAnsi="Arial"/>
          <w:sz w:val="16"/>
          <w:szCs w:val="16"/>
          <w:color w:val="383836"/>
        </w:rPr>
        <w:t>not covered by any underlying insurance; or</w:t>
      </w:r>
    </w:p>
    <w:p>
      <w:pPr>
        <w:spacing w:after="0" w:line="67" w:lineRule="exact"/>
        <w:rPr>
          <w:rFonts w:ascii="Arial" w:cs="Arial" w:eastAsia="Arial" w:hAnsi="Arial"/>
          <w:sz w:val="20"/>
          <w:szCs w:val="20"/>
          <w:color w:val="auto"/>
        </w:rPr>
      </w:pPr>
    </w:p>
    <w:p>
      <w:pPr>
        <w:ind w:left="900" w:hanging="325"/>
        <w:spacing w:after="0"/>
        <w:tabs>
          <w:tab w:leader="none" w:pos="900" w:val="left"/>
        </w:tabs>
        <w:numPr>
          <w:ilvl w:val="0"/>
          <w:numId w:val="88"/>
        </w:numPr>
        <w:rPr>
          <w:rFonts w:ascii="Arial" w:cs="Arial" w:eastAsia="Arial" w:hAnsi="Arial"/>
          <w:sz w:val="20"/>
          <w:szCs w:val="20"/>
          <w:color w:val="auto"/>
        </w:rPr>
      </w:pPr>
      <w:r>
        <w:rPr>
          <w:rFonts w:ascii="Arial" w:cs="Arial" w:eastAsia="Arial" w:hAnsi="Arial"/>
          <w:sz w:val="16"/>
          <w:szCs w:val="16"/>
          <w:color w:val="383836"/>
        </w:rPr>
        <w:t>covered by an underlying policy. This will apply to each Defense Coverage as it has been exhausted by payment of claims.</w:t>
      </w:r>
    </w:p>
    <w:p>
      <w:pPr>
        <w:spacing w:after="0" w:line="123" w:lineRule="exact"/>
        <w:rPr>
          <w:sz w:val="20"/>
          <w:szCs w:val="20"/>
          <w:color w:val="auto"/>
        </w:rPr>
      </w:pPr>
    </w:p>
    <w:p>
      <w:pPr>
        <w:ind w:left="560" w:right="100"/>
        <w:spacing w:after="0" w:line="341" w:lineRule="auto"/>
        <w:rPr>
          <w:sz w:val="20"/>
          <w:szCs w:val="20"/>
          <w:color w:val="auto"/>
        </w:rPr>
      </w:pPr>
      <w:r>
        <w:rPr>
          <w:rFonts w:ascii="Arial" w:cs="Arial" w:eastAsia="Arial" w:hAnsi="Arial"/>
          <w:sz w:val="16"/>
          <w:szCs w:val="16"/>
          <w:color w:val="383836"/>
        </w:rPr>
        <w:t xml:space="preserve">We provide this defense at our expense, with counsel of our choice, even </w:t>
      </w:r>
      <w:r>
        <w:rPr>
          <w:rFonts w:ascii="Arial" w:cs="Arial" w:eastAsia="Arial" w:hAnsi="Arial"/>
          <w:sz w:val="17"/>
          <w:szCs w:val="17"/>
          <w:color w:val="383836"/>
        </w:rPr>
        <w:t>if</w:t>
      </w:r>
      <w:r>
        <w:rPr>
          <w:rFonts w:ascii="Arial" w:cs="Arial" w:eastAsia="Arial" w:hAnsi="Arial"/>
          <w:sz w:val="16"/>
          <w:szCs w:val="16"/>
          <w:color w:val="383836"/>
        </w:rPr>
        <w:t xml:space="preserve"> the suit is groundless, false, or fraudulent. We may investigate, negotiate, and settle any such claim or suit at our discretion</w:t>
      </w:r>
      <w:r>
        <w:rPr>
          <w:rFonts w:ascii="Arial" w:cs="Arial" w:eastAsia="Arial" w:hAnsi="Arial"/>
          <w:sz w:val="16"/>
          <w:szCs w:val="16"/>
          <w:color w:val="696767"/>
        </w:rPr>
        <w:t>.</w:t>
      </w:r>
    </w:p>
    <w:p>
      <w:pPr>
        <w:spacing w:after="0" w:line="296" w:lineRule="exact"/>
        <w:rPr>
          <w:sz w:val="20"/>
          <w:szCs w:val="20"/>
          <w:color w:val="auto"/>
        </w:rPr>
      </w:pPr>
    </w:p>
    <w:p>
      <w:pPr>
        <w:ind w:left="920" w:hanging="318"/>
        <w:spacing w:after="0"/>
        <w:tabs>
          <w:tab w:leader="none" w:pos="920" w:val="left"/>
        </w:tabs>
        <w:numPr>
          <w:ilvl w:val="0"/>
          <w:numId w:val="89"/>
        </w:numPr>
        <w:rPr>
          <w:rFonts w:ascii="Arial" w:cs="Arial" w:eastAsia="Arial" w:hAnsi="Arial"/>
          <w:sz w:val="20"/>
          <w:szCs w:val="20"/>
          <w:color w:val="auto"/>
        </w:rPr>
      </w:pPr>
      <w:r>
        <w:rPr>
          <w:rFonts w:ascii="Arial" w:cs="Arial" w:eastAsia="Arial" w:hAnsi="Arial"/>
          <w:sz w:val="16"/>
          <w:szCs w:val="16"/>
          <w:color w:val="383836"/>
        </w:rPr>
        <w:t>all premiums on appeal bonds required in any suit we defend;</w:t>
      </w:r>
    </w:p>
    <w:p>
      <w:pPr>
        <w:spacing w:after="0" w:line="78" w:lineRule="exact"/>
        <w:rPr>
          <w:rFonts w:ascii="Arial" w:cs="Arial" w:eastAsia="Arial" w:hAnsi="Arial"/>
          <w:sz w:val="20"/>
          <w:szCs w:val="20"/>
          <w:color w:val="auto"/>
        </w:rPr>
      </w:pPr>
    </w:p>
    <w:p>
      <w:pPr>
        <w:ind w:left="920" w:hanging="318"/>
        <w:spacing w:after="0"/>
        <w:tabs>
          <w:tab w:leader="none" w:pos="920" w:val="left"/>
        </w:tabs>
        <w:numPr>
          <w:ilvl w:val="0"/>
          <w:numId w:val="89"/>
        </w:numPr>
        <w:rPr>
          <w:rFonts w:ascii="Arial" w:cs="Arial" w:eastAsia="Arial" w:hAnsi="Arial"/>
          <w:sz w:val="19"/>
          <w:szCs w:val="19"/>
          <w:color w:val="auto"/>
        </w:rPr>
      </w:pPr>
      <w:r>
        <w:rPr>
          <w:rFonts w:ascii="Arial" w:cs="Arial" w:eastAsia="Arial" w:hAnsi="Arial"/>
          <w:sz w:val="15"/>
          <w:szCs w:val="15"/>
          <w:color w:val="383836"/>
        </w:rPr>
        <w:t>all premiums on bonds to release attachments for any amount up to the amount of coverage (but we are not obligated to apply for or furnish any bond);</w:t>
      </w:r>
    </w:p>
    <w:p>
      <w:pPr>
        <w:spacing w:after="0" w:line="26" w:lineRule="exact"/>
        <w:rPr>
          <w:rFonts w:ascii="Arial" w:cs="Arial" w:eastAsia="Arial" w:hAnsi="Arial"/>
          <w:sz w:val="19"/>
          <w:szCs w:val="19"/>
          <w:color w:val="auto"/>
        </w:rPr>
      </w:pPr>
    </w:p>
    <w:p>
      <w:pPr>
        <w:ind w:left="920" w:hanging="318"/>
        <w:spacing w:after="0"/>
        <w:tabs>
          <w:tab w:leader="none" w:pos="920" w:val="left"/>
        </w:tabs>
        <w:numPr>
          <w:ilvl w:val="0"/>
          <w:numId w:val="89"/>
        </w:numPr>
        <w:rPr>
          <w:rFonts w:ascii="Arial" w:cs="Arial" w:eastAsia="Arial" w:hAnsi="Arial"/>
          <w:sz w:val="20"/>
          <w:szCs w:val="20"/>
          <w:color w:val="auto"/>
        </w:rPr>
      </w:pPr>
      <w:r>
        <w:rPr>
          <w:rFonts w:ascii="Arial" w:cs="Arial" w:eastAsia="Arial" w:hAnsi="Arial"/>
          <w:sz w:val="16"/>
          <w:szCs w:val="16"/>
          <w:color w:val="383836"/>
        </w:rPr>
        <w:t>all expenses incurred by us;</w:t>
      </w:r>
    </w:p>
    <w:p>
      <w:pPr>
        <w:spacing w:after="0" w:line="40" w:lineRule="exact"/>
        <w:rPr>
          <w:rFonts w:ascii="Arial" w:cs="Arial" w:eastAsia="Arial" w:hAnsi="Arial"/>
          <w:sz w:val="20"/>
          <w:szCs w:val="20"/>
          <w:color w:val="auto"/>
        </w:rPr>
      </w:pPr>
    </w:p>
    <w:p>
      <w:pPr>
        <w:ind w:left="920" w:hanging="318"/>
        <w:spacing w:after="0"/>
        <w:tabs>
          <w:tab w:leader="none" w:pos="920" w:val="left"/>
        </w:tabs>
        <w:numPr>
          <w:ilvl w:val="0"/>
          <w:numId w:val="89"/>
        </w:numPr>
        <w:rPr>
          <w:rFonts w:ascii="Arial" w:cs="Arial" w:eastAsia="Arial" w:hAnsi="Arial"/>
          <w:sz w:val="20"/>
          <w:szCs w:val="20"/>
          <w:color w:val="auto"/>
        </w:rPr>
      </w:pPr>
      <w:r>
        <w:rPr>
          <w:rFonts w:ascii="Arial" w:cs="Arial" w:eastAsia="Arial" w:hAnsi="Arial"/>
          <w:sz w:val="16"/>
          <w:szCs w:val="16"/>
          <w:color w:val="383836"/>
        </w:rPr>
        <w:t>all costs taxed against a covered person;</w:t>
      </w:r>
    </w:p>
    <w:p>
      <w:pPr>
        <w:spacing w:after="0" w:line="90" w:lineRule="exact"/>
        <w:rPr>
          <w:rFonts w:ascii="Arial" w:cs="Arial" w:eastAsia="Arial" w:hAnsi="Arial"/>
          <w:sz w:val="20"/>
          <w:szCs w:val="20"/>
          <w:color w:val="auto"/>
        </w:rPr>
      </w:pPr>
    </w:p>
    <w:p>
      <w:pPr>
        <w:ind w:left="900" w:right="280" w:hanging="298"/>
        <w:spacing w:after="0" w:line="320" w:lineRule="auto"/>
        <w:tabs>
          <w:tab w:leader="none" w:pos="900" w:val="left"/>
        </w:tabs>
        <w:numPr>
          <w:ilvl w:val="0"/>
          <w:numId w:val="89"/>
        </w:numPr>
        <w:rPr>
          <w:rFonts w:ascii="Arial" w:cs="Arial" w:eastAsia="Arial" w:hAnsi="Arial"/>
          <w:sz w:val="20"/>
          <w:szCs w:val="20"/>
          <w:color w:val="auto"/>
        </w:rPr>
      </w:pPr>
      <w:r>
        <w:rPr>
          <w:rFonts w:ascii="Arial" w:cs="Arial" w:eastAsia="Arial" w:hAnsi="Arial"/>
          <w:sz w:val="16"/>
          <w:szCs w:val="16"/>
          <w:color w:val="383836"/>
        </w:rPr>
        <w:t>all interest accruing after a judgment is entered in a suit we defend on only that part of the judgment we are responsible for paying. We will not pay interest accruing after we have paid the judgment up to the amount of coverage;</w:t>
      </w:r>
    </w:p>
    <w:p>
      <w:pPr>
        <w:spacing w:after="0" w:line="1"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16"/>
          <w:szCs w:val="16"/>
          <w:color w:val="383836"/>
        </w:rPr>
        <w:t>all prejudgment interest awarded against a covered person on that part of the judgment we pay or offer to pay.</w:t>
      </w:r>
    </w:p>
    <w:p>
      <w:pPr>
        <w:spacing w:after="0" w:line="400" w:lineRule="exact"/>
        <w:rPr>
          <w:sz w:val="20"/>
          <w:szCs w:val="20"/>
          <w:color w:val="auto"/>
        </w:rPr>
      </w:pPr>
    </w:p>
    <w:p>
      <w:pPr>
        <w:ind w:left="920" w:hanging="305"/>
        <w:spacing w:after="0"/>
        <w:tabs>
          <w:tab w:leader="none" w:pos="920" w:val="left"/>
        </w:tabs>
        <w:numPr>
          <w:ilvl w:val="0"/>
          <w:numId w:val="90"/>
        </w:numPr>
        <w:rPr>
          <w:rFonts w:ascii="Arial" w:cs="Arial" w:eastAsia="Arial" w:hAnsi="Arial"/>
          <w:sz w:val="20"/>
          <w:szCs w:val="20"/>
          <w:color w:val="auto"/>
        </w:rPr>
      </w:pPr>
      <w:r>
        <w:rPr>
          <w:rFonts w:ascii="Arial" w:cs="Arial" w:eastAsia="Arial" w:hAnsi="Arial"/>
          <w:sz w:val="16"/>
          <w:szCs w:val="16"/>
          <w:color w:val="383836"/>
        </w:rPr>
        <w:t>all earnings lost by each covered person at our request; up to $25,000</w:t>
      </w:r>
      <w:r>
        <w:rPr>
          <w:rFonts w:ascii="Arial" w:cs="Arial" w:eastAsia="Arial" w:hAnsi="Arial"/>
          <w:sz w:val="16"/>
          <w:szCs w:val="16"/>
          <w:color w:val="595756"/>
        </w:rPr>
        <w:t>;</w:t>
      </w:r>
    </w:p>
    <w:p>
      <w:pPr>
        <w:spacing w:after="0" w:line="53" w:lineRule="exact"/>
        <w:rPr>
          <w:rFonts w:ascii="Arial" w:cs="Arial" w:eastAsia="Arial" w:hAnsi="Arial"/>
          <w:sz w:val="20"/>
          <w:szCs w:val="20"/>
          <w:color w:val="auto"/>
        </w:rPr>
      </w:pPr>
    </w:p>
    <w:p>
      <w:pPr>
        <w:ind w:left="920" w:hanging="305"/>
        <w:spacing w:after="0"/>
        <w:tabs>
          <w:tab w:leader="none" w:pos="920" w:val="left"/>
        </w:tabs>
        <w:numPr>
          <w:ilvl w:val="0"/>
          <w:numId w:val="90"/>
        </w:numPr>
        <w:rPr>
          <w:rFonts w:ascii="Arial" w:cs="Arial" w:eastAsia="Arial" w:hAnsi="Arial"/>
          <w:sz w:val="20"/>
          <w:szCs w:val="20"/>
          <w:color w:val="auto"/>
        </w:rPr>
      </w:pPr>
      <w:r>
        <w:rPr>
          <w:rFonts w:ascii="Arial" w:cs="Arial" w:eastAsia="Arial" w:hAnsi="Arial"/>
          <w:sz w:val="16"/>
          <w:szCs w:val="16"/>
          <w:color w:val="383836"/>
        </w:rPr>
        <w:t>other reasonable expenses incurred by a covered person at our request; and</w:t>
      </w:r>
    </w:p>
    <w:p>
      <w:pPr>
        <w:spacing w:after="0" w:line="26" w:lineRule="exact"/>
        <w:rPr>
          <w:rFonts w:ascii="Arial" w:cs="Arial" w:eastAsia="Arial" w:hAnsi="Arial"/>
          <w:sz w:val="20"/>
          <w:szCs w:val="20"/>
          <w:color w:val="auto"/>
        </w:rPr>
      </w:pPr>
    </w:p>
    <w:p>
      <w:pPr>
        <w:ind w:left="940" w:hanging="325"/>
        <w:spacing w:after="0"/>
        <w:tabs>
          <w:tab w:leader="none" w:pos="940" w:val="left"/>
        </w:tabs>
        <w:numPr>
          <w:ilvl w:val="0"/>
          <w:numId w:val="90"/>
        </w:numPr>
        <w:rPr>
          <w:rFonts w:ascii="Arial" w:cs="Arial" w:eastAsia="Arial" w:hAnsi="Arial"/>
          <w:sz w:val="20"/>
          <w:szCs w:val="20"/>
          <w:color w:val="auto"/>
        </w:rPr>
      </w:pPr>
      <w:r>
        <w:rPr>
          <w:rFonts w:ascii="Arial" w:cs="Arial" w:eastAsia="Arial" w:hAnsi="Arial"/>
          <w:sz w:val="16"/>
          <w:szCs w:val="16"/>
          <w:color w:val="383836"/>
        </w:rPr>
        <w:t>the cost of bail bonds required of a covered person because of a covered loss.</w:t>
      </w:r>
    </w:p>
    <w:p>
      <w:pPr>
        <w:spacing w:after="0" w:line="131" w:lineRule="exact"/>
        <w:rPr>
          <w:sz w:val="20"/>
          <w:szCs w:val="20"/>
          <w:color w:val="auto"/>
        </w:rPr>
      </w:pPr>
    </w:p>
    <w:p>
      <w:pPr>
        <w:ind w:left="580" w:right="400" w:hanging="26"/>
        <w:spacing w:after="0" w:line="275" w:lineRule="auto"/>
        <w:rPr>
          <w:sz w:val="20"/>
          <w:szCs w:val="20"/>
          <w:color w:val="auto"/>
        </w:rPr>
      </w:pPr>
      <w:r>
        <w:rPr>
          <w:rFonts w:ascii="Arial" w:cs="Arial" w:eastAsia="Arial" w:hAnsi="Arial"/>
          <w:sz w:val="16"/>
          <w:szCs w:val="16"/>
          <w:color w:val="383836"/>
        </w:rPr>
        <w:t>In jurisdictions where we may be prevented by local law from carrying out these Defense Coverages, we will pay only those defense expenses that we agree in writing to pay and that are incurred by you</w:t>
      </w:r>
      <w:r>
        <w:rPr>
          <w:rFonts w:ascii="Arial" w:cs="Arial" w:eastAsia="Arial" w:hAnsi="Arial"/>
          <w:sz w:val="16"/>
          <w:szCs w:val="16"/>
          <w:color w:val="696767"/>
        </w:rPr>
        <w:t>.</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171" w:lineRule="exact"/>
        <w:rPr>
          <w:sz w:val="20"/>
          <w:szCs w:val="20"/>
          <w:color w:val="auto"/>
        </w:rPr>
      </w:pPr>
    </w:p>
    <w:p>
      <w:pPr>
        <w:ind w:left="600" w:right="40" w:hanging="26"/>
        <w:spacing w:after="0" w:line="363" w:lineRule="auto"/>
        <w:rPr>
          <w:sz w:val="20"/>
          <w:szCs w:val="20"/>
          <w:color w:val="auto"/>
        </w:rPr>
      </w:pPr>
      <w:r>
        <w:rPr>
          <w:rFonts w:ascii="Arial" w:cs="Arial" w:eastAsia="Arial" w:hAnsi="Arial"/>
          <w:sz w:val="16"/>
          <w:szCs w:val="16"/>
          <w:color w:val="383836"/>
        </w:rPr>
        <w:t>In addition to covering damages and defense costs, we also provide other related coverages. These coverages are in addition to the amount of coverage for damages and defense costs unless stated otherwise.</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383836"/>
        </w:rPr>
        <w:t>Shadow defense coverage</w:t>
      </w:r>
    </w:p>
    <w:p>
      <w:pPr>
        <w:spacing w:after="0" w:line="65" w:lineRule="exact"/>
        <w:rPr>
          <w:sz w:val="20"/>
          <w:szCs w:val="20"/>
          <w:color w:val="auto"/>
        </w:rPr>
      </w:pPr>
    </w:p>
    <w:p>
      <w:pPr>
        <w:jc w:val="both"/>
        <w:ind w:left="580" w:firstLine="13"/>
        <w:spacing w:after="0" w:line="347" w:lineRule="auto"/>
        <w:rPr>
          <w:sz w:val="20"/>
          <w:szCs w:val="20"/>
          <w:color w:val="auto"/>
        </w:rPr>
      </w:pPr>
      <w:r>
        <w:rPr>
          <w:rFonts w:ascii="Arial" w:cs="Arial" w:eastAsia="Arial" w:hAnsi="Arial"/>
          <w:sz w:val="16"/>
          <w:szCs w:val="16"/>
          <w:color w:val="383836"/>
        </w:rPr>
        <w:t xml:space="preserve">If </w:t>
      </w:r>
      <w:r>
        <w:rPr>
          <w:rFonts w:ascii="Arial" w:cs="Arial" w:eastAsia="Arial" w:hAnsi="Arial"/>
          <w:sz w:val="15"/>
          <w:szCs w:val="15"/>
          <w:color w:val="383836"/>
        </w:rPr>
        <w:t>we are defending you or a family member in a suit seeking covered damages, we will pay reasonable expenses you or a family member incur up to $10,000 or the</w:t>
      </w:r>
      <w:r>
        <w:rPr>
          <w:rFonts w:ascii="Arial" w:cs="Arial" w:eastAsia="Arial" w:hAnsi="Arial"/>
          <w:sz w:val="16"/>
          <w:szCs w:val="16"/>
          <w:color w:val="383836"/>
        </w:rPr>
        <w:t xml:space="preserve"> </w:t>
      </w:r>
      <w:r>
        <w:rPr>
          <w:rFonts w:ascii="Arial" w:cs="Arial" w:eastAsia="Arial" w:hAnsi="Arial"/>
          <w:sz w:val="15"/>
          <w:szCs w:val="15"/>
          <w:color w:val="383836"/>
        </w:rPr>
        <w:t>amount shown in the Coverage Summary for a law firm of your choice to review and monitor the defense. However, any recommendation by your persona attorney is not binding on us. We will pay these costs provided that you obtain prior approval from us before incurring any fees or expenses.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383836"/>
        </w:rPr>
        <w:t>Identity fraud</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We will pay for your or a family member's identity fraud expenses, up to a maximum of $25,000, for each identity fraud occurrence.</w:t>
      </w:r>
    </w:p>
    <w:p>
      <w:pPr>
        <w:spacing w:after="0" w:line="208" w:lineRule="exact"/>
        <w:rPr>
          <w:sz w:val="20"/>
          <w:szCs w:val="20"/>
          <w:color w:val="auto"/>
        </w:rPr>
      </w:pPr>
    </w:p>
    <w:p>
      <w:pPr>
        <w:ind w:left="600" w:right="500"/>
        <w:spacing w:after="0" w:line="275" w:lineRule="auto"/>
        <w:rPr>
          <w:sz w:val="20"/>
          <w:szCs w:val="20"/>
          <w:color w:val="auto"/>
        </w:rPr>
      </w:pPr>
      <w:r>
        <w:rPr>
          <w:rFonts w:ascii="Arial" w:cs="Arial" w:eastAsia="Arial" w:hAnsi="Arial"/>
          <w:sz w:val="16"/>
          <w:szCs w:val="16"/>
          <w:color w:val="383836"/>
        </w:rPr>
        <w:t>"Identity fraud" means the act of knowingly transferring or using, without lawful authority, your or a family member</w:t>
      </w:r>
      <w:r>
        <w:rPr>
          <w:rFonts w:ascii="Arial" w:cs="Arial" w:eastAsia="Arial" w:hAnsi="Arial"/>
          <w:sz w:val="16"/>
          <w:szCs w:val="16"/>
          <w:color w:val="595756"/>
        </w:rPr>
        <w:t>'</w:t>
      </w:r>
      <w:r>
        <w:rPr>
          <w:rFonts w:ascii="Arial" w:cs="Arial" w:eastAsia="Arial" w:hAnsi="Arial"/>
          <w:sz w:val="16"/>
          <w:szCs w:val="16"/>
          <w:color w:val="383836"/>
        </w:rPr>
        <w:t xml:space="preserve"> s means of identity which constitutes a violation of federal law or a crime under any applicable state or local law</w:t>
      </w:r>
      <w:r>
        <w:rPr>
          <w:rFonts w:ascii="Arial" w:cs="Arial" w:eastAsia="Arial" w:hAnsi="Arial"/>
          <w:sz w:val="16"/>
          <w:szCs w:val="16"/>
          <w:color w:val="131511"/>
        </w:rPr>
        <w:t>.</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6"/>
          <w:szCs w:val="16"/>
          <w:color w:val="383836"/>
        </w:rPr>
        <w:t>"Identity fraud occurrence" means any act or series of acts of identity fraud by a person or group commencing in the policy period.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383836"/>
        </w:rPr>
        <w:t>"Identity fraud expenses" means:</w:t>
      </w:r>
    </w:p>
    <w:p>
      <w:pPr>
        <w:spacing w:after="0" w:line="6" w:lineRule="exact"/>
        <w:rPr>
          <w:sz w:val="20"/>
          <w:szCs w:val="20"/>
          <w:color w:val="auto"/>
        </w:rPr>
      </w:pPr>
    </w:p>
    <w:p>
      <w:pPr>
        <w:ind w:left="920" w:hanging="305"/>
        <w:spacing w:after="0"/>
        <w:tabs>
          <w:tab w:leader="none" w:pos="920" w:val="left"/>
        </w:tabs>
        <w:numPr>
          <w:ilvl w:val="1"/>
          <w:numId w:val="91"/>
        </w:numPr>
        <w:rPr>
          <w:rFonts w:ascii="Arial" w:cs="Arial" w:eastAsia="Arial" w:hAnsi="Arial"/>
          <w:sz w:val="19"/>
          <w:szCs w:val="19"/>
          <w:color w:val="auto"/>
        </w:rPr>
      </w:pPr>
      <w:r>
        <w:rPr>
          <w:rFonts w:ascii="Arial" w:cs="Arial" w:eastAsia="Arial" w:hAnsi="Arial"/>
          <w:sz w:val="15"/>
          <w:szCs w:val="15"/>
          <w:color w:val="383836"/>
        </w:rPr>
        <w:t>the costs for notarizing affidavits or similar documents for law enforcement agencies, financial institutions or similar credit grantors, and credit agencies;</w:t>
      </w:r>
    </w:p>
    <w:p>
      <w:pPr>
        <w:spacing w:after="0" w:line="23" w:lineRule="exact"/>
        <w:rPr>
          <w:rFonts w:ascii="Arial" w:cs="Arial" w:eastAsia="Arial" w:hAnsi="Arial"/>
          <w:sz w:val="19"/>
          <w:szCs w:val="19"/>
          <w:color w:val="auto"/>
        </w:rPr>
      </w:pPr>
    </w:p>
    <w:p>
      <w:pPr>
        <w:ind w:left="920" w:hanging="318"/>
        <w:spacing w:after="0" w:line="229" w:lineRule="auto"/>
        <w:tabs>
          <w:tab w:leader="none" w:pos="920" w:val="left"/>
        </w:tabs>
        <w:numPr>
          <w:ilvl w:val="0"/>
          <w:numId w:val="91"/>
        </w:numPr>
        <w:rPr>
          <w:rFonts w:ascii="Arial" w:cs="Arial" w:eastAsia="Arial" w:hAnsi="Arial"/>
          <w:sz w:val="20"/>
          <w:szCs w:val="20"/>
          <w:color w:val="auto"/>
        </w:rPr>
      </w:pPr>
      <w:r>
        <w:rPr>
          <w:rFonts w:ascii="Arial" w:cs="Arial" w:eastAsia="Arial" w:hAnsi="Arial"/>
          <w:sz w:val="16"/>
          <w:szCs w:val="16"/>
          <w:color w:val="383836"/>
        </w:rPr>
        <w:t>the costs for sending certified mail to law enforcement agencies, financial institutions or similar credit grantors, and credit agencies;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6 of 15</w:t>
      </w:r>
    </w:p>
    <w:p>
      <w:pPr>
        <w:sectPr>
          <w:pgSz w:w="11900" w:h="16838" w:orient="portrait"/>
          <w:cols w:equalWidth="0" w:num="1">
            <w:col w:w="11240"/>
          </w:cols>
          <w:pgMar w:left="320" w:top="514" w:right="339" w:bottom="1440" w:gutter="0" w:footer="0" w:header="0"/>
        </w:sectPr>
      </w:pPr>
    </w:p>
    <w:bookmarkStart w:id="136" w:name="page137"/>
    <w:bookmarkEnd w:id="136"/>
    <w:p>
      <w:pPr>
        <w:ind w:left="120"/>
        <w:spacing w:after="0"/>
        <w:rPr>
          <w:sz w:val="20"/>
          <w:szCs w:val="20"/>
          <w:color w:val="auto"/>
        </w:rPr>
      </w:pPr>
      <w:r>
        <w:rPr>
          <w:rFonts w:ascii="Arial" w:cs="Arial" w:eastAsia="Arial" w:hAnsi="Arial"/>
          <w:sz w:val="22"/>
          <w:szCs w:val="22"/>
          <w:b w:val="1"/>
          <w:bCs w:val="1"/>
          <w:i w:val="1"/>
          <w:iCs w:val="1"/>
          <w:color w:val="42423F"/>
        </w:rPr>
        <w:t>Extra Coverages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42423F"/>
        </w:rPr>
        <w:t>(continued)</w:t>
      </w:r>
    </w:p>
    <w:p>
      <w:pPr>
        <w:spacing w:after="0" w:line="27" w:lineRule="exact"/>
        <w:rPr>
          <w:sz w:val="20"/>
          <w:szCs w:val="20"/>
          <w:color w:val="auto"/>
        </w:rPr>
      </w:pPr>
    </w:p>
    <w:p>
      <w:pPr>
        <w:ind w:left="340" w:hanging="265"/>
        <w:spacing w:after="0"/>
        <w:tabs>
          <w:tab w:leader="none" w:pos="340" w:val="left"/>
        </w:tabs>
        <w:numPr>
          <w:ilvl w:val="0"/>
          <w:numId w:val="92"/>
        </w:numPr>
        <w:rPr>
          <w:rFonts w:ascii="Arial" w:cs="Arial" w:eastAsia="Arial" w:hAnsi="Arial"/>
          <w:sz w:val="21"/>
          <w:szCs w:val="21"/>
          <w:color w:val="auto"/>
        </w:rPr>
      </w:pPr>
      <w:r>
        <w:rPr>
          <w:rFonts w:ascii="Arial" w:cs="Arial" w:eastAsia="Arial" w:hAnsi="Arial"/>
          <w:sz w:val="16"/>
          <w:szCs w:val="16"/>
          <w:color w:val="42423F"/>
        </w:rPr>
        <w:t>the loan application fees for reapplying for loan(s) due to the re</w:t>
      </w:r>
      <w:r>
        <w:rPr>
          <w:rFonts w:ascii="Arial" w:cs="Arial" w:eastAsia="Arial" w:hAnsi="Arial"/>
          <w:sz w:val="16"/>
          <w:szCs w:val="16"/>
          <w:color w:val="5B5B59"/>
        </w:rPr>
        <w:t>j</w:t>
      </w:r>
      <w:r>
        <w:rPr>
          <w:rFonts w:ascii="Arial" w:cs="Arial" w:eastAsia="Arial" w:hAnsi="Arial"/>
          <w:sz w:val="16"/>
          <w:szCs w:val="16"/>
          <w:color w:val="42423F"/>
        </w:rPr>
        <w:t>ection of the original application because the lender received incorrect credit information;</w:t>
      </w:r>
    </w:p>
    <w:p>
      <w:pPr>
        <w:spacing w:after="0" w:line="40" w:lineRule="exact"/>
        <w:rPr>
          <w:rFonts w:ascii="Arial" w:cs="Arial" w:eastAsia="Arial" w:hAnsi="Arial"/>
          <w:sz w:val="21"/>
          <w:szCs w:val="21"/>
          <w:color w:val="auto"/>
        </w:rPr>
      </w:pPr>
    </w:p>
    <w:p>
      <w:pPr>
        <w:ind w:left="340" w:hanging="265"/>
        <w:spacing w:after="0"/>
        <w:tabs>
          <w:tab w:leader="none" w:pos="340" w:val="left"/>
        </w:tabs>
        <w:numPr>
          <w:ilvl w:val="0"/>
          <w:numId w:val="92"/>
        </w:numPr>
        <w:rPr>
          <w:rFonts w:ascii="Arial" w:cs="Arial" w:eastAsia="Arial" w:hAnsi="Arial"/>
          <w:sz w:val="16"/>
          <w:szCs w:val="16"/>
          <w:color w:val="42423F"/>
        </w:rPr>
      </w:pPr>
      <w:r>
        <w:rPr>
          <w:rFonts w:ascii="Arial" w:cs="Arial" w:eastAsia="Arial" w:hAnsi="Arial"/>
          <w:sz w:val="16"/>
          <w:szCs w:val="16"/>
          <w:color w:val="42423F"/>
        </w:rPr>
        <w:t>the telephone expenses for calls to businesses</w:t>
      </w:r>
      <w:r>
        <w:rPr>
          <w:rFonts w:ascii="Arial" w:cs="Arial" w:eastAsia="Arial" w:hAnsi="Arial"/>
          <w:sz w:val="16"/>
          <w:szCs w:val="16"/>
          <w:color w:val="5B5B59"/>
        </w:rPr>
        <w:t>,</w:t>
      </w:r>
      <w:r>
        <w:rPr>
          <w:rFonts w:ascii="Arial" w:cs="Arial" w:eastAsia="Arial" w:hAnsi="Arial"/>
          <w:sz w:val="16"/>
          <w:szCs w:val="16"/>
          <w:color w:val="42423F"/>
        </w:rPr>
        <w:t xml:space="preserve"> law enforcement agencies, financial institutions or similar credit grantors</w:t>
      </w:r>
      <w:r>
        <w:rPr>
          <w:rFonts w:ascii="Arial" w:cs="Arial" w:eastAsia="Arial" w:hAnsi="Arial"/>
          <w:sz w:val="16"/>
          <w:szCs w:val="16"/>
          <w:color w:val="5B5B59"/>
        </w:rPr>
        <w: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42423F"/>
        </w:rPr>
        <w:t>and credit agencies</w:t>
      </w:r>
      <w:r>
        <w:rPr>
          <w:rFonts w:ascii="Arial" w:cs="Arial" w:eastAsia="Arial" w:hAnsi="Arial"/>
          <w:sz w:val="16"/>
          <w:szCs w:val="16"/>
          <w:color w:val="5B5B59"/>
        </w:rPr>
        <w:t>;</w:t>
      </w:r>
    </w:p>
    <w:p>
      <w:pPr>
        <w:spacing w:after="0" w:line="32" w:lineRule="exact"/>
        <w:rPr>
          <w:sz w:val="20"/>
          <w:szCs w:val="20"/>
          <w:color w:val="auto"/>
        </w:rPr>
      </w:pPr>
    </w:p>
    <w:p>
      <w:pPr>
        <w:ind w:left="340" w:right="20" w:hanging="265"/>
        <w:spacing w:after="0" w:line="269" w:lineRule="auto"/>
        <w:tabs>
          <w:tab w:leader="none" w:pos="340" w:val="left"/>
        </w:tabs>
        <w:numPr>
          <w:ilvl w:val="0"/>
          <w:numId w:val="93"/>
        </w:numPr>
        <w:rPr>
          <w:rFonts w:ascii="Arial" w:cs="Arial" w:eastAsia="Arial" w:hAnsi="Arial"/>
          <w:sz w:val="20"/>
          <w:szCs w:val="20"/>
          <w:color w:val="auto"/>
        </w:rPr>
      </w:pPr>
      <w:r>
        <w:rPr>
          <w:rFonts w:ascii="Arial" w:cs="Arial" w:eastAsia="Arial" w:hAnsi="Arial"/>
          <w:sz w:val="16"/>
          <w:szCs w:val="16"/>
          <w:color w:val="42423F"/>
        </w:rPr>
        <w:t>earnings lost by you or a family member as a result of time off from work to complete fraud affidavits, meet with law enforcement agencies, credit agencies, merchants, or legal counsel;</w:t>
      </w:r>
    </w:p>
    <w:p>
      <w:pPr>
        <w:ind w:left="340" w:hanging="265"/>
        <w:spacing w:after="0"/>
        <w:tabs>
          <w:tab w:leader="none" w:pos="340" w:val="left"/>
        </w:tabs>
        <w:numPr>
          <w:ilvl w:val="0"/>
          <w:numId w:val="93"/>
        </w:numPr>
        <w:rPr>
          <w:rFonts w:ascii="Arial" w:cs="Arial" w:eastAsia="Arial" w:hAnsi="Arial"/>
          <w:sz w:val="20"/>
          <w:szCs w:val="20"/>
          <w:color w:val="auto"/>
        </w:rPr>
      </w:pPr>
      <w:r>
        <w:rPr>
          <w:rFonts w:ascii="Arial" w:cs="Arial" w:eastAsia="Arial" w:hAnsi="Arial"/>
          <w:sz w:val="16"/>
          <w:szCs w:val="16"/>
          <w:color w:val="42423F"/>
        </w:rPr>
        <w:t xml:space="preserve">the reasonable attorney fees incurred with prior notice to </w:t>
      </w:r>
      <w:r>
        <w:rPr>
          <w:rFonts w:ascii="Arial" w:cs="Arial" w:eastAsia="Arial" w:hAnsi="Arial"/>
          <w:sz w:val="16"/>
          <w:szCs w:val="16"/>
          <w:color w:val="31312F"/>
        </w:rPr>
        <w:t>us</w:t>
      </w:r>
      <w:r>
        <w:rPr>
          <w:rFonts w:ascii="Arial" w:cs="Arial" w:eastAsia="Arial" w:hAnsi="Arial"/>
          <w:sz w:val="16"/>
          <w:szCs w:val="16"/>
          <w:color w:val="42423F"/>
        </w:rPr>
        <w:t xml:space="preserve"> for:</w:t>
      </w:r>
    </w:p>
    <w:p>
      <w:pPr>
        <w:spacing w:after="0" w:line="23" w:lineRule="exact"/>
        <w:rPr>
          <w:rFonts w:ascii="Arial" w:cs="Arial" w:eastAsia="Arial" w:hAnsi="Arial"/>
          <w:sz w:val="20"/>
          <w:szCs w:val="20"/>
          <w:color w:val="auto"/>
        </w:rPr>
      </w:pPr>
    </w:p>
    <w:p>
      <w:pPr>
        <w:ind w:left="340" w:hanging="265"/>
        <w:spacing w:after="0" w:line="218" w:lineRule="auto"/>
        <w:tabs>
          <w:tab w:leader="none" w:pos="340" w:val="left"/>
        </w:tabs>
        <w:numPr>
          <w:ilvl w:val="0"/>
          <w:numId w:val="93"/>
        </w:numPr>
        <w:rPr>
          <w:rFonts w:ascii="Arial" w:cs="Arial" w:eastAsia="Arial" w:hAnsi="Arial"/>
          <w:sz w:val="21"/>
          <w:szCs w:val="21"/>
          <w:color w:val="auto"/>
        </w:rPr>
      </w:pPr>
      <w:r>
        <w:rPr>
          <w:rFonts w:ascii="Arial" w:cs="Arial" w:eastAsia="Arial" w:hAnsi="Arial"/>
          <w:sz w:val="16"/>
          <w:szCs w:val="16"/>
          <w:color w:val="42423F"/>
        </w:rPr>
        <w:t xml:space="preserve">the defense of you or a </w:t>
      </w:r>
      <w:r>
        <w:rPr>
          <w:rFonts w:ascii="Arial" w:cs="Arial" w:eastAsia="Arial" w:hAnsi="Arial"/>
          <w:sz w:val="16"/>
          <w:szCs w:val="16"/>
          <w:color w:val="31312F"/>
        </w:rPr>
        <w:t>family</w:t>
      </w:r>
      <w:r>
        <w:rPr>
          <w:rFonts w:ascii="Arial" w:cs="Arial" w:eastAsia="Arial" w:hAnsi="Arial"/>
          <w:sz w:val="16"/>
          <w:szCs w:val="16"/>
          <w:color w:val="42423F"/>
        </w:rPr>
        <w:t xml:space="preserve"> member </w:t>
      </w:r>
      <w:r>
        <w:rPr>
          <w:rFonts w:ascii="Arial" w:cs="Arial" w:eastAsia="Arial" w:hAnsi="Arial"/>
          <w:sz w:val="16"/>
          <w:szCs w:val="16"/>
          <w:color w:val="31312F"/>
        </w:rPr>
        <w:t>against</w:t>
      </w:r>
      <w:r>
        <w:rPr>
          <w:rFonts w:ascii="Arial" w:cs="Arial" w:eastAsia="Arial" w:hAnsi="Arial"/>
          <w:sz w:val="16"/>
          <w:szCs w:val="16"/>
          <w:color w:val="42423F"/>
        </w:rPr>
        <w:t xml:space="preserve"> any suit(s) by busine</w:t>
      </w:r>
      <w:r>
        <w:rPr>
          <w:rFonts w:ascii="Arial" w:cs="Arial" w:eastAsia="Arial" w:hAnsi="Arial"/>
          <w:sz w:val="16"/>
          <w:szCs w:val="16"/>
          <w:color w:val="5B5B59"/>
        </w:rPr>
        <w:t>s</w:t>
      </w:r>
      <w:r>
        <w:rPr>
          <w:rFonts w:ascii="Arial" w:cs="Arial" w:eastAsia="Arial" w:hAnsi="Arial"/>
          <w:sz w:val="16"/>
          <w:szCs w:val="16"/>
          <w:color w:val="42423F"/>
        </w:rPr>
        <w:t>ses or their collection agencies;</w:t>
      </w:r>
    </w:p>
    <w:p>
      <w:pPr>
        <w:spacing w:after="0" w:line="41" w:lineRule="exact"/>
        <w:rPr>
          <w:rFonts w:ascii="Arial" w:cs="Arial" w:eastAsia="Arial" w:hAnsi="Arial"/>
          <w:sz w:val="21"/>
          <w:szCs w:val="21"/>
          <w:color w:val="auto"/>
        </w:rPr>
      </w:pPr>
    </w:p>
    <w:p>
      <w:pPr>
        <w:ind w:left="340" w:hanging="265"/>
        <w:spacing w:after="0" w:line="227" w:lineRule="auto"/>
        <w:tabs>
          <w:tab w:leader="none" w:pos="340" w:val="left"/>
        </w:tabs>
        <w:numPr>
          <w:ilvl w:val="0"/>
          <w:numId w:val="93"/>
        </w:numPr>
        <w:rPr>
          <w:rFonts w:ascii="Arial" w:cs="Arial" w:eastAsia="Arial" w:hAnsi="Arial"/>
          <w:sz w:val="21"/>
          <w:szCs w:val="21"/>
          <w:color w:val="auto"/>
        </w:rPr>
      </w:pPr>
      <w:r>
        <w:rPr>
          <w:rFonts w:ascii="Arial" w:cs="Arial" w:eastAsia="Arial" w:hAnsi="Arial"/>
          <w:sz w:val="16"/>
          <w:szCs w:val="16"/>
          <w:color w:val="42423F"/>
        </w:rPr>
        <w:t>the removal of any criminal or civil judgements wrongly entered against you or a family member;</w:t>
      </w:r>
    </w:p>
    <w:p>
      <w:pPr>
        <w:spacing w:after="0" w:line="28" w:lineRule="exact"/>
        <w:rPr>
          <w:rFonts w:ascii="Arial" w:cs="Arial" w:eastAsia="Arial" w:hAnsi="Arial"/>
          <w:sz w:val="21"/>
          <w:szCs w:val="21"/>
          <w:color w:val="auto"/>
        </w:rPr>
      </w:pPr>
    </w:p>
    <w:p>
      <w:pPr>
        <w:ind w:left="340" w:hanging="265"/>
        <w:spacing w:after="0"/>
        <w:tabs>
          <w:tab w:leader="none" w:pos="340" w:val="left"/>
        </w:tabs>
        <w:numPr>
          <w:ilvl w:val="0"/>
          <w:numId w:val="93"/>
        </w:numPr>
        <w:rPr>
          <w:rFonts w:ascii="Arial" w:cs="Arial" w:eastAsia="Arial" w:hAnsi="Arial"/>
          <w:sz w:val="16"/>
          <w:szCs w:val="16"/>
          <w:color w:val="42423F"/>
        </w:rPr>
      </w:pPr>
      <w:r>
        <w:rPr>
          <w:rFonts w:ascii="Arial" w:cs="Arial" w:eastAsia="Arial" w:hAnsi="Arial"/>
          <w:sz w:val="16"/>
          <w:szCs w:val="16"/>
          <w:color w:val="42423F"/>
        </w:rPr>
        <w:t>any challenge to the information in your or a family member</w:t>
      </w:r>
      <w:r>
        <w:rPr>
          <w:rFonts w:ascii="Arial" w:cs="Arial" w:eastAsia="Arial" w:hAnsi="Arial"/>
          <w:sz w:val="16"/>
          <w:szCs w:val="16"/>
          <w:color w:val="6B6B69"/>
        </w:rPr>
        <w:t>'</w:t>
      </w:r>
      <w:r>
        <w:rPr>
          <w:rFonts w:ascii="Arial" w:cs="Arial" w:eastAsia="Arial" w:hAnsi="Arial"/>
          <w:sz w:val="16"/>
          <w:szCs w:val="16"/>
          <w:color w:val="42423F"/>
        </w:rPr>
        <w:t xml:space="preserve"> s consumer credit report; and</w:t>
      </w:r>
    </w:p>
    <w:p>
      <w:pPr>
        <w:spacing w:after="0" w:line="18" w:lineRule="exact"/>
        <w:rPr>
          <w:rFonts w:ascii="Arial" w:cs="Arial" w:eastAsia="Arial" w:hAnsi="Arial"/>
          <w:sz w:val="16"/>
          <w:szCs w:val="16"/>
          <w:color w:val="42423F"/>
        </w:rPr>
      </w:pPr>
    </w:p>
    <w:p>
      <w:pPr>
        <w:ind w:left="340" w:hanging="265"/>
        <w:spacing w:after="0" w:line="211" w:lineRule="auto"/>
        <w:tabs>
          <w:tab w:leader="none" w:pos="340" w:val="left"/>
        </w:tabs>
        <w:numPr>
          <w:ilvl w:val="0"/>
          <w:numId w:val="93"/>
        </w:numPr>
        <w:rPr>
          <w:rFonts w:ascii="Arial" w:cs="Arial" w:eastAsia="Arial" w:hAnsi="Arial"/>
          <w:sz w:val="20"/>
          <w:szCs w:val="20"/>
          <w:color w:val="auto"/>
        </w:rPr>
      </w:pPr>
      <w:r>
        <w:rPr>
          <w:rFonts w:ascii="Arial" w:cs="Arial" w:eastAsia="Arial" w:hAnsi="Arial"/>
          <w:sz w:val="16"/>
          <w:szCs w:val="16"/>
          <w:color w:val="31312F"/>
        </w:rPr>
        <w:t xml:space="preserve">the </w:t>
      </w:r>
      <w:r>
        <w:rPr>
          <w:rFonts w:ascii="Arial" w:cs="Arial" w:eastAsia="Arial" w:hAnsi="Arial"/>
          <w:sz w:val="16"/>
          <w:szCs w:val="16"/>
          <w:color w:val="42423F"/>
        </w:rPr>
        <w:t>reasonable</w:t>
      </w:r>
      <w:r>
        <w:rPr>
          <w:rFonts w:ascii="Arial" w:cs="Arial" w:eastAsia="Arial" w:hAnsi="Arial"/>
          <w:sz w:val="16"/>
          <w:szCs w:val="16"/>
          <w:color w:val="31312F"/>
        </w:rPr>
        <w:t xml:space="preserve"> fees </w:t>
      </w:r>
      <w:r>
        <w:rPr>
          <w:rFonts w:ascii="Arial" w:cs="Arial" w:eastAsia="Arial" w:hAnsi="Arial"/>
          <w:sz w:val="16"/>
          <w:szCs w:val="16"/>
          <w:color w:val="42423F"/>
        </w:rPr>
        <w:t>incurred with prior notice to us by an identity fraud mitigation entity to</w:t>
      </w:r>
      <w:r>
        <w:rPr>
          <w:rFonts w:ascii="Arial" w:cs="Arial" w:eastAsia="Arial" w:hAnsi="Arial"/>
          <w:sz w:val="16"/>
          <w:szCs w:val="16"/>
          <w:color w:val="6B6B69"/>
        </w:rPr>
        <w:t>:</w:t>
      </w:r>
    </w:p>
    <w:p>
      <w:pPr>
        <w:spacing w:after="0" w:line="23" w:lineRule="exact"/>
        <w:rPr>
          <w:rFonts w:ascii="Arial" w:cs="Arial" w:eastAsia="Arial" w:hAnsi="Arial"/>
          <w:sz w:val="20"/>
          <w:szCs w:val="20"/>
          <w:color w:val="auto"/>
        </w:rPr>
      </w:pPr>
    </w:p>
    <w:p>
      <w:pPr>
        <w:ind w:left="340" w:hanging="265"/>
        <w:spacing w:after="0" w:line="229" w:lineRule="auto"/>
        <w:tabs>
          <w:tab w:leader="none" w:pos="340" w:val="left"/>
        </w:tabs>
        <w:numPr>
          <w:ilvl w:val="0"/>
          <w:numId w:val="93"/>
        </w:numPr>
        <w:rPr>
          <w:rFonts w:ascii="Arial" w:cs="Arial" w:eastAsia="Arial" w:hAnsi="Arial"/>
          <w:sz w:val="20"/>
          <w:szCs w:val="20"/>
          <w:color w:val="auto"/>
        </w:rPr>
      </w:pPr>
      <w:r>
        <w:rPr>
          <w:rFonts w:ascii="Arial" w:cs="Arial" w:eastAsia="Arial" w:hAnsi="Arial"/>
          <w:sz w:val="16"/>
          <w:szCs w:val="16"/>
          <w:color w:val="42423F"/>
        </w:rPr>
        <w:t>provide services for the activities described above;</w:t>
      </w:r>
    </w:p>
    <w:p>
      <w:pPr>
        <w:spacing w:after="0" w:line="23" w:lineRule="exact"/>
        <w:rPr>
          <w:rFonts w:ascii="Arial" w:cs="Arial" w:eastAsia="Arial" w:hAnsi="Arial"/>
          <w:sz w:val="20"/>
          <w:szCs w:val="20"/>
          <w:color w:val="auto"/>
        </w:rPr>
      </w:pPr>
    </w:p>
    <w:p>
      <w:pPr>
        <w:ind w:left="340" w:hanging="265"/>
        <w:spacing w:after="0" w:line="218" w:lineRule="auto"/>
        <w:tabs>
          <w:tab w:leader="none" w:pos="340" w:val="left"/>
        </w:tabs>
        <w:numPr>
          <w:ilvl w:val="0"/>
          <w:numId w:val="93"/>
        </w:numPr>
        <w:rPr>
          <w:rFonts w:ascii="Arial" w:cs="Arial" w:eastAsia="Arial" w:hAnsi="Arial"/>
          <w:sz w:val="21"/>
          <w:szCs w:val="21"/>
          <w:color w:val="auto"/>
        </w:rPr>
      </w:pPr>
      <w:r>
        <w:rPr>
          <w:rFonts w:ascii="Arial" w:cs="Arial" w:eastAsia="Arial" w:hAnsi="Arial"/>
          <w:sz w:val="16"/>
          <w:szCs w:val="16"/>
          <w:color w:val="42423F"/>
        </w:rPr>
        <w:t>restore accounts or credit standing with financial institutions or similar credit grantors and credit agencies; and</w:t>
      </w:r>
    </w:p>
    <w:p>
      <w:pPr>
        <w:spacing w:after="0" w:line="41" w:lineRule="exact"/>
        <w:rPr>
          <w:rFonts w:ascii="Arial" w:cs="Arial" w:eastAsia="Arial" w:hAnsi="Arial"/>
          <w:sz w:val="21"/>
          <w:szCs w:val="21"/>
          <w:color w:val="auto"/>
        </w:rPr>
      </w:pPr>
    </w:p>
    <w:p>
      <w:pPr>
        <w:ind w:left="340" w:hanging="265"/>
        <w:spacing w:after="0"/>
        <w:tabs>
          <w:tab w:leader="none" w:pos="340" w:val="left"/>
        </w:tabs>
        <w:numPr>
          <w:ilvl w:val="0"/>
          <w:numId w:val="93"/>
        </w:numPr>
        <w:rPr>
          <w:rFonts w:ascii="Arial" w:cs="Arial" w:eastAsia="Arial" w:hAnsi="Arial"/>
          <w:sz w:val="20"/>
          <w:szCs w:val="20"/>
          <w:color w:val="auto"/>
        </w:rPr>
      </w:pPr>
      <w:r>
        <w:rPr>
          <w:rFonts w:ascii="Arial" w:cs="Arial" w:eastAsia="Arial" w:hAnsi="Arial"/>
          <w:sz w:val="16"/>
          <w:szCs w:val="16"/>
          <w:color w:val="42423F"/>
        </w:rPr>
        <w:t xml:space="preserve">monitor for </w:t>
      </w:r>
      <w:r>
        <w:rPr>
          <w:rFonts w:ascii="Arial" w:cs="Arial" w:eastAsia="Arial" w:hAnsi="Arial"/>
          <w:sz w:val="16"/>
          <w:szCs w:val="16"/>
          <w:color w:val="31312F"/>
        </w:rPr>
        <w:t>up</w:t>
      </w:r>
      <w:r>
        <w:rPr>
          <w:rFonts w:ascii="Arial" w:cs="Arial" w:eastAsia="Arial" w:hAnsi="Arial"/>
          <w:sz w:val="16"/>
          <w:szCs w:val="16"/>
          <w:color w:val="42423F"/>
        </w:rPr>
        <w:t xml:space="preserve"> to one </w:t>
      </w:r>
      <w:r>
        <w:rPr>
          <w:rFonts w:ascii="Arial" w:cs="Arial" w:eastAsia="Arial" w:hAnsi="Arial"/>
          <w:sz w:val="16"/>
          <w:szCs w:val="16"/>
          <w:color w:val="31312F"/>
        </w:rPr>
        <w:t>year the</w:t>
      </w:r>
      <w:r>
        <w:rPr>
          <w:rFonts w:ascii="Arial" w:cs="Arial" w:eastAsia="Arial" w:hAnsi="Arial"/>
          <w:sz w:val="16"/>
          <w:szCs w:val="16"/>
          <w:color w:val="42423F"/>
        </w:rPr>
        <w:t xml:space="preserve"> effectiveness of the fraud mitigation and to detect additional </w:t>
      </w:r>
      <w:r>
        <w:rPr>
          <w:rFonts w:ascii="Arial" w:cs="Arial" w:eastAsia="Arial" w:hAnsi="Arial"/>
          <w:sz w:val="16"/>
          <w:szCs w:val="16"/>
          <w:color w:val="31312F"/>
        </w:rPr>
        <w:t>identity</w:t>
      </w:r>
      <w:r>
        <w:rPr>
          <w:rFonts w:ascii="Arial" w:cs="Arial" w:eastAsia="Arial" w:hAnsi="Arial"/>
          <w:sz w:val="16"/>
          <w:szCs w:val="16"/>
          <w:color w:val="42423F"/>
        </w:rPr>
        <w:t xml:space="preserve"> fraud activity after the first identify fraud occurrence.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However, such monitoring must begin no </w:t>
      </w:r>
      <w:r>
        <w:rPr>
          <w:rFonts w:ascii="Arial" w:cs="Arial" w:eastAsia="Arial" w:hAnsi="Arial"/>
          <w:sz w:val="16"/>
          <w:szCs w:val="16"/>
          <w:color w:val="31312F"/>
        </w:rPr>
        <w:t>later</w:t>
      </w:r>
      <w:r>
        <w:rPr>
          <w:rFonts w:ascii="Arial" w:cs="Arial" w:eastAsia="Arial" w:hAnsi="Arial"/>
          <w:sz w:val="16"/>
          <w:szCs w:val="16"/>
          <w:color w:val="42423F"/>
        </w:rPr>
        <w:t xml:space="preserve"> than one year after you or a family member first report an identity fraud occurrence to </w:t>
      </w:r>
      <w:r>
        <w:rPr>
          <w:rFonts w:ascii="Arial" w:cs="Arial" w:eastAsia="Arial" w:hAnsi="Arial"/>
          <w:sz w:val="16"/>
          <w:szCs w:val="16"/>
          <w:color w:val="31312F"/>
        </w:rPr>
        <w:t>us</w:t>
      </w:r>
      <w:r>
        <w:rPr>
          <w:rFonts w:ascii="Arial" w:cs="Arial" w:eastAsia="Arial" w:hAnsi="Arial"/>
          <w:sz w:val="16"/>
          <w:szCs w:val="16"/>
          <w:color w:val="5B5B59"/>
        </w:rPr>
        <w:t>.</w:t>
      </w:r>
    </w:p>
    <w:p>
      <w:pPr>
        <w:spacing w:after="0" w:line="113"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6"/>
          <w:szCs w:val="16"/>
          <w:color w:val="42423F"/>
        </w:rPr>
        <w:t>However</w:t>
      </w:r>
      <w:r>
        <w:rPr>
          <w:rFonts w:ascii="Arial" w:cs="Arial" w:eastAsia="Arial" w:hAnsi="Arial"/>
          <w:sz w:val="16"/>
          <w:szCs w:val="16"/>
          <w:color w:val="5B5B59"/>
        </w:rPr>
        <w:t>,</w:t>
      </w:r>
      <w:r>
        <w:rPr>
          <w:rFonts w:ascii="Arial" w:cs="Arial" w:eastAsia="Arial" w:hAnsi="Arial"/>
          <w:sz w:val="16"/>
          <w:szCs w:val="16"/>
          <w:color w:val="42423F"/>
        </w:rPr>
        <w:t xml:space="preserve">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6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6"/>
          <w:szCs w:val="16"/>
          <w:color w:val="5B5B59"/>
        </w:rPr>
        <w:t>"</w:t>
      </w:r>
      <w:r>
        <w:rPr>
          <w:rFonts w:ascii="Arial" w:cs="Arial" w:eastAsia="Arial" w:hAnsi="Arial"/>
          <w:sz w:val="16"/>
          <w:szCs w:val="16"/>
          <w:color w:val="42423F"/>
        </w:rPr>
        <w:t>Identity fraud mitigation entity</w:t>
      </w:r>
      <w:r>
        <w:rPr>
          <w:rFonts w:ascii="Arial" w:cs="Arial" w:eastAsia="Arial" w:hAnsi="Arial"/>
          <w:sz w:val="16"/>
          <w:szCs w:val="16"/>
          <w:color w:val="5B5B59"/>
        </w:rPr>
        <w:t xml:space="preserve">" </w:t>
      </w:r>
      <w:r>
        <w:rPr>
          <w:rFonts w:ascii="Arial" w:cs="Arial" w:eastAsia="Arial" w:hAnsi="Arial"/>
          <w:sz w:val="16"/>
          <w:szCs w:val="16"/>
          <w:color w:val="42423F"/>
        </w:rPr>
        <w:t>means a company that principally provides professional, specialized services to counter identity fraud for individuals or groups of</w:t>
      </w:r>
      <w:r>
        <w:rPr>
          <w:rFonts w:ascii="Arial" w:cs="Arial" w:eastAsia="Arial" w:hAnsi="Arial"/>
          <w:sz w:val="16"/>
          <w:szCs w:val="16"/>
          <w:color w:val="5B5B59"/>
        </w:rPr>
        <w:t xml:space="preserve"> </w:t>
      </w:r>
      <w:r>
        <w:rPr>
          <w:rFonts w:ascii="Arial" w:cs="Arial" w:eastAsia="Arial" w:hAnsi="Arial"/>
          <w:sz w:val="16"/>
          <w:szCs w:val="16"/>
          <w:color w:val="42423F"/>
        </w:rPr>
        <w:t>individuals, or a financial institution that provides similar services.</w:t>
      </w:r>
    </w:p>
    <w:p>
      <w:pPr>
        <w:spacing w:after="0" w:line="60" w:lineRule="exact"/>
        <w:rPr>
          <w:sz w:val="20"/>
          <w:szCs w:val="20"/>
          <w:color w:val="auto"/>
        </w:rPr>
      </w:pPr>
    </w:p>
    <w:p>
      <w:pPr>
        <w:ind w:left="120" w:right="1220" w:hanging="12"/>
        <w:spacing w:after="0" w:line="315" w:lineRule="auto"/>
        <w:rPr>
          <w:sz w:val="20"/>
          <w:szCs w:val="20"/>
          <w:color w:val="auto"/>
        </w:rPr>
      </w:pPr>
      <w:r>
        <w:rPr>
          <w:rFonts w:ascii="Arial" w:cs="Arial" w:eastAsia="Arial" w:hAnsi="Arial"/>
          <w:sz w:val="18"/>
          <w:szCs w:val="18"/>
          <w:color w:val="42423F"/>
        </w:rPr>
        <w:t xml:space="preserve">In </w:t>
      </w:r>
      <w:r>
        <w:rPr>
          <w:rFonts w:ascii="Arial" w:cs="Arial" w:eastAsia="Arial" w:hAnsi="Arial"/>
          <w:sz w:val="16"/>
          <w:szCs w:val="16"/>
          <w:color w:val="42423F"/>
        </w:rPr>
        <w:t>addition to the duties described in Policy T</w:t>
      </w:r>
      <w:r>
        <w:rPr>
          <w:rFonts w:ascii="Arial" w:cs="Arial" w:eastAsia="Arial" w:hAnsi="Arial"/>
          <w:sz w:val="16"/>
          <w:szCs w:val="16"/>
          <w:color w:val="5B5B59"/>
        </w:rPr>
        <w:t>e</w:t>
      </w:r>
      <w:r>
        <w:rPr>
          <w:rFonts w:ascii="Arial" w:cs="Arial" w:eastAsia="Arial" w:hAnsi="Arial"/>
          <w:sz w:val="16"/>
          <w:szCs w:val="16"/>
          <w:color w:val="42423F"/>
        </w:rPr>
        <w:t>rms, Liability Conditions, Your duties after a loss, you shall notify an applicable law enforcement agency.</w:t>
      </w:r>
      <w:r>
        <w:rPr>
          <w:rFonts w:ascii="Arial" w:cs="Arial" w:eastAsia="Arial" w:hAnsi="Arial"/>
          <w:sz w:val="18"/>
          <w:szCs w:val="18"/>
          <w:color w:val="42423F"/>
        </w:rPr>
        <w:t xml:space="preserve"> </w:t>
      </w:r>
      <w:r>
        <w:rPr>
          <w:rFonts w:ascii="Arial" w:cs="Arial" w:eastAsia="Arial" w:hAnsi="Arial"/>
          <w:sz w:val="16"/>
          <w:szCs w:val="16"/>
          <w:b w:val="1"/>
          <w:bCs w:val="1"/>
          <w:color w:val="42423F"/>
        </w:rPr>
        <w:t>Kidnap expenses</w:t>
      </w:r>
    </w:p>
    <w:p>
      <w:pPr>
        <w:spacing w:after="0" w:line="1" w:lineRule="exact"/>
        <w:rPr>
          <w:sz w:val="20"/>
          <w:szCs w:val="20"/>
          <w:color w:val="auto"/>
        </w:rPr>
      </w:pPr>
    </w:p>
    <w:p>
      <w:pPr>
        <w:jc w:val="both"/>
        <w:ind w:left="120"/>
        <w:spacing w:after="0" w:line="299" w:lineRule="auto"/>
        <w:rPr>
          <w:sz w:val="20"/>
          <w:szCs w:val="20"/>
          <w:color w:val="auto"/>
        </w:rPr>
      </w:pPr>
      <w:r>
        <w:rPr>
          <w:rFonts w:ascii="Arial" w:cs="Arial" w:eastAsia="Arial" w:hAnsi="Arial"/>
          <w:sz w:val="16"/>
          <w:szCs w:val="16"/>
          <w:color w:val="42423F"/>
        </w:rPr>
        <w:t xml:space="preserve">We will pay up to a maximum of $100,000 for kidnap expenses you or a family member incurs solely and directly as a </w:t>
      </w:r>
      <w:r>
        <w:rPr>
          <w:rFonts w:ascii="Arial" w:cs="Arial" w:eastAsia="Arial" w:hAnsi="Arial"/>
          <w:sz w:val="16"/>
          <w:szCs w:val="16"/>
          <w:color w:val="31312F"/>
        </w:rPr>
        <w:t>result</w:t>
      </w:r>
      <w:r>
        <w:rPr>
          <w:rFonts w:ascii="Arial" w:cs="Arial" w:eastAsia="Arial" w:hAnsi="Arial"/>
          <w:sz w:val="16"/>
          <w:szCs w:val="16"/>
          <w:color w:val="42423F"/>
        </w:rPr>
        <w:t xml:space="preserve"> of a kidnap and ransom occurrence. In addition, we also will pay up </w:t>
      </w:r>
      <w:r>
        <w:rPr>
          <w:rFonts w:ascii="Arial" w:cs="Arial" w:eastAsia="Arial" w:hAnsi="Arial"/>
          <w:sz w:val="16"/>
          <w:szCs w:val="16"/>
          <w:color w:val="31312F"/>
        </w:rPr>
        <w:t>to</w:t>
      </w:r>
      <w:r>
        <w:rPr>
          <w:rFonts w:ascii="Arial" w:cs="Arial" w:eastAsia="Arial" w:hAnsi="Arial"/>
          <w:sz w:val="16"/>
          <w:szCs w:val="16"/>
          <w:color w:val="42423F"/>
        </w:rPr>
        <w:t xml:space="preserve"> $25,000 to any person for information not otherwise available leading to the arrest and conviction of any person(s) who kidnaps you, a family member or a covered relative. The following are not eligible to receive this reward payment:</w:t>
      </w:r>
    </w:p>
    <w:p>
      <w:pPr>
        <w:spacing w:after="0" w:line="1" w:lineRule="exact"/>
        <w:rPr>
          <w:sz w:val="20"/>
          <w:szCs w:val="20"/>
          <w:color w:val="auto"/>
        </w:rPr>
      </w:pPr>
    </w:p>
    <w:p>
      <w:pPr>
        <w:ind w:left="420" w:hanging="291"/>
        <w:spacing w:after="0"/>
        <w:tabs>
          <w:tab w:leader="none" w:pos="420" w:val="left"/>
        </w:tabs>
        <w:numPr>
          <w:ilvl w:val="1"/>
          <w:numId w:val="94"/>
        </w:numPr>
        <w:rPr>
          <w:rFonts w:ascii="Arial" w:cs="Arial" w:eastAsia="Arial" w:hAnsi="Arial"/>
          <w:sz w:val="16"/>
          <w:szCs w:val="16"/>
          <w:color w:val="auto"/>
        </w:rPr>
      </w:pPr>
      <w:r>
        <w:rPr>
          <w:rFonts w:ascii="Arial" w:cs="Arial" w:eastAsia="Arial" w:hAnsi="Arial"/>
          <w:sz w:val="16"/>
          <w:szCs w:val="16"/>
          <w:color w:val="42423F"/>
        </w:rPr>
        <w:t>you or a family member; o</w:t>
      </w:r>
      <w:r>
        <w:rPr>
          <w:rFonts w:ascii="Arial" w:cs="Arial" w:eastAsia="Arial" w:hAnsi="Arial"/>
          <w:sz w:val="16"/>
          <w:szCs w:val="16"/>
          <w:color w:val="5B5B59"/>
        </w:rPr>
        <w:t>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94"/>
        </w:numPr>
        <w:rPr>
          <w:rFonts w:ascii="Arial" w:cs="Arial" w:eastAsia="Arial" w:hAnsi="Arial"/>
          <w:sz w:val="16"/>
          <w:szCs w:val="16"/>
          <w:color w:val="auto"/>
        </w:rPr>
      </w:pPr>
      <w:r>
        <w:rPr>
          <w:rFonts w:ascii="Arial" w:cs="Arial" w:eastAsia="Arial" w:hAnsi="Arial"/>
          <w:sz w:val="16"/>
          <w:szCs w:val="16"/>
          <w:color w:val="42423F"/>
        </w:rPr>
        <w:t>a covered relative who witnessed the occurrence</w:t>
      </w:r>
      <w:r>
        <w:rPr>
          <w:rFonts w:ascii="Arial" w:cs="Arial" w:eastAsia="Arial" w:hAnsi="Arial"/>
          <w:sz w:val="16"/>
          <w:szCs w:val="16"/>
          <w:color w:val="6B6B69"/>
        </w:rPr>
        <w:t>.</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"Kidnap and ransom occurrence" means the actual or alleged wrongful taking of:</w:t>
      </w:r>
    </w:p>
    <w:p>
      <w:pPr>
        <w:ind w:left="420" w:hanging="304"/>
        <w:spacing w:after="0" w:line="236" w:lineRule="auto"/>
        <w:tabs>
          <w:tab w:leader="none" w:pos="420" w:val="left"/>
        </w:tabs>
        <w:numPr>
          <w:ilvl w:val="0"/>
          <w:numId w:val="95"/>
        </w:numPr>
        <w:rPr>
          <w:rFonts w:ascii="Arial" w:cs="Arial" w:eastAsia="Arial" w:hAnsi="Arial"/>
          <w:sz w:val="21"/>
          <w:szCs w:val="21"/>
          <w:color w:val="auto"/>
        </w:rPr>
      </w:pPr>
      <w:r>
        <w:rPr>
          <w:rFonts w:ascii="Arial" w:cs="Arial" w:eastAsia="Arial" w:hAnsi="Arial"/>
          <w:sz w:val="16"/>
          <w:szCs w:val="16"/>
          <w:color w:val="42423F"/>
        </w:rPr>
        <w:t>you;</w:t>
      </w:r>
    </w:p>
    <w:p>
      <w:pPr>
        <w:spacing w:after="0" w:line="24" w:lineRule="exact"/>
        <w:rPr>
          <w:rFonts w:ascii="Arial" w:cs="Arial" w:eastAsia="Arial" w:hAnsi="Arial"/>
          <w:sz w:val="21"/>
          <w:szCs w:val="21"/>
          <w:color w:val="auto"/>
        </w:rPr>
      </w:pPr>
    </w:p>
    <w:p>
      <w:pPr>
        <w:ind w:left="420"/>
        <w:spacing w:after="0"/>
        <w:rPr>
          <w:rFonts w:ascii="Arial" w:cs="Arial" w:eastAsia="Arial" w:hAnsi="Arial"/>
          <w:sz w:val="21"/>
          <w:szCs w:val="21"/>
          <w:color w:val="auto"/>
        </w:rPr>
      </w:pPr>
      <w:r>
        <w:rPr>
          <w:rFonts w:ascii="Arial" w:cs="Arial" w:eastAsia="Arial" w:hAnsi="Arial"/>
          <w:sz w:val="16"/>
          <w:szCs w:val="16"/>
          <w:color w:val="42423F"/>
        </w:rPr>
        <w:t>one or more family members; or</w:t>
      </w:r>
    </w:p>
    <w:p>
      <w:pPr>
        <w:spacing w:after="0" w:line="5" w:lineRule="exact"/>
        <w:rPr>
          <w:rFonts w:ascii="Arial" w:cs="Arial" w:eastAsia="Arial" w:hAnsi="Arial"/>
          <w:sz w:val="21"/>
          <w:szCs w:val="21"/>
          <w:color w:val="auto"/>
        </w:rPr>
      </w:pPr>
    </w:p>
    <w:p>
      <w:pPr>
        <w:ind w:left="420"/>
        <w:spacing w:after="0"/>
        <w:rPr>
          <w:rFonts w:ascii="Arial" w:cs="Arial" w:eastAsia="Arial" w:hAnsi="Arial"/>
          <w:sz w:val="21"/>
          <w:szCs w:val="21"/>
          <w:color w:val="auto"/>
        </w:rPr>
      </w:pPr>
      <w:r>
        <w:rPr>
          <w:rFonts w:ascii="Arial" w:cs="Arial" w:eastAsia="Arial" w:hAnsi="Arial"/>
          <w:sz w:val="16"/>
          <w:szCs w:val="16"/>
          <w:color w:val="42423F"/>
        </w:rPr>
        <w:t xml:space="preserve">one or </w:t>
      </w:r>
      <w:r>
        <w:rPr>
          <w:rFonts w:ascii="Arial" w:cs="Arial" w:eastAsia="Arial" w:hAnsi="Arial"/>
          <w:sz w:val="16"/>
          <w:szCs w:val="16"/>
          <w:color w:val="31312F"/>
        </w:rPr>
        <w:t>more</w:t>
      </w:r>
      <w:r>
        <w:rPr>
          <w:rFonts w:ascii="Arial" w:cs="Arial" w:eastAsia="Arial" w:hAnsi="Arial"/>
          <w:sz w:val="16"/>
          <w:szCs w:val="16"/>
          <w:color w:val="42423F"/>
        </w:rPr>
        <w:t xml:space="preserve"> covered </w:t>
      </w:r>
      <w:r>
        <w:rPr>
          <w:rFonts w:ascii="Arial" w:cs="Arial" w:eastAsia="Arial" w:hAnsi="Arial"/>
          <w:sz w:val="16"/>
          <w:szCs w:val="16"/>
          <w:color w:val="31312F"/>
        </w:rPr>
        <w:t>relatives</w:t>
      </w:r>
      <w:r>
        <w:rPr>
          <w:rFonts w:ascii="Arial" w:cs="Arial" w:eastAsia="Arial" w:hAnsi="Arial"/>
          <w:sz w:val="16"/>
          <w:szCs w:val="16"/>
          <w:color w:val="42423F"/>
        </w:rPr>
        <w:t xml:space="preserve"> while visiting or </w:t>
      </w:r>
      <w:r>
        <w:rPr>
          <w:rFonts w:ascii="Arial" w:cs="Arial" w:eastAsia="Arial" w:hAnsi="Arial"/>
          <w:sz w:val="16"/>
          <w:szCs w:val="16"/>
          <w:color w:val="31312F"/>
        </w:rPr>
        <w:t>legally</w:t>
      </w:r>
      <w:r>
        <w:rPr>
          <w:rFonts w:ascii="Arial" w:cs="Arial" w:eastAsia="Arial" w:hAnsi="Arial"/>
          <w:sz w:val="16"/>
          <w:szCs w:val="16"/>
          <w:color w:val="42423F"/>
        </w:rPr>
        <w:t xml:space="preserve"> traveling with you or a family member;</w:t>
      </w:r>
    </w:p>
    <w:p>
      <w:pPr>
        <w:spacing w:after="0" w:line="5" w:lineRule="exact"/>
        <w:rPr>
          <w:rFonts w:ascii="Arial" w:cs="Arial" w:eastAsia="Arial" w:hAnsi="Arial"/>
          <w:sz w:val="21"/>
          <w:szCs w:val="21"/>
          <w:color w:val="auto"/>
        </w:rPr>
      </w:pPr>
    </w:p>
    <w:p>
      <w:pPr>
        <w:jc w:val="both"/>
        <w:ind w:left="420" w:hanging="291"/>
        <w:spacing w:after="0" w:line="251" w:lineRule="auto"/>
        <w:tabs>
          <w:tab w:leader="none" w:pos="420" w:val="left"/>
        </w:tabs>
        <w:numPr>
          <w:ilvl w:val="0"/>
          <w:numId w:val="95"/>
        </w:numPr>
        <w:rPr>
          <w:rFonts w:ascii="Arial" w:cs="Arial" w:eastAsia="Arial" w:hAnsi="Arial"/>
          <w:sz w:val="16"/>
          <w:szCs w:val="16"/>
          <w:color w:val="42423F"/>
        </w:rPr>
      </w:pPr>
      <w:r>
        <w:rPr>
          <w:rFonts w:ascii="Arial" w:cs="Arial" w:eastAsia="Arial" w:hAnsi="Arial"/>
          <w:sz w:val="16"/>
          <w:szCs w:val="16"/>
          <w:color w:val="42423F"/>
        </w:rPr>
        <w:t xml:space="preserve">from anywhere in the world except those places listed on the United States State Department Bureau of Consular Affairs Travel Warnings list at the time of the occurrence. The occurrence must include a demand for ransom payment which </w:t>
      </w:r>
      <w:r>
        <w:rPr>
          <w:rFonts w:ascii="Arial" w:cs="Arial" w:eastAsia="Arial" w:hAnsi="Arial"/>
          <w:sz w:val="16"/>
          <w:szCs w:val="16"/>
          <w:color w:val="31312F"/>
        </w:rPr>
        <w:t>would</w:t>
      </w:r>
      <w:r>
        <w:rPr>
          <w:rFonts w:ascii="Arial" w:cs="Arial" w:eastAsia="Arial" w:hAnsi="Arial"/>
          <w:sz w:val="16"/>
          <w:szCs w:val="16"/>
          <w:color w:val="42423F"/>
        </w:rPr>
        <w:t xml:space="preserve"> be paid by you or a family member </w:t>
      </w:r>
      <w:r>
        <w:rPr>
          <w:rFonts w:ascii="Arial" w:cs="Arial" w:eastAsia="Arial" w:hAnsi="Arial"/>
          <w:sz w:val="15"/>
          <w:szCs w:val="15"/>
          <w:color w:val="42423F"/>
        </w:rPr>
        <w:t>in</w:t>
      </w:r>
      <w:r>
        <w:rPr>
          <w:rFonts w:ascii="Arial" w:cs="Arial" w:eastAsia="Arial" w:hAnsi="Arial"/>
          <w:sz w:val="16"/>
          <w:szCs w:val="16"/>
          <w:color w:val="42423F"/>
        </w:rPr>
        <w:t xml:space="preserve"> exchange for the release of the kidnapped person(s).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"Kidnap expenses" means the reasonable costs for:</w:t>
      </w:r>
    </w:p>
    <w:p>
      <w:pPr>
        <w:spacing w:after="0" w:line="19" w:lineRule="exact"/>
        <w:rPr>
          <w:sz w:val="20"/>
          <w:szCs w:val="20"/>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 xml:space="preserve">a professional </w:t>
      </w:r>
      <w:r>
        <w:rPr>
          <w:rFonts w:ascii="Arial" w:cs="Arial" w:eastAsia="Arial" w:hAnsi="Arial"/>
          <w:sz w:val="16"/>
          <w:szCs w:val="16"/>
          <w:color w:val="31312F"/>
        </w:rPr>
        <w:t>negotiator;</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 xml:space="preserve">a </w:t>
      </w:r>
      <w:r>
        <w:rPr>
          <w:rFonts w:ascii="Arial" w:cs="Arial" w:eastAsia="Arial" w:hAnsi="Arial"/>
          <w:sz w:val="16"/>
          <w:szCs w:val="16"/>
          <w:color w:val="31312F"/>
        </w:rPr>
        <w:t>professional security</w:t>
      </w:r>
      <w:r>
        <w:rPr>
          <w:rFonts w:ascii="Arial" w:cs="Arial" w:eastAsia="Arial" w:hAnsi="Arial"/>
          <w:sz w:val="16"/>
          <w:szCs w:val="16"/>
          <w:color w:val="42423F"/>
        </w:rPr>
        <w:t xml:space="preserve"> consultant;</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31312F"/>
        </w:rPr>
        <w:t xml:space="preserve">professional security </w:t>
      </w:r>
      <w:r>
        <w:rPr>
          <w:rFonts w:ascii="Arial" w:cs="Arial" w:eastAsia="Arial" w:hAnsi="Arial"/>
          <w:sz w:val="16"/>
          <w:szCs w:val="16"/>
          <w:color w:val="42423F"/>
        </w:rPr>
        <w:t>guard services;</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a professional public relations consultant;</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travel</w:t>
      </w:r>
      <w:r>
        <w:rPr>
          <w:rFonts w:ascii="Arial" w:cs="Arial" w:eastAsia="Arial" w:hAnsi="Arial"/>
          <w:sz w:val="16"/>
          <w:szCs w:val="16"/>
          <w:color w:val="5B5B59"/>
        </w:rPr>
        <w:t>,</w:t>
      </w:r>
      <w:r>
        <w:rPr>
          <w:rFonts w:ascii="Arial" w:cs="Arial" w:eastAsia="Arial" w:hAnsi="Arial"/>
          <w:sz w:val="16"/>
          <w:szCs w:val="16"/>
          <w:color w:val="42423F"/>
        </w:rPr>
        <w:t xml:space="preserve"> meals, lodging and phone expenses incurred by you or a family member</w:t>
      </w:r>
      <w:r>
        <w:rPr>
          <w:rFonts w:ascii="Arial" w:cs="Arial" w:eastAsia="Arial" w:hAnsi="Arial"/>
          <w:sz w:val="16"/>
          <w:szCs w:val="16"/>
          <w:color w:val="5B5B59"/>
        </w:rPr>
        <w:t>;</w:t>
      </w:r>
    </w:p>
    <w:p>
      <w:pPr>
        <w:spacing w:after="0" w:line="5" w:lineRule="exact"/>
        <w:rPr>
          <w:rFonts w:ascii="Arial" w:cs="Arial" w:eastAsia="Arial" w:hAnsi="Arial"/>
          <w:sz w:val="16"/>
          <w:szCs w:val="16"/>
          <w:color w:val="auto"/>
        </w:rPr>
      </w:pPr>
    </w:p>
    <w:p>
      <w:pPr>
        <w:ind w:left="440" w:hanging="311"/>
        <w:spacing w:after="0"/>
        <w:tabs>
          <w:tab w:leader="none" w:pos="44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advertising, communications and recording equipment;</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 xml:space="preserve">related medical, cosmetic, psychiatric </w:t>
      </w:r>
      <w:r>
        <w:rPr>
          <w:rFonts w:ascii="Arial" w:cs="Arial" w:eastAsia="Arial" w:hAnsi="Arial"/>
          <w:sz w:val="16"/>
          <w:szCs w:val="16"/>
          <w:color w:val="31312F"/>
        </w:rPr>
        <w:t>and</w:t>
      </w:r>
      <w:r>
        <w:rPr>
          <w:rFonts w:ascii="Arial" w:cs="Arial" w:eastAsia="Arial" w:hAnsi="Arial"/>
          <w:sz w:val="16"/>
          <w:szCs w:val="16"/>
          <w:color w:val="42423F"/>
        </w:rPr>
        <w:t xml:space="preserve"> dental expenses incurred by a kidnapped person within 12 months from that person</w:t>
      </w:r>
      <w:r>
        <w:rPr>
          <w:rFonts w:ascii="Arial" w:cs="Arial" w:eastAsia="Arial" w:hAnsi="Arial"/>
          <w:sz w:val="16"/>
          <w:szCs w:val="16"/>
          <w:color w:val="6B6B69"/>
        </w:rPr>
        <w:t>'</w:t>
      </w:r>
      <w:r>
        <w:rPr>
          <w:rFonts w:ascii="Arial" w:cs="Arial" w:eastAsia="Arial" w:hAnsi="Arial"/>
          <w:sz w:val="16"/>
          <w:szCs w:val="16"/>
          <w:color w:val="42423F"/>
        </w:rPr>
        <w:t>s release;</w:t>
      </w:r>
    </w:p>
    <w:p>
      <w:pPr>
        <w:spacing w:after="0" w:line="5" w:lineRule="exact"/>
        <w:rPr>
          <w:rFonts w:ascii="Arial" w:cs="Arial" w:eastAsia="Arial" w:hAnsi="Arial"/>
          <w:sz w:val="16"/>
          <w:szCs w:val="16"/>
          <w:color w:val="auto"/>
        </w:rPr>
      </w:pPr>
    </w:p>
    <w:p>
      <w:pPr>
        <w:ind w:left="440" w:hanging="311"/>
        <w:spacing w:after="0"/>
        <w:tabs>
          <w:tab w:leader="none" w:pos="44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attorney’s fees;</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a professional forensic analyst;</w:t>
      </w:r>
    </w:p>
    <w:p>
      <w:pPr>
        <w:spacing w:after="0" w:line="5" w:lineRule="exact"/>
        <w:rPr>
          <w:rFonts w:ascii="Arial" w:cs="Arial" w:eastAsia="Arial" w:hAnsi="Arial"/>
          <w:sz w:val="16"/>
          <w:szCs w:val="16"/>
          <w:color w:val="auto"/>
        </w:rPr>
      </w:pPr>
    </w:p>
    <w:p>
      <w:pPr>
        <w:ind w:left="420" w:hanging="291"/>
        <w:spacing w:after="0"/>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42423F"/>
        </w:rPr>
        <w:t>earnings lost by you or a family member, up to $25</w:t>
      </w:r>
      <w:r>
        <w:rPr>
          <w:rFonts w:ascii="Arial" w:cs="Arial" w:eastAsia="Arial" w:hAnsi="Arial"/>
          <w:sz w:val="16"/>
          <w:szCs w:val="16"/>
          <w:color w:val="5B5B59"/>
        </w:rPr>
        <w:t>,</w:t>
      </w:r>
      <w:r>
        <w:rPr>
          <w:rFonts w:ascii="Arial" w:cs="Arial" w:eastAsia="Arial" w:hAnsi="Arial"/>
          <w:sz w:val="16"/>
          <w:szCs w:val="16"/>
          <w:color w:val="42423F"/>
        </w:rPr>
        <w:t>000.</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7 of 15</w:t>
      </w:r>
    </w:p>
    <w:p>
      <w:pPr>
        <w:sectPr>
          <w:pgSz w:w="11900" w:h="16838" w:orient="portrait"/>
          <w:cols w:equalWidth="0" w:num="1">
            <w:col w:w="11240"/>
          </w:cols>
          <w:pgMar w:left="320" w:top="326" w:right="339" w:bottom="1440" w:gutter="0" w:footer="0" w:header="0"/>
        </w:sectPr>
      </w:pPr>
    </w:p>
    <w:bookmarkStart w:id="137" w:name="page138"/>
    <w:bookmarkEnd w:id="137"/>
    <w:p>
      <w:pPr>
        <w:ind w:left="414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-162560</wp:posOffset>
            </wp:positionV>
            <wp:extent cx="11055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7">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339"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383836"/>
        </w:rPr>
        <w:t>(continued)</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6"/>
          <w:szCs w:val="16"/>
          <w:color w:val="383836"/>
        </w:rPr>
        <w:t>However, "kidnap expenses" does not include expenses incurred due to any kidnap and ransom occurrence caused by:</w:t>
      </w:r>
    </w:p>
    <w:p>
      <w:pPr>
        <w:spacing w:after="0" w:line="19" w:lineRule="exact"/>
        <w:rPr>
          <w:sz w:val="20"/>
          <w:szCs w:val="20"/>
          <w:color w:val="auto"/>
        </w:rPr>
      </w:pPr>
    </w:p>
    <w:p>
      <w:pPr>
        <w:ind w:left="840" w:hanging="292"/>
        <w:spacing w:after="0"/>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you or a family member;</w:t>
      </w:r>
    </w:p>
    <w:p>
      <w:pPr>
        <w:spacing w:after="0" w:line="5" w:lineRule="exact"/>
        <w:rPr>
          <w:rFonts w:ascii="Arial" w:cs="Arial" w:eastAsia="Arial" w:hAnsi="Arial"/>
          <w:sz w:val="16"/>
          <w:szCs w:val="16"/>
          <w:color w:val="383836"/>
        </w:rPr>
      </w:pPr>
    </w:p>
    <w:p>
      <w:pPr>
        <w:ind w:left="840" w:hanging="292"/>
        <w:spacing w:after="0"/>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a covered relative</w:t>
      </w:r>
      <w:r>
        <w:rPr>
          <w:rFonts w:ascii="Arial" w:cs="Arial" w:eastAsia="Arial" w:hAnsi="Arial"/>
          <w:sz w:val="16"/>
          <w:szCs w:val="16"/>
          <w:color w:val="525250"/>
        </w:rPr>
        <w:t>;</w:t>
      </w:r>
    </w:p>
    <w:p>
      <w:pPr>
        <w:spacing w:after="0" w:line="8" w:lineRule="exact"/>
        <w:rPr>
          <w:rFonts w:ascii="Arial" w:cs="Arial" w:eastAsia="Arial" w:hAnsi="Arial"/>
          <w:sz w:val="16"/>
          <w:szCs w:val="16"/>
          <w:color w:val="383836"/>
        </w:rPr>
      </w:pPr>
    </w:p>
    <w:p>
      <w:pPr>
        <w:ind w:left="840" w:hanging="292"/>
        <w:spacing w:after="0"/>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any guardian, or former guardian of you, a family member or covered relative;</w:t>
      </w:r>
    </w:p>
    <w:p>
      <w:pPr>
        <w:spacing w:after="0" w:line="55" w:lineRule="exact"/>
        <w:rPr>
          <w:rFonts w:ascii="Arial" w:cs="Arial" w:eastAsia="Arial" w:hAnsi="Arial"/>
          <w:sz w:val="16"/>
          <w:szCs w:val="16"/>
          <w:color w:val="383836"/>
        </w:rPr>
      </w:pPr>
    </w:p>
    <w:p>
      <w:pPr>
        <w:ind w:left="840" w:hanging="292"/>
        <w:spacing w:after="0"/>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any estranged spouse or domestic partner, or former spouse or domestic partner of you or a family member;</w:t>
      </w:r>
    </w:p>
    <w:p>
      <w:pPr>
        <w:spacing w:after="0" w:line="59" w:lineRule="exact"/>
        <w:rPr>
          <w:rFonts w:ascii="Arial" w:cs="Arial" w:eastAsia="Arial" w:hAnsi="Arial"/>
          <w:sz w:val="16"/>
          <w:szCs w:val="16"/>
          <w:color w:val="383836"/>
        </w:rPr>
      </w:pPr>
    </w:p>
    <w:p>
      <w:pPr>
        <w:ind w:left="840" w:hanging="292"/>
        <w:spacing w:after="0" w:line="299" w:lineRule="auto"/>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any person unrelated to you or a family member who lives with you or a family member or has ever lived with you or a family member for 6 or more months, other than a domestic employee</w:t>
      </w:r>
      <w:r>
        <w:rPr>
          <w:rFonts w:ascii="Arial" w:cs="Arial" w:eastAsia="Arial" w:hAnsi="Arial"/>
          <w:sz w:val="16"/>
          <w:szCs w:val="16"/>
          <w:color w:val="525250"/>
        </w:rPr>
        <w:t>,</w:t>
      </w:r>
      <w:r>
        <w:rPr>
          <w:rFonts w:ascii="Arial" w:cs="Arial" w:eastAsia="Arial" w:hAnsi="Arial"/>
          <w:sz w:val="16"/>
          <w:szCs w:val="16"/>
          <w:color w:val="383836"/>
        </w:rPr>
        <w:t xml:space="preserve"> residential staff, or a person employed by you or a family member for farm work; or</w:t>
      </w:r>
    </w:p>
    <w:p>
      <w:pPr>
        <w:ind w:left="840" w:hanging="292"/>
        <w:spacing w:after="0"/>
        <w:tabs>
          <w:tab w:leader="none" w:pos="840" w:val="left"/>
        </w:tabs>
        <w:numPr>
          <w:ilvl w:val="0"/>
          <w:numId w:val="97"/>
        </w:numPr>
        <w:rPr>
          <w:rFonts w:ascii="Arial" w:cs="Arial" w:eastAsia="Arial" w:hAnsi="Arial"/>
          <w:sz w:val="16"/>
          <w:szCs w:val="16"/>
          <w:color w:val="383836"/>
        </w:rPr>
      </w:pPr>
      <w:r>
        <w:rPr>
          <w:rFonts w:ascii="Arial" w:cs="Arial" w:eastAsia="Arial" w:hAnsi="Arial"/>
          <w:sz w:val="16"/>
          <w:szCs w:val="16"/>
          <w:color w:val="383836"/>
        </w:rPr>
        <w:t>a civil authority,</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6"/>
          <w:szCs w:val="16"/>
          <w:color w:val="383836"/>
        </w:rPr>
        <w:t>or any person acting on behalf of any of the above, whether acting alone or in collusion with others</w:t>
      </w:r>
      <w:r>
        <w:rPr>
          <w:rFonts w:ascii="Arial" w:cs="Arial" w:eastAsia="Arial" w:hAnsi="Arial"/>
          <w:sz w:val="16"/>
          <w:szCs w:val="16"/>
          <w:color w:val="525250"/>
        </w:rPr>
        <w:t>.</w:t>
      </w:r>
    </w:p>
    <w:p>
      <w:pPr>
        <w:spacing w:after="0" w:line="285" w:lineRule="exact"/>
        <w:rPr>
          <w:sz w:val="20"/>
          <w:szCs w:val="20"/>
          <w:color w:val="auto"/>
        </w:rPr>
      </w:pPr>
    </w:p>
    <w:p>
      <w:pPr>
        <w:ind w:left="540"/>
        <w:spacing w:after="0"/>
        <w:rPr>
          <w:sz w:val="20"/>
          <w:szCs w:val="20"/>
          <w:color w:val="auto"/>
        </w:rPr>
      </w:pPr>
      <w:r>
        <w:rPr>
          <w:rFonts w:ascii="Arial" w:cs="Arial" w:eastAsia="Arial" w:hAnsi="Arial"/>
          <w:sz w:val="16"/>
          <w:szCs w:val="16"/>
          <w:color w:val="383836"/>
        </w:rPr>
        <w:t>"Covered relative" means the following relatives of you, or a spouse or domestic partner who lives with you, or any family member</w:t>
      </w:r>
      <w:r>
        <w:rPr>
          <w:rFonts w:ascii="Arial" w:cs="Arial" w:eastAsia="Arial" w:hAnsi="Arial"/>
          <w:sz w:val="16"/>
          <w:szCs w:val="16"/>
          <w:color w:val="525250"/>
        </w:rPr>
        <w:t>:</w:t>
      </w:r>
    </w:p>
    <w:p>
      <w:pPr>
        <w:spacing w:after="0" w:line="46" w:lineRule="exact"/>
        <w:rPr>
          <w:sz w:val="20"/>
          <w:szCs w:val="20"/>
          <w:color w:val="auto"/>
        </w:rPr>
      </w:pPr>
    </w:p>
    <w:p>
      <w:pPr>
        <w:ind w:left="820" w:hanging="259"/>
        <w:spacing w:after="0"/>
        <w:tabs>
          <w:tab w:leader="none" w:pos="820" w:val="left"/>
        </w:tabs>
        <w:numPr>
          <w:ilvl w:val="0"/>
          <w:numId w:val="98"/>
        </w:numPr>
        <w:rPr>
          <w:rFonts w:ascii="Arial" w:cs="Arial" w:eastAsia="Arial" w:hAnsi="Arial"/>
          <w:sz w:val="16"/>
          <w:szCs w:val="16"/>
          <w:color w:val="383836"/>
        </w:rPr>
      </w:pPr>
      <w:r>
        <w:rPr>
          <w:rFonts w:ascii="Arial" w:cs="Arial" w:eastAsia="Arial" w:hAnsi="Arial"/>
          <w:sz w:val="16"/>
          <w:szCs w:val="16"/>
          <w:color w:val="383836"/>
        </w:rPr>
        <w:t>children</w:t>
      </w:r>
      <w:r>
        <w:rPr>
          <w:rFonts w:ascii="Arial" w:cs="Arial" w:eastAsia="Arial" w:hAnsi="Arial"/>
          <w:sz w:val="16"/>
          <w:szCs w:val="16"/>
          <w:color w:val="525250"/>
        </w:rPr>
        <w:t>,</w:t>
      </w:r>
      <w:r>
        <w:rPr>
          <w:rFonts w:ascii="Arial" w:cs="Arial" w:eastAsia="Arial" w:hAnsi="Arial"/>
          <w:sz w:val="16"/>
          <w:szCs w:val="16"/>
          <w:color w:val="383836"/>
        </w:rPr>
        <w:t xml:space="preserve"> their children or other descendants of theirs</w:t>
      </w:r>
      <w:r>
        <w:rPr>
          <w:rFonts w:ascii="Arial" w:cs="Arial" w:eastAsia="Arial" w:hAnsi="Arial"/>
          <w:sz w:val="16"/>
          <w:szCs w:val="16"/>
          <w:color w:val="525250"/>
        </w:rPr>
        <w:t>;</w:t>
      </w:r>
    </w:p>
    <w:p>
      <w:pPr>
        <w:spacing w:after="0" w:line="32" w:lineRule="exact"/>
        <w:rPr>
          <w:rFonts w:ascii="Arial" w:cs="Arial" w:eastAsia="Arial" w:hAnsi="Arial"/>
          <w:sz w:val="16"/>
          <w:szCs w:val="16"/>
          <w:color w:val="383836"/>
        </w:rPr>
      </w:pPr>
    </w:p>
    <w:p>
      <w:pPr>
        <w:ind w:left="820" w:hanging="259"/>
        <w:spacing w:after="0"/>
        <w:tabs>
          <w:tab w:leader="none" w:pos="820" w:val="left"/>
        </w:tabs>
        <w:numPr>
          <w:ilvl w:val="0"/>
          <w:numId w:val="98"/>
        </w:numPr>
        <w:rPr>
          <w:rFonts w:ascii="Arial" w:cs="Arial" w:eastAsia="Arial" w:hAnsi="Arial"/>
          <w:sz w:val="16"/>
          <w:szCs w:val="16"/>
          <w:color w:val="383836"/>
        </w:rPr>
      </w:pPr>
      <w:r>
        <w:rPr>
          <w:rFonts w:ascii="Arial" w:cs="Arial" w:eastAsia="Arial" w:hAnsi="Arial"/>
          <w:sz w:val="16"/>
          <w:szCs w:val="16"/>
          <w:color w:val="383836"/>
        </w:rPr>
        <w:t>parents, grandparents or other ancestors of theirs; or</w:t>
      </w:r>
    </w:p>
    <w:p>
      <w:pPr>
        <w:spacing w:after="0" w:line="22" w:lineRule="exact"/>
        <w:rPr>
          <w:rFonts w:ascii="Arial" w:cs="Arial" w:eastAsia="Arial" w:hAnsi="Arial"/>
          <w:sz w:val="16"/>
          <w:szCs w:val="16"/>
          <w:color w:val="383836"/>
        </w:rPr>
      </w:pPr>
    </w:p>
    <w:p>
      <w:pPr>
        <w:ind w:left="820" w:hanging="259"/>
        <w:spacing w:after="0"/>
        <w:tabs>
          <w:tab w:leader="none" w:pos="820" w:val="left"/>
        </w:tabs>
        <w:numPr>
          <w:ilvl w:val="0"/>
          <w:numId w:val="98"/>
        </w:numPr>
        <w:rPr>
          <w:rFonts w:ascii="Arial" w:cs="Arial" w:eastAsia="Arial" w:hAnsi="Arial"/>
          <w:sz w:val="16"/>
          <w:szCs w:val="16"/>
          <w:color w:val="383836"/>
        </w:rPr>
      </w:pPr>
      <w:r>
        <w:rPr>
          <w:rFonts w:ascii="Arial" w:cs="Arial" w:eastAsia="Arial" w:hAnsi="Arial"/>
          <w:sz w:val="16"/>
          <w:szCs w:val="16"/>
          <w:color w:val="383836"/>
        </w:rPr>
        <w:t>siblings, their children or other descendants of theirs;</w:t>
      </w:r>
    </w:p>
    <w:p>
      <w:pPr>
        <w:spacing w:after="0" w:line="42" w:lineRule="exact"/>
        <w:rPr>
          <w:sz w:val="20"/>
          <w:szCs w:val="20"/>
          <w:color w:val="auto"/>
        </w:rPr>
      </w:pPr>
    </w:p>
    <w:p>
      <w:pPr>
        <w:jc w:val="both"/>
        <w:ind w:left="540"/>
        <w:spacing w:after="0" w:line="328" w:lineRule="auto"/>
        <w:rPr>
          <w:sz w:val="20"/>
          <w:szCs w:val="20"/>
          <w:color w:val="auto"/>
        </w:rPr>
      </w:pPr>
      <w:r>
        <w:rPr>
          <w:rFonts w:ascii="Arial" w:cs="Arial" w:eastAsia="Arial" w:hAnsi="Arial"/>
          <w:sz w:val="16"/>
          <w:szCs w:val="16"/>
          <w:color w:val="383836"/>
        </w:rPr>
        <w:t>who do not live with you</w:t>
      </w:r>
      <w:r>
        <w:rPr>
          <w:rFonts w:ascii="Arial" w:cs="Arial" w:eastAsia="Arial" w:hAnsi="Arial"/>
          <w:sz w:val="16"/>
          <w:szCs w:val="16"/>
          <w:color w:val="525250"/>
        </w:rPr>
        <w:t>,</w:t>
      </w:r>
      <w:r>
        <w:rPr>
          <w:rFonts w:ascii="Arial" w:cs="Arial" w:eastAsia="Arial" w:hAnsi="Arial"/>
          <w:sz w:val="16"/>
          <w:szCs w:val="16"/>
          <w:color w:val="383836"/>
        </w:rPr>
        <w:t xml:space="preserve"> including spouses or domestic partners of all of the above. Parents, grandparents and other ancestors include adoptive parents, stepparents and step grandparents</w:t>
      </w:r>
      <w:r>
        <w:rPr>
          <w:rFonts w:ascii="Arial" w:cs="Arial" w:eastAsia="Arial" w:hAnsi="Arial"/>
          <w:sz w:val="16"/>
          <w:szCs w:val="16"/>
          <w:color w:val="525250"/>
        </w:rPr>
        <w:t>.</w:t>
      </w:r>
    </w:p>
    <w:p>
      <w:pPr>
        <w:spacing w:after="0" w:line="236" w:lineRule="exact"/>
        <w:rPr>
          <w:sz w:val="20"/>
          <w:szCs w:val="20"/>
          <w:color w:val="auto"/>
        </w:rPr>
      </w:pPr>
    </w:p>
    <w:p>
      <w:pPr>
        <w:jc w:val="both"/>
        <w:ind w:left="540" w:firstLine="13"/>
        <w:spacing w:after="0" w:line="306" w:lineRule="auto"/>
        <w:rPr>
          <w:sz w:val="20"/>
          <w:szCs w:val="20"/>
          <w:color w:val="auto"/>
        </w:rPr>
      </w:pPr>
      <w:r>
        <w:rPr>
          <w:rFonts w:ascii="Arial" w:cs="Arial" w:eastAsia="Arial" w:hAnsi="Arial"/>
          <w:sz w:val="16"/>
          <w:szCs w:val="16"/>
          <w:b w:val="1"/>
          <w:bCs w:val="1"/>
          <w:color w:val="383836"/>
        </w:rPr>
        <w:t>Reputational injury</w:t>
      </w:r>
      <w:r>
        <w:rPr>
          <w:rFonts w:ascii="Arial" w:cs="Arial" w:eastAsia="Arial" w:hAnsi="Arial"/>
          <w:sz w:val="16"/>
          <w:szCs w:val="16"/>
          <w:b w:val="1"/>
          <w:bCs w:val="1"/>
          <w:color w:val="525250"/>
        </w:rPr>
        <w:t>.</w:t>
      </w:r>
      <w:r>
        <w:rPr>
          <w:rFonts w:ascii="Arial" w:cs="Arial" w:eastAsia="Arial" w:hAnsi="Arial"/>
          <w:sz w:val="16"/>
          <w:szCs w:val="16"/>
          <w:b w:val="1"/>
          <w:bCs w:val="1"/>
          <w:color w:val="383836"/>
        </w:rPr>
        <w:t xml:space="preserve"> </w:t>
      </w:r>
      <w:r>
        <w:rPr>
          <w:rFonts w:ascii="Arial" w:cs="Arial" w:eastAsia="Arial" w:hAnsi="Arial"/>
          <w:sz w:val="15"/>
          <w:szCs w:val="15"/>
          <w:color w:val="383836"/>
        </w:rPr>
        <w:t>If</w:t>
      </w:r>
      <w:r>
        <w:rPr>
          <w:rFonts w:ascii="Arial" w:cs="Arial" w:eastAsia="Arial" w:hAnsi="Arial"/>
          <w:sz w:val="16"/>
          <w:szCs w:val="16"/>
          <w:b w:val="1"/>
          <w:bCs w:val="1"/>
          <w:color w:val="383836"/>
        </w:rPr>
        <w:t xml:space="preserve"> </w:t>
      </w:r>
      <w:r>
        <w:rPr>
          <w:rFonts w:ascii="Arial" w:cs="Arial" w:eastAsia="Arial" w:hAnsi="Arial"/>
          <w:sz w:val="16"/>
          <w:szCs w:val="16"/>
          <w:color w:val="383836"/>
        </w:rPr>
        <w:t>we are defending you or a family member in a suit seeking covered damages, we will pay reasonable and necessary fees or expenses that</w:t>
      </w:r>
      <w:r>
        <w:rPr>
          <w:rFonts w:ascii="Arial" w:cs="Arial" w:eastAsia="Arial" w:hAnsi="Arial"/>
          <w:sz w:val="16"/>
          <w:szCs w:val="16"/>
          <w:b w:val="1"/>
          <w:bCs w:val="1"/>
          <w:color w:val="383836"/>
        </w:rPr>
        <w:t xml:space="preserve"> </w:t>
      </w:r>
      <w:r>
        <w:rPr>
          <w:rFonts w:ascii="Arial" w:cs="Arial" w:eastAsia="Arial" w:hAnsi="Arial"/>
          <w:sz w:val="16"/>
          <w:szCs w:val="16"/>
          <w:color w:val="383836"/>
        </w:rPr>
        <w:t xml:space="preserve">you or a family member incur for services provided by a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to minimize potential injury </w:t>
      </w:r>
      <w:r>
        <w:rPr>
          <w:rFonts w:ascii="Arial" w:cs="Arial" w:eastAsia="Arial" w:hAnsi="Arial"/>
          <w:sz w:val="15"/>
          <w:szCs w:val="15"/>
          <w:color w:val="383836"/>
        </w:rPr>
        <w:t>to</w:t>
      </w:r>
      <w:r>
        <w:rPr>
          <w:rFonts w:ascii="Arial" w:cs="Arial" w:eastAsia="Arial" w:hAnsi="Arial"/>
          <w:sz w:val="16"/>
          <w:szCs w:val="16"/>
          <w:color w:val="383836"/>
        </w:rPr>
        <w:t xml:space="preserve"> the reputation of you or a family member solely as a result of personal injury or property damage, caused by an occurrence </w:t>
      </w:r>
      <w:r>
        <w:rPr>
          <w:rFonts w:ascii="Arial" w:cs="Arial" w:eastAsia="Arial" w:hAnsi="Arial"/>
          <w:sz w:val="15"/>
          <w:szCs w:val="15"/>
          <w:color w:val="383836"/>
        </w:rPr>
        <w:t>if:</w:t>
      </w:r>
    </w:p>
    <w:p>
      <w:pPr>
        <w:spacing w:after="0" w:line="2" w:lineRule="exact"/>
        <w:rPr>
          <w:sz w:val="20"/>
          <w:szCs w:val="20"/>
          <w:color w:val="auto"/>
        </w:rPr>
      </w:pPr>
    </w:p>
    <w:p>
      <w:pPr>
        <w:ind w:left="880" w:right="2560" w:hanging="319"/>
        <w:spacing w:after="0" w:line="308" w:lineRule="auto"/>
        <w:tabs>
          <w:tab w:leader="none" w:pos="867" w:val="left"/>
        </w:tabs>
        <w:numPr>
          <w:ilvl w:val="0"/>
          <w:numId w:val="99"/>
        </w:numPr>
        <w:rPr>
          <w:rFonts w:ascii="Arial" w:cs="Arial" w:eastAsia="Arial" w:hAnsi="Arial"/>
          <w:sz w:val="16"/>
          <w:szCs w:val="16"/>
          <w:color w:val="383836"/>
        </w:rPr>
      </w:pPr>
      <w:r>
        <w:rPr>
          <w:rFonts w:ascii="Arial" w:cs="Arial" w:eastAsia="Arial" w:hAnsi="Arial"/>
          <w:sz w:val="16"/>
          <w:szCs w:val="16"/>
          <w:color w:val="383836"/>
        </w:rPr>
        <w:t xml:space="preserve">the reputational injury is reported to us as </w:t>
      </w:r>
      <w:r>
        <w:rPr>
          <w:rFonts w:ascii="Arial" w:cs="Arial" w:eastAsia="Arial" w:hAnsi="Arial"/>
          <w:sz w:val="16"/>
          <w:szCs w:val="16"/>
          <w:color w:val="525250"/>
        </w:rPr>
        <w:t>s</w:t>
      </w:r>
      <w:r>
        <w:rPr>
          <w:rFonts w:ascii="Arial" w:cs="Arial" w:eastAsia="Arial" w:hAnsi="Arial"/>
          <w:sz w:val="16"/>
          <w:szCs w:val="16"/>
          <w:color w:val="383836"/>
        </w:rPr>
        <w:t>oon as reasonably possible but not later than 30 days after the personal injury or property damage occurrence; and</w:t>
      </w:r>
    </w:p>
    <w:p>
      <w:pPr>
        <w:ind w:left="900" w:right="80" w:hanging="325"/>
        <w:spacing w:after="0" w:line="346" w:lineRule="auto"/>
        <w:tabs>
          <w:tab w:leader="none" w:pos="882" w:val="left"/>
        </w:tabs>
        <w:numPr>
          <w:ilvl w:val="1"/>
          <w:numId w:val="99"/>
        </w:numPr>
        <w:rPr>
          <w:rFonts w:ascii="Arial" w:cs="Arial" w:eastAsia="Arial" w:hAnsi="Arial"/>
          <w:sz w:val="16"/>
          <w:szCs w:val="16"/>
          <w:color w:val="383836"/>
        </w:rPr>
      </w:pPr>
      <w:r>
        <w:rPr>
          <w:rFonts w:ascii="Arial" w:cs="Arial" w:eastAsia="Arial" w:hAnsi="Arial"/>
          <w:sz w:val="16"/>
          <w:szCs w:val="16"/>
          <w:color w:val="383836"/>
        </w:rPr>
        <w:t xml:space="preserve">you obtain approval of the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from us before incurring any fees or expenses, unless stated otherwise or an exclusion applies. There is no deductible for this coverage.</w:t>
      </w:r>
    </w:p>
    <w:p>
      <w:pPr>
        <w:spacing w:after="0" w:line="64" w:lineRule="exact"/>
        <w:rPr>
          <w:sz w:val="20"/>
          <w:szCs w:val="20"/>
          <w:color w:val="auto"/>
        </w:rPr>
      </w:pPr>
    </w:p>
    <w:p>
      <w:pPr>
        <w:ind w:left="560" w:right="20"/>
        <w:spacing w:after="0" w:line="275" w:lineRule="auto"/>
        <w:rPr>
          <w:sz w:val="20"/>
          <w:szCs w:val="20"/>
          <w:color w:val="auto"/>
        </w:rPr>
      </w:pPr>
      <w:r>
        <w:rPr>
          <w:rFonts w:ascii="Arial" w:cs="Arial" w:eastAsia="Arial" w:hAnsi="Arial"/>
          <w:sz w:val="15"/>
          <w:szCs w:val="15"/>
          <w:color w:val="383836"/>
        </w:rPr>
        <w:t xml:space="preserve">A Reputation </w:t>
      </w:r>
      <w:r>
        <w:rPr>
          <w:rFonts w:ascii="Arial" w:cs="Arial" w:eastAsia="Arial" w:hAnsi="Arial"/>
          <w:sz w:val="16"/>
          <w:szCs w:val="16"/>
          <w:color w:val="383836"/>
        </w:rPr>
        <w:t>management</w:t>
      </w:r>
      <w:r>
        <w:rPr>
          <w:rFonts w:ascii="Arial" w:cs="Arial" w:eastAsia="Arial" w:hAnsi="Arial"/>
          <w:sz w:val="15"/>
          <w:szCs w:val="15"/>
          <w:color w:val="383836"/>
        </w:rPr>
        <w:t xml:space="preserve"> firm </w:t>
      </w:r>
      <w:r>
        <w:rPr>
          <w:rFonts w:ascii="Arial" w:cs="Arial" w:eastAsia="Arial" w:hAnsi="Arial"/>
          <w:sz w:val="16"/>
          <w:szCs w:val="16"/>
          <w:color w:val="383836"/>
        </w:rPr>
        <w:t>means a professional public relations consulting firm, a professional security consulting firm or a professional media management</w:t>
      </w:r>
      <w:r>
        <w:rPr>
          <w:rFonts w:ascii="Arial" w:cs="Arial" w:eastAsia="Arial" w:hAnsi="Arial"/>
          <w:sz w:val="15"/>
          <w:szCs w:val="15"/>
          <w:color w:val="383836"/>
        </w:rPr>
        <w:t xml:space="preserve"> </w:t>
      </w:r>
      <w:r>
        <w:rPr>
          <w:rFonts w:ascii="Arial" w:cs="Arial" w:eastAsia="Arial" w:hAnsi="Arial"/>
          <w:sz w:val="16"/>
          <w:szCs w:val="16"/>
          <w:color w:val="383836"/>
        </w:rPr>
        <w:t>consulting firm.</w:t>
      </w:r>
    </w:p>
    <w:p>
      <w:pPr>
        <w:spacing w:after="0" w:line="105" w:lineRule="exact"/>
        <w:rPr>
          <w:sz w:val="20"/>
          <w:szCs w:val="20"/>
          <w:color w:val="auto"/>
        </w:rPr>
      </w:pPr>
    </w:p>
    <w:p>
      <w:pPr>
        <w:ind w:left="540" w:firstLine="13"/>
        <w:spacing w:after="0" w:line="385" w:lineRule="auto"/>
        <w:rPr>
          <w:sz w:val="20"/>
          <w:szCs w:val="20"/>
          <w:color w:val="auto"/>
        </w:rPr>
      </w:pPr>
      <w:r>
        <w:rPr>
          <w:rFonts w:ascii="Arial" w:cs="Arial" w:eastAsia="Arial" w:hAnsi="Arial"/>
          <w:sz w:val="15"/>
          <w:szCs w:val="15"/>
          <w:color w:val="383836"/>
        </w:rPr>
        <w:t>The maximum amount of coverage for Reputational injury available for any one occurrence is $25,000 or the amount shown in the Coverage Summary. We will not pay more than this amount in any one occurrence for co</w:t>
      </w:r>
      <w:r>
        <w:rPr>
          <w:rFonts w:ascii="Arial" w:cs="Arial" w:eastAsia="Arial" w:hAnsi="Arial"/>
          <w:sz w:val="15"/>
          <w:szCs w:val="15"/>
          <w:color w:val="525250"/>
        </w:rPr>
        <w:t>v</w:t>
      </w:r>
      <w:r>
        <w:rPr>
          <w:rFonts w:ascii="Arial" w:cs="Arial" w:eastAsia="Arial" w:hAnsi="Arial"/>
          <w:sz w:val="15"/>
          <w:szCs w:val="15"/>
          <w:color w:val="383836"/>
        </w:rPr>
        <w:t>ered damages regardless of how many claims or people are involved in the occurrence.</w:t>
      </w:r>
    </w:p>
    <w:p>
      <w:pPr>
        <w:spacing w:after="0" w:line="41" w:lineRule="exact"/>
        <w:rPr>
          <w:sz w:val="20"/>
          <w:szCs w:val="20"/>
          <w:color w:val="auto"/>
        </w:rPr>
      </w:pPr>
    </w:p>
    <w:p>
      <w:pPr>
        <w:ind w:left="560" w:right="20"/>
        <w:spacing w:after="0" w:line="346" w:lineRule="auto"/>
        <w:rPr>
          <w:sz w:val="20"/>
          <w:szCs w:val="20"/>
          <w:color w:val="auto"/>
        </w:rPr>
      </w:pPr>
      <w:r>
        <w:rPr>
          <w:rFonts w:ascii="Arial" w:cs="Arial" w:eastAsia="Arial" w:hAnsi="Arial"/>
          <w:sz w:val="16"/>
          <w:szCs w:val="16"/>
          <w:color w:val="383836"/>
        </w:rPr>
        <w:t>The maximum annual amount of coverage for Reputational injury shown in the Coverage Summary is the most we will pay for the sum of all covered damages you or a family member incur during the policy period regardless of the number of claims, people, or occurrences</w:t>
      </w:r>
      <w:r>
        <w:rPr>
          <w:rFonts w:ascii="Arial" w:cs="Arial" w:eastAsia="Arial" w:hAnsi="Arial"/>
          <w:sz w:val="16"/>
          <w:szCs w:val="16"/>
          <w:color w:val="666664"/>
        </w:rPr>
        <w:t>.</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383836"/>
        </w:rPr>
        <w:t>This coverage does not apply to loss caused by a wrongful employment act covered by Employment Practices Liability Insurance</w:t>
      </w:r>
      <w:r>
        <w:rPr>
          <w:rFonts w:ascii="Arial" w:cs="Arial" w:eastAsia="Arial" w:hAnsi="Arial"/>
          <w:sz w:val="16"/>
          <w:szCs w:val="16"/>
          <w:color w:val="525250"/>
        </w:rPr>
        <w:t>.</w:t>
      </w: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Arial" w:cs="Arial" w:eastAsia="Arial" w:hAnsi="Arial"/>
          <w:sz w:val="22"/>
          <w:szCs w:val="22"/>
          <w:b w:val="1"/>
          <w:bCs w:val="1"/>
          <w:i w:val="1"/>
          <w:iCs w:val="1"/>
          <w:color w:val="383836"/>
        </w:rPr>
        <w:t>Exclusions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These exclusions apply to your Group Personal Excess Liability Coverage, unless stated otherwise.</w:t>
      </w:r>
    </w:p>
    <w:p>
      <w:pPr>
        <w:spacing w:after="0" w:line="177" w:lineRule="exact"/>
        <w:rPr>
          <w:sz w:val="20"/>
          <w:szCs w:val="20"/>
          <w:color w:val="auto"/>
        </w:rPr>
      </w:pPr>
    </w:p>
    <w:p>
      <w:pPr>
        <w:ind w:left="580" w:right="20" w:hanging="40"/>
        <w:spacing w:after="0" w:line="409" w:lineRule="auto"/>
        <w:rPr>
          <w:sz w:val="20"/>
          <w:szCs w:val="20"/>
          <w:color w:val="auto"/>
        </w:rPr>
      </w:pPr>
      <w:r>
        <w:rPr>
          <w:rFonts w:ascii="Arial" w:cs="Arial" w:eastAsia="Arial" w:hAnsi="Arial"/>
          <w:sz w:val="15"/>
          <w:szCs w:val="15"/>
          <w:b w:val="1"/>
          <w:bCs w:val="1"/>
          <w:color w:val="383836"/>
        </w:rPr>
        <w:t>Aircraft</w:t>
      </w:r>
      <w:r>
        <w:rPr>
          <w:rFonts w:ascii="Arial" w:cs="Arial" w:eastAsia="Arial" w:hAnsi="Arial"/>
          <w:sz w:val="15"/>
          <w:szCs w:val="15"/>
          <w:b w:val="1"/>
          <w:bCs w:val="1"/>
          <w:color w:val="525250"/>
        </w:rPr>
        <w:t>.</w:t>
      </w:r>
      <w:r>
        <w:rPr>
          <w:rFonts w:ascii="Arial" w:cs="Arial" w:eastAsia="Arial" w:hAnsi="Arial"/>
          <w:sz w:val="15"/>
          <w:szCs w:val="15"/>
          <w:b w:val="1"/>
          <w:bCs w:val="1"/>
          <w:color w:val="383836"/>
        </w:rPr>
        <w:t xml:space="preserve"> </w:t>
      </w:r>
      <w:r>
        <w:rPr>
          <w:rFonts w:ascii="Arial" w:cs="Arial" w:eastAsia="Arial" w:hAnsi="Arial"/>
          <w:sz w:val="15"/>
          <w:szCs w:val="15"/>
          <w:color w:val="383836"/>
        </w:rPr>
        <w:t>We do not cover any damages arising out of the ownership, maintenance, use, loading, unloading, or towing of any aircraft, except aircraft chartered</w:t>
      </w:r>
      <w:r>
        <w:rPr>
          <w:rFonts w:ascii="Arial" w:cs="Arial" w:eastAsia="Arial" w:hAnsi="Arial"/>
          <w:sz w:val="15"/>
          <w:szCs w:val="15"/>
          <w:b w:val="1"/>
          <w:bCs w:val="1"/>
          <w:color w:val="383836"/>
        </w:rPr>
        <w:t xml:space="preserve"> </w:t>
      </w:r>
      <w:r>
        <w:rPr>
          <w:rFonts w:ascii="Arial" w:cs="Arial" w:eastAsia="Arial" w:hAnsi="Arial"/>
          <w:sz w:val="15"/>
          <w:szCs w:val="15"/>
          <w:color w:val="383836"/>
        </w:rPr>
        <w:t>with</w:t>
      </w:r>
      <w:r>
        <w:rPr>
          <w:rFonts w:ascii="Arial" w:cs="Arial" w:eastAsia="Arial" w:hAnsi="Arial"/>
          <w:sz w:val="15"/>
          <w:szCs w:val="15"/>
          <w:b w:val="1"/>
          <w:bCs w:val="1"/>
          <w:color w:val="383836"/>
        </w:rPr>
        <w:t xml:space="preserve"> </w:t>
      </w:r>
      <w:r>
        <w:rPr>
          <w:rFonts w:ascii="Arial" w:cs="Arial" w:eastAsia="Arial" w:hAnsi="Arial"/>
          <w:sz w:val="15"/>
          <w:szCs w:val="15"/>
          <w:color w:val="383836"/>
        </w:rPr>
        <w:t xml:space="preserve">crew by you. We do not cover any property damages to </w:t>
      </w:r>
      <w:r>
        <w:rPr>
          <w:rFonts w:ascii="Arial" w:cs="Arial" w:eastAsia="Arial" w:hAnsi="Arial"/>
          <w:sz w:val="16"/>
          <w:szCs w:val="16"/>
          <w:color w:val="383836"/>
        </w:rPr>
        <w:t>aircraft</w:t>
      </w:r>
      <w:r>
        <w:rPr>
          <w:rFonts w:ascii="Arial" w:cs="Arial" w:eastAsia="Arial" w:hAnsi="Arial"/>
          <w:sz w:val="15"/>
          <w:szCs w:val="15"/>
          <w:color w:val="383836"/>
        </w:rPr>
        <w:t xml:space="preserve"> rented to, owned </w:t>
      </w:r>
      <w:r>
        <w:rPr>
          <w:rFonts w:ascii="Arial" w:cs="Arial" w:eastAsia="Arial" w:hAnsi="Arial"/>
          <w:sz w:val="16"/>
          <w:szCs w:val="16"/>
          <w:color w:val="383836"/>
        </w:rPr>
        <w:t>by,</w:t>
      </w:r>
      <w:r>
        <w:rPr>
          <w:rFonts w:ascii="Arial" w:cs="Arial" w:eastAsia="Arial" w:hAnsi="Arial"/>
          <w:sz w:val="15"/>
          <w:szCs w:val="15"/>
          <w:color w:val="383836"/>
        </w:rPr>
        <w:t xml:space="preserve"> or </w:t>
      </w:r>
      <w:r>
        <w:rPr>
          <w:rFonts w:ascii="Arial" w:cs="Arial" w:eastAsia="Arial" w:hAnsi="Arial"/>
          <w:sz w:val="16"/>
          <w:szCs w:val="16"/>
          <w:color w:val="383836"/>
        </w:rPr>
        <w:t>in</w:t>
      </w:r>
      <w:r>
        <w:rPr>
          <w:rFonts w:ascii="Arial" w:cs="Arial" w:eastAsia="Arial" w:hAnsi="Arial"/>
          <w:sz w:val="15"/>
          <w:szCs w:val="15"/>
          <w:color w:val="383836"/>
        </w:rPr>
        <w:t xml:space="preserve"> the care, custody or control of a covered person</w:t>
      </w:r>
      <w:r>
        <w:rPr>
          <w:rFonts w:ascii="Arial" w:cs="Arial" w:eastAsia="Arial" w:hAnsi="Arial"/>
          <w:sz w:val="15"/>
          <w:szCs w:val="15"/>
          <w:color w:val="525250"/>
        </w:rPr>
        <w:t>.</w:t>
      </w:r>
    </w:p>
    <w:p>
      <w:pPr>
        <w:spacing w:after="0" w:line="189" w:lineRule="exact"/>
        <w:rPr>
          <w:sz w:val="20"/>
          <w:szCs w:val="20"/>
          <w:color w:val="auto"/>
        </w:rPr>
      </w:pPr>
    </w:p>
    <w:p>
      <w:pPr>
        <w:ind w:left="560"/>
        <w:spacing w:after="0" w:line="351" w:lineRule="auto"/>
        <w:rPr>
          <w:sz w:val="20"/>
          <w:szCs w:val="20"/>
          <w:color w:val="auto"/>
        </w:rPr>
      </w:pPr>
      <w:r>
        <w:rPr>
          <w:rFonts w:ascii="Arial" w:cs="Arial" w:eastAsia="Arial" w:hAnsi="Arial"/>
          <w:sz w:val="16"/>
          <w:szCs w:val="16"/>
          <w:b w:val="1"/>
          <w:bCs w:val="1"/>
          <w:color w:val="383836"/>
        </w:rPr>
        <w:t xml:space="preserve">Hovercraft. </w:t>
      </w:r>
      <w:r>
        <w:rPr>
          <w:rFonts w:ascii="Arial" w:cs="Arial" w:eastAsia="Arial" w:hAnsi="Arial"/>
          <w:sz w:val="16"/>
          <w:szCs w:val="16"/>
          <w:color w:val="383836"/>
        </w:rPr>
        <w:t>We do not cover any damages arising out of the ownership, maintenance, use, loading, unloading or towing of any hovercraft. We do not cover any</w:t>
      </w:r>
      <w:r>
        <w:rPr>
          <w:rFonts w:ascii="Arial" w:cs="Arial" w:eastAsia="Arial" w:hAnsi="Arial"/>
          <w:sz w:val="16"/>
          <w:szCs w:val="16"/>
          <w:b w:val="1"/>
          <w:bCs w:val="1"/>
          <w:color w:val="383836"/>
        </w:rPr>
        <w:t xml:space="preserve"> </w:t>
      </w:r>
      <w:r>
        <w:rPr>
          <w:rFonts w:ascii="Arial" w:cs="Arial" w:eastAsia="Arial" w:hAnsi="Arial"/>
          <w:sz w:val="16"/>
          <w:szCs w:val="16"/>
          <w:color w:val="383836"/>
        </w:rPr>
        <w:t>property damages to hovercraft rented to, owned by, or in the care, custody or control of a covered person</w:t>
      </w:r>
      <w:r>
        <w:rPr>
          <w:rFonts w:ascii="Arial" w:cs="Arial" w:eastAsia="Arial" w:hAnsi="Arial"/>
          <w:sz w:val="16"/>
          <w:szCs w:val="16"/>
          <w:color w:val="525250"/>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8 of 15</w:t>
      </w:r>
    </w:p>
    <w:p>
      <w:pPr>
        <w:sectPr>
          <w:pgSz w:w="11900" w:h="16838" w:orient="portrait"/>
          <w:cols w:equalWidth="0" w:num="1">
            <w:col w:w="11240"/>
          </w:cols>
          <w:pgMar w:left="320" w:top="514" w:right="339" w:bottom="1440" w:gutter="0" w:footer="0" w:header="0"/>
        </w:sectPr>
      </w:pPr>
    </w:p>
    <w:bookmarkStart w:id="138" w:name="page139"/>
    <w:bookmarkEnd w:id="138"/>
    <w:p>
      <w:pPr>
        <w:ind w:left="120"/>
        <w:spacing w:after="0"/>
        <w:rPr>
          <w:sz w:val="20"/>
          <w:szCs w:val="20"/>
          <w:color w:val="auto"/>
        </w:rPr>
      </w:pPr>
      <w:r>
        <w:rPr>
          <w:rFonts w:ascii="Arial" w:cs="Arial" w:eastAsia="Arial" w:hAnsi="Arial"/>
          <w:sz w:val="22"/>
          <w:szCs w:val="22"/>
          <w:b w:val="1"/>
          <w:bCs w:val="1"/>
          <w:i w:val="1"/>
          <w:iCs w:val="1"/>
          <w:color w:val="42423F"/>
        </w:rPr>
        <w:t>Exclusions</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42423F"/>
        </w:rPr>
        <w:t>(continued)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42423F"/>
        </w:rPr>
        <w:t xml:space="preserve">Motorized land vehicle racing or track usage. </w:t>
      </w:r>
      <w:r>
        <w:rPr>
          <w:rFonts w:ascii="Arial" w:cs="Arial" w:eastAsia="Arial" w:hAnsi="Arial"/>
          <w:sz w:val="15"/>
          <w:szCs w:val="15"/>
          <w:color w:val="42423F"/>
        </w:rPr>
        <w:t>We do</w:t>
      </w:r>
      <w:r>
        <w:rPr>
          <w:rFonts w:ascii="Arial" w:cs="Arial" w:eastAsia="Arial" w:hAnsi="Arial"/>
          <w:sz w:val="15"/>
          <w:szCs w:val="15"/>
          <w:b w:val="1"/>
          <w:bCs w:val="1"/>
          <w:color w:val="42423F"/>
        </w:rPr>
        <w:t xml:space="preserve"> </w:t>
      </w:r>
      <w:r>
        <w:rPr>
          <w:rFonts w:ascii="Arial" w:cs="Arial" w:eastAsia="Arial" w:hAnsi="Arial"/>
          <w:sz w:val="15"/>
          <w:szCs w:val="15"/>
          <w:color w:val="31312F"/>
        </w:rPr>
        <w:t>not</w:t>
      </w:r>
      <w:r>
        <w:rPr>
          <w:rFonts w:ascii="Arial" w:cs="Arial" w:eastAsia="Arial" w:hAnsi="Arial"/>
          <w:sz w:val="15"/>
          <w:szCs w:val="15"/>
          <w:b w:val="1"/>
          <w:bCs w:val="1"/>
          <w:color w:val="42423F"/>
        </w:rPr>
        <w:t xml:space="preserve"> </w:t>
      </w:r>
      <w:r>
        <w:rPr>
          <w:rFonts w:ascii="Arial" w:cs="Arial" w:eastAsia="Arial" w:hAnsi="Arial"/>
          <w:sz w:val="15"/>
          <w:szCs w:val="15"/>
          <w:color w:val="42423F"/>
        </w:rPr>
        <w:t>cover any damages arising out of the ownership, maintenance or</w:t>
      </w:r>
      <w:r>
        <w:rPr>
          <w:rFonts w:ascii="Arial" w:cs="Arial" w:eastAsia="Arial" w:hAnsi="Arial"/>
          <w:sz w:val="15"/>
          <w:szCs w:val="15"/>
          <w:b w:val="1"/>
          <w:bCs w:val="1"/>
          <w:color w:val="42423F"/>
        </w:rPr>
        <w:t xml:space="preserve"> </w:t>
      </w:r>
      <w:r>
        <w:rPr>
          <w:rFonts w:ascii="Arial" w:cs="Arial" w:eastAsia="Arial" w:hAnsi="Arial"/>
          <w:sz w:val="15"/>
          <w:szCs w:val="15"/>
          <w:color w:val="31312F"/>
        </w:rPr>
        <w:t>use</w:t>
      </w:r>
      <w:r>
        <w:rPr>
          <w:rFonts w:ascii="Arial" w:cs="Arial" w:eastAsia="Arial" w:hAnsi="Arial"/>
          <w:sz w:val="15"/>
          <w:szCs w:val="15"/>
          <w:b w:val="1"/>
          <w:bCs w:val="1"/>
          <w:color w:val="42423F"/>
        </w:rPr>
        <w:t xml:space="preserve"> </w:t>
      </w:r>
      <w:r>
        <w:rPr>
          <w:rFonts w:ascii="Arial" w:cs="Arial" w:eastAsia="Arial" w:hAnsi="Arial"/>
          <w:sz w:val="15"/>
          <w:szCs w:val="15"/>
          <w:color w:val="42423F"/>
        </w:rPr>
        <w:t>of any</w:t>
      </w:r>
      <w:r>
        <w:rPr>
          <w:rFonts w:ascii="Arial" w:cs="Arial" w:eastAsia="Arial" w:hAnsi="Arial"/>
          <w:sz w:val="15"/>
          <w:szCs w:val="15"/>
          <w:b w:val="1"/>
          <w:bCs w:val="1"/>
          <w:color w:val="42423F"/>
        </w:rPr>
        <w:t xml:space="preserve"> </w:t>
      </w:r>
      <w:r>
        <w:rPr>
          <w:rFonts w:ascii="Arial" w:cs="Arial" w:eastAsia="Arial" w:hAnsi="Arial"/>
          <w:sz w:val="15"/>
          <w:szCs w:val="15"/>
          <w:color w:val="31312F"/>
        </w:rPr>
        <w:t>motorized</w:t>
      </w:r>
      <w:r>
        <w:rPr>
          <w:rFonts w:ascii="Arial" w:cs="Arial" w:eastAsia="Arial" w:hAnsi="Arial"/>
          <w:sz w:val="15"/>
          <w:szCs w:val="15"/>
          <w:b w:val="1"/>
          <w:bCs w:val="1"/>
          <w:color w:val="42423F"/>
        </w:rPr>
        <w:t xml:space="preserve"> </w:t>
      </w:r>
      <w:r>
        <w:rPr>
          <w:rFonts w:ascii="Arial" w:cs="Arial" w:eastAsia="Arial" w:hAnsi="Arial"/>
          <w:sz w:val="15"/>
          <w:szCs w:val="15"/>
          <w:color w:val="42423F"/>
        </w:rPr>
        <w:t>land vehicle:</w:t>
      </w:r>
    </w:p>
    <w:p>
      <w:pPr>
        <w:spacing w:after="0" w:line="48" w:lineRule="exact"/>
        <w:rPr>
          <w:sz w:val="20"/>
          <w:szCs w:val="20"/>
          <w:color w:val="auto"/>
        </w:rPr>
      </w:pPr>
    </w:p>
    <w:p>
      <w:pPr>
        <w:ind w:left="460" w:right="3180" w:hanging="331"/>
        <w:spacing w:after="0" w:line="275" w:lineRule="auto"/>
        <w:tabs>
          <w:tab w:leader="none" w:pos="447" w:val="left"/>
        </w:tabs>
        <w:numPr>
          <w:ilvl w:val="0"/>
          <w:numId w:val="100"/>
        </w:numPr>
        <w:rPr>
          <w:rFonts w:ascii="Arial" w:cs="Arial" w:eastAsia="Arial" w:hAnsi="Arial"/>
          <w:sz w:val="15"/>
          <w:szCs w:val="15"/>
          <w:color w:val="auto"/>
        </w:rPr>
      </w:pPr>
      <w:r>
        <w:rPr>
          <w:rFonts w:ascii="Arial" w:cs="Arial" w:eastAsia="Arial" w:hAnsi="Arial"/>
          <w:sz w:val="15"/>
          <w:szCs w:val="15"/>
          <w:color w:val="42423F"/>
        </w:rPr>
        <w:t>during any instruction</w:t>
      </w:r>
      <w:r>
        <w:rPr>
          <w:rFonts w:ascii="Arial" w:cs="Arial" w:eastAsia="Arial" w:hAnsi="Arial"/>
          <w:sz w:val="15"/>
          <w:szCs w:val="15"/>
          <w:color w:val="5D5D5B"/>
        </w:rPr>
        <w:t>,</w:t>
      </w:r>
      <w:r>
        <w:rPr>
          <w:rFonts w:ascii="Arial" w:cs="Arial" w:eastAsia="Arial" w:hAnsi="Arial"/>
          <w:sz w:val="15"/>
          <w:szCs w:val="15"/>
          <w:color w:val="42423F"/>
        </w:rPr>
        <w:t xml:space="preserve"> practice, preparation for, or participation in, any competitive, prearranged or organized racing, speed contest, rally, gymkhana, sports event, stunting activity, or timed event of any kind; or</w:t>
      </w:r>
    </w:p>
    <w:p>
      <w:pPr>
        <w:ind w:left="440" w:hanging="297"/>
        <w:spacing w:after="0"/>
        <w:tabs>
          <w:tab w:leader="none" w:pos="440" w:val="left"/>
        </w:tabs>
        <w:numPr>
          <w:ilvl w:val="1"/>
          <w:numId w:val="100"/>
        </w:numPr>
        <w:rPr>
          <w:rFonts w:ascii="Arial" w:cs="Arial" w:eastAsia="Arial" w:hAnsi="Arial"/>
          <w:sz w:val="16"/>
          <w:szCs w:val="16"/>
          <w:color w:val="auto"/>
        </w:rPr>
      </w:pPr>
      <w:r>
        <w:rPr>
          <w:rFonts w:ascii="Arial" w:cs="Arial" w:eastAsia="Arial" w:hAnsi="Arial"/>
          <w:sz w:val="16"/>
          <w:szCs w:val="16"/>
          <w:color w:val="42423F"/>
        </w:rPr>
        <w:t>on a racetrack, test track or other course of any kind.</w:t>
      </w:r>
    </w:p>
    <w:p>
      <w:pPr>
        <w:spacing w:after="0" w:line="119" w:lineRule="exact"/>
        <w:rPr>
          <w:sz w:val="20"/>
          <w:szCs w:val="20"/>
          <w:color w:val="auto"/>
        </w:rPr>
      </w:pPr>
    </w:p>
    <w:p>
      <w:pPr>
        <w:jc w:val="both"/>
        <w:ind w:left="140"/>
        <w:spacing w:after="0" w:line="289" w:lineRule="auto"/>
        <w:rPr>
          <w:sz w:val="20"/>
          <w:szCs w:val="20"/>
          <w:color w:val="auto"/>
        </w:rPr>
      </w:pPr>
      <w:r>
        <w:rPr>
          <w:rFonts w:ascii="Arial" w:cs="Arial" w:eastAsia="Arial" w:hAnsi="Arial"/>
          <w:sz w:val="15"/>
          <w:szCs w:val="15"/>
          <w:b w:val="1"/>
          <w:bCs w:val="1"/>
          <w:color w:val="42423F"/>
        </w:rPr>
        <w:t>Watercraft and aircraft racing or track usage</w:t>
      </w:r>
      <w:r>
        <w:rPr>
          <w:rFonts w:ascii="Arial" w:cs="Arial" w:eastAsia="Arial" w:hAnsi="Arial"/>
          <w:sz w:val="15"/>
          <w:szCs w:val="15"/>
          <w:b w:val="1"/>
          <w:bCs w:val="1"/>
          <w:color w:val="5D5D5B"/>
        </w:rPr>
        <w:t>.</w:t>
      </w:r>
      <w:r>
        <w:rPr>
          <w:rFonts w:ascii="Arial" w:cs="Arial" w:eastAsia="Arial" w:hAnsi="Arial"/>
          <w:sz w:val="15"/>
          <w:szCs w:val="15"/>
          <w:b w:val="1"/>
          <w:bCs w:val="1"/>
          <w:color w:val="42423F"/>
        </w:rPr>
        <w:t xml:space="preserve"> </w:t>
      </w:r>
      <w:r>
        <w:rPr>
          <w:rFonts w:ascii="Arial" w:cs="Arial" w:eastAsia="Arial" w:hAnsi="Arial"/>
          <w:sz w:val="15"/>
          <w:szCs w:val="15"/>
          <w:color w:val="42423F"/>
        </w:rPr>
        <w:t>We do not cover any damages arising out of the ownership, maintenance or use of</w:t>
      </w:r>
      <w:r>
        <w:rPr>
          <w:rFonts w:ascii="Arial" w:cs="Arial" w:eastAsia="Arial" w:hAnsi="Arial"/>
          <w:sz w:val="15"/>
          <w:szCs w:val="15"/>
          <w:b w:val="1"/>
          <w:bCs w:val="1"/>
          <w:color w:val="42423F"/>
        </w:rPr>
        <w:t xml:space="preserve"> </w:t>
      </w:r>
      <w:r>
        <w:rPr>
          <w:rFonts w:ascii="Arial" w:cs="Arial" w:eastAsia="Arial" w:hAnsi="Arial"/>
          <w:sz w:val="15"/>
          <w:szCs w:val="15"/>
          <w:color w:val="31312F"/>
        </w:rPr>
        <w:t>any</w:t>
      </w:r>
      <w:r>
        <w:rPr>
          <w:rFonts w:ascii="Arial" w:cs="Arial" w:eastAsia="Arial" w:hAnsi="Arial"/>
          <w:sz w:val="15"/>
          <w:szCs w:val="15"/>
          <w:b w:val="1"/>
          <w:bCs w:val="1"/>
          <w:color w:val="42423F"/>
        </w:rPr>
        <w:t xml:space="preserve"> </w:t>
      </w:r>
      <w:r>
        <w:rPr>
          <w:rFonts w:ascii="Arial" w:cs="Arial" w:eastAsia="Arial" w:hAnsi="Arial"/>
          <w:sz w:val="15"/>
          <w:szCs w:val="15"/>
          <w:color w:val="42423F"/>
        </w:rPr>
        <w:t>watercraft or aircraft during</w:t>
      </w:r>
      <w:r>
        <w:rPr>
          <w:rFonts w:ascii="Arial" w:cs="Arial" w:eastAsia="Arial" w:hAnsi="Arial"/>
          <w:sz w:val="15"/>
          <w:szCs w:val="15"/>
          <w:b w:val="1"/>
          <w:bCs w:val="1"/>
          <w:color w:val="42423F"/>
        </w:rPr>
        <w:t xml:space="preserve"> </w:t>
      </w:r>
      <w:r>
        <w:rPr>
          <w:rFonts w:ascii="Arial" w:cs="Arial" w:eastAsia="Arial" w:hAnsi="Arial"/>
          <w:sz w:val="15"/>
          <w:szCs w:val="15"/>
          <w:color w:val="31312F"/>
        </w:rPr>
        <w:t>any</w:t>
      </w:r>
      <w:r>
        <w:rPr>
          <w:rFonts w:ascii="Arial" w:cs="Arial" w:eastAsia="Arial" w:hAnsi="Arial"/>
          <w:sz w:val="15"/>
          <w:szCs w:val="15"/>
          <w:b w:val="1"/>
          <w:bCs w:val="1"/>
          <w:color w:val="42423F"/>
        </w:rPr>
        <w:t xml:space="preserve"> </w:t>
      </w:r>
      <w:r>
        <w:rPr>
          <w:rFonts w:ascii="Arial" w:cs="Arial" w:eastAsia="Arial" w:hAnsi="Arial"/>
          <w:sz w:val="15"/>
          <w:szCs w:val="15"/>
          <w:color w:val="42423F"/>
        </w:rPr>
        <w:t xml:space="preserve">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t>
      </w:r>
      <w:r>
        <w:rPr>
          <w:rFonts w:ascii="Arial" w:cs="Arial" w:eastAsia="Arial" w:hAnsi="Arial"/>
          <w:sz w:val="15"/>
          <w:szCs w:val="15"/>
          <w:color w:val="31312F"/>
        </w:rPr>
        <w:t>with</w:t>
      </w:r>
      <w:r>
        <w:rPr>
          <w:rFonts w:ascii="Arial" w:cs="Arial" w:eastAsia="Arial" w:hAnsi="Arial"/>
          <w:sz w:val="15"/>
          <w:szCs w:val="15"/>
          <w:color w:val="42423F"/>
        </w:rPr>
        <w:t xml:space="preserve"> an auxiliary motor</w:t>
      </w:r>
      <w:r>
        <w:rPr>
          <w:rFonts w:ascii="Arial" w:cs="Arial" w:eastAsia="Arial" w:hAnsi="Arial"/>
          <w:sz w:val="15"/>
          <w:szCs w:val="15"/>
          <w:color w:val="5D5D5B"/>
        </w:rPr>
        <w:t>.</w:t>
      </w:r>
    </w:p>
    <w:p>
      <w:pPr>
        <w:spacing w:after="0" w:line="52"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2423F"/>
        </w:rPr>
        <w:t xml:space="preserve">Motorized land vehicle-related jobs. </w:t>
      </w:r>
      <w:r>
        <w:rPr>
          <w:rFonts w:ascii="Arial" w:cs="Arial" w:eastAsia="Arial" w:hAnsi="Arial"/>
          <w:sz w:val="16"/>
          <w:szCs w:val="16"/>
          <w:color w:val="42423F"/>
        </w:rPr>
        <w:t>We do not cover any damages arising out of the ownership, maintenance, or use of a motorized land vehicle by any person who is</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employed or otherwise engaged in the </w:t>
      </w:r>
      <w:r>
        <w:rPr>
          <w:rFonts w:ascii="Arial" w:cs="Arial" w:eastAsia="Arial" w:hAnsi="Arial"/>
          <w:sz w:val="16"/>
          <w:szCs w:val="16"/>
          <w:color w:val="31312F"/>
        </w:rPr>
        <w:t>business</w:t>
      </w:r>
      <w:r>
        <w:rPr>
          <w:rFonts w:ascii="Arial" w:cs="Arial" w:eastAsia="Arial" w:hAnsi="Arial"/>
          <w:sz w:val="16"/>
          <w:szCs w:val="16"/>
          <w:color w:val="42423F"/>
        </w:rPr>
        <w:t xml:space="preserve"> of selling, repairing, servicing, storing, parking, testing, or delivering motorized land vehicles</w:t>
      </w:r>
      <w:r>
        <w:rPr>
          <w:rFonts w:ascii="Arial" w:cs="Arial" w:eastAsia="Arial" w:hAnsi="Arial"/>
          <w:sz w:val="16"/>
          <w:szCs w:val="16"/>
          <w:color w:val="5D5D5B"/>
        </w:rPr>
        <w:t>.</w:t>
      </w:r>
      <w:r>
        <w:rPr>
          <w:rFonts w:ascii="Arial" w:cs="Arial" w:eastAsia="Arial" w:hAnsi="Arial"/>
          <w:sz w:val="16"/>
          <w:szCs w:val="16"/>
          <w:color w:val="42423F"/>
        </w:rPr>
        <w:t xml:space="preserve"> This exclusion does not apply to you, a family member, or your employee or an employee of a family member for damages arising out of the ownership, maintenance or </w:t>
      </w:r>
      <w:r>
        <w:rPr>
          <w:rFonts w:ascii="Arial" w:cs="Arial" w:eastAsia="Arial" w:hAnsi="Arial"/>
          <w:sz w:val="16"/>
          <w:szCs w:val="16"/>
          <w:color w:val="31312F"/>
        </w:rPr>
        <w:t>use</w:t>
      </w:r>
      <w:r>
        <w:rPr>
          <w:rFonts w:ascii="Arial" w:cs="Arial" w:eastAsia="Arial" w:hAnsi="Arial"/>
          <w:sz w:val="16"/>
          <w:szCs w:val="16"/>
          <w:color w:val="42423F"/>
        </w:rPr>
        <w:t xml:space="preserve"> of a motorized land vehicle owned by</w:t>
      </w:r>
      <w:r>
        <w:rPr>
          <w:rFonts w:ascii="Arial" w:cs="Arial" w:eastAsia="Arial" w:hAnsi="Arial"/>
          <w:sz w:val="16"/>
          <w:szCs w:val="16"/>
          <w:color w:val="5D5D5B"/>
        </w:rPr>
        <w:t>,</w:t>
      </w:r>
      <w:r>
        <w:rPr>
          <w:rFonts w:ascii="Arial" w:cs="Arial" w:eastAsia="Arial" w:hAnsi="Arial"/>
          <w:sz w:val="16"/>
          <w:szCs w:val="16"/>
          <w:color w:val="42423F"/>
        </w:rPr>
        <w:t xml:space="preserve"> rented to, or furnished to you or a family member.</w:t>
      </w:r>
    </w:p>
    <w:p>
      <w:pPr>
        <w:spacing w:after="0" w:line="73"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2423F"/>
        </w:rPr>
        <w:t>Watercraft related jobs</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damages arising out of the ownership, maintenance, or</w:t>
      </w:r>
      <w:r>
        <w:rPr>
          <w:rFonts w:ascii="Arial" w:cs="Arial" w:eastAsia="Arial" w:hAnsi="Arial"/>
          <w:sz w:val="16"/>
          <w:szCs w:val="16"/>
          <w:b w:val="1"/>
          <w:bCs w:val="1"/>
          <w:color w:val="42423F"/>
        </w:rPr>
        <w:t xml:space="preserve"> </w:t>
      </w:r>
      <w:r>
        <w:rPr>
          <w:rFonts w:ascii="Arial" w:cs="Arial" w:eastAsia="Arial" w:hAnsi="Arial"/>
          <w:sz w:val="16"/>
          <w:szCs w:val="16"/>
          <w:color w:val="31312F"/>
        </w:rPr>
        <w:t>use</w:t>
      </w:r>
      <w:r>
        <w:rPr>
          <w:rFonts w:ascii="Arial" w:cs="Arial" w:eastAsia="Arial" w:hAnsi="Arial"/>
          <w:sz w:val="16"/>
          <w:szCs w:val="16"/>
          <w:b w:val="1"/>
          <w:bCs w:val="1"/>
          <w:color w:val="42423F"/>
        </w:rPr>
        <w:t xml:space="preserve"> </w:t>
      </w:r>
      <w:r>
        <w:rPr>
          <w:rFonts w:ascii="Arial" w:cs="Arial" w:eastAsia="Arial" w:hAnsi="Arial"/>
          <w:sz w:val="16"/>
          <w:szCs w:val="16"/>
          <w:color w:val="42423F"/>
        </w:rPr>
        <w:t>of a watercraft</w:t>
      </w:r>
      <w:r>
        <w:rPr>
          <w:rFonts w:ascii="Arial" w:cs="Arial" w:eastAsia="Arial" w:hAnsi="Arial"/>
          <w:sz w:val="16"/>
          <w:szCs w:val="16"/>
          <w:b w:val="1"/>
          <w:bCs w:val="1"/>
          <w:color w:val="42423F"/>
        </w:rPr>
        <w:t xml:space="preserve"> </w:t>
      </w:r>
      <w:r>
        <w:rPr>
          <w:rFonts w:ascii="Arial" w:cs="Arial" w:eastAsia="Arial" w:hAnsi="Arial"/>
          <w:sz w:val="16"/>
          <w:szCs w:val="16"/>
          <w:color w:val="31312F"/>
        </w:rPr>
        <w:t>by</w:t>
      </w:r>
      <w:r>
        <w:rPr>
          <w:rFonts w:ascii="Arial" w:cs="Arial" w:eastAsia="Arial" w:hAnsi="Arial"/>
          <w:sz w:val="16"/>
          <w:szCs w:val="16"/>
          <w:b w:val="1"/>
          <w:bCs w:val="1"/>
          <w:color w:val="42423F"/>
        </w:rPr>
        <w:t xml:space="preserve"> </w:t>
      </w:r>
      <w:r>
        <w:rPr>
          <w:rFonts w:ascii="Arial" w:cs="Arial" w:eastAsia="Arial" w:hAnsi="Arial"/>
          <w:sz w:val="16"/>
          <w:szCs w:val="16"/>
          <w:color w:val="42423F"/>
        </w:rPr>
        <w:t>any person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engaged by or employed</w:t>
      </w:r>
      <w:r>
        <w:rPr>
          <w:rFonts w:ascii="Arial" w:cs="Arial" w:eastAsia="Arial" w:hAnsi="Arial"/>
          <w:sz w:val="16"/>
          <w:szCs w:val="16"/>
          <w:b w:val="1"/>
          <w:bCs w:val="1"/>
          <w:color w:val="42423F"/>
        </w:rPr>
        <w:t xml:space="preserve"> </w:t>
      </w:r>
      <w:r>
        <w:rPr>
          <w:rFonts w:ascii="Arial" w:cs="Arial" w:eastAsia="Arial" w:hAnsi="Arial"/>
          <w:sz w:val="16"/>
          <w:szCs w:val="16"/>
          <w:color w:val="42423F"/>
        </w:rPr>
        <w:t>by, or is oper</w:t>
      </w:r>
      <w:r>
        <w:rPr>
          <w:rFonts w:ascii="Arial" w:cs="Arial" w:eastAsia="Arial" w:hAnsi="Arial"/>
          <w:sz w:val="16"/>
          <w:szCs w:val="16"/>
          <w:color w:val="5D5D5B"/>
        </w:rPr>
        <w:t>a</w:t>
      </w:r>
      <w:r>
        <w:rPr>
          <w:rFonts w:ascii="Arial" w:cs="Arial" w:eastAsia="Arial" w:hAnsi="Arial"/>
          <w:sz w:val="16"/>
          <w:szCs w:val="16"/>
          <w:color w:val="42423F"/>
        </w:rPr>
        <w:t xml:space="preserve">ting a marina, boat repair yard, shipyard, yacht club, boat sales agency, boat service station, or other similar organization. This exclusion does not apply </w:t>
      </w:r>
      <w:r>
        <w:rPr>
          <w:rFonts w:ascii="Arial" w:cs="Arial" w:eastAsia="Arial" w:hAnsi="Arial"/>
          <w:sz w:val="16"/>
          <w:szCs w:val="16"/>
          <w:color w:val="31312F"/>
        </w:rPr>
        <w:t>to</w:t>
      </w:r>
      <w:r>
        <w:rPr>
          <w:rFonts w:ascii="Arial" w:cs="Arial" w:eastAsia="Arial" w:hAnsi="Arial"/>
          <w:sz w:val="16"/>
          <w:szCs w:val="16"/>
          <w:color w:val="42423F"/>
        </w:rPr>
        <w:t xml:space="preserve"> damages arising out of </w:t>
      </w:r>
      <w:r>
        <w:rPr>
          <w:rFonts w:ascii="Arial" w:cs="Arial" w:eastAsia="Arial" w:hAnsi="Arial"/>
          <w:sz w:val="16"/>
          <w:szCs w:val="16"/>
          <w:color w:val="31312F"/>
        </w:rPr>
        <w:t>the</w:t>
      </w:r>
      <w:r>
        <w:rPr>
          <w:rFonts w:ascii="Arial" w:cs="Arial" w:eastAsia="Arial" w:hAnsi="Arial"/>
          <w:sz w:val="16"/>
          <w:szCs w:val="16"/>
          <w:color w:val="42423F"/>
        </w:rPr>
        <w:t xml:space="preserve"> ownership, maintenance, or use of a watercraft by you, a family member</w:t>
      </w:r>
      <w:r>
        <w:rPr>
          <w:rFonts w:ascii="Arial" w:cs="Arial" w:eastAsia="Arial" w:hAnsi="Arial"/>
          <w:sz w:val="16"/>
          <w:szCs w:val="16"/>
          <w:color w:val="5D5D5B"/>
        </w:rPr>
        <w:t>,</w:t>
      </w:r>
      <w:r>
        <w:rPr>
          <w:rFonts w:ascii="Arial" w:cs="Arial" w:eastAsia="Arial" w:hAnsi="Arial"/>
          <w:sz w:val="16"/>
          <w:szCs w:val="16"/>
          <w:color w:val="42423F"/>
        </w:rPr>
        <w:t xml:space="preserve"> or your or a family member</w:t>
      </w:r>
      <w:r>
        <w:rPr>
          <w:rFonts w:ascii="Arial" w:cs="Arial" w:eastAsia="Arial" w:hAnsi="Arial"/>
          <w:sz w:val="16"/>
          <w:szCs w:val="16"/>
          <w:color w:val="5D5D5B"/>
        </w:rPr>
        <w:t>'</w:t>
      </w:r>
      <w:r>
        <w:rPr>
          <w:rFonts w:ascii="Arial" w:cs="Arial" w:eastAsia="Arial" w:hAnsi="Arial"/>
          <w:sz w:val="16"/>
          <w:szCs w:val="16"/>
          <w:color w:val="42423F"/>
        </w:rPr>
        <w:t xml:space="preserve"> s captain or full </w:t>
      </w:r>
      <w:r>
        <w:rPr>
          <w:rFonts w:ascii="Arial" w:cs="Arial" w:eastAsia="Arial" w:hAnsi="Arial"/>
          <w:sz w:val="15"/>
          <w:szCs w:val="15"/>
          <w:color w:val="42423F"/>
        </w:rPr>
        <w:t>time</w:t>
      </w:r>
      <w:r>
        <w:rPr>
          <w:rFonts w:ascii="Arial" w:cs="Arial" w:eastAsia="Arial" w:hAnsi="Arial"/>
          <w:sz w:val="16"/>
          <w:szCs w:val="16"/>
          <w:color w:val="42423F"/>
        </w:rPr>
        <w:t xml:space="preserve"> paid crew member maintaining or </w:t>
      </w:r>
      <w:r>
        <w:rPr>
          <w:rFonts w:ascii="Arial" w:cs="Arial" w:eastAsia="Arial" w:hAnsi="Arial"/>
          <w:sz w:val="16"/>
          <w:szCs w:val="16"/>
          <w:color w:val="31312F"/>
        </w:rPr>
        <w:t>using</w:t>
      </w:r>
      <w:r>
        <w:rPr>
          <w:rFonts w:ascii="Arial" w:cs="Arial" w:eastAsia="Arial" w:hAnsi="Arial"/>
          <w:sz w:val="16"/>
          <w:szCs w:val="16"/>
          <w:color w:val="42423F"/>
        </w:rPr>
        <w:t xml:space="preserve"> this watercraft with permission from you or a family member.</w:t>
      </w:r>
    </w:p>
    <w:p>
      <w:pPr>
        <w:spacing w:after="0" w:line="73" w:lineRule="exact"/>
        <w:rPr>
          <w:sz w:val="20"/>
          <w:szCs w:val="20"/>
          <w:color w:val="auto"/>
        </w:rPr>
      </w:pPr>
    </w:p>
    <w:p>
      <w:pPr>
        <w:jc w:val="both"/>
        <w:ind w:left="140" w:right="20"/>
        <w:spacing w:after="0" w:line="280" w:lineRule="auto"/>
        <w:rPr>
          <w:sz w:val="20"/>
          <w:szCs w:val="20"/>
          <w:color w:val="auto"/>
        </w:rPr>
      </w:pPr>
      <w:r>
        <w:rPr>
          <w:rFonts w:ascii="Arial" w:cs="Arial" w:eastAsia="Arial" w:hAnsi="Arial"/>
          <w:sz w:val="16"/>
          <w:szCs w:val="16"/>
          <w:b w:val="1"/>
          <w:bCs w:val="1"/>
          <w:color w:val="42423F"/>
        </w:rPr>
        <w:t xml:space="preserve">Motorized land vehicle </w:t>
      </w:r>
      <w:r>
        <w:rPr>
          <w:rFonts w:ascii="Arial" w:cs="Arial" w:eastAsia="Arial" w:hAnsi="Arial"/>
          <w:sz w:val="16"/>
          <w:szCs w:val="16"/>
          <w:b w:val="1"/>
          <w:bCs w:val="1"/>
          <w:color w:val="31312F"/>
        </w:rPr>
        <w:t>and</w:t>
      </w:r>
      <w:r>
        <w:rPr>
          <w:rFonts w:ascii="Arial" w:cs="Arial" w:eastAsia="Arial" w:hAnsi="Arial"/>
          <w:sz w:val="16"/>
          <w:szCs w:val="16"/>
          <w:b w:val="1"/>
          <w:bCs w:val="1"/>
          <w:color w:val="42423F"/>
        </w:rPr>
        <w:t xml:space="preserve"> watercraft loading</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or organization, other</w:t>
      </w:r>
      <w:r>
        <w:rPr>
          <w:rFonts w:ascii="Arial" w:cs="Arial" w:eastAsia="Arial" w:hAnsi="Arial"/>
          <w:sz w:val="16"/>
          <w:szCs w:val="16"/>
          <w:b w:val="1"/>
          <w:bCs w:val="1"/>
          <w:color w:val="42423F"/>
        </w:rPr>
        <w:t xml:space="preserve"> </w:t>
      </w:r>
      <w:r>
        <w:rPr>
          <w:rFonts w:ascii="Arial" w:cs="Arial" w:eastAsia="Arial" w:hAnsi="Arial"/>
          <w:sz w:val="16"/>
          <w:szCs w:val="16"/>
          <w:color w:val="31312F"/>
        </w:rPr>
        <w:t>than</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or a family member or your or a family member</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w:t>
      </w:r>
      <w:r>
        <w:rPr>
          <w:rFonts w:ascii="Arial" w:cs="Arial" w:eastAsia="Arial" w:hAnsi="Arial"/>
          <w:sz w:val="16"/>
          <w:szCs w:val="16"/>
          <w:b w:val="1"/>
          <w:bCs w:val="1"/>
          <w:color w:val="42423F"/>
        </w:rPr>
        <w:t xml:space="preserve"> </w:t>
      </w:r>
      <w:r>
        <w:rPr>
          <w:rFonts w:ascii="Arial" w:cs="Arial" w:eastAsia="Arial" w:hAnsi="Arial"/>
          <w:sz w:val="16"/>
          <w:szCs w:val="16"/>
          <w:color w:val="42423F"/>
        </w:rPr>
        <w:t>employees, with respect to the loading or unloading of motorized land vehicles or watercraft.</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 xml:space="preserve">Workers' compensation or disability.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 covered person is legally:</w:t>
      </w:r>
    </w:p>
    <w:p>
      <w:pPr>
        <w:spacing w:after="0" w:line="21" w:lineRule="exact"/>
        <w:rPr>
          <w:sz w:val="20"/>
          <w:szCs w:val="20"/>
          <w:color w:val="auto"/>
        </w:rPr>
      </w:pPr>
    </w:p>
    <w:p>
      <w:pPr>
        <w:ind w:left="500" w:hanging="330"/>
        <w:spacing w:after="0"/>
        <w:tabs>
          <w:tab w:leader="none" w:pos="500" w:val="left"/>
        </w:tabs>
        <w:numPr>
          <w:ilvl w:val="0"/>
          <w:numId w:val="101"/>
        </w:numPr>
        <w:rPr>
          <w:rFonts w:ascii="Arial" w:cs="Arial" w:eastAsia="Arial" w:hAnsi="Arial"/>
          <w:sz w:val="16"/>
          <w:szCs w:val="16"/>
          <w:color w:val="42423F"/>
        </w:rPr>
      </w:pPr>
      <w:r>
        <w:rPr>
          <w:rFonts w:ascii="Arial" w:cs="Arial" w:eastAsia="Arial" w:hAnsi="Arial"/>
          <w:sz w:val="15"/>
          <w:szCs w:val="15"/>
          <w:color w:val="42423F"/>
        </w:rPr>
        <w:t xml:space="preserve">required </w:t>
      </w:r>
      <w:r>
        <w:rPr>
          <w:rFonts w:ascii="Arial" w:cs="Arial" w:eastAsia="Arial" w:hAnsi="Arial"/>
          <w:sz w:val="16"/>
          <w:szCs w:val="16"/>
          <w:color w:val="42423F"/>
        </w:rPr>
        <w:t>to provide; or</w:t>
      </w:r>
    </w:p>
    <w:p>
      <w:pPr>
        <w:spacing w:after="0" w:line="10" w:lineRule="exact"/>
        <w:rPr>
          <w:rFonts w:ascii="Arial" w:cs="Arial" w:eastAsia="Arial" w:hAnsi="Arial"/>
          <w:sz w:val="16"/>
          <w:szCs w:val="16"/>
          <w:color w:val="42423F"/>
        </w:rPr>
      </w:pPr>
    </w:p>
    <w:p>
      <w:pPr>
        <w:ind w:left="180" w:right="9440" w:hanging="10"/>
        <w:spacing w:after="0" w:line="264" w:lineRule="auto"/>
        <w:tabs>
          <w:tab w:leader="none" w:pos="504" w:val="left"/>
        </w:tabs>
        <w:numPr>
          <w:ilvl w:val="0"/>
          <w:numId w:val="101"/>
        </w:numPr>
        <w:rPr>
          <w:rFonts w:ascii="Arial" w:cs="Arial" w:eastAsia="Arial" w:hAnsi="Arial"/>
          <w:sz w:val="16"/>
          <w:szCs w:val="16"/>
          <w:color w:val="auto"/>
        </w:rPr>
      </w:pPr>
      <w:r>
        <w:rPr>
          <w:rFonts w:ascii="Arial" w:cs="Arial" w:eastAsia="Arial" w:hAnsi="Arial"/>
          <w:sz w:val="16"/>
          <w:szCs w:val="16"/>
          <w:color w:val="42423F"/>
        </w:rPr>
        <w:t xml:space="preserve">voluntarily provides </w:t>
      </w:r>
      <w:r>
        <w:rPr>
          <w:rFonts w:ascii="Arial" w:cs="Arial" w:eastAsia="Arial" w:hAnsi="Arial"/>
          <w:sz w:val="16"/>
          <w:szCs w:val="16"/>
          <w:color w:val="31312F"/>
        </w:rPr>
        <w:t xml:space="preserve">under </w:t>
      </w:r>
      <w:r>
        <w:rPr>
          <w:rFonts w:ascii="Arial" w:cs="Arial" w:eastAsia="Arial" w:hAnsi="Arial"/>
          <w:sz w:val="16"/>
          <w:szCs w:val="16"/>
          <w:color w:val="42423F"/>
        </w:rPr>
        <w:t>any</w:t>
      </w:r>
      <w:r>
        <w:rPr>
          <w:rFonts w:ascii="Arial" w:cs="Arial" w:eastAsia="Arial" w:hAnsi="Arial"/>
          <w:sz w:val="16"/>
          <w:szCs w:val="16"/>
          <w:color w:val="5D5D5B"/>
        </w:rPr>
        <w:t>:</w:t>
      </w:r>
    </w:p>
    <w:p>
      <w:pPr>
        <w:ind w:left="500" w:hanging="330"/>
        <w:spacing w:after="0"/>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42423F"/>
        </w:rPr>
        <w:t>workers' compensation;</w:t>
      </w:r>
    </w:p>
    <w:p>
      <w:pPr>
        <w:spacing w:after="0" w:line="41" w:lineRule="exact"/>
        <w:rPr>
          <w:rFonts w:ascii="Arial" w:cs="Arial" w:eastAsia="Arial" w:hAnsi="Arial"/>
          <w:sz w:val="16"/>
          <w:szCs w:val="16"/>
          <w:color w:val="auto"/>
        </w:rPr>
      </w:pPr>
    </w:p>
    <w:p>
      <w:pPr>
        <w:ind w:left="500" w:hanging="330"/>
        <w:spacing w:after="0"/>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31312F"/>
        </w:rPr>
        <w:t xml:space="preserve">disability </w:t>
      </w:r>
      <w:r>
        <w:rPr>
          <w:rFonts w:ascii="Arial" w:cs="Arial" w:eastAsia="Arial" w:hAnsi="Arial"/>
          <w:sz w:val="16"/>
          <w:szCs w:val="16"/>
          <w:color w:val="42423F"/>
        </w:rPr>
        <w:t>benefits</w:t>
      </w:r>
      <w:r>
        <w:rPr>
          <w:rFonts w:ascii="Arial" w:cs="Arial" w:eastAsia="Arial" w:hAnsi="Arial"/>
          <w:sz w:val="16"/>
          <w:szCs w:val="16"/>
          <w:color w:val="5D5D5B"/>
        </w:rPr>
        <w:t>;</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42423F"/>
        </w:rPr>
        <w:t>unemployment compensation; or</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42423F"/>
        </w:rPr>
        <w:t>other similar laws</w:t>
      </w:r>
      <w:r>
        <w:rPr>
          <w:rFonts w:ascii="Arial" w:cs="Arial" w:eastAsia="Arial" w:hAnsi="Arial"/>
          <w:sz w:val="16"/>
          <w:szCs w:val="16"/>
          <w:color w:val="5D5D5B"/>
        </w:rPr>
        <w:t>.</w:t>
      </w:r>
    </w:p>
    <w:p>
      <w:pPr>
        <w:spacing w:after="0" w:line="140" w:lineRule="exact"/>
        <w:rPr>
          <w:sz w:val="20"/>
          <w:szCs w:val="20"/>
          <w:color w:val="auto"/>
        </w:rPr>
      </w:pPr>
    </w:p>
    <w:p>
      <w:pPr>
        <w:ind w:left="120" w:firstLine="14"/>
        <w:spacing w:after="0" w:line="310" w:lineRule="auto"/>
        <w:rPr>
          <w:sz w:val="20"/>
          <w:szCs w:val="20"/>
          <w:color w:val="auto"/>
        </w:rPr>
      </w:pPr>
      <w:r>
        <w:rPr>
          <w:rFonts w:ascii="Arial" w:cs="Arial" w:eastAsia="Arial" w:hAnsi="Arial"/>
          <w:sz w:val="15"/>
          <w:szCs w:val="15"/>
          <w:color w:val="42423F"/>
        </w:rPr>
        <w:t xml:space="preserve">But we do provide coverage in excess over any other insurance for damages you or a family member is </w:t>
      </w:r>
      <w:r>
        <w:rPr>
          <w:rFonts w:ascii="Arial" w:cs="Arial" w:eastAsia="Arial" w:hAnsi="Arial"/>
          <w:sz w:val="15"/>
          <w:szCs w:val="15"/>
          <w:color w:val="31312F"/>
        </w:rPr>
        <w:t>legally</w:t>
      </w:r>
      <w:r>
        <w:rPr>
          <w:rFonts w:ascii="Arial" w:cs="Arial" w:eastAsia="Arial" w:hAnsi="Arial"/>
          <w:sz w:val="15"/>
          <w:szCs w:val="15"/>
          <w:color w:val="42423F"/>
        </w:rPr>
        <w:t xml:space="preserve"> required to pay for </w:t>
      </w:r>
      <w:r>
        <w:rPr>
          <w:rFonts w:ascii="Arial" w:cs="Arial" w:eastAsia="Arial" w:hAnsi="Arial"/>
          <w:sz w:val="15"/>
          <w:szCs w:val="15"/>
          <w:color w:val="31312F"/>
        </w:rPr>
        <w:t>bodily</w:t>
      </w:r>
      <w:r>
        <w:rPr>
          <w:rFonts w:ascii="Arial" w:cs="Arial" w:eastAsia="Arial" w:hAnsi="Arial"/>
          <w:sz w:val="15"/>
          <w:szCs w:val="15"/>
          <w:color w:val="42423F"/>
        </w:rPr>
        <w:t xml:space="preserve"> injury to a domestic employee of a </w:t>
      </w:r>
      <w:r>
        <w:rPr>
          <w:rFonts w:ascii="Arial" w:cs="Arial" w:eastAsia="Arial" w:hAnsi="Arial"/>
          <w:sz w:val="15"/>
          <w:szCs w:val="15"/>
          <w:color w:val="31312F"/>
        </w:rPr>
        <w:t>residence</w:t>
      </w:r>
      <w:r>
        <w:rPr>
          <w:rFonts w:ascii="Arial" w:cs="Arial" w:eastAsia="Arial" w:hAnsi="Arial"/>
          <w:sz w:val="15"/>
          <w:szCs w:val="15"/>
          <w:color w:val="42423F"/>
        </w:rPr>
        <w:t xml:space="preserve"> covered under the Required </w:t>
      </w:r>
      <w:r>
        <w:rPr>
          <w:rFonts w:ascii="Arial" w:cs="Arial" w:eastAsia="Arial" w:hAnsi="Arial"/>
          <w:sz w:val="14"/>
          <w:szCs w:val="14"/>
          <w:color w:val="42423F"/>
        </w:rPr>
        <w:t>Primary</w:t>
      </w:r>
      <w:r>
        <w:rPr>
          <w:rFonts w:ascii="Arial" w:cs="Arial" w:eastAsia="Arial" w:hAnsi="Arial"/>
          <w:sz w:val="15"/>
          <w:szCs w:val="15"/>
          <w:color w:val="42423F"/>
        </w:rPr>
        <w:t xml:space="preserve"> Underlying Insurance which </w:t>
      </w:r>
      <w:r>
        <w:rPr>
          <w:rFonts w:ascii="Arial" w:cs="Arial" w:eastAsia="Arial" w:hAnsi="Arial"/>
          <w:sz w:val="15"/>
          <w:szCs w:val="15"/>
          <w:color w:val="31312F"/>
        </w:rPr>
        <w:t>are</w:t>
      </w:r>
      <w:r>
        <w:rPr>
          <w:rFonts w:ascii="Arial" w:cs="Arial" w:eastAsia="Arial" w:hAnsi="Arial"/>
          <w:sz w:val="15"/>
          <w:szCs w:val="15"/>
          <w:color w:val="42423F"/>
        </w:rPr>
        <w:t xml:space="preserve"> not compensable under workers</w:t>
      </w:r>
      <w:r>
        <w:rPr>
          <w:rFonts w:ascii="Arial" w:cs="Arial" w:eastAsia="Arial" w:hAnsi="Arial"/>
          <w:sz w:val="15"/>
          <w:szCs w:val="15"/>
          <w:color w:val="5D5D5B"/>
        </w:rPr>
        <w:t>'</w:t>
      </w:r>
      <w:r>
        <w:rPr>
          <w:rFonts w:ascii="Arial" w:cs="Arial" w:eastAsia="Arial" w:hAnsi="Arial"/>
          <w:sz w:val="15"/>
          <w:szCs w:val="15"/>
          <w:color w:val="42423F"/>
        </w:rPr>
        <w:t xml:space="preserve"> compensation, unless another exclusion applies</w:t>
      </w:r>
      <w:r>
        <w:rPr>
          <w:rFonts w:ascii="Arial" w:cs="Arial" w:eastAsia="Arial" w:hAnsi="Arial"/>
          <w:sz w:val="15"/>
          <w:szCs w:val="15"/>
          <w:color w:val="5D5D5B"/>
        </w:rPr>
        <w:t>.</w:t>
      </w:r>
    </w:p>
    <w:p>
      <w:pPr>
        <w:spacing w:after="0" w:line="36" w:lineRule="exact"/>
        <w:rPr>
          <w:sz w:val="20"/>
          <w:szCs w:val="20"/>
          <w:color w:val="auto"/>
        </w:rPr>
      </w:pPr>
    </w:p>
    <w:p>
      <w:pPr>
        <w:ind w:left="140" w:right="20"/>
        <w:spacing w:after="0" w:line="258" w:lineRule="auto"/>
        <w:rPr>
          <w:sz w:val="20"/>
          <w:szCs w:val="20"/>
          <w:color w:val="auto"/>
        </w:rPr>
      </w:pPr>
      <w:r>
        <w:rPr>
          <w:rFonts w:ascii="Arial" w:cs="Arial" w:eastAsia="Arial" w:hAnsi="Arial"/>
          <w:sz w:val="16"/>
          <w:szCs w:val="16"/>
          <w:b w:val="1"/>
          <w:bCs w:val="1"/>
          <w:color w:val="42423F"/>
        </w:rPr>
        <w:t xml:space="preserve">Director's liability. </w:t>
      </w:r>
      <w:r>
        <w:rPr>
          <w:rFonts w:ascii="Arial" w:cs="Arial" w:eastAsia="Arial" w:hAnsi="Arial"/>
          <w:sz w:val="16"/>
          <w:szCs w:val="16"/>
          <w:color w:val="42423F"/>
        </w:rPr>
        <w:t>We do not cover any damages for any covered person</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 actions or failure to act as an officer or member of a board of directors of any corporation or</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organization. However, we do cover such damages </w:t>
      </w:r>
      <w:r>
        <w:rPr>
          <w:rFonts w:ascii="Arial" w:cs="Arial" w:eastAsia="Arial" w:hAnsi="Arial"/>
          <w:sz w:val="15"/>
          <w:szCs w:val="15"/>
          <w:color w:val="42423F"/>
        </w:rPr>
        <w:t>if</w:t>
      </w:r>
      <w:r>
        <w:rPr>
          <w:rFonts w:ascii="Arial" w:cs="Arial" w:eastAsia="Arial" w:hAnsi="Arial"/>
          <w:sz w:val="16"/>
          <w:szCs w:val="16"/>
          <w:color w:val="42423F"/>
        </w:rPr>
        <w:t xml:space="preserve"> you are or a family member </w:t>
      </w:r>
      <w:r>
        <w:rPr>
          <w:rFonts w:ascii="Arial" w:cs="Arial" w:eastAsia="Arial" w:hAnsi="Arial"/>
          <w:sz w:val="16"/>
          <w:szCs w:val="16"/>
          <w:color w:val="5D5D5B"/>
        </w:rPr>
        <w:t>i</w:t>
      </w:r>
      <w:r>
        <w:rPr>
          <w:rFonts w:ascii="Arial" w:cs="Arial" w:eastAsia="Arial" w:hAnsi="Arial"/>
          <w:sz w:val="16"/>
          <w:szCs w:val="16"/>
          <w:color w:val="42423F"/>
        </w:rPr>
        <w:t xml:space="preserve">s an officer or member of a board of directors of </w:t>
      </w:r>
      <w:r>
        <w:rPr>
          <w:rFonts w:ascii="Arial" w:cs="Arial" w:eastAsia="Arial" w:hAnsi="Arial"/>
          <w:sz w:val="14"/>
          <w:szCs w:val="14"/>
          <w:color w:val="42423F"/>
        </w:rPr>
        <w:t>a:</w:t>
      </w:r>
    </w:p>
    <w:p>
      <w:pPr>
        <w:ind w:left="500" w:hanging="330"/>
        <w:spacing w:after="0"/>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42423F"/>
        </w:rPr>
        <w:t>homeowner, condominium or cooperative association</w:t>
      </w:r>
      <w:r>
        <w:rPr>
          <w:rFonts w:ascii="Arial" w:cs="Arial" w:eastAsia="Arial" w:hAnsi="Arial"/>
          <w:sz w:val="16"/>
          <w:szCs w:val="16"/>
          <w:color w:val="5D5D5B"/>
        </w:rPr>
        <w:t>;</w:t>
      </w:r>
      <w:r>
        <w:rPr>
          <w:rFonts w:ascii="Arial" w:cs="Arial" w:eastAsia="Arial" w:hAnsi="Arial"/>
          <w:sz w:val="16"/>
          <w:szCs w:val="16"/>
          <w:color w:val="42423F"/>
        </w:rPr>
        <w:t xml:space="preserve"> or</w:t>
      </w:r>
    </w:p>
    <w:p>
      <w:pPr>
        <w:spacing w:after="0" w:line="31" w:lineRule="exact"/>
        <w:rPr>
          <w:rFonts w:ascii="Arial" w:cs="Arial" w:eastAsia="Arial" w:hAnsi="Arial"/>
          <w:sz w:val="16"/>
          <w:szCs w:val="16"/>
          <w:color w:val="auto"/>
        </w:rPr>
      </w:pPr>
    </w:p>
    <w:p>
      <w:pPr>
        <w:ind w:left="500" w:hanging="330"/>
        <w:spacing w:after="0"/>
        <w:tabs>
          <w:tab w:leader="none" w:pos="500" w:val="left"/>
        </w:tabs>
        <w:numPr>
          <w:ilvl w:val="0"/>
          <w:numId w:val="102"/>
        </w:numPr>
        <w:rPr>
          <w:rFonts w:ascii="Arial" w:cs="Arial" w:eastAsia="Arial" w:hAnsi="Arial"/>
          <w:sz w:val="16"/>
          <w:szCs w:val="16"/>
          <w:color w:val="auto"/>
        </w:rPr>
      </w:pPr>
      <w:r>
        <w:rPr>
          <w:rFonts w:ascii="Arial" w:cs="Arial" w:eastAsia="Arial" w:hAnsi="Arial"/>
          <w:sz w:val="16"/>
          <w:szCs w:val="16"/>
          <w:color w:val="42423F"/>
        </w:rPr>
        <w:t xml:space="preserve">not for profit corporation or organization for which he or she is not compensated; </w:t>
      </w:r>
      <w:r>
        <w:rPr>
          <w:rFonts w:ascii="Arial" w:cs="Arial" w:eastAsia="Arial" w:hAnsi="Arial"/>
          <w:sz w:val="16"/>
          <w:szCs w:val="16"/>
          <w:color w:val="31312F"/>
        </w:rPr>
        <w:t>unless</w:t>
      </w:r>
      <w:r>
        <w:rPr>
          <w:rFonts w:ascii="Arial" w:cs="Arial" w:eastAsia="Arial" w:hAnsi="Arial"/>
          <w:sz w:val="16"/>
          <w:szCs w:val="16"/>
          <w:color w:val="42423F"/>
        </w:rPr>
        <w:t xml:space="preserve"> another exclusion applies</w:t>
      </w:r>
      <w:r>
        <w:rPr>
          <w:rFonts w:ascii="Arial" w:cs="Arial" w:eastAsia="Arial" w:hAnsi="Arial"/>
          <w:sz w:val="16"/>
          <w:szCs w:val="16"/>
          <w:color w:val="5D5D5B"/>
        </w:rPr>
        <w:t>.</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Damage to covered person's property</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for property damage to property owned by any covered person.</w:t>
      </w:r>
    </w:p>
    <w:p>
      <w:pPr>
        <w:spacing w:after="0" w:line="113" w:lineRule="exact"/>
        <w:rPr>
          <w:sz w:val="20"/>
          <w:szCs w:val="20"/>
          <w:color w:val="auto"/>
        </w:rPr>
      </w:pPr>
    </w:p>
    <w:p>
      <w:pPr>
        <w:jc w:val="both"/>
        <w:ind w:left="140"/>
        <w:spacing w:after="0" w:line="298" w:lineRule="auto"/>
        <w:rPr>
          <w:sz w:val="20"/>
          <w:szCs w:val="20"/>
          <w:color w:val="auto"/>
        </w:rPr>
      </w:pPr>
      <w:r>
        <w:rPr>
          <w:rFonts w:ascii="Arial" w:cs="Arial" w:eastAsia="Arial" w:hAnsi="Arial"/>
          <w:sz w:val="16"/>
          <w:szCs w:val="16"/>
          <w:b w:val="1"/>
          <w:bCs w:val="1"/>
          <w:color w:val="42423F"/>
        </w:rPr>
        <w:t xml:space="preserve">Damage to property </w:t>
      </w:r>
      <w:r>
        <w:rPr>
          <w:rFonts w:ascii="Arial" w:cs="Arial" w:eastAsia="Arial" w:hAnsi="Arial"/>
          <w:sz w:val="17"/>
          <w:szCs w:val="17"/>
          <w:color w:val="42423F"/>
        </w:rPr>
        <w:t>in</w:t>
      </w:r>
      <w:r>
        <w:rPr>
          <w:rFonts w:ascii="Arial" w:cs="Arial" w:eastAsia="Arial" w:hAnsi="Arial"/>
          <w:sz w:val="16"/>
          <w:szCs w:val="16"/>
          <w:b w:val="1"/>
          <w:bCs w:val="1"/>
          <w:color w:val="42423F"/>
        </w:rPr>
        <w:t xml:space="preserve"> your care. </w:t>
      </w:r>
      <w:r>
        <w:rPr>
          <w:rFonts w:ascii="Arial" w:cs="Arial" w:eastAsia="Arial" w:hAnsi="Arial"/>
          <w:sz w:val="16"/>
          <w:szCs w:val="16"/>
          <w:color w:val="42423F"/>
        </w:rPr>
        <w:t>We do not cover any person for property damage to property rented to, occupied by</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used by, or</w:t>
      </w:r>
      <w:r>
        <w:rPr>
          <w:rFonts w:ascii="Arial" w:cs="Arial" w:eastAsia="Arial" w:hAnsi="Arial"/>
          <w:sz w:val="16"/>
          <w:szCs w:val="16"/>
          <w:b w:val="1"/>
          <w:bCs w:val="1"/>
          <w:color w:val="42423F"/>
        </w:rPr>
        <w:t xml:space="preserve"> </w:t>
      </w:r>
      <w:r>
        <w:rPr>
          <w:rFonts w:ascii="Arial" w:cs="Arial" w:eastAsia="Arial" w:hAnsi="Arial"/>
          <w:sz w:val="16"/>
          <w:szCs w:val="16"/>
          <w:color w:val="31312F"/>
        </w:rPr>
        <w:t>in</w:t>
      </w:r>
      <w:r>
        <w:rPr>
          <w:rFonts w:ascii="Arial" w:cs="Arial" w:eastAsia="Arial" w:hAnsi="Arial"/>
          <w:sz w:val="16"/>
          <w:szCs w:val="16"/>
          <w:b w:val="1"/>
          <w:bCs w:val="1"/>
          <w:color w:val="42423F"/>
        </w:rPr>
        <w:t xml:space="preserve"> </w:t>
      </w:r>
      <w:r>
        <w:rPr>
          <w:rFonts w:ascii="Arial" w:cs="Arial" w:eastAsia="Arial" w:hAnsi="Arial"/>
          <w:sz w:val="16"/>
          <w:szCs w:val="16"/>
          <w:color w:val="42423F"/>
        </w:rPr>
        <w:t>the care of any covered person, to</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the extent that the covered person is required by contract to provide insurance. But we </w:t>
      </w:r>
      <w:r>
        <w:rPr>
          <w:rFonts w:ascii="Arial" w:cs="Arial" w:eastAsia="Arial" w:hAnsi="Arial"/>
          <w:sz w:val="16"/>
          <w:szCs w:val="16"/>
          <w:color w:val="31312F"/>
        </w:rPr>
        <w:t>do</w:t>
      </w:r>
      <w:r>
        <w:rPr>
          <w:rFonts w:ascii="Arial" w:cs="Arial" w:eastAsia="Arial" w:hAnsi="Arial"/>
          <w:sz w:val="16"/>
          <w:szCs w:val="16"/>
          <w:color w:val="42423F"/>
        </w:rPr>
        <w:t xml:space="preserve"> cover such damages for loss caused by fire, smoke, or explosion unless another </w:t>
      </w:r>
      <w:r>
        <w:rPr>
          <w:rFonts w:ascii="Arial" w:cs="Arial" w:eastAsia="Arial" w:hAnsi="Arial"/>
          <w:sz w:val="16"/>
          <w:szCs w:val="16"/>
          <w:color w:val="31312F"/>
        </w:rPr>
        <w:t xml:space="preserve">exclusion </w:t>
      </w:r>
      <w:r>
        <w:rPr>
          <w:rFonts w:ascii="Arial" w:cs="Arial" w:eastAsia="Arial" w:hAnsi="Arial"/>
          <w:sz w:val="16"/>
          <w:szCs w:val="16"/>
          <w:color w:val="42423F"/>
        </w:rPr>
        <w:t>applies.</w:t>
      </w:r>
    </w:p>
    <w:p>
      <w:pPr>
        <w:spacing w:after="0" w:line="57" w:lineRule="exact"/>
        <w:rPr>
          <w:sz w:val="20"/>
          <w:szCs w:val="20"/>
          <w:color w:val="auto"/>
        </w:rPr>
      </w:pPr>
    </w:p>
    <w:p>
      <w:pPr>
        <w:jc w:val="both"/>
        <w:ind w:left="140"/>
        <w:spacing w:after="0" w:line="258" w:lineRule="auto"/>
        <w:rPr>
          <w:sz w:val="20"/>
          <w:szCs w:val="20"/>
          <w:color w:val="auto"/>
        </w:rPr>
      </w:pPr>
      <w:r>
        <w:rPr>
          <w:rFonts w:ascii="Arial" w:cs="Arial" w:eastAsia="Arial" w:hAnsi="Arial"/>
          <w:sz w:val="16"/>
          <w:szCs w:val="16"/>
          <w:b w:val="1"/>
          <w:bCs w:val="1"/>
          <w:color w:val="42423F"/>
        </w:rPr>
        <w:t xml:space="preserve">Wrongful employment act.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arising ou</w:t>
      </w:r>
      <w:r>
        <w:rPr>
          <w:rFonts w:ascii="Arial" w:cs="Arial" w:eastAsia="Arial" w:hAnsi="Arial"/>
          <w:sz w:val="16"/>
          <w:szCs w:val="16"/>
          <w:color w:val="5D5D5B"/>
        </w:rPr>
        <w:t>t</w:t>
      </w:r>
      <w:r>
        <w:rPr>
          <w:rFonts w:ascii="Arial" w:cs="Arial" w:eastAsia="Arial" w:hAnsi="Arial"/>
          <w:sz w:val="16"/>
          <w:szCs w:val="16"/>
          <w:b w:val="1"/>
          <w:bCs w:val="1"/>
          <w:color w:val="42423F"/>
        </w:rPr>
        <w:t xml:space="preserve"> </w:t>
      </w:r>
      <w:r>
        <w:rPr>
          <w:rFonts w:ascii="Arial" w:cs="Arial" w:eastAsia="Arial" w:hAnsi="Arial"/>
          <w:sz w:val="16"/>
          <w:szCs w:val="16"/>
          <w:color w:val="42423F"/>
        </w:rPr>
        <w:t>o</w:t>
      </w:r>
      <w:r>
        <w:rPr>
          <w:rFonts w:ascii="Arial" w:cs="Arial" w:eastAsia="Arial" w:hAnsi="Arial"/>
          <w:sz w:val="16"/>
          <w:szCs w:val="16"/>
          <w:color w:val="5D5D5B"/>
        </w:rPr>
        <w:t>f</w:t>
      </w:r>
      <w:r>
        <w:rPr>
          <w:rFonts w:ascii="Arial" w:cs="Arial" w:eastAsia="Arial" w:hAnsi="Arial"/>
          <w:sz w:val="16"/>
          <w:szCs w:val="16"/>
          <w:b w:val="1"/>
          <w:bCs w:val="1"/>
          <w:color w:val="42423F"/>
        </w:rPr>
        <w:t xml:space="preserve"> </w:t>
      </w:r>
      <w:r>
        <w:rPr>
          <w:rFonts w:ascii="Arial" w:cs="Arial" w:eastAsia="Arial" w:hAnsi="Arial"/>
          <w:sz w:val="16"/>
          <w:szCs w:val="16"/>
          <w:color w:val="42423F"/>
        </w:rPr>
        <w:t>a wrongful employment act. A wrongful employment act means any employment discrimination,</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sexual harassment, or wrongful termination of any residential staff actually or allegedly committed or attempted by a covered person while acting in </w:t>
      </w:r>
      <w:r>
        <w:rPr>
          <w:rFonts w:ascii="Arial" w:cs="Arial" w:eastAsia="Arial" w:hAnsi="Arial"/>
          <w:sz w:val="16"/>
          <w:szCs w:val="16"/>
          <w:color w:val="31312F"/>
        </w:rPr>
        <w:t>the</w:t>
      </w:r>
      <w:r>
        <w:rPr>
          <w:rFonts w:ascii="Arial" w:cs="Arial" w:eastAsia="Arial" w:hAnsi="Arial"/>
          <w:sz w:val="16"/>
          <w:szCs w:val="16"/>
          <w:color w:val="42423F"/>
        </w:rPr>
        <w:t xml:space="preserve"> capacity as an employer, that violates applicable </w:t>
      </w:r>
      <w:r>
        <w:rPr>
          <w:rFonts w:ascii="Arial" w:cs="Arial" w:eastAsia="Arial" w:hAnsi="Arial"/>
          <w:sz w:val="16"/>
          <w:szCs w:val="16"/>
          <w:color w:val="5D5D5B"/>
        </w:rPr>
        <w:t>e</w:t>
      </w:r>
      <w:r>
        <w:rPr>
          <w:rFonts w:ascii="Arial" w:cs="Arial" w:eastAsia="Arial" w:hAnsi="Arial"/>
          <w:sz w:val="16"/>
          <w:szCs w:val="16"/>
          <w:color w:val="42423F"/>
        </w:rPr>
        <w:t>mployment law of any federal, state, or local statute, regulation, ordinance, or common law of the United States of America, its territories or possessions</w:t>
      </w:r>
      <w:r>
        <w:rPr>
          <w:rFonts w:ascii="Arial" w:cs="Arial" w:eastAsia="Arial" w:hAnsi="Arial"/>
          <w:sz w:val="16"/>
          <w:szCs w:val="16"/>
          <w:color w:val="5D5D5B"/>
        </w:rPr>
        <w:t>,</w:t>
      </w:r>
      <w:r>
        <w:rPr>
          <w:rFonts w:ascii="Arial" w:cs="Arial" w:eastAsia="Arial" w:hAnsi="Arial"/>
          <w:sz w:val="16"/>
          <w:szCs w:val="16"/>
          <w:color w:val="42423F"/>
        </w:rPr>
        <w:t xml:space="preserve"> or Puerto Rico</w:t>
      </w:r>
      <w:r>
        <w:rPr>
          <w:rFonts w:ascii="Arial" w:cs="Arial" w:eastAsia="Arial" w:hAnsi="Arial"/>
          <w:sz w:val="16"/>
          <w:szCs w:val="16"/>
          <w:color w:val="5D5D5B"/>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9 of 15</w:t>
      </w:r>
    </w:p>
    <w:p>
      <w:pPr>
        <w:sectPr>
          <w:pgSz w:w="11900" w:h="16838" w:orient="portrait"/>
          <w:cols w:equalWidth="0" w:num="1">
            <w:col w:w="11240"/>
          </w:cols>
          <w:pgMar w:left="320" w:top="336" w:right="339" w:bottom="1440" w:gutter="0" w:footer="0" w:header="0"/>
        </w:sectPr>
      </w:pPr>
    </w:p>
    <w:bookmarkStart w:id="139" w:name="page140"/>
    <w:bookmarkEnd w:id="139"/>
    <w:p>
      <w:pPr>
        <w:ind w:left="448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55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8">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22"/>
          <w:szCs w:val="22"/>
          <w:b w:val="1"/>
          <w:bCs w:val="1"/>
          <w:i w:val="1"/>
          <w:iCs w:val="1"/>
          <w:color w:val="363636"/>
        </w:rPr>
        <w:t>Exclusions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363636"/>
        </w:rPr>
        <w:t>(continued)</w:t>
      </w:r>
    </w:p>
    <w:p>
      <w:pPr>
        <w:spacing w:after="0" w:line="249" w:lineRule="exact"/>
        <w:rPr>
          <w:sz w:val="20"/>
          <w:szCs w:val="20"/>
          <w:color w:val="auto"/>
        </w:rPr>
      </w:pPr>
    </w:p>
    <w:p>
      <w:pPr>
        <w:jc w:val="both"/>
        <w:ind w:left="460"/>
        <w:spacing w:after="0" w:line="351" w:lineRule="auto"/>
        <w:rPr>
          <w:sz w:val="20"/>
          <w:szCs w:val="20"/>
          <w:color w:val="auto"/>
        </w:rPr>
      </w:pPr>
      <w:r>
        <w:rPr>
          <w:rFonts w:ascii="Arial" w:cs="Arial" w:eastAsia="Arial" w:hAnsi="Arial"/>
          <w:sz w:val="16"/>
          <w:szCs w:val="16"/>
          <w:b w:val="1"/>
          <w:bCs w:val="1"/>
          <w:color w:val="363636"/>
        </w:rPr>
        <w:t xml:space="preserve">Employment discrimination </w:t>
      </w:r>
      <w:r>
        <w:rPr>
          <w:rFonts w:ascii="Arial" w:cs="Arial" w:eastAsia="Arial" w:hAnsi="Arial"/>
          <w:sz w:val="16"/>
          <w:szCs w:val="16"/>
          <w:color w:val="363636"/>
        </w:rPr>
        <w:t>as it relates solely to a wrongful employment act means a violation of applicable employment discrimination law protecting any</w:t>
      </w:r>
      <w:r>
        <w:rPr>
          <w:rFonts w:ascii="Arial" w:cs="Arial" w:eastAsia="Arial" w:hAnsi="Arial"/>
          <w:sz w:val="16"/>
          <w:szCs w:val="16"/>
          <w:b w:val="1"/>
          <w:bCs w:val="1"/>
          <w:color w:val="363636"/>
        </w:rPr>
        <w:t xml:space="preserve"> </w:t>
      </w:r>
      <w:r>
        <w:rPr>
          <w:rFonts w:ascii="Arial" w:cs="Arial" w:eastAsia="Arial" w:hAnsi="Arial"/>
          <w:sz w:val="16"/>
          <w:szCs w:val="16"/>
          <w:color w:val="363636"/>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43" w:lineRule="exact"/>
        <w:rPr>
          <w:sz w:val="20"/>
          <w:szCs w:val="20"/>
          <w:color w:val="auto"/>
        </w:rPr>
      </w:pPr>
    </w:p>
    <w:p>
      <w:pPr>
        <w:ind w:left="460" w:right="340"/>
        <w:spacing w:after="0" w:line="262" w:lineRule="auto"/>
        <w:rPr>
          <w:sz w:val="20"/>
          <w:szCs w:val="20"/>
          <w:color w:val="auto"/>
        </w:rPr>
      </w:pPr>
      <w:r>
        <w:rPr>
          <w:rFonts w:ascii="Arial" w:cs="Arial" w:eastAsia="Arial" w:hAnsi="Arial"/>
          <w:sz w:val="16"/>
          <w:szCs w:val="16"/>
          <w:b w:val="1"/>
          <w:bCs w:val="1"/>
          <w:color w:val="363636"/>
        </w:rPr>
        <w:t xml:space="preserve">Sexual harassment </w:t>
      </w:r>
      <w:r>
        <w:rPr>
          <w:rFonts w:ascii="Arial" w:cs="Arial" w:eastAsia="Arial" w:hAnsi="Arial"/>
          <w:sz w:val="16"/>
          <w:szCs w:val="16"/>
          <w:color w:val="363636"/>
        </w:rPr>
        <w:t>as it relates solely to a wrongful employment act means unwelcome sexual advances, requests for sexual favors, or other conduct of a sexual</w:t>
      </w:r>
      <w:r>
        <w:rPr>
          <w:rFonts w:ascii="Arial" w:cs="Arial" w:eastAsia="Arial" w:hAnsi="Arial"/>
          <w:sz w:val="16"/>
          <w:szCs w:val="16"/>
          <w:b w:val="1"/>
          <w:bCs w:val="1"/>
          <w:color w:val="363636"/>
        </w:rPr>
        <w:t xml:space="preserve"> </w:t>
      </w:r>
      <w:r>
        <w:rPr>
          <w:rFonts w:ascii="Arial" w:cs="Arial" w:eastAsia="Arial" w:hAnsi="Arial"/>
          <w:sz w:val="16"/>
          <w:szCs w:val="16"/>
          <w:color w:val="363636"/>
        </w:rPr>
        <w:t>nature that:</w:t>
      </w:r>
    </w:p>
    <w:p>
      <w:pPr>
        <w:ind w:left="740" w:hanging="246"/>
        <w:spacing w:after="0" w:line="237" w:lineRule="auto"/>
        <w:tabs>
          <w:tab w:leader="none" w:pos="740" w:val="left"/>
        </w:tabs>
        <w:numPr>
          <w:ilvl w:val="0"/>
          <w:numId w:val="103"/>
        </w:numPr>
        <w:rPr>
          <w:rFonts w:ascii="Arial" w:cs="Arial" w:eastAsia="Arial" w:hAnsi="Arial"/>
          <w:sz w:val="20"/>
          <w:szCs w:val="20"/>
          <w:color w:val="auto"/>
        </w:rPr>
      </w:pPr>
      <w:r>
        <w:rPr>
          <w:rFonts w:ascii="Arial" w:cs="Arial" w:eastAsia="Arial" w:hAnsi="Arial"/>
          <w:sz w:val="16"/>
          <w:szCs w:val="16"/>
          <w:color w:val="363636"/>
        </w:rPr>
        <w:t>is made a condition of employment of any residential staff;</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03"/>
        </w:numPr>
        <w:rPr>
          <w:rFonts w:ascii="Arial" w:cs="Arial" w:eastAsia="Arial" w:hAnsi="Arial"/>
          <w:sz w:val="20"/>
          <w:szCs w:val="20"/>
          <w:color w:val="auto"/>
        </w:rPr>
      </w:pPr>
      <w:r>
        <w:rPr>
          <w:rFonts w:ascii="Arial" w:cs="Arial" w:eastAsia="Arial" w:hAnsi="Arial"/>
          <w:sz w:val="16"/>
          <w:szCs w:val="16"/>
          <w:color w:val="363636"/>
        </w:rPr>
        <w:t>is used as a basis for employment decisions;</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03"/>
        </w:numPr>
        <w:rPr>
          <w:rFonts w:ascii="Arial" w:cs="Arial" w:eastAsia="Arial" w:hAnsi="Arial"/>
          <w:sz w:val="20"/>
          <w:szCs w:val="20"/>
          <w:color w:val="auto"/>
        </w:rPr>
      </w:pPr>
      <w:r>
        <w:rPr>
          <w:rFonts w:ascii="Arial" w:cs="Arial" w:eastAsia="Arial" w:hAnsi="Arial"/>
          <w:sz w:val="16"/>
          <w:szCs w:val="16"/>
          <w:color w:val="363636"/>
        </w:rPr>
        <w:t>interferes with performance of any residential staff's duties; or</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03"/>
        </w:numPr>
        <w:rPr>
          <w:rFonts w:ascii="Arial" w:cs="Arial" w:eastAsia="Arial" w:hAnsi="Arial"/>
          <w:sz w:val="20"/>
          <w:szCs w:val="20"/>
          <w:color w:val="auto"/>
        </w:rPr>
      </w:pPr>
      <w:r>
        <w:rPr>
          <w:rFonts w:ascii="Arial" w:cs="Arial" w:eastAsia="Arial" w:hAnsi="Arial"/>
          <w:sz w:val="16"/>
          <w:szCs w:val="16"/>
          <w:color w:val="363636"/>
        </w:rPr>
        <w:t>creates an intimidating, hostile, or offensive working environment.</w:t>
      </w:r>
    </w:p>
    <w:p>
      <w:pPr>
        <w:spacing w:after="0" w:line="378" w:lineRule="exact"/>
        <w:rPr>
          <w:sz w:val="20"/>
          <w:szCs w:val="20"/>
          <w:color w:val="auto"/>
        </w:rPr>
      </w:pPr>
    </w:p>
    <w:p>
      <w:pPr>
        <w:ind w:left="760" w:hanging="307"/>
        <w:spacing w:after="0"/>
        <w:tabs>
          <w:tab w:leader="none" w:pos="760" w:val="left"/>
        </w:tabs>
        <w:numPr>
          <w:ilvl w:val="0"/>
          <w:numId w:val="104"/>
        </w:numPr>
        <w:rPr>
          <w:rFonts w:ascii="Arial" w:cs="Arial" w:eastAsia="Arial" w:hAnsi="Arial"/>
          <w:sz w:val="20"/>
          <w:szCs w:val="20"/>
          <w:color w:val="auto"/>
        </w:rPr>
      </w:pPr>
      <w:r>
        <w:rPr>
          <w:rFonts w:ascii="Arial" w:cs="Arial" w:eastAsia="Arial" w:hAnsi="Arial"/>
          <w:sz w:val="16"/>
          <w:szCs w:val="16"/>
          <w:color w:val="363636"/>
        </w:rPr>
        <w:t>the actual or constructive termination of employment of any residential staff by you or a family member in violation of applicable employment law; or</w:t>
      </w:r>
    </w:p>
    <w:p>
      <w:pPr>
        <w:spacing w:after="0" w:line="80" w:lineRule="exact"/>
        <w:rPr>
          <w:rFonts w:ascii="Arial" w:cs="Arial" w:eastAsia="Arial" w:hAnsi="Arial"/>
          <w:sz w:val="20"/>
          <w:szCs w:val="20"/>
          <w:color w:val="auto"/>
        </w:rPr>
      </w:pPr>
    </w:p>
    <w:p>
      <w:pPr>
        <w:ind w:left="760" w:hanging="307"/>
        <w:spacing w:after="0"/>
        <w:tabs>
          <w:tab w:leader="none" w:pos="760" w:val="left"/>
        </w:tabs>
        <w:numPr>
          <w:ilvl w:val="0"/>
          <w:numId w:val="104"/>
        </w:numPr>
        <w:rPr>
          <w:rFonts w:ascii="Arial" w:cs="Arial" w:eastAsia="Arial" w:hAnsi="Arial"/>
          <w:sz w:val="20"/>
          <w:szCs w:val="20"/>
          <w:color w:val="auto"/>
        </w:rPr>
      </w:pPr>
      <w:r>
        <w:rPr>
          <w:rFonts w:ascii="Arial" w:cs="Arial" w:eastAsia="Arial" w:hAnsi="Arial"/>
          <w:sz w:val="16"/>
          <w:szCs w:val="16"/>
          <w:color w:val="363636"/>
        </w:rPr>
        <w:t>breach of duty and care when you or a family member terminates an employment relationship with any residential staff.</w:t>
      </w:r>
    </w:p>
    <w:p>
      <w:pPr>
        <w:spacing w:after="0" w:line="374" w:lineRule="exact"/>
        <w:rPr>
          <w:sz w:val="20"/>
          <w:szCs w:val="20"/>
          <w:color w:val="auto"/>
        </w:rPr>
      </w:pPr>
    </w:p>
    <w:p>
      <w:pPr>
        <w:ind w:left="740" w:right="220" w:hanging="246"/>
        <w:spacing w:after="0" w:line="332" w:lineRule="auto"/>
        <w:tabs>
          <w:tab w:leader="none" w:pos="740" w:val="left"/>
        </w:tabs>
        <w:numPr>
          <w:ilvl w:val="0"/>
          <w:numId w:val="105"/>
        </w:numPr>
        <w:rPr>
          <w:rFonts w:ascii="Arial" w:cs="Arial" w:eastAsia="Arial" w:hAnsi="Arial"/>
          <w:sz w:val="20"/>
          <w:szCs w:val="20"/>
          <w:color w:val="auto"/>
        </w:rPr>
      </w:pPr>
      <w:r>
        <w:rPr>
          <w:rFonts w:ascii="Arial" w:cs="Arial" w:eastAsia="Arial" w:hAnsi="Arial"/>
          <w:sz w:val="16"/>
          <w:szCs w:val="16"/>
          <w:color w:val="363636"/>
        </w:rPr>
        <w:t>employed by you or a family member, or through a firm under an agreement with you or a family member, to perform duties related only to a covered person's domestic, personal, or business pursuits covered under this part of your policy;</w:t>
      </w:r>
    </w:p>
    <w:p>
      <w:pPr>
        <w:ind w:left="740" w:hanging="246"/>
        <w:spacing w:after="0"/>
        <w:tabs>
          <w:tab w:leader="none" w:pos="740" w:val="left"/>
        </w:tabs>
        <w:numPr>
          <w:ilvl w:val="0"/>
          <w:numId w:val="105"/>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05"/>
        </w:numPr>
        <w:rPr>
          <w:rFonts w:ascii="Arial" w:cs="Arial" w:eastAsia="Arial" w:hAnsi="Arial"/>
          <w:sz w:val="20"/>
          <w:szCs w:val="20"/>
          <w:color w:val="auto"/>
        </w:rPr>
      </w:pPr>
      <w:r>
        <w:rPr>
          <w:rFonts w:ascii="Arial" w:cs="Arial" w:eastAsia="Arial" w:hAnsi="Arial"/>
          <w:sz w:val="16"/>
          <w:szCs w:val="16"/>
          <w:color w:val="363636"/>
        </w:rPr>
        <w:t>employed regularly to work 15 or more hours per week.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0" w:right="180" w:hanging="333"/>
        <w:spacing w:after="0" w:line="348" w:lineRule="auto"/>
        <w:tabs>
          <w:tab w:leader="none" w:pos="782" w:val="left"/>
        </w:tabs>
        <w:numPr>
          <w:ilvl w:val="0"/>
          <w:numId w:val="106"/>
        </w:numPr>
        <w:rPr>
          <w:rFonts w:ascii="Arial" w:cs="Arial" w:eastAsia="Arial" w:hAnsi="Arial"/>
          <w:sz w:val="20"/>
          <w:szCs w:val="20"/>
          <w:color w:val="auto"/>
        </w:rPr>
      </w:pPr>
      <w:r>
        <w:rPr>
          <w:rFonts w:ascii="Arial" w:cs="Arial" w:eastAsia="Arial" w:hAnsi="Arial"/>
          <w:sz w:val="16"/>
          <w:szCs w:val="16"/>
          <w:color w:val="363636"/>
        </w:rPr>
        <w:t xml:space="preserve">employed by you or </w:t>
      </w:r>
      <w:r>
        <w:rPr>
          <w:rFonts w:ascii="Arial" w:cs="Arial" w:eastAsia="Arial" w:hAnsi="Arial"/>
          <w:sz w:val="16"/>
          <w:szCs w:val="16"/>
          <w:color w:val="4F4F4D"/>
        </w:rPr>
        <w:t>a</w:t>
      </w:r>
      <w:r>
        <w:rPr>
          <w:rFonts w:ascii="Arial" w:cs="Arial" w:eastAsia="Arial" w:hAnsi="Arial"/>
          <w:sz w:val="16"/>
          <w:szCs w:val="16"/>
          <w:color w:val="363636"/>
        </w:rPr>
        <w:t xml:space="preserve"> family member, or through a firm under an agreement with you or a family member, to perform duties related only to a covered person's domestic, personal, or business pursuits covered under this part of your policy;</w:t>
      </w:r>
    </w:p>
    <w:p>
      <w:pPr>
        <w:ind w:left="780" w:hanging="313"/>
        <w:spacing w:after="0"/>
        <w:tabs>
          <w:tab w:leader="none" w:pos="780" w:val="left"/>
        </w:tabs>
        <w:numPr>
          <w:ilvl w:val="0"/>
          <w:numId w:val="106"/>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78" w:lineRule="exact"/>
        <w:rPr>
          <w:rFonts w:ascii="Arial" w:cs="Arial" w:eastAsia="Arial" w:hAnsi="Arial"/>
          <w:sz w:val="20"/>
          <w:szCs w:val="20"/>
          <w:color w:val="auto"/>
        </w:rPr>
      </w:pPr>
    </w:p>
    <w:p>
      <w:pPr>
        <w:ind w:left="800" w:hanging="333"/>
        <w:spacing w:after="0"/>
        <w:tabs>
          <w:tab w:leader="none" w:pos="800" w:val="left"/>
        </w:tabs>
        <w:numPr>
          <w:ilvl w:val="0"/>
          <w:numId w:val="106"/>
        </w:numPr>
        <w:rPr>
          <w:rFonts w:ascii="Arial" w:cs="Arial" w:eastAsia="Arial" w:hAnsi="Arial"/>
          <w:sz w:val="19"/>
          <w:szCs w:val="19"/>
          <w:color w:val="auto"/>
        </w:rPr>
      </w:pPr>
      <w:r>
        <w:rPr>
          <w:rFonts w:ascii="Arial" w:cs="Arial" w:eastAsia="Arial" w:hAnsi="Arial"/>
          <w:sz w:val="15"/>
          <w:szCs w:val="15"/>
          <w:color w:val="363636"/>
        </w:rPr>
        <w:t>employed to work 15 or more hours per week to substitute for any residential staff on leave or to meet seasonal or short- term workload demands for 30</w:t>
      </w:r>
    </w:p>
    <w:p>
      <w:pPr>
        <w:spacing w:after="0" w:line="91" w:lineRule="exact"/>
        <w:rPr>
          <w:sz w:val="20"/>
          <w:szCs w:val="20"/>
          <w:color w:val="auto"/>
        </w:rPr>
      </w:pPr>
    </w:p>
    <w:p>
      <w:pPr>
        <w:ind w:left="800"/>
        <w:spacing w:after="0"/>
        <w:rPr>
          <w:sz w:val="20"/>
          <w:szCs w:val="20"/>
          <w:color w:val="auto"/>
        </w:rPr>
      </w:pPr>
      <w:r>
        <w:rPr>
          <w:rFonts w:ascii="Arial" w:cs="Arial" w:eastAsia="Arial" w:hAnsi="Arial"/>
          <w:sz w:val="16"/>
          <w:szCs w:val="16"/>
          <w:color w:val="363636"/>
        </w:rPr>
        <w:t>consecutive days or longer during a 6 month period.</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363636"/>
        </w:rPr>
        <w:t>Temporary worker does not include an independent contractor or any covered person.</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363636"/>
        </w:rPr>
        <w:t xml:space="preserve">Discrimination. </w:t>
      </w:r>
      <w:r>
        <w:rPr>
          <w:rFonts w:ascii="Arial" w:cs="Arial" w:eastAsia="Arial" w:hAnsi="Arial"/>
          <w:sz w:val="15"/>
          <w:szCs w:val="15"/>
          <w:color w:val="363636"/>
        </w:rPr>
        <w:t>We do not cover any damages arising out of discrimination due to age, race, color, sex, creed, national origin, or any other discrimination.</w:t>
      </w:r>
    </w:p>
    <w:p>
      <w:pPr>
        <w:spacing w:after="0" w:line="125"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b w:val="1"/>
          <w:bCs w:val="1"/>
          <w:color w:val="363636"/>
        </w:rPr>
        <w:t xml:space="preserve">Intentional acts. </w:t>
      </w:r>
      <w:r>
        <w:rPr>
          <w:rFonts w:ascii="Arial" w:cs="Arial" w:eastAsia="Arial" w:hAnsi="Arial"/>
          <w:sz w:val="16"/>
          <w:szCs w:val="16"/>
          <w:color w:val="363636"/>
        </w:rPr>
        <w:t>We do not cover any damages arising out</w:t>
      </w:r>
      <w:r>
        <w:rPr>
          <w:rFonts w:ascii="Arial" w:cs="Arial" w:eastAsia="Arial" w:hAnsi="Arial"/>
          <w:sz w:val="16"/>
          <w:szCs w:val="16"/>
          <w:b w:val="1"/>
          <w:bCs w:val="1"/>
          <w:color w:val="363636"/>
        </w:rPr>
        <w:t xml:space="preserve"> </w:t>
      </w:r>
      <w:r>
        <w:rPr>
          <w:rFonts w:ascii="Arial" w:cs="Arial" w:eastAsia="Arial" w:hAnsi="Arial"/>
          <w:sz w:val="16"/>
          <w:szCs w:val="16"/>
          <w:color w:val="4F4F4D"/>
        </w:rPr>
        <w:t>of</w:t>
      </w:r>
      <w:r>
        <w:rPr>
          <w:rFonts w:ascii="Arial" w:cs="Arial" w:eastAsia="Arial" w:hAnsi="Arial"/>
          <w:sz w:val="16"/>
          <w:szCs w:val="16"/>
          <w:b w:val="1"/>
          <w:bCs w:val="1"/>
          <w:color w:val="363636"/>
        </w:rPr>
        <w:t xml:space="preserve"> </w:t>
      </w:r>
      <w:r>
        <w:rPr>
          <w:rFonts w:ascii="Arial" w:cs="Arial" w:eastAsia="Arial" w:hAnsi="Arial"/>
          <w:sz w:val="16"/>
          <w:szCs w:val="16"/>
          <w:color w:val="363636"/>
        </w:rPr>
        <w:t>a willful, malicious, fraudulent or dishonest act or any act intended by any covered person to cause</w:t>
      </w:r>
      <w:r>
        <w:rPr>
          <w:rFonts w:ascii="Arial" w:cs="Arial" w:eastAsia="Arial" w:hAnsi="Arial"/>
          <w:sz w:val="16"/>
          <w:szCs w:val="16"/>
          <w:b w:val="1"/>
          <w:bCs w:val="1"/>
          <w:color w:val="363636"/>
        </w:rPr>
        <w:t xml:space="preserve"> </w:t>
      </w:r>
      <w:r>
        <w:rPr>
          <w:rFonts w:ascii="Arial" w:cs="Arial" w:eastAsia="Arial" w:hAnsi="Arial"/>
          <w:sz w:val="16"/>
          <w:szCs w:val="16"/>
          <w:color w:val="363636"/>
        </w:rPr>
        <w:t>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Molestation, misconduct or abuse. </w:t>
      </w:r>
      <w:r>
        <w:rPr>
          <w:rFonts w:ascii="Arial" w:cs="Arial" w:eastAsia="Arial" w:hAnsi="Arial"/>
          <w:sz w:val="16"/>
          <w:szCs w:val="16"/>
          <w:color w:val="363636"/>
        </w:rPr>
        <w:t>We do not cover any damages arising out of any actual, alleged or threatened:</w:t>
      </w:r>
    </w:p>
    <w:p>
      <w:pPr>
        <w:ind w:left="820" w:hanging="326"/>
        <w:spacing w:after="0" w:line="238" w:lineRule="auto"/>
        <w:tabs>
          <w:tab w:leader="none" w:pos="820" w:val="left"/>
        </w:tabs>
        <w:numPr>
          <w:ilvl w:val="0"/>
          <w:numId w:val="107"/>
        </w:numPr>
        <w:rPr>
          <w:rFonts w:ascii="Arial" w:cs="Arial" w:eastAsia="Arial" w:hAnsi="Arial"/>
          <w:sz w:val="20"/>
          <w:szCs w:val="20"/>
          <w:color w:val="auto"/>
        </w:rPr>
      </w:pPr>
      <w:r>
        <w:rPr>
          <w:rFonts w:ascii="Arial" w:cs="Arial" w:eastAsia="Arial" w:hAnsi="Arial"/>
          <w:sz w:val="16"/>
          <w:szCs w:val="16"/>
          <w:color w:val="363636"/>
        </w:rPr>
        <w:t>sexual molestation;</w:t>
      </w:r>
    </w:p>
    <w:p>
      <w:pPr>
        <w:spacing w:after="0" w:line="24" w:lineRule="exact"/>
        <w:rPr>
          <w:rFonts w:ascii="Arial" w:cs="Arial" w:eastAsia="Arial" w:hAnsi="Arial"/>
          <w:sz w:val="20"/>
          <w:szCs w:val="20"/>
          <w:color w:val="auto"/>
        </w:rPr>
      </w:pPr>
    </w:p>
    <w:p>
      <w:pPr>
        <w:ind w:left="820" w:hanging="326"/>
        <w:spacing w:after="0" w:line="214" w:lineRule="auto"/>
        <w:tabs>
          <w:tab w:leader="none" w:pos="820" w:val="left"/>
        </w:tabs>
        <w:numPr>
          <w:ilvl w:val="0"/>
          <w:numId w:val="107"/>
        </w:numPr>
        <w:rPr>
          <w:rFonts w:ascii="Arial" w:cs="Arial" w:eastAsia="Arial" w:hAnsi="Arial"/>
          <w:sz w:val="20"/>
          <w:szCs w:val="20"/>
          <w:color w:val="auto"/>
        </w:rPr>
      </w:pPr>
      <w:r>
        <w:rPr>
          <w:rFonts w:ascii="Arial" w:cs="Arial" w:eastAsia="Arial" w:hAnsi="Arial"/>
          <w:sz w:val="16"/>
          <w:szCs w:val="16"/>
          <w:color w:val="363636"/>
        </w:rPr>
        <w:t>sexual misconduct or harassment; or</w:t>
      </w:r>
    </w:p>
    <w:p>
      <w:pPr>
        <w:spacing w:after="0" w:line="24" w:lineRule="exact"/>
        <w:rPr>
          <w:rFonts w:ascii="Arial" w:cs="Arial" w:eastAsia="Arial" w:hAnsi="Arial"/>
          <w:sz w:val="20"/>
          <w:szCs w:val="20"/>
          <w:color w:val="auto"/>
        </w:rPr>
      </w:pPr>
    </w:p>
    <w:p>
      <w:pPr>
        <w:ind w:left="820" w:hanging="326"/>
        <w:spacing w:after="0" w:line="214" w:lineRule="auto"/>
        <w:tabs>
          <w:tab w:leader="none" w:pos="820" w:val="left"/>
        </w:tabs>
        <w:numPr>
          <w:ilvl w:val="0"/>
          <w:numId w:val="107"/>
        </w:numPr>
        <w:rPr>
          <w:rFonts w:ascii="Arial" w:cs="Arial" w:eastAsia="Arial" w:hAnsi="Arial"/>
          <w:sz w:val="20"/>
          <w:szCs w:val="20"/>
          <w:color w:val="auto"/>
        </w:rPr>
      </w:pPr>
      <w:r>
        <w:rPr>
          <w:rFonts w:ascii="Arial" w:cs="Arial" w:eastAsia="Arial" w:hAnsi="Arial"/>
          <w:sz w:val="16"/>
          <w:szCs w:val="16"/>
          <w:color w:val="363636"/>
        </w:rPr>
        <w:t>abuse</w:t>
      </w:r>
      <w:r>
        <w:rPr>
          <w:rFonts w:ascii="Arial" w:cs="Arial" w:eastAsia="Arial" w:hAnsi="Arial"/>
          <w:sz w:val="16"/>
          <w:szCs w:val="16"/>
          <w:color w:val="7C7C7B"/>
        </w:rPr>
        <w:t>.</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Nonpermissive use. </w:t>
      </w:r>
      <w:r>
        <w:rPr>
          <w:rFonts w:ascii="Arial" w:cs="Arial" w:eastAsia="Arial" w:hAnsi="Arial"/>
          <w:sz w:val="16"/>
          <w:szCs w:val="16"/>
          <w:color w:val="363636"/>
        </w:rPr>
        <w:t>We do not cover any person who uses a motorized land vehicle or watercraft without permission from you or a family member.</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10 of 15</w:t>
      </w:r>
    </w:p>
    <w:p>
      <w:pPr>
        <w:sectPr>
          <w:pgSz w:w="11900" w:h="16838" w:orient="portrait"/>
          <w:cols w:equalWidth="0" w:num="1">
            <w:col w:w="11240"/>
          </w:cols>
          <w:pgMar w:left="320" w:top="514" w:right="339" w:bottom="1440" w:gutter="0" w:footer="0" w:header="0"/>
        </w:sectPr>
      </w:pPr>
    </w:p>
    <w:bookmarkStart w:id="140" w:name="page141"/>
    <w:bookmarkEnd w:id="140"/>
    <w:p>
      <w:pPr>
        <w:ind w:left="120"/>
        <w:spacing w:after="0"/>
        <w:rPr>
          <w:sz w:val="20"/>
          <w:szCs w:val="20"/>
          <w:color w:val="auto"/>
        </w:rPr>
      </w:pPr>
      <w:r>
        <w:rPr>
          <w:rFonts w:ascii="Arial" w:cs="Arial" w:eastAsia="Arial" w:hAnsi="Arial"/>
          <w:sz w:val="22"/>
          <w:szCs w:val="22"/>
          <w:b w:val="1"/>
          <w:bCs w:val="1"/>
          <w:i w:val="1"/>
          <w:iCs w:val="1"/>
          <w:color w:val="363636"/>
        </w:rPr>
        <w:t>Exclusions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341"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b w:val="1"/>
          <w:bCs w:val="1"/>
          <w:color w:val="363636"/>
        </w:rPr>
        <w:t xml:space="preserve">Business </w:t>
      </w:r>
      <w:r>
        <w:rPr>
          <w:rFonts w:ascii="Arial" w:cs="Arial" w:eastAsia="Arial" w:hAnsi="Arial"/>
          <w:sz w:val="16"/>
          <w:szCs w:val="16"/>
          <w:b w:val="1"/>
          <w:bCs w:val="1"/>
          <w:color w:val="363636"/>
        </w:rPr>
        <w:t>pursuits.</w:t>
      </w:r>
      <w:r>
        <w:rPr>
          <w:rFonts w:ascii="Arial" w:cs="Arial" w:eastAsia="Arial" w:hAnsi="Arial"/>
          <w:sz w:val="18"/>
          <w:szCs w:val="18"/>
          <w:b w:val="1"/>
          <w:bCs w:val="1"/>
          <w:color w:val="363636"/>
        </w:rPr>
        <w:t xml:space="preserve"> </w:t>
      </w:r>
      <w:r>
        <w:rPr>
          <w:rFonts w:ascii="Arial" w:cs="Arial" w:eastAsia="Arial" w:hAnsi="Arial"/>
          <w:sz w:val="16"/>
          <w:szCs w:val="16"/>
          <w:color w:val="363636"/>
        </w:rPr>
        <w:t>We do not cover any damages arising out of a covered person's business pursuits, investment or other for-profit activities, for the account of a covered</w:t>
      </w:r>
      <w:r>
        <w:rPr>
          <w:rFonts w:ascii="Arial" w:cs="Arial" w:eastAsia="Arial" w:hAnsi="Arial"/>
          <w:sz w:val="18"/>
          <w:szCs w:val="18"/>
          <w:b w:val="1"/>
          <w:bCs w:val="1"/>
          <w:color w:val="363636"/>
        </w:rPr>
        <w:t xml:space="preserve"> </w:t>
      </w:r>
      <w:r>
        <w:rPr>
          <w:rFonts w:ascii="Arial" w:cs="Arial" w:eastAsia="Arial" w:hAnsi="Arial"/>
          <w:sz w:val="16"/>
          <w:szCs w:val="16"/>
          <w:color w:val="363636"/>
        </w:rPr>
        <w:t>person or others, or business property except on a follow form basis.</w:t>
      </w:r>
    </w:p>
    <w:p>
      <w:pPr>
        <w:spacing w:after="0" w:line="115" w:lineRule="exact"/>
        <w:rPr>
          <w:sz w:val="20"/>
          <w:szCs w:val="20"/>
          <w:color w:val="auto"/>
        </w:rPr>
      </w:pPr>
    </w:p>
    <w:p>
      <w:pPr>
        <w:jc w:val="both"/>
        <w:ind w:left="120"/>
        <w:spacing w:after="0" w:line="326" w:lineRule="auto"/>
        <w:rPr>
          <w:sz w:val="20"/>
          <w:szCs w:val="20"/>
          <w:color w:val="auto"/>
        </w:rPr>
      </w:pPr>
      <w:r>
        <w:rPr>
          <w:rFonts w:ascii="Arial" w:cs="Arial" w:eastAsia="Arial" w:hAnsi="Arial"/>
          <w:sz w:val="16"/>
          <w:szCs w:val="16"/>
          <w:color w:val="363636"/>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w:t>
      </w:r>
      <w:r>
        <w:rPr>
          <w:rFonts w:ascii="Arial" w:cs="Arial" w:eastAsia="Arial" w:hAnsi="Arial"/>
          <w:sz w:val="16"/>
          <w:szCs w:val="16"/>
          <w:color w:val="4F4F4D"/>
        </w:rPr>
        <w:t>'</w:t>
      </w:r>
      <w:r>
        <w:rPr>
          <w:rFonts w:ascii="Arial" w:cs="Arial" w:eastAsia="Arial" w:hAnsi="Arial"/>
          <w:sz w:val="16"/>
          <w:szCs w:val="16"/>
          <w:color w:val="363636"/>
        </w:rPr>
        <w:t xml:space="preserve"> s ownership, maintenance, or use of a private passenger motor vehicle in business activities other than selling, repairing</w:t>
      </w:r>
      <w:r>
        <w:rPr>
          <w:rFonts w:ascii="Arial" w:cs="Arial" w:eastAsia="Arial" w:hAnsi="Arial"/>
          <w:sz w:val="16"/>
          <w:szCs w:val="16"/>
          <w:color w:val="4F4F4D"/>
        </w:rPr>
        <w:t>,</w:t>
      </w:r>
      <w:r>
        <w:rPr>
          <w:rFonts w:ascii="Arial" w:cs="Arial" w:eastAsia="Arial" w:hAnsi="Arial"/>
          <w:sz w:val="16"/>
          <w:szCs w:val="16"/>
          <w:color w:val="363636"/>
        </w:rPr>
        <w:t xml:space="preserve"> servicing, storing, parking, testing, or delivering motorized land vehicles.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Unless stated otherwise in your Coverage Summary</w:t>
      </w:r>
      <w:r>
        <w:rPr>
          <w:rFonts w:ascii="Arial" w:cs="Arial" w:eastAsia="Arial" w:hAnsi="Arial"/>
          <w:sz w:val="16"/>
          <w:szCs w:val="16"/>
          <w:color w:val="4F4F4D"/>
        </w:rPr>
        <w:t>:</w:t>
      </w:r>
    </w:p>
    <w:p>
      <w:pPr>
        <w:spacing w:after="0" w:line="167" w:lineRule="exact"/>
        <w:rPr>
          <w:sz w:val="20"/>
          <w:szCs w:val="20"/>
          <w:color w:val="auto"/>
        </w:rPr>
      </w:pPr>
    </w:p>
    <w:p>
      <w:pPr>
        <w:ind w:left="120" w:right="240"/>
        <w:spacing w:after="0" w:line="308" w:lineRule="auto"/>
        <w:rPr>
          <w:sz w:val="20"/>
          <w:szCs w:val="20"/>
          <w:color w:val="auto"/>
        </w:rPr>
      </w:pPr>
      <w:r>
        <w:rPr>
          <w:rFonts w:ascii="Arial" w:cs="Arial" w:eastAsia="Arial" w:hAnsi="Arial"/>
          <w:sz w:val="16"/>
          <w:szCs w:val="16"/>
          <w:color w:val="363636"/>
        </w:rPr>
        <w:t>"Incidental business away from home</w:t>
      </w:r>
      <w:r>
        <w:rPr>
          <w:rFonts w:ascii="Arial" w:cs="Arial" w:eastAsia="Arial" w:hAnsi="Arial"/>
          <w:sz w:val="16"/>
          <w:szCs w:val="16"/>
          <w:color w:val="4F4F4D"/>
        </w:rPr>
        <w:t>"</w:t>
      </w:r>
      <w:r>
        <w:rPr>
          <w:rFonts w:ascii="Arial" w:cs="Arial" w:eastAsia="Arial" w:hAnsi="Arial"/>
          <w:sz w:val="16"/>
          <w:szCs w:val="16"/>
          <w:color w:val="363636"/>
        </w:rPr>
        <w:t xml:space="preserve"> is a self-employed sales activity, or a self-employed business activity normally undertaken by person under the age of 18 such as newspaper delivery</w:t>
      </w:r>
      <w:r>
        <w:rPr>
          <w:rFonts w:ascii="Arial" w:cs="Arial" w:eastAsia="Arial" w:hAnsi="Arial"/>
          <w:sz w:val="16"/>
          <w:szCs w:val="16"/>
          <w:color w:val="4F4F4D"/>
        </w:rPr>
        <w:t>,</w:t>
      </w:r>
      <w:r>
        <w:rPr>
          <w:rFonts w:ascii="Arial" w:cs="Arial" w:eastAsia="Arial" w:hAnsi="Arial"/>
          <w:sz w:val="16"/>
          <w:szCs w:val="16"/>
          <w:color w:val="363636"/>
        </w:rPr>
        <w:t xml:space="preserve"> babysitting, caddying, and lawn care. Either of these activities must:</w:t>
      </w:r>
    </w:p>
    <w:p>
      <w:pPr>
        <w:ind w:left="440" w:hanging="297"/>
        <w:spacing w:after="0"/>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363636"/>
        </w:rPr>
        <w:t>not yield gross revenues in excess of $</w:t>
      </w:r>
      <w:r>
        <w:rPr>
          <w:rFonts w:ascii="Arial" w:cs="Arial" w:eastAsia="Arial" w:hAnsi="Arial"/>
          <w:sz w:val="16"/>
          <w:szCs w:val="16"/>
          <w:color w:val="4F4F4D"/>
        </w:rPr>
        <w:t>1</w:t>
      </w:r>
      <w:r>
        <w:rPr>
          <w:rFonts w:ascii="Arial" w:cs="Arial" w:eastAsia="Arial" w:hAnsi="Arial"/>
          <w:sz w:val="16"/>
          <w:szCs w:val="16"/>
          <w:color w:val="363636"/>
        </w:rPr>
        <w:t>5,000 in any year;</w:t>
      </w:r>
    </w:p>
    <w:p>
      <w:pPr>
        <w:spacing w:after="0" w:line="45" w:lineRule="exact"/>
        <w:rPr>
          <w:rFonts w:ascii="Arial" w:cs="Arial" w:eastAsia="Arial" w:hAnsi="Arial"/>
          <w:sz w:val="16"/>
          <w:szCs w:val="16"/>
          <w:color w:val="auto"/>
        </w:rPr>
      </w:pPr>
    </w:p>
    <w:p>
      <w:pPr>
        <w:ind w:left="440" w:hanging="297"/>
        <w:spacing w:after="0"/>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363636"/>
        </w:rPr>
        <w:t>have no employees subject to worke</w:t>
      </w:r>
      <w:r>
        <w:rPr>
          <w:rFonts w:ascii="Arial" w:cs="Arial" w:eastAsia="Arial" w:hAnsi="Arial"/>
          <w:sz w:val="16"/>
          <w:szCs w:val="16"/>
          <w:color w:val="4F4F4D"/>
        </w:rPr>
        <w:t>r’</w:t>
      </w:r>
      <w:r>
        <w:rPr>
          <w:rFonts w:ascii="Arial" w:cs="Arial" w:eastAsia="Arial" w:hAnsi="Arial"/>
          <w:sz w:val="16"/>
          <w:szCs w:val="16"/>
          <w:color w:val="363636"/>
        </w:rPr>
        <w:t>s compensation or other similar disability laws;</w:t>
      </w:r>
    </w:p>
    <w:p>
      <w:pPr>
        <w:spacing w:after="0" w:line="45" w:lineRule="exact"/>
        <w:rPr>
          <w:rFonts w:ascii="Arial" w:cs="Arial" w:eastAsia="Arial" w:hAnsi="Arial"/>
          <w:sz w:val="16"/>
          <w:szCs w:val="16"/>
          <w:color w:val="auto"/>
        </w:rPr>
      </w:pPr>
    </w:p>
    <w:p>
      <w:pPr>
        <w:ind w:left="420" w:hanging="277"/>
        <w:spacing w:after="0"/>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color w:val="363636"/>
        </w:rPr>
        <w:t>conform to local</w:t>
      </w:r>
      <w:r>
        <w:rPr>
          <w:rFonts w:ascii="Arial" w:cs="Arial" w:eastAsia="Arial" w:hAnsi="Arial"/>
          <w:sz w:val="16"/>
          <w:szCs w:val="16"/>
          <w:color w:val="4F4F4D"/>
        </w:rPr>
        <w:t>,</w:t>
      </w:r>
      <w:r>
        <w:rPr>
          <w:rFonts w:ascii="Arial" w:cs="Arial" w:eastAsia="Arial" w:hAnsi="Arial"/>
          <w:sz w:val="16"/>
          <w:szCs w:val="16"/>
          <w:color w:val="363636"/>
        </w:rPr>
        <w:t xml:space="preserve"> state, and federal laws.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business at home" is a business activity</w:t>
      </w:r>
      <w:r>
        <w:rPr>
          <w:rFonts w:ascii="Arial" w:cs="Arial" w:eastAsia="Arial" w:hAnsi="Arial"/>
          <w:sz w:val="16"/>
          <w:szCs w:val="16"/>
          <w:color w:val="4F4F4D"/>
        </w:rPr>
        <w:t>,</w:t>
      </w:r>
      <w:r>
        <w:rPr>
          <w:rFonts w:ascii="Arial" w:cs="Arial" w:eastAsia="Arial" w:hAnsi="Arial"/>
          <w:sz w:val="16"/>
          <w:szCs w:val="16"/>
          <w:color w:val="363636"/>
        </w:rPr>
        <w:t xml:space="preserve"> other than farming, conducted on your residence premises which must:</w:t>
      </w:r>
    </w:p>
    <w:p>
      <w:pPr>
        <w:spacing w:after="0" w:line="46" w:lineRule="exact"/>
        <w:rPr>
          <w:sz w:val="20"/>
          <w:szCs w:val="20"/>
          <w:color w:val="auto"/>
        </w:rPr>
      </w:pPr>
    </w:p>
    <w:p>
      <w:pPr>
        <w:ind w:left="160" w:right="2020" w:firstLine="10"/>
        <w:spacing w:after="0" w:line="308" w:lineRule="auto"/>
        <w:tabs>
          <w:tab w:leader="none" w:pos="417" w:val="left"/>
        </w:tabs>
        <w:numPr>
          <w:ilvl w:val="0"/>
          <w:numId w:val="109"/>
        </w:numPr>
        <w:rPr>
          <w:rFonts w:ascii="Arial" w:cs="Arial" w:eastAsia="Arial" w:hAnsi="Arial"/>
          <w:sz w:val="16"/>
          <w:szCs w:val="16"/>
          <w:color w:val="auto"/>
        </w:rPr>
      </w:pPr>
      <w:r>
        <w:rPr>
          <w:rFonts w:ascii="Arial" w:cs="Arial" w:eastAsia="Arial" w:hAnsi="Arial"/>
          <w:sz w:val="16"/>
          <w:szCs w:val="16"/>
          <w:color w:val="363636"/>
        </w:rPr>
        <w:t>not yield gross revenues in excess of $15,000</w:t>
      </w:r>
      <w:r>
        <w:rPr>
          <w:rFonts w:ascii="Arial" w:cs="Arial" w:eastAsia="Arial" w:hAnsi="Arial"/>
          <w:sz w:val="16"/>
          <w:szCs w:val="16"/>
          <w:color w:val="4F4F4D"/>
        </w:rPr>
        <w:t>,</w:t>
      </w:r>
      <w:r>
        <w:rPr>
          <w:rFonts w:ascii="Arial" w:cs="Arial" w:eastAsia="Arial" w:hAnsi="Arial"/>
          <w:sz w:val="16"/>
          <w:szCs w:val="16"/>
          <w:color w:val="363636"/>
        </w:rPr>
        <w:t xml:space="preserve"> in any year, except for the business activity of managing one's own personal investments; have no employees subject to w</w:t>
      </w:r>
      <w:r>
        <w:rPr>
          <w:rFonts w:ascii="Arial" w:cs="Arial" w:eastAsia="Arial" w:hAnsi="Arial"/>
          <w:sz w:val="16"/>
          <w:szCs w:val="16"/>
          <w:color w:val="4F4F4D"/>
        </w:rPr>
        <w:t>o</w:t>
      </w:r>
      <w:r>
        <w:rPr>
          <w:rFonts w:ascii="Arial" w:cs="Arial" w:eastAsia="Arial" w:hAnsi="Arial"/>
          <w:sz w:val="16"/>
          <w:szCs w:val="16"/>
          <w:color w:val="363636"/>
        </w:rPr>
        <w:t>rker's compensation or other similar disability laws;</w:t>
      </w:r>
    </w:p>
    <w:p>
      <w:pPr>
        <w:ind w:left="420" w:hanging="250"/>
        <w:spacing w:after="0"/>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363636"/>
        </w:rPr>
        <w:t>conform to local, state, and federal laws</w:t>
      </w:r>
      <w:r>
        <w:rPr>
          <w:rFonts w:ascii="Arial" w:cs="Arial" w:eastAsia="Arial" w:hAnsi="Arial"/>
          <w:sz w:val="16"/>
          <w:szCs w:val="16"/>
          <w:color w:val="4F4F4D"/>
        </w:rPr>
        <w:t>.</w:t>
      </w:r>
    </w:p>
    <w:p>
      <w:pPr>
        <w:spacing w:after="0" w:line="208" w:lineRule="exact"/>
        <w:rPr>
          <w:sz w:val="20"/>
          <w:szCs w:val="20"/>
          <w:color w:val="auto"/>
        </w:rPr>
      </w:pPr>
    </w:p>
    <w:p>
      <w:pPr>
        <w:jc w:val="both"/>
        <w:ind w:left="120" w:firstLine="13"/>
        <w:spacing w:after="0" w:line="294" w:lineRule="auto"/>
        <w:rPr>
          <w:sz w:val="20"/>
          <w:szCs w:val="20"/>
          <w:color w:val="auto"/>
        </w:rPr>
      </w:pPr>
      <w:r>
        <w:rPr>
          <w:rFonts w:ascii="Arial" w:cs="Arial" w:eastAsia="Arial" w:hAnsi="Arial"/>
          <w:sz w:val="16"/>
          <w:szCs w:val="16"/>
          <w:color w:val="363636"/>
        </w:rPr>
        <w:t>"Incidental business property</w:t>
      </w:r>
      <w:r>
        <w:rPr>
          <w:rFonts w:ascii="Arial" w:cs="Arial" w:eastAsia="Arial" w:hAnsi="Arial"/>
          <w:sz w:val="16"/>
          <w:szCs w:val="16"/>
          <w:color w:val="4F4F4D"/>
        </w:rPr>
        <w:t>"</w:t>
      </w:r>
      <w:r>
        <w:rPr>
          <w:rFonts w:ascii="Arial" w:cs="Arial" w:eastAsia="Arial" w:hAnsi="Arial"/>
          <w:sz w:val="16"/>
          <w:szCs w:val="16"/>
          <w:color w:val="363636"/>
        </w:rPr>
        <w:t xml:space="preserve"> is limited to the rental or holding for rental, to be used as a residence, of a condominium or cooperative unit owned by you or a </w:t>
      </w:r>
      <w:r>
        <w:rPr>
          <w:rFonts w:ascii="Arial" w:cs="Arial" w:eastAsia="Arial" w:hAnsi="Arial"/>
          <w:sz w:val="16"/>
          <w:szCs w:val="16"/>
          <w:color w:val="4F4F4D"/>
        </w:rPr>
        <w:t>f</w:t>
      </w:r>
      <w:r>
        <w:rPr>
          <w:rFonts w:ascii="Arial" w:cs="Arial" w:eastAsia="Arial" w:hAnsi="Arial"/>
          <w:sz w:val="16"/>
          <w:szCs w:val="16"/>
          <w:color w:val="363636"/>
        </w:rPr>
        <w:t xml:space="preserve">amily member, an apartment unit rented to you or a family member, a one or two family dwelling owned by you or a family member, or a three or four family dwelling owned and occupied by you or a family member. We provide this coverage only for premises covered under the Required </w:t>
      </w:r>
      <w:r>
        <w:rPr>
          <w:rFonts w:ascii="Arial" w:cs="Arial" w:eastAsia="Arial" w:hAnsi="Arial"/>
          <w:sz w:val="15"/>
          <w:szCs w:val="15"/>
          <w:color w:val="363636"/>
        </w:rPr>
        <w:t>Primary</w:t>
      </w:r>
      <w:r>
        <w:rPr>
          <w:rFonts w:ascii="Arial" w:cs="Arial" w:eastAsia="Arial" w:hAnsi="Arial"/>
          <w:sz w:val="16"/>
          <w:szCs w:val="16"/>
          <w:color w:val="363636"/>
        </w:rPr>
        <w:t xml:space="preserve"> Underlying Insurance unless the rental or holding for rental is for</w:t>
      </w:r>
      <w:r>
        <w:rPr>
          <w:rFonts w:ascii="Arial" w:cs="Arial" w:eastAsia="Arial" w:hAnsi="Arial"/>
          <w:sz w:val="16"/>
          <w:szCs w:val="16"/>
          <w:color w:val="4F4F4D"/>
        </w:rPr>
        <w:t>:</w:t>
      </w:r>
    </w:p>
    <w:p>
      <w:pPr>
        <w:spacing w:after="0" w:line="3" w:lineRule="exact"/>
        <w:rPr>
          <w:sz w:val="20"/>
          <w:szCs w:val="20"/>
          <w:color w:val="auto"/>
        </w:rPr>
      </w:pPr>
    </w:p>
    <w:p>
      <w:pPr>
        <w:ind w:left="420" w:hanging="250"/>
        <w:spacing w:after="0"/>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363636"/>
        </w:rPr>
        <w:t>a residence of yours or a family member</w:t>
      </w:r>
      <w:r>
        <w:rPr>
          <w:rFonts w:ascii="Arial" w:cs="Arial" w:eastAsia="Arial" w:hAnsi="Arial"/>
          <w:sz w:val="16"/>
          <w:szCs w:val="16"/>
          <w:color w:val="4F4F4D"/>
        </w:rPr>
        <w:t>'</w:t>
      </w:r>
      <w:r>
        <w:rPr>
          <w:rFonts w:ascii="Arial" w:cs="Arial" w:eastAsia="Arial" w:hAnsi="Arial"/>
          <w:sz w:val="16"/>
          <w:szCs w:val="16"/>
          <w:color w:val="363636"/>
        </w:rPr>
        <w:t>s that is occasionally rented and that is used exclusively as a residence; or</w:t>
      </w:r>
    </w:p>
    <w:p>
      <w:pPr>
        <w:spacing w:after="0" w:line="22" w:lineRule="exact"/>
        <w:rPr>
          <w:rFonts w:ascii="Arial" w:cs="Arial" w:eastAsia="Arial" w:hAnsi="Arial"/>
          <w:sz w:val="16"/>
          <w:szCs w:val="16"/>
          <w:color w:val="auto"/>
        </w:rPr>
      </w:pPr>
    </w:p>
    <w:p>
      <w:pPr>
        <w:ind w:left="420" w:hanging="250"/>
        <w:spacing w:after="0"/>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363636"/>
        </w:rPr>
        <w:t>part of a residence of yours or a family member's by one or two roomers or boarders; or</w:t>
      </w:r>
    </w:p>
    <w:p>
      <w:pPr>
        <w:spacing w:after="0" w:line="41" w:lineRule="exact"/>
        <w:rPr>
          <w:rFonts w:ascii="Arial" w:cs="Arial" w:eastAsia="Arial" w:hAnsi="Arial"/>
          <w:sz w:val="16"/>
          <w:szCs w:val="16"/>
          <w:color w:val="auto"/>
        </w:rPr>
      </w:pPr>
    </w:p>
    <w:p>
      <w:pPr>
        <w:ind w:left="420" w:hanging="250"/>
        <w:spacing w:after="0"/>
        <w:tabs>
          <w:tab w:leader="none" w:pos="420" w:val="left"/>
        </w:tabs>
        <w:numPr>
          <w:ilvl w:val="0"/>
          <w:numId w:val="110"/>
        </w:numPr>
        <w:rPr>
          <w:rFonts w:ascii="Arial" w:cs="Arial" w:eastAsia="Arial" w:hAnsi="Arial"/>
          <w:sz w:val="16"/>
          <w:szCs w:val="16"/>
          <w:color w:val="auto"/>
        </w:rPr>
      </w:pPr>
      <w:r>
        <w:rPr>
          <w:rFonts w:ascii="Arial" w:cs="Arial" w:eastAsia="Arial" w:hAnsi="Arial"/>
          <w:sz w:val="16"/>
          <w:szCs w:val="16"/>
          <w:color w:val="363636"/>
        </w:rPr>
        <w:t>part of a residence of yours or a family member</w:t>
      </w:r>
      <w:r>
        <w:rPr>
          <w:rFonts w:ascii="Arial" w:cs="Arial" w:eastAsia="Arial" w:hAnsi="Arial"/>
          <w:sz w:val="16"/>
          <w:szCs w:val="16"/>
          <w:color w:val="4F4F4D"/>
        </w:rPr>
        <w:t>'</w:t>
      </w:r>
      <w:r>
        <w:rPr>
          <w:rFonts w:ascii="Arial" w:cs="Arial" w:eastAsia="Arial" w:hAnsi="Arial"/>
          <w:sz w:val="16"/>
          <w:szCs w:val="16"/>
          <w:color w:val="363636"/>
        </w:rPr>
        <w:t xml:space="preserve"> s as an office, school</w:t>
      </w:r>
      <w:r>
        <w:rPr>
          <w:rFonts w:ascii="Arial" w:cs="Arial" w:eastAsia="Arial" w:hAnsi="Arial"/>
          <w:sz w:val="16"/>
          <w:szCs w:val="16"/>
          <w:color w:val="4F4F4D"/>
        </w:rPr>
        <w:t>,</w:t>
      </w:r>
      <w:r>
        <w:rPr>
          <w:rFonts w:ascii="Arial" w:cs="Arial" w:eastAsia="Arial" w:hAnsi="Arial"/>
          <w:sz w:val="16"/>
          <w:szCs w:val="16"/>
          <w:color w:val="363636"/>
        </w:rPr>
        <w:t xml:space="preserve"> studio, or private garage</w:t>
      </w:r>
      <w:r>
        <w:rPr>
          <w:rFonts w:ascii="Arial" w:cs="Arial" w:eastAsia="Arial" w:hAnsi="Arial"/>
          <w:sz w:val="16"/>
          <w:szCs w:val="16"/>
          <w:color w:val="7E807C"/>
        </w:rPr>
        <w: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farming" is a farming activity which meets all of the following requirements</w:t>
      </w:r>
      <w:r>
        <w:rPr>
          <w:rFonts w:ascii="Arial" w:cs="Arial" w:eastAsia="Arial" w:hAnsi="Arial"/>
          <w:sz w:val="16"/>
          <w:szCs w:val="16"/>
          <w:color w:val="4F4F4D"/>
        </w:rPr>
        <w:t>:</w:t>
      </w:r>
    </w:p>
    <w:p>
      <w:pPr>
        <w:spacing w:after="0" w:line="22" w:lineRule="exact"/>
        <w:rPr>
          <w:sz w:val="20"/>
          <w:szCs w:val="20"/>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 xml:space="preserve">is incidental </w:t>
      </w:r>
      <w:r>
        <w:rPr>
          <w:rFonts w:ascii="Arial" w:cs="Arial" w:eastAsia="Arial" w:hAnsi="Arial"/>
          <w:sz w:val="15"/>
          <w:szCs w:val="15"/>
          <w:color w:val="363636"/>
        </w:rPr>
        <w:t>to</w:t>
      </w:r>
      <w:r>
        <w:rPr>
          <w:rFonts w:ascii="Arial" w:cs="Arial" w:eastAsia="Arial" w:hAnsi="Arial"/>
          <w:sz w:val="16"/>
          <w:szCs w:val="16"/>
          <w:color w:val="363636"/>
        </w:rPr>
        <w:t xml:space="preserve"> your or a family member’s use of the premises as a residence;</w:t>
      </w:r>
    </w:p>
    <w:p>
      <w:pPr>
        <w:spacing w:after="0" w:line="55"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does not involve employment of others for more than 1</w:t>
      </w:r>
      <w:r>
        <w:rPr>
          <w:rFonts w:ascii="Arial" w:cs="Arial" w:eastAsia="Arial" w:hAnsi="Arial"/>
          <w:sz w:val="16"/>
          <w:szCs w:val="16"/>
          <w:color w:val="4F4F4D"/>
        </w:rPr>
        <w:t>,</w:t>
      </w:r>
      <w:r>
        <w:rPr>
          <w:rFonts w:ascii="Arial" w:cs="Arial" w:eastAsia="Arial" w:hAnsi="Arial"/>
          <w:sz w:val="16"/>
          <w:szCs w:val="16"/>
          <w:color w:val="363636"/>
        </w:rPr>
        <w:t>500 hours of farm work during the policy period;</w:t>
      </w:r>
    </w:p>
    <w:p>
      <w:pPr>
        <w:spacing w:after="0" w:line="45"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does not produce more than $25,000 in gross annual revenue from agricultural operations</w:t>
      </w:r>
      <w:r>
        <w:rPr>
          <w:rFonts w:ascii="Arial" w:cs="Arial" w:eastAsia="Arial" w:hAnsi="Arial"/>
          <w:sz w:val="16"/>
          <w:szCs w:val="16"/>
          <w:color w:val="4F4F4D"/>
        </w:rPr>
        <w:t>;</w:t>
      </w:r>
    </w:p>
    <w:p>
      <w:pPr>
        <w:spacing w:after="0" w:line="45"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and with respect to the raising or care of animals:</w:t>
      </w:r>
    </w:p>
    <w:p>
      <w:pPr>
        <w:spacing w:after="0" w:line="32"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does not produce more than $50,000 in gross annual revenues;</w:t>
      </w:r>
    </w:p>
    <w:p>
      <w:pPr>
        <w:spacing w:after="0" w:line="22"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does not involve more than 25 sale</w:t>
      </w:r>
      <w:r>
        <w:rPr>
          <w:rFonts w:ascii="Arial" w:cs="Arial" w:eastAsia="Arial" w:hAnsi="Arial"/>
          <w:sz w:val="16"/>
          <w:szCs w:val="16"/>
          <w:color w:val="4F4F4D"/>
        </w:rPr>
        <w:t>s</w:t>
      </w:r>
      <w:r>
        <w:rPr>
          <w:rFonts w:ascii="Arial" w:cs="Arial" w:eastAsia="Arial" w:hAnsi="Arial"/>
          <w:sz w:val="16"/>
          <w:szCs w:val="16"/>
          <w:color w:val="363636"/>
        </w:rPr>
        <w:t xml:space="preserve"> transactions during the policy period</w:t>
      </w:r>
      <w:r>
        <w:rPr>
          <w:rFonts w:ascii="Arial" w:cs="Arial" w:eastAsia="Arial" w:hAnsi="Arial"/>
          <w:sz w:val="16"/>
          <w:szCs w:val="16"/>
          <w:color w:val="4F4F4D"/>
        </w:rPr>
        <w:t>;</w:t>
      </w:r>
    </w:p>
    <w:p>
      <w:pPr>
        <w:spacing w:after="0" w:line="37" w:lineRule="exact"/>
        <w:rPr>
          <w:rFonts w:ascii="Arial" w:cs="Arial" w:eastAsia="Arial" w:hAnsi="Arial"/>
          <w:sz w:val="16"/>
          <w:szCs w:val="16"/>
          <w:color w:val="auto"/>
        </w:rPr>
      </w:pPr>
    </w:p>
    <w:p>
      <w:pPr>
        <w:ind w:left="420" w:hanging="237"/>
        <w:spacing w:after="0"/>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color w:val="363636"/>
        </w:rPr>
        <w:t xml:space="preserve">does not involve the sale of more than </w:t>
      </w:r>
      <w:r>
        <w:rPr>
          <w:rFonts w:ascii="Arial" w:cs="Arial" w:eastAsia="Arial" w:hAnsi="Arial"/>
          <w:sz w:val="17"/>
          <w:szCs w:val="17"/>
          <w:i w:val="1"/>
          <w:iCs w:val="1"/>
          <w:color w:val="363636"/>
        </w:rPr>
        <w:t>50</w:t>
      </w:r>
      <w:r>
        <w:rPr>
          <w:rFonts w:ascii="Arial" w:cs="Arial" w:eastAsia="Arial" w:hAnsi="Arial"/>
          <w:sz w:val="16"/>
          <w:szCs w:val="16"/>
          <w:color w:val="363636"/>
        </w:rPr>
        <w:t xml:space="preserve"> animals during the policy period.</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5"/>
          <w:szCs w:val="15"/>
          <w:color w:val="363636"/>
        </w:rPr>
        <w:t>"Residence premises conditional business liability" is limited to business or professional activities when legally conducted by you or a family member at your residence.</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We provide coverage only for personal injury or property damage arising out of the physical condition o</w:t>
      </w:r>
      <w:r>
        <w:rPr>
          <w:rFonts w:ascii="Arial" w:cs="Arial" w:eastAsia="Arial" w:hAnsi="Arial"/>
          <w:sz w:val="16"/>
          <w:szCs w:val="16"/>
          <w:color w:val="4F4F4D"/>
        </w:rPr>
        <w:t>f</w:t>
      </w:r>
      <w:r>
        <w:rPr>
          <w:rFonts w:ascii="Arial" w:cs="Arial" w:eastAsia="Arial" w:hAnsi="Arial"/>
          <w:sz w:val="16"/>
          <w:szCs w:val="16"/>
          <w:color w:val="363636"/>
        </w:rPr>
        <w:t xml:space="preserve"> that residence if</w:t>
      </w:r>
      <w:r>
        <w:rPr>
          <w:rFonts w:ascii="Arial" w:cs="Arial" w:eastAsia="Arial" w:hAnsi="Arial"/>
          <w:sz w:val="16"/>
          <w:szCs w:val="16"/>
          <w:color w:val="4F4F4D"/>
        </w:rPr>
        <w:t>:</w:t>
      </w:r>
    </w:p>
    <w:p>
      <w:pPr>
        <w:spacing w:after="0" w:line="46" w:lineRule="exact"/>
        <w:rPr>
          <w:sz w:val="20"/>
          <w:szCs w:val="20"/>
          <w:color w:val="auto"/>
        </w:rPr>
      </w:pPr>
    </w:p>
    <w:p>
      <w:pPr>
        <w:ind w:left="420" w:hanging="250"/>
        <w:spacing w:after="0" w:line="308" w:lineRule="auto"/>
        <w:tabs>
          <w:tab w:leader="none" w:pos="420" w:val="left"/>
        </w:tabs>
        <w:numPr>
          <w:ilvl w:val="0"/>
          <w:numId w:val="112"/>
        </w:numPr>
        <w:rPr>
          <w:rFonts w:ascii="Arial" w:cs="Arial" w:eastAsia="Arial" w:hAnsi="Arial"/>
          <w:sz w:val="16"/>
          <w:szCs w:val="16"/>
          <w:color w:val="363636"/>
        </w:rPr>
      </w:pPr>
      <w:r>
        <w:rPr>
          <w:rFonts w:ascii="Arial" w:cs="Arial" w:eastAsia="Arial" w:hAnsi="Arial"/>
          <w:sz w:val="16"/>
          <w:szCs w:val="16"/>
          <w:color w:val="363636"/>
        </w:rPr>
        <w:t>you or a family member do no</w:t>
      </w:r>
      <w:r>
        <w:rPr>
          <w:rFonts w:ascii="Arial" w:cs="Arial" w:eastAsia="Arial" w:hAnsi="Arial"/>
          <w:sz w:val="16"/>
          <w:szCs w:val="16"/>
          <w:color w:val="4F4F4D"/>
        </w:rPr>
        <w:t>t</w:t>
      </w:r>
      <w:r>
        <w:rPr>
          <w:rFonts w:ascii="Arial" w:cs="Arial" w:eastAsia="Arial" w:hAnsi="Arial"/>
          <w:sz w:val="16"/>
          <w:szCs w:val="16"/>
          <w:color w:val="363636"/>
        </w:rPr>
        <w:t xml:space="preserve"> have any employees in</w:t>
      </w:r>
      <w:r>
        <w:rPr>
          <w:rFonts w:ascii="Arial" w:cs="Arial" w:eastAsia="Arial" w:hAnsi="Arial"/>
          <w:sz w:val="16"/>
          <w:szCs w:val="16"/>
          <w:color w:val="4F4F4D"/>
        </w:rPr>
        <w:t>v</w:t>
      </w:r>
      <w:r>
        <w:rPr>
          <w:rFonts w:ascii="Arial" w:cs="Arial" w:eastAsia="Arial" w:hAnsi="Arial"/>
          <w:sz w:val="16"/>
          <w:szCs w:val="16"/>
          <w:color w:val="363636"/>
        </w:rPr>
        <w:t>olved in your business or professional activities who are subject to workers</w:t>
      </w:r>
      <w:r>
        <w:rPr>
          <w:rFonts w:ascii="Arial" w:cs="Arial" w:eastAsia="Arial" w:hAnsi="Arial"/>
          <w:sz w:val="16"/>
          <w:szCs w:val="16"/>
          <w:color w:val="4F4F4D"/>
        </w:rPr>
        <w:t>'</w:t>
      </w:r>
      <w:r>
        <w:rPr>
          <w:rFonts w:ascii="Arial" w:cs="Arial" w:eastAsia="Arial" w:hAnsi="Arial"/>
          <w:sz w:val="16"/>
          <w:szCs w:val="16"/>
          <w:color w:val="363636"/>
        </w:rPr>
        <w:t xml:space="preserve"> compensatio</w:t>
      </w:r>
      <w:r>
        <w:rPr>
          <w:rFonts w:ascii="Arial" w:cs="Arial" w:eastAsia="Arial" w:hAnsi="Arial"/>
          <w:sz w:val="16"/>
          <w:szCs w:val="16"/>
          <w:color w:val="4F4F4D"/>
        </w:rPr>
        <w:t>n</w:t>
      </w:r>
      <w:r>
        <w:rPr>
          <w:rFonts w:ascii="Arial" w:cs="Arial" w:eastAsia="Arial" w:hAnsi="Arial"/>
          <w:sz w:val="16"/>
          <w:szCs w:val="16"/>
          <w:color w:val="363636"/>
        </w:rPr>
        <w:t xml:space="preserve"> or other similar disability laws; or, if you or a family member are a doctor or dentist, you do not have more than two employees subject to such laws;</w:t>
      </w:r>
    </w:p>
    <w:p>
      <w:pPr>
        <w:ind w:left="420" w:hanging="250"/>
        <w:spacing w:after="0"/>
        <w:tabs>
          <w:tab w:leader="none" w:pos="420" w:val="left"/>
        </w:tabs>
        <w:numPr>
          <w:ilvl w:val="0"/>
          <w:numId w:val="112"/>
        </w:numPr>
        <w:rPr>
          <w:rFonts w:ascii="Arial" w:cs="Arial" w:eastAsia="Arial" w:hAnsi="Arial"/>
          <w:sz w:val="16"/>
          <w:szCs w:val="16"/>
          <w:color w:val="auto"/>
        </w:rPr>
      </w:pPr>
      <w:r>
        <w:rPr>
          <w:rFonts w:ascii="Arial" w:cs="Arial" w:eastAsia="Arial" w:hAnsi="Arial"/>
          <w:sz w:val="16"/>
          <w:szCs w:val="16"/>
          <w:color w:val="363636"/>
        </w:rPr>
        <w:t>you or a family member do not earn annual gross revenues in excess of $5,000, if you or a family member are a home day care provider.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We do not cover damages or consequences r</w:t>
      </w:r>
      <w:r>
        <w:rPr>
          <w:rFonts w:ascii="Arial" w:cs="Arial" w:eastAsia="Arial" w:hAnsi="Arial"/>
          <w:sz w:val="16"/>
          <w:szCs w:val="16"/>
          <w:color w:val="4F4F4D"/>
        </w:rPr>
        <w:t>e</w:t>
      </w:r>
      <w:r>
        <w:rPr>
          <w:rFonts w:ascii="Arial" w:cs="Arial" w:eastAsia="Arial" w:hAnsi="Arial"/>
          <w:sz w:val="16"/>
          <w:szCs w:val="16"/>
          <w:color w:val="363636"/>
        </w:rPr>
        <w:t>sulting from business or professional care or services performed or not performed</w:t>
      </w:r>
      <w:r>
        <w:rPr>
          <w:rFonts w:ascii="Arial" w:cs="Arial" w:eastAsia="Arial" w:hAnsi="Arial"/>
          <w:sz w:val="16"/>
          <w:szCs w:val="16"/>
          <w:color w:val="4F4F4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11 of 15</w:t>
      </w:r>
    </w:p>
    <w:p>
      <w:pPr>
        <w:sectPr>
          <w:pgSz w:w="11900" w:h="16838" w:orient="portrait"/>
          <w:cols w:equalWidth="0" w:num="1">
            <w:col w:w="11240"/>
          </w:cols>
          <w:pgMar w:left="320" w:top="336" w:right="339" w:bottom="1440" w:gutter="0" w:footer="0" w:header="0"/>
        </w:sectPr>
      </w:pPr>
    </w:p>
    <w:bookmarkStart w:id="141" w:name="page142"/>
    <w:bookmarkEnd w:id="141"/>
    <w:p>
      <w:pPr>
        <w:ind w:left="416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-162560</wp:posOffset>
            </wp:positionV>
            <wp:extent cx="11055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9">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363634"/>
        </w:rPr>
        <w:t>Exclusions</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363634"/>
        </w:rPr>
        <w:t>(continued)</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4"/>
        </w:rPr>
        <w:t xml:space="preserve">The following additional exclusion applies only </w:t>
      </w:r>
      <w:r>
        <w:rPr>
          <w:rFonts w:ascii="Arial" w:cs="Arial" w:eastAsia="Arial" w:hAnsi="Arial"/>
          <w:sz w:val="15"/>
          <w:szCs w:val="15"/>
          <w:b w:val="1"/>
          <w:bCs w:val="1"/>
          <w:color w:val="363634"/>
        </w:rPr>
        <w:t>to</w:t>
      </w:r>
      <w:r>
        <w:rPr>
          <w:rFonts w:ascii="Arial" w:cs="Arial" w:eastAsia="Arial" w:hAnsi="Arial"/>
          <w:sz w:val="16"/>
          <w:szCs w:val="16"/>
          <w:b w:val="1"/>
          <w:bCs w:val="1"/>
          <w:color w:val="363634"/>
        </w:rPr>
        <w:t xml:space="preserve"> "incidental farming" as described under the exclusion, Business pursuits.</w:t>
      </w:r>
    </w:p>
    <w:p>
      <w:pPr>
        <w:spacing w:after="0" w:line="167" w:lineRule="exact"/>
        <w:rPr>
          <w:sz w:val="20"/>
          <w:szCs w:val="20"/>
          <w:color w:val="auto"/>
        </w:rPr>
      </w:pPr>
    </w:p>
    <w:p>
      <w:pPr>
        <w:ind w:left="500"/>
        <w:spacing w:after="0" w:line="306" w:lineRule="auto"/>
        <w:rPr>
          <w:sz w:val="20"/>
          <w:szCs w:val="20"/>
          <w:color w:val="auto"/>
        </w:rPr>
      </w:pPr>
      <w:r>
        <w:rPr>
          <w:rFonts w:ascii="Arial" w:cs="Arial" w:eastAsia="Arial" w:hAnsi="Arial"/>
          <w:sz w:val="16"/>
          <w:szCs w:val="16"/>
          <w:b w:val="1"/>
          <w:bCs w:val="1"/>
          <w:color w:val="363634"/>
        </w:rPr>
        <w:t xml:space="preserve">Contamination. </w:t>
      </w:r>
      <w:r>
        <w:rPr>
          <w:rFonts w:ascii="Arial" w:cs="Arial" w:eastAsia="Arial" w:hAnsi="Arial"/>
          <w:sz w:val="16"/>
          <w:szCs w:val="16"/>
          <w:color w:val="363634"/>
        </w:rPr>
        <w:t>We do not cover any actual or alleged damages arising out of the discharge, dispersal, seepage, migration or release or escape of pollutants. Nor do</w:t>
      </w:r>
      <w:r>
        <w:rPr>
          <w:rFonts w:ascii="Arial" w:cs="Arial" w:eastAsia="Arial" w:hAnsi="Arial"/>
          <w:sz w:val="16"/>
          <w:szCs w:val="16"/>
          <w:b w:val="1"/>
          <w:bCs w:val="1"/>
          <w:color w:val="363634"/>
        </w:rPr>
        <w:t xml:space="preserve"> </w:t>
      </w:r>
      <w:r>
        <w:rPr>
          <w:rFonts w:ascii="Arial" w:cs="Arial" w:eastAsia="Arial" w:hAnsi="Arial"/>
          <w:sz w:val="16"/>
          <w:szCs w:val="16"/>
          <w:color w:val="363634"/>
        </w:rPr>
        <w:t>we cover any cost or expense arising out of any request, demand or order to</w:t>
      </w:r>
      <w:r>
        <w:rPr>
          <w:rFonts w:ascii="Arial" w:cs="Arial" w:eastAsia="Arial" w:hAnsi="Arial"/>
          <w:sz w:val="16"/>
          <w:szCs w:val="16"/>
          <w:color w:val="757574"/>
        </w:rPr>
        <w:t>:</w:t>
      </w:r>
    </w:p>
    <w:p>
      <w:pPr>
        <w:ind w:left="820" w:hanging="313"/>
        <w:spacing w:after="0" w:line="237" w:lineRule="auto"/>
        <w:tabs>
          <w:tab w:leader="none" w:pos="820" w:val="left"/>
        </w:tabs>
        <w:numPr>
          <w:ilvl w:val="0"/>
          <w:numId w:val="113"/>
        </w:numPr>
        <w:rPr>
          <w:rFonts w:ascii="Arial" w:cs="Arial" w:eastAsia="Arial" w:hAnsi="Arial"/>
          <w:sz w:val="20"/>
          <w:szCs w:val="20"/>
          <w:color w:val="auto"/>
        </w:rPr>
      </w:pPr>
      <w:r>
        <w:rPr>
          <w:rFonts w:ascii="Arial" w:cs="Arial" w:eastAsia="Arial" w:hAnsi="Arial"/>
          <w:sz w:val="16"/>
          <w:szCs w:val="16"/>
          <w:color w:val="363634"/>
        </w:rPr>
        <w:t>extract pollutants from land or water;</w:t>
      </w:r>
    </w:p>
    <w:p>
      <w:pPr>
        <w:spacing w:after="0" w:line="36"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16"/>
          <w:szCs w:val="16"/>
          <w:color w:val="363634"/>
        </w:rPr>
        <w:t>remove, restore or replace polluted or contaminated land or water; or</w:t>
      </w:r>
    </w:p>
    <w:p>
      <w:pPr>
        <w:spacing w:after="0" w:line="62" w:lineRule="exact"/>
        <w:rPr>
          <w:rFonts w:ascii="Arial" w:cs="Arial" w:eastAsia="Arial" w:hAnsi="Arial"/>
          <w:sz w:val="20"/>
          <w:szCs w:val="20"/>
          <w:color w:val="auto"/>
        </w:rPr>
      </w:pPr>
    </w:p>
    <w:p>
      <w:pPr>
        <w:ind w:left="840" w:hanging="333"/>
        <w:spacing w:after="0"/>
        <w:tabs>
          <w:tab w:leader="none" w:pos="840" w:val="left"/>
        </w:tabs>
        <w:numPr>
          <w:ilvl w:val="0"/>
          <w:numId w:val="113"/>
        </w:numPr>
        <w:rPr>
          <w:rFonts w:ascii="Arial" w:cs="Arial" w:eastAsia="Arial" w:hAnsi="Arial"/>
          <w:sz w:val="20"/>
          <w:szCs w:val="20"/>
          <w:color w:val="auto"/>
        </w:rPr>
      </w:pPr>
      <w:r>
        <w:rPr>
          <w:rFonts w:ascii="Arial" w:cs="Arial" w:eastAsia="Arial" w:hAnsi="Arial"/>
          <w:sz w:val="16"/>
          <w:szCs w:val="16"/>
          <w:color w:val="363634"/>
        </w:rPr>
        <w:t>test for, monitor, clean up, remove, contain, treat, detoxify or neutralize pollutants, or in any way respond to or assess the effects of pollutants.</w:t>
      </w:r>
    </w:p>
    <w:p>
      <w:pPr>
        <w:spacing w:after="0" w:line="172" w:lineRule="exact"/>
        <w:rPr>
          <w:sz w:val="20"/>
          <w:szCs w:val="20"/>
          <w:color w:val="auto"/>
        </w:rPr>
      </w:pPr>
    </w:p>
    <w:p>
      <w:pPr>
        <w:jc w:val="both"/>
        <w:ind w:left="520"/>
        <w:spacing w:after="0" w:line="326" w:lineRule="auto"/>
        <w:rPr>
          <w:sz w:val="20"/>
          <w:szCs w:val="20"/>
          <w:color w:val="auto"/>
        </w:rPr>
      </w:pPr>
      <w:r>
        <w:rPr>
          <w:rFonts w:ascii="Arial" w:cs="Arial" w:eastAsia="Arial" w:hAnsi="Arial"/>
          <w:sz w:val="16"/>
          <w:szCs w:val="16"/>
          <w:color w:val="363634"/>
        </w:rPr>
        <w:t xml:space="preserve">However, </w:t>
      </w:r>
      <w:r>
        <w:rPr>
          <w:rFonts w:ascii="Arial" w:cs="Arial" w:eastAsia="Arial" w:hAnsi="Arial"/>
          <w:sz w:val="15"/>
          <w:szCs w:val="15"/>
          <w:color w:val="363634"/>
        </w:rPr>
        <w:t>this</w:t>
      </w:r>
      <w:r>
        <w:rPr>
          <w:rFonts w:ascii="Arial" w:cs="Arial" w:eastAsia="Arial" w:hAnsi="Arial"/>
          <w:sz w:val="16"/>
          <w:szCs w:val="16"/>
          <w:color w:val="363634"/>
        </w:rPr>
        <w:t xml:space="preserve"> exclusion does not apply </w:t>
      </w:r>
      <w:r>
        <w:rPr>
          <w:rFonts w:ascii="Arial" w:cs="Arial" w:eastAsia="Arial" w:hAnsi="Arial"/>
          <w:sz w:val="15"/>
          <w:szCs w:val="15"/>
          <w:color w:val="363634"/>
        </w:rPr>
        <w:t>if</w:t>
      </w:r>
      <w:r>
        <w:rPr>
          <w:rFonts w:ascii="Arial" w:cs="Arial" w:eastAsia="Arial" w:hAnsi="Arial"/>
          <w:sz w:val="16"/>
          <w:szCs w:val="16"/>
          <w:color w:val="363634"/>
        </w:rPr>
        <w:t xml:space="preserve">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t>
      </w:r>
      <w:r>
        <w:rPr>
          <w:rFonts w:ascii="Arial" w:cs="Arial" w:eastAsia="Arial" w:hAnsi="Arial"/>
          <w:sz w:val="16"/>
          <w:szCs w:val="16"/>
          <w:color w:val="4D4D4B"/>
        </w:rPr>
        <w:t>"Waste"</w:t>
      </w:r>
      <w:r>
        <w:rPr>
          <w:rFonts w:ascii="Arial" w:cs="Arial" w:eastAsia="Arial" w:hAnsi="Arial"/>
          <w:sz w:val="16"/>
          <w:szCs w:val="16"/>
          <w:color w:val="363634"/>
        </w:rPr>
        <w:t xml:space="preserve"> includes materials to be disposed of, recycled, reconditioned or reclaimed.</w:t>
      </w:r>
    </w:p>
    <w:p>
      <w:pPr>
        <w:spacing w:after="0" w:line="49" w:lineRule="exact"/>
        <w:rPr>
          <w:sz w:val="20"/>
          <w:szCs w:val="20"/>
          <w:color w:val="auto"/>
        </w:rPr>
      </w:pPr>
    </w:p>
    <w:p>
      <w:pPr>
        <w:jc w:val="both"/>
        <w:ind w:left="520"/>
        <w:spacing w:after="0" w:line="280" w:lineRule="auto"/>
        <w:rPr>
          <w:sz w:val="20"/>
          <w:szCs w:val="20"/>
          <w:color w:val="auto"/>
        </w:rPr>
      </w:pPr>
      <w:r>
        <w:rPr>
          <w:rFonts w:ascii="Arial" w:cs="Arial" w:eastAsia="Arial" w:hAnsi="Arial"/>
          <w:sz w:val="16"/>
          <w:szCs w:val="16"/>
          <w:b w:val="1"/>
          <w:bCs w:val="1"/>
          <w:color w:val="363634"/>
        </w:rPr>
        <w:t xml:space="preserve">Financial guarantees. </w:t>
      </w:r>
      <w:r>
        <w:rPr>
          <w:rFonts w:ascii="Arial" w:cs="Arial" w:eastAsia="Arial" w:hAnsi="Arial"/>
          <w:sz w:val="16"/>
          <w:szCs w:val="16"/>
          <w:color w:val="363634"/>
        </w:rPr>
        <w:t>We do not cover any damages for any covered person's financial guarantee of the financial performance of any covered person, other</w:t>
      </w:r>
      <w:r>
        <w:rPr>
          <w:rFonts w:ascii="Arial" w:cs="Arial" w:eastAsia="Arial" w:hAnsi="Arial"/>
          <w:sz w:val="16"/>
          <w:szCs w:val="16"/>
          <w:b w:val="1"/>
          <w:bCs w:val="1"/>
          <w:color w:val="363634"/>
        </w:rPr>
        <w:t xml:space="preserve"> </w:t>
      </w:r>
      <w:r>
        <w:rPr>
          <w:rFonts w:ascii="Arial" w:cs="Arial" w:eastAsia="Arial" w:hAnsi="Arial"/>
          <w:sz w:val="16"/>
          <w:szCs w:val="16"/>
          <w:color w:val="363634"/>
        </w:rPr>
        <w:t>individual or organization.</w:t>
      </w:r>
    </w:p>
    <w:p>
      <w:pPr>
        <w:spacing w:after="0" w:line="57" w:lineRule="exact"/>
        <w:rPr>
          <w:sz w:val="20"/>
          <w:szCs w:val="20"/>
          <w:color w:val="auto"/>
        </w:rPr>
      </w:pPr>
    </w:p>
    <w:p>
      <w:pPr>
        <w:jc w:val="both"/>
        <w:ind w:left="520"/>
        <w:spacing w:after="0" w:line="280" w:lineRule="auto"/>
        <w:rPr>
          <w:sz w:val="20"/>
          <w:szCs w:val="20"/>
          <w:color w:val="auto"/>
        </w:rPr>
      </w:pPr>
      <w:r>
        <w:rPr>
          <w:rFonts w:ascii="Arial" w:cs="Arial" w:eastAsia="Arial" w:hAnsi="Arial"/>
          <w:sz w:val="16"/>
          <w:szCs w:val="16"/>
          <w:b w:val="1"/>
          <w:bCs w:val="1"/>
          <w:color w:val="363634"/>
        </w:rPr>
        <w:t xml:space="preserve">Professional services. </w:t>
      </w:r>
      <w:r>
        <w:rPr>
          <w:rFonts w:ascii="Arial" w:cs="Arial" w:eastAsia="Arial" w:hAnsi="Arial"/>
          <w:sz w:val="16"/>
          <w:szCs w:val="16"/>
          <w:color w:val="363634"/>
        </w:rPr>
        <w:t>We do not cover any damages for any covered person's performing or failure to perform professional</w:t>
      </w:r>
      <w:r>
        <w:rPr>
          <w:rFonts w:ascii="Arial" w:cs="Arial" w:eastAsia="Arial" w:hAnsi="Arial"/>
          <w:sz w:val="16"/>
          <w:szCs w:val="16"/>
          <w:b w:val="1"/>
          <w:bCs w:val="1"/>
          <w:color w:val="363634"/>
        </w:rPr>
        <w:t xml:space="preserve"> </w:t>
      </w:r>
      <w:r>
        <w:rPr>
          <w:rFonts w:ascii="Arial" w:cs="Arial" w:eastAsia="Arial" w:hAnsi="Arial"/>
          <w:sz w:val="16"/>
          <w:szCs w:val="16"/>
          <w:color w:val="4D4D4B"/>
        </w:rPr>
        <w:t>services,</w:t>
      </w:r>
      <w:r>
        <w:rPr>
          <w:rFonts w:ascii="Arial" w:cs="Arial" w:eastAsia="Arial" w:hAnsi="Arial"/>
          <w:sz w:val="16"/>
          <w:szCs w:val="16"/>
          <w:b w:val="1"/>
          <w:bCs w:val="1"/>
          <w:color w:val="363634"/>
        </w:rPr>
        <w:t xml:space="preserve"> </w:t>
      </w:r>
      <w:r>
        <w:rPr>
          <w:rFonts w:ascii="Arial" w:cs="Arial" w:eastAsia="Arial" w:hAnsi="Arial"/>
          <w:sz w:val="16"/>
          <w:szCs w:val="16"/>
          <w:color w:val="363634"/>
        </w:rPr>
        <w:t>or for professional services for</w:t>
      </w:r>
      <w:r>
        <w:rPr>
          <w:rFonts w:ascii="Arial" w:cs="Arial" w:eastAsia="Arial" w:hAnsi="Arial"/>
          <w:sz w:val="16"/>
          <w:szCs w:val="16"/>
          <w:b w:val="1"/>
          <w:bCs w:val="1"/>
          <w:color w:val="363634"/>
        </w:rPr>
        <w:t xml:space="preserve"> </w:t>
      </w:r>
      <w:r>
        <w:rPr>
          <w:rFonts w:ascii="Arial" w:cs="Arial" w:eastAsia="Arial" w:hAnsi="Arial"/>
          <w:sz w:val="16"/>
          <w:szCs w:val="16"/>
          <w:color w:val="363634"/>
        </w:rPr>
        <w:t>which any covered person is legally responsible or licensed.</w:t>
      </w:r>
    </w:p>
    <w:p>
      <w:pPr>
        <w:spacing w:after="0" w:line="57" w:lineRule="exact"/>
        <w:rPr>
          <w:sz w:val="20"/>
          <w:szCs w:val="20"/>
          <w:color w:val="auto"/>
        </w:rPr>
      </w:pPr>
    </w:p>
    <w:p>
      <w:pPr>
        <w:jc w:val="both"/>
        <w:ind w:left="520" w:right="20"/>
        <w:spacing w:after="0" w:line="280" w:lineRule="auto"/>
        <w:rPr>
          <w:sz w:val="20"/>
          <w:szCs w:val="20"/>
          <w:color w:val="auto"/>
        </w:rPr>
      </w:pPr>
      <w:r>
        <w:rPr>
          <w:rFonts w:ascii="Arial" w:cs="Arial" w:eastAsia="Arial" w:hAnsi="Arial"/>
          <w:sz w:val="16"/>
          <w:szCs w:val="16"/>
          <w:b w:val="1"/>
          <w:bCs w:val="1"/>
          <w:color w:val="363634"/>
        </w:rPr>
        <w:t xml:space="preserve">Acts of war. </w:t>
      </w:r>
      <w:r>
        <w:rPr>
          <w:rFonts w:ascii="Arial" w:cs="Arial" w:eastAsia="Arial" w:hAnsi="Arial"/>
          <w:sz w:val="16"/>
          <w:szCs w:val="16"/>
          <w:color w:val="363634"/>
        </w:rPr>
        <w:t>We do not cover any damages caused directly or indirectly by war, undeclared war, civil war, insurrection, rebellion, revolution, warlike acts by</w:t>
      </w:r>
      <w:r>
        <w:rPr>
          <w:rFonts w:ascii="Arial" w:cs="Arial" w:eastAsia="Arial" w:hAnsi="Arial"/>
          <w:sz w:val="16"/>
          <w:szCs w:val="16"/>
          <w:b w:val="1"/>
          <w:bCs w:val="1"/>
          <w:color w:val="363634"/>
        </w:rPr>
        <w:t xml:space="preserve"> </w:t>
      </w:r>
      <w:r>
        <w:rPr>
          <w:rFonts w:ascii="Arial" w:cs="Arial" w:eastAsia="Arial" w:hAnsi="Arial"/>
          <w:sz w:val="16"/>
          <w:szCs w:val="16"/>
          <w:color w:val="363634"/>
        </w:rPr>
        <w:t>military forces or personnel, the destruction or seizure of property for a military purpose, or the consequences of any of these actions.</w:t>
      </w:r>
    </w:p>
    <w:p>
      <w:pPr>
        <w:spacing w:after="0" w:line="57" w:lineRule="exact"/>
        <w:rPr>
          <w:sz w:val="20"/>
          <w:szCs w:val="20"/>
          <w:color w:val="auto"/>
        </w:rPr>
      </w:pPr>
    </w:p>
    <w:p>
      <w:pPr>
        <w:jc w:val="both"/>
        <w:ind w:left="540"/>
        <w:spacing w:after="0" w:line="263" w:lineRule="auto"/>
        <w:rPr>
          <w:sz w:val="20"/>
          <w:szCs w:val="20"/>
          <w:color w:val="auto"/>
        </w:rPr>
      </w:pPr>
      <w:r>
        <w:rPr>
          <w:rFonts w:ascii="Arial" w:cs="Arial" w:eastAsia="Arial" w:hAnsi="Arial"/>
          <w:sz w:val="16"/>
          <w:szCs w:val="16"/>
          <w:b w:val="1"/>
          <w:bCs w:val="1"/>
          <w:color w:val="363634"/>
        </w:rPr>
        <w:t xml:space="preserve">Contractual liability. </w:t>
      </w:r>
      <w:r>
        <w:rPr>
          <w:rFonts w:ascii="Arial" w:cs="Arial" w:eastAsia="Arial" w:hAnsi="Arial"/>
          <w:sz w:val="16"/>
          <w:szCs w:val="16"/>
          <w:color w:val="363634"/>
        </w:rPr>
        <w:t>We do not cover any assessments charged against a covered person as a member of a homeowners, condominium or cooperative association.</w:t>
      </w:r>
      <w:r>
        <w:rPr>
          <w:rFonts w:ascii="Arial" w:cs="Arial" w:eastAsia="Arial" w:hAnsi="Arial"/>
          <w:sz w:val="16"/>
          <w:szCs w:val="16"/>
          <w:b w:val="1"/>
          <w:bCs w:val="1"/>
          <w:color w:val="363634"/>
        </w:rPr>
        <w:t xml:space="preserve"> </w:t>
      </w:r>
      <w:r>
        <w:rPr>
          <w:rFonts w:ascii="Arial" w:cs="Arial" w:eastAsia="Arial" w:hAnsi="Arial"/>
          <w:sz w:val="16"/>
          <w:szCs w:val="16"/>
          <w:color w:val="363634"/>
        </w:rPr>
        <w:t>We 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205" w:lineRule="exact"/>
        <w:rPr>
          <w:sz w:val="20"/>
          <w:szCs w:val="20"/>
          <w:color w:val="auto"/>
        </w:rPr>
      </w:pPr>
    </w:p>
    <w:p>
      <w:pPr>
        <w:jc w:val="both"/>
        <w:ind w:left="540"/>
        <w:spacing w:after="0" w:line="378" w:lineRule="auto"/>
        <w:rPr>
          <w:sz w:val="20"/>
          <w:szCs w:val="20"/>
          <w:color w:val="auto"/>
        </w:rPr>
      </w:pPr>
      <w:r>
        <w:rPr>
          <w:rFonts w:ascii="Arial" w:cs="Arial" w:eastAsia="Arial" w:hAnsi="Arial"/>
          <w:sz w:val="14"/>
          <w:szCs w:val="14"/>
          <w:b w:val="1"/>
          <w:bCs w:val="1"/>
          <w:color w:val="363634"/>
        </w:rPr>
        <w:t xml:space="preserve">Covered person's or dependent's personal injury. </w:t>
      </w:r>
      <w:r>
        <w:rPr>
          <w:rFonts w:ascii="Arial" w:cs="Arial" w:eastAsia="Arial" w:hAnsi="Arial"/>
          <w:sz w:val="14"/>
          <w:szCs w:val="14"/>
          <w:color w:val="363634"/>
        </w:rPr>
        <w:t>We do not cover any damages for personal injury for any covered person or their dependents where the ultimate</w:t>
      </w:r>
      <w:r>
        <w:rPr>
          <w:rFonts w:ascii="Arial" w:cs="Arial" w:eastAsia="Arial" w:hAnsi="Arial"/>
          <w:sz w:val="14"/>
          <w:szCs w:val="14"/>
          <w:b w:val="1"/>
          <w:bCs w:val="1"/>
          <w:color w:val="363634"/>
        </w:rPr>
        <w:t xml:space="preserve"> </w:t>
      </w:r>
      <w:r>
        <w:rPr>
          <w:rFonts w:ascii="Arial" w:cs="Arial" w:eastAsia="Arial" w:hAnsi="Arial"/>
          <w:sz w:val="14"/>
          <w:szCs w:val="14"/>
          <w:color w:val="363634"/>
        </w:rPr>
        <w:t>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80" w:lineRule="exact"/>
        <w:rPr>
          <w:sz w:val="20"/>
          <w:szCs w:val="20"/>
          <w:color w:val="auto"/>
        </w:rPr>
      </w:pPr>
    </w:p>
    <w:p>
      <w:pPr>
        <w:jc w:val="both"/>
        <w:ind w:left="540"/>
        <w:spacing w:after="0" w:line="326" w:lineRule="auto"/>
        <w:rPr>
          <w:sz w:val="20"/>
          <w:szCs w:val="20"/>
          <w:color w:val="auto"/>
        </w:rPr>
      </w:pPr>
      <w:r>
        <w:rPr>
          <w:rFonts w:ascii="Arial" w:cs="Arial" w:eastAsia="Arial" w:hAnsi="Arial"/>
          <w:sz w:val="16"/>
          <w:szCs w:val="16"/>
          <w:color w:val="363634"/>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r>
        <w:rPr>
          <w:rFonts w:ascii="Arial" w:cs="Arial" w:eastAsia="Arial" w:hAnsi="Arial"/>
          <w:sz w:val="16"/>
          <w:szCs w:val="16"/>
          <w:color w:val="151313"/>
        </w:rPr>
        <w:t>.</w:t>
      </w:r>
    </w:p>
    <w:p>
      <w:pPr>
        <w:spacing w:after="0" w:line="211" w:lineRule="exact"/>
        <w:rPr>
          <w:sz w:val="20"/>
          <w:szCs w:val="20"/>
          <w:color w:val="auto"/>
        </w:rPr>
      </w:pPr>
    </w:p>
    <w:p>
      <w:pPr>
        <w:jc w:val="both"/>
        <w:ind w:left="560"/>
        <w:spacing w:after="0" w:line="351" w:lineRule="auto"/>
        <w:rPr>
          <w:sz w:val="20"/>
          <w:szCs w:val="20"/>
          <w:color w:val="auto"/>
        </w:rPr>
      </w:pPr>
      <w:r>
        <w:rPr>
          <w:rFonts w:ascii="Arial" w:cs="Arial" w:eastAsia="Arial" w:hAnsi="Arial"/>
          <w:sz w:val="16"/>
          <w:szCs w:val="16"/>
          <w:b w:val="1"/>
          <w:bCs w:val="1"/>
          <w:color w:val="363634"/>
        </w:rPr>
        <w:t xml:space="preserve">Liability for dependent care. </w:t>
      </w:r>
      <w:r>
        <w:rPr>
          <w:rFonts w:ascii="Arial" w:cs="Arial" w:eastAsia="Arial" w:hAnsi="Arial"/>
          <w:sz w:val="16"/>
          <w:szCs w:val="16"/>
          <w:color w:val="363634"/>
        </w:rPr>
        <w:t>We do not cover any damages for personal injury for which a covered person's only legal liability is by virtue of a contract or other</w:t>
      </w:r>
      <w:r>
        <w:rPr>
          <w:rFonts w:ascii="Arial" w:cs="Arial" w:eastAsia="Arial" w:hAnsi="Arial"/>
          <w:sz w:val="16"/>
          <w:szCs w:val="16"/>
          <w:b w:val="1"/>
          <w:bCs w:val="1"/>
          <w:color w:val="363634"/>
        </w:rPr>
        <w:t xml:space="preserve"> </w:t>
      </w:r>
      <w:r>
        <w:rPr>
          <w:rFonts w:ascii="Arial" w:cs="Arial" w:eastAsia="Arial" w:hAnsi="Arial"/>
          <w:sz w:val="16"/>
          <w:szCs w:val="16"/>
          <w:color w:val="363634"/>
        </w:rPr>
        <w:t>responsibility for a dependent ‘scare.</w:t>
      </w:r>
    </w:p>
    <w:p>
      <w:pPr>
        <w:spacing w:after="0" w:line="83" w:lineRule="exact"/>
        <w:rPr>
          <w:sz w:val="20"/>
          <w:szCs w:val="20"/>
          <w:color w:val="auto"/>
        </w:rPr>
      </w:pPr>
    </w:p>
    <w:p>
      <w:pPr>
        <w:jc w:val="both"/>
        <w:ind w:left="560"/>
        <w:spacing w:after="0" w:line="364" w:lineRule="auto"/>
        <w:rPr>
          <w:sz w:val="20"/>
          <w:szCs w:val="20"/>
          <w:color w:val="auto"/>
        </w:rPr>
      </w:pPr>
      <w:r>
        <w:rPr>
          <w:rFonts w:ascii="Arial" w:cs="Arial" w:eastAsia="Arial" w:hAnsi="Arial"/>
          <w:sz w:val="15"/>
          <w:szCs w:val="15"/>
          <w:b w:val="1"/>
          <w:bCs w:val="1"/>
          <w:color w:val="363634"/>
        </w:rPr>
        <w:t xml:space="preserve">Illness. </w:t>
      </w:r>
      <w:r>
        <w:rPr>
          <w:rFonts w:ascii="Arial" w:cs="Arial" w:eastAsia="Arial" w:hAnsi="Arial"/>
          <w:sz w:val="15"/>
          <w:szCs w:val="15"/>
          <w:color w:val="363634"/>
        </w:rPr>
        <w:t>We do not cover personal injury or property damage resulting from any illness, sickness or disease transmitted intentionally or unintentionally by</w:t>
      </w:r>
      <w:r>
        <w:rPr>
          <w:rFonts w:ascii="Arial" w:cs="Arial" w:eastAsia="Arial" w:hAnsi="Arial"/>
          <w:sz w:val="15"/>
          <w:szCs w:val="15"/>
          <w:b w:val="1"/>
          <w:bCs w:val="1"/>
          <w:color w:val="363634"/>
        </w:rPr>
        <w:t xml:space="preserve"> </w:t>
      </w:r>
      <w:r>
        <w:rPr>
          <w:rFonts w:ascii="Arial" w:cs="Arial" w:eastAsia="Arial" w:hAnsi="Arial"/>
          <w:sz w:val="15"/>
          <w:szCs w:val="15"/>
          <w:color w:val="4D4D4B"/>
        </w:rPr>
        <w:t>a</w:t>
      </w:r>
      <w:r>
        <w:rPr>
          <w:rFonts w:ascii="Arial" w:cs="Arial" w:eastAsia="Arial" w:hAnsi="Arial"/>
          <w:sz w:val="15"/>
          <w:szCs w:val="15"/>
          <w:b w:val="1"/>
          <w:bCs w:val="1"/>
          <w:color w:val="363634"/>
        </w:rPr>
        <w:t xml:space="preserve"> </w:t>
      </w:r>
      <w:r>
        <w:rPr>
          <w:rFonts w:ascii="Arial" w:cs="Arial" w:eastAsia="Arial" w:hAnsi="Arial"/>
          <w:sz w:val="15"/>
          <w:szCs w:val="15"/>
          <w:color w:val="363634"/>
        </w:rPr>
        <w:t>covered</w:t>
      </w:r>
      <w:r>
        <w:rPr>
          <w:rFonts w:ascii="Arial" w:cs="Arial" w:eastAsia="Arial" w:hAnsi="Arial"/>
          <w:sz w:val="15"/>
          <w:szCs w:val="15"/>
          <w:b w:val="1"/>
          <w:bCs w:val="1"/>
          <w:color w:val="363634"/>
        </w:rPr>
        <w:t xml:space="preserve"> </w:t>
      </w:r>
      <w:r>
        <w:rPr>
          <w:rFonts w:ascii="Arial" w:cs="Arial" w:eastAsia="Arial" w:hAnsi="Arial"/>
          <w:sz w:val="15"/>
          <w:szCs w:val="15"/>
          <w:color w:val="363634"/>
        </w:rPr>
        <w:t>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106" w:lineRule="exact"/>
        <w:rPr>
          <w:sz w:val="20"/>
          <w:szCs w:val="20"/>
          <w:color w:val="auto"/>
        </w:rPr>
      </w:pPr>
    </w:p>
    <w:p>
      <w:pPr>
        <w:jc w:val="both"/>
        <w:ind w:left="580" w:right="20" w:hanging="26"/>
        <w:spacing w:after="0" w:line="266" w:lineRule="auto"/>
        <w:rPr>
          <w:sz w:val="20"/>
          <w:szCs w:val="20"/>
          <w:color w:val="auto"/>
        </w:rPr>
      </w:pPr>
      <w:r>
        <w:rPr>
          <w:rFonts w:ascii="Arial" w:cs="Arial" w:eastAsia="Arial" w:hAnsi="Arial"/>
          <w:sz w:val="16"/>
          <w:szCs w:val="16"/>
          <w:b w:val="1"/>
          <w:bCs w:val="1"/>
          <w:color w:val="363634"/>
        </w:rPr>
        <w:t xml:space="preserve">Fungi and mold. </w:t>
      </w:r>
      <w:r>
        <w:rPr>
          <w:rFonts w:ascii="Arial" w:cs="Arial" w:eastAsia="Arial" w:hAnsi="Arial"/>
          <w:sz w:val="16"/>
          <w:szCs w:val="16"/>
          <w:color w:val="363634"/>
        </w:rPr>
        <w:t>We do not cover any actual or alleged damages or medical expenses arising out of mold, the fear of mold, or any consequences resulting from</w:t>
      </w:r>
      <w:r>
        <w:rPr>
          <w:rFonts w:ascii="Arial" w:cs="Arial" w:eastAsia="Arial" w:hAnsi="Arial"/>
          <w:sz w:val="16"/>
          <w:szCs w:val="16"/>
          <w:b w:val="1"/>
          <w:bCs w:val="1"/>
          <w:color w:val="363634"/>
        </w:rPr>
        <w:t xml:space="preserve"> </w:t>
      </w:r>
      <w:r>
        <w:rPr>
          <w:rFonts w:ascii="Arial" w:cs="Arial" w:eastAsia="Arial" w:hAnsi="Arial"/>
          <w:sz w:val="16"/>
          <w:szCs w:val="16"/>
          <w:color w:val="363634"/>
        </w:rPr>
        <w:t>mold or the fear of mold. "Mold" means fungi, mold, mold spores, mycotoxins, and the scents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363634"/>
        </w:rPr>
        <w:t>and other byproducts of any of these.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12 of 15</w:t>
      </w:r>
    </w:p>
    <w:p>
      <w:pPr>
        <w:sectPr>
          <w:pgSz w:w="11900" w:h="16838" w:orient="portrait"/>
          <w:cols w:equalWidth="0" w:num="1">
            <w:col w:w="11240"/>
          </w:cols>
          <w:pgMar w:left="320" w:top="514" w:right="339" w:bottom="1440" w:gutter="0" w:footer="0" w:header="0"/>
        </w:sectPr>
      </w:pPr>
    </w:p>
    <w:bookmarkStart w:id="142" w:name="page143"/>
    <w:bookmarkEnd w:id="142"/>
    <w:p>
      <w:pPr>
        <w:ind w:left="120"/>
        <w:spacing w:after="0"/>
        <w:rPr>
          <w:sz w:val="20"/>
          <w:szCs w:val="20"/>
          <w:color w:val="auto"/>
        </w:rPr>
      </w:pPr>
      <w:r>
        <w:rPr>
          <w:rFonts w:ascii="Arial" w:cs="Arial" w:eastAsia="Arial" w:hAnsi="Arial"/>
          <w:sz w:val="22"/>
          <w:szCs w:val="22"/>
          <w:b w:val="1"/>
          <w:bCs w:val="1"/>
          <w:i w:val="1"/>
          <w:iCs w:val="1"/>
          <w:color w:val="444442"/>
        </w:rPr>
        <w:t>Exclusions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44442"/>
        </w:rPr>
        <w:t>(continued)</w:t>
      </w:r>
    </w:p>
    <w:p>
      <w:pPr>
        <w:spacing w:after="0" w:line="194" w:lineRule="exact"/>
        <w:rPr>
          <w:sz w:val="20"/>
          <w:szCs w:val="20"/>
          <w:color w:val="auto"/>
        </w:rPr>
      </w:pPr>
    </w:p>
    <w:p>
      <w:pPr>
        <w:ind w:left="120" w:right="60"/>
        <w:spacing w:after="0" w:line="351" w:lineRule="auto"/>
        <w:rPr>
          <w:sz w:val="20"/>
          <w:szCs w:val="20"/>
          <w:color w:val="auto"/>
        </w:rPr>
      </w:pPr>
      <w:r>
        <w:rPr>
          <w:rFonts w:ascii="Arial" w:cs="Arial" w:eastAsia="Arial" w:hAnsi="Arial"/>
          <w:sz w:val="16"/>
          <w:szCs w:val="16"/>
          <w:b w:val="1"/>
          <w:bCs w:val="1"/>
          <w:color w:val="444442"/>
        </w:rPr>
        <w:t>Nuclear or radiation hazard</w:t>
      </w:r>
      <w:r>
        <w:rPr>
          <w:rFonts w:ascii="Arial" w:cs="Arial" w:eastAsia="Arial" w:hAnsi="Arial"/>
          <w:sz w:val="16"/>
          <w:szCs w:val="16"/>
          <w:b w:val="1"/>
          <w:bCs w:val="1"/>
          <w:color w:val="21211F"/>
        </w:rPr>
        <w:t>.</w:t>
      </w:r>
      <w:r>
        <w:rPr>
          <w:rFonts w:ascii="Arial" w:cs="Arial" w:eastAsia="Arial" w:hAnsi="Arial"/>
          <w:sz w:val="16"/>
          <w:szCs w:val="16"/>
          <w:b w:val="1"/>
          <w:bCs w:val="1"/>
          <w:color w:val="444442"/>
        </w:rPr>
        <w:t xml:space="preserve"> </w:t>
      </w:r>
      <w:r>
        <w:rPr>
          <w:rFonts w:ascii="Arial" w:cs="Arial" w:eastAsia="Arial" w:hAnsi="Arial"/>
          <w:sz w:val="16"/>
          <w:szCs w:val="16"/>
          <w:color w:val="444442"/>
        </w:rPr>
        <w:t>We do not cover any damages caused directly or indirectly by nuclear reaction, radiation, or radioactive contamination, regardless of how it</w:t>
      </w:r>
      <w:r>
        <w:rPr>
          <w:rFonts w:ascii="Arial" w:cs="Arial" w:eastAsia="Arial" w:hAnsi="Arial"/>
          <w:sz w:val="16"/>
          <w:szCs w:val="16"/>
          <w:b w:val="1"/>
          <w:bCs w:val="1"/>
          <w:color w:val="444442"/>
        </w:rPr>
        <w:t xml:space="preserve"> </w:t>
      </w:r>
      <w:r>
        <w:rPr>
          <w:rFonts w:ascii="Arial" w:cs="Arial" w:eastAsia="Arial" w:hAnsi="Arial"/>
          <w:sz w:val="16"/>
          <w:szCs w:val="16"/>
          <w:color w:val="444442"/>
        </w:rPr>
        <w:t>was caused.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444442"/>
        </w:rPr>
        <w:t>POLICY TERMS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This part of your Group Personal Excess Liability Policy explains the conditions that apply to your policy.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444442"/>
        </w:rPr>
        <w:t>General Conditions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These conditions apply to your policy in general, and to each coverage provided in the policy.</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Policy period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 effective dates of your policy are shown in the Coverage Summary. Those dates begin at 12:01 a.m. standard time at the mailing address shown.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All coverages on this policy apply only to occurrences that take place while this policy is in effect.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Transfer of rights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If we make a payment under this policy</w:t>
      </w:r>
      <w:r>
        <w:rPr>
          <w:rFonts w:ascii="Arial" w:cs="Arial" w:eastAsia="Arial" w:hAnsi="Arial"/>
          <w:sz w:val="15"/>
          <w:szCs w:val="15"/>
          <w:color w:val="676764"/>
        </w:rPr>
        <w:t>,</w:t>
      </w:r>
      <w:r>
        <w:rPr>
          <w:rFonts w:ascii="Arial" w:cs="Arial" w:eastAsia="Arial" w:hAnsi="Arial"/>
          <w:sz w:val="15"/>
          <w:szCs w:val="15"/>
          <w:color w:val="444442"/>
        </w:rPr>
        <w:t xml:space="preserve"> we will assume any recovery rights a covered person has in connection with that loss, to the extent we have paid for the loss.</w:t>
      </w:r>
    </w:p>
    <w:p>
      <w:pPr>
        <w:spacing w:after="0" w:line="161" w:lineRule="exact"/>
        <w:rPr>
          <w:sz w:val="20"/>
          <w:szCs w:val="20"/>
          <w:color w:val="auto"/>
        </w:rPr>
      </w:pPr>
    </w:p>
    <w:p>
      <w:pPr>
        <w:jc w:val="both"/>
        <w:ind w:left="140"/>
        <w:spacing w:after="0" w:line="316" w:lineRule="auto"/>
        <w:rPr>
          <w:sz w:val="20"/>
          <w:szCs w:val="20"/>
          <w:color w:val="auto"/>
        </w:rPr>
      </w:pPr>
      <w:r>
        <w:rPr>
          <w:rFonts w:ascii="Arial" w:cs="Arial" w:eastAsia="Arial" w:hAnsi="Arial"/>
          <w:sz w:val="16"/>
          <w:szCs w:val="16"/>
          <w:color w:val="444442"/>
        </w:rPr>
        <w:t xml:space="preserve">All of your rights of recovery will become our rights to the extent of any payment we make under this policy. </w:t>
      </w:r>
      <w:r>
        <w:rPr>
          <w:rFonts w:ascii="Arial" w:cs="Arial" w:eastAsia="Arial" w:hAnsi="Arial"/>
          <w:sz w:val="16"/>
          <w:szCs w:val="16"/>
          <w:b w:val="1"/>
          <w:bCs w:val="1"/>
          <w:color w:val="444442"/>
        </w:rPr>
        <w:t>A</w:t>
      </w:r>
      <w:r>
        <w:rPr>
          <w:rFonts w:ascii="Arial" w:cs="Arial" w:eastAsia="Arial" w:hAnsi="Arial"/>
          <w:sz w:val="16"/>
          <w:szCs w:val="16"/>
          <w:color w:val="444442"/>
        </w:rPr>
        <w:t xml:space="preserve">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Concealment or fraud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We do not provide coverage if you or any covered person has intentionally concealed or misrepresented any material fact relating to this policy before or after a loss.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Application of coverage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Coverage applies separately to each covered person</w:t>
      </w:r>
      <w:r>
        <w:rPr>
          <w:rFonts w:ascii="Arial" w:cs="Arial" w:eastAsia="Arial" w:hAnsi="Arial"/>
          <w:sz w:val="16"/>
          <w:szCs w:val="16"/>
          <w:color w:val="21211F"/>
        </w:rPr>
        <w:t>.</w:t>
      </w:r>
      <w:r>
        <w:rPr>
          <w:rFonts w:ascii="Arial" w:cs="Arial" w:eastAsia="Arial" w:hAnsi="Arial"/>
          <w:sz w:val="16"/>
          <w:szCs w:val="16"/>
          <w:color w:val="444442"/>
        </w:rPr>
        <w:t xml:space="preserve"> However, this provision does not increase the amount of coverage for any one occurrence.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Assignment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You cannot transfer your interest in this policy to anyone else unless we agree in writing to the transfer.</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Policy changes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This policy can be changed only by a written amendment we issue.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Bankruptcy or insolvency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We will meet all our obligations under this policy regardless of whether you, your estate</w:t>
      </w:r>
      <w:r>
        <w:rPr>
          <w:rFonts w:ascii="Arial" w:cs="Arial" w:eastAsia="Arial" w:hAnsi="Arial"/>
          <w:sz w:val="16"/>
          <w:szCs w:val="16"/>
          <w:color w:val="676764"/>
        </w:rPr>
        <w:t>,</w:t>
      </w:r>
      <w:r>
        <w:rPr>
          <w:rFonts w:ascii="Arial" w:cs="Arial" w:eastAsia="Arial" w:hAnsi="Arial"/>
          <w:sz w:val="16"/>
          <w:szCs w:val="16"/>
          <w:color w:val="444442"/>
        </w:rPr>
        <w:t xml:space="preserve"> or anyone else or their estate becomes bankrupt or insolvent.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In case of death</w:t>
      </w:r>
    </w:p>
    <w:p>
      <w:pPr>
        <w:spacing w:after="0" w:line="50" w:lineRule="exact"/>
        <w:rPr>
          <w:sz w:val="20"/>
          <w:szCs w:val="20"/>
          <w:color w:val="auto"/>
        </w:rPr>
      </w:pPr>
    </w:p>
    <w:p>
      <w:pPr>
        <w:jc w:val="both"/>
        <w:ind w:left="140"/>
        <w:spacing w:after="0" w:line="409" w:lineRule="auto"/>
        <w:rPr>
          <w:sz w:val="20"/>
          <w:szCs w:val="20"/>
          <w:color w:val="auto"/>
        </w:rPr>
      </w:pPr>
      <w:r>
        <w:rPr>
          <w:rFonts w:ascii="Arial" w:cs="Arial" w:eastAsia="Arial" w:hAnsi="Arial"/>
          <w:sz w:val="14"/>
          <w:szCs w:val="14"/>
          <w:color w:val="444442"/>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Liberalization</w:t>
      </w:r>
    </w:p>
    <w:p>
      <w:pPr>
        <w:spacing w:after="0" w:line="63" w:lineRule="exact"/>
        <w:rPr>
          <w:sz w:val="20"/>
          <w:szCs w:val="20"/>
          <w:color w:val="auto"/>
        </w:rPr>
      </w:pPr>
    </w:p>
    <w:p>
      <w:pPr>
        <w:jc w:val="both"/>
        <w:ind w:left="140"/>
        <w:spacing w:after="0" w:line="323" w:lineRule="auto"/>
        <w:rPr>
          <w:sz w:val="20"/>
          <w:szCs w:val="20"/>
          <w:color w:val="auto"/>
        </w:rPr>
      </w:pPr>
      <w:r>
        <w:rPr>
          <w:rFonts w:ascii="Arial" w:cs="Arial" w:eastAsia="Arial" w:hAnsi="Arial"/>
          <w:sz w:val="16"/>
          <w:szCs w:val="16"/>
          <w:color w:val="444442"/>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r>
        <w:rPr>
          <w:rFonts w:ascii="Arial" w:cs="Arial" w:eastAsia="Arial" w:hAnsi="Arial"/>
          <w:sz w:val="16"/>
          <w:szCs w:val="16"/>
          <w:color w:val="21211F"/>
        </w:rPr>
        <w:t>.</w:t>
      </w:r>
    </w:p>
    <w:p>
      <w:pPr>
        <w:ind w:left="180"/>
        <w:spacing w:after="0"/>
        <w:rPr>
          <w:sz w:val="20"/>
          <w:szCs w:val="20"/>
          <w:color w:val="auto"/>
        </w:rPr>
      </w:pPr>
      <w:r>
        <w:rPr>
          <w:rFonts w:ascii="Arial" w:cs="Arial" w:eastAsia="Arial" w:hAnsi="Arial"/>
          <w:sz w:val="16"/>
          <w:szCs w:val="16"/>
          <w:b w:val="1"/>
          <w:bCs w:val="1"/>
          <w:color w:val="444442"/>
        </w:rPr>
        <w:t>Conforming to state law</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If any provision of this policy conflict with any applicable laws of the state you live in, this policy is amended to conform to those laws.</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Conforming to trade sanction laws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444442"/>
        </w:rPr>
        <w:t>This policy does not apply to the extent that trade or economic sanctions or other laws or regulations prohibit us from providing insurance.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13 of 15</w:t>
      </w:r>
    </w:p>
    <w:p>
      <w:pPr>
        <w:sectPr>
          <w:pgSz w:w="11900" w:h="16838" w:orient="portrait"/>
          <w:cols w:equalWidth="0" w:num="1">
            <w:col w:w="11240"/>
          </w:cols>
          <w:pgMar w:left="320" w:top="336" w:right="339" w:bottom="1440" w:gutter="0" w:footer="0" w:header="0"/>
        </w:sectPr>
      </w:pPr>
    </w:p>
    <w:bookmarkStart w:id="143" w:name="page144"/>
    <w:bookmarkEnd w:id="143"/>
    <w:p>
      <w:pPr>
        <w:ind w:left="380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553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0">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B3B3B"/>
        </w:rPr>
        <w:t>Liability Conditions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These conditions </w:t>
      </w:r>
      <w:r>
        <w:rPr>
          <w:rFonts w:ascii="Arial" w:cs="Arial" w:eastAsia="Arial" w:hAnsi="Arial"/>
          <w:sz w:val="16"/>
          <w:szCs w:val="16"/>
          <w:color w:val="4B4B49"/>
        </w:rPr>
        <w:t>apply</w:t>
      </w:r>
      <w:r>
        <w:rPr>
          <w:rFonts w:ascii="Arial" w:cs="Arial" w:eastAsia="Arial" w:hAnsi="Arial"/>
          <w:sz w:val="16"/>
          <w:szCs w:val="16"/>
          <w:color w:val="3B3B3B"/>
        </w:rPr>
        <w:t xml:space="preserve"> to all liability </w:t>
      </w:r>
      <w:r>
        <w:rPr>
          <w:rFonts w:ascii="Arial" w:cs="Arial" w:eastAsia="Arial" w:hAnsi="Arial"/>
          <w:sz w:val="16"/>
          <w:szCs w:val="16"/>
          <w:color w:val="4B4B49"/>
        </w:rPr>
        <w:t>coverages in</w:t>
      </w:r>
      <w:r>
        <w:rPr>
          <w:rFonts w:ascii="Arial" w:cs="Arial" w:eastAsia="Arial" w:hAnsi="Arial"/>
          <w:sz w:val="16"/>
          <w:szCs w:val="16"/>
          <w:color w:val="3B3B3B"/>
        </w:rPr>
        <w:t xml:space="preserve"> this </w:t>
      </w:r>
      <w:r>
        <w:rPr>
          <w:rFonts w:ascii="Arial" w:cs="Arial" w:eastAsia="Arial" w:hAnsi="Arial"/>
          <w:sz w:val="16"/>
          <w:szCs w:val="16"/>
          <w:color w:val="4B4B49"/>
        </w:rPr>
        <w:t>policy.</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4B4B49"/>
        </w:rPr>
        <w:t xml:space="preserve">Other </w:t>
      </w:r>
      <w:r>
        <w:rPr>
          <w:rFonts w:ascii="Arial" w:cs="Arial" w:eastAsia="Arial" w:hAnsi="Arial"/>
          <w:sz w:val="16"/>
          <w:szCs w:val="16"/>
          <w:b w:val="1"/>
          <w:bCs w:val="1"/>
          <w:color w:val="3B3B3B"/>
        </w:rPr>
        <w:t>Insurance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This insurance is </w:t>
      </w:r>
      <w:r>
        <w:rPr>
          <w:rFonts w:ascii="Arial" w:cs="Arial" w:eastAsia="Arial" w:hAnsi="Arial"/>
          <w:sz w:val="16"/>
          <w:szCs w:val="16"/>
          <w:color w:val="4B4B49"/>
        </w:rPr>
        <w:t>excess over</w:t>
      </w:r>
      <w:r>
        <w:rPr>
          <w:rFonts w:ascii="Arial" w:cs="Arial" w:eastAsia="Arial" w:hAnsi="Arial"/>
          <w:sz w:val="16"/>
          <w:szCs w:val="16"/>
          <w:color w:val="3B3B3B"/>
        </w:rPr>
        <w:t xml:space="preserve"> any </w:t>
      </w:r>
      <w:r>
        <w:rPr>
          <w:rFonts w:ascii="Arial" w:cs="Arial" w:eastAsia="Arial" w:hAnsi="Arial"/>
          <w:sz w:val="16"/>
          <w:szCs w:val="16"/>
          <w:color w:val="4B4B49"/>
        </w:rPr>
        <w:t>other</w:t>
      </w:r>
      <w:r>
        <w:rPr>
          <w:rFonts w:ascii="Arial" w:cs="Arial" w:eastAsia="Arial" w:hAnsi="Arial"/>
          <w:sz w:val="16"/>
          <w:szCs w:val="16"/>
          <w:color w:val="3B3B3B"/>
        </w:rPr>
        <w:t xml:space="preserve"> insurance except for those </w:t>
      </w:r>
      <w:r>
        <w:rPr>
          <w:rFonts w:ascii="Arial" w:cs="Arial" w:eastAsia="Arial" w:hAnsi="Arial"/>
          <w:sz w:val="16"/>
          <w:szCs w:val="16"/>
          <w:color w:val="4B4B49"/>
        </w:rPr>
        <w:t>policies</w:t>
      </w:r>
      <w:r>
        <w:rPr>
          <w:rFonts w:ascii="Arial" w:cs="Arial" w:eastAsia="Arial" w:hAnsi="Arial"/>
          <w:sz w:val="16"/>
          <w:szCs w:val="16"/>
          <w:color w:val="3B3B3B"/>
        </w:rPr>
        <w:t xml:space="preserve"> that</w:t>
      </w:r>
    </w:p>
    <w:p>
      <w:pPr>
        <w:spacing w:after="0" w:line="42" w:lineRule="exact"/>
        <w:rPr>
          <w:sz w:val="20"/>
          <w:szCs w:val="20"/>
          <w:color w:val="auto"/>
        </w:rPr>
      </w:pPr>
    </w:p>
    <w:p>
      <w:pPr>
        <w:ind w:left="880" w:hanging="305"/>
        <w:spacing w:after="0"/>
        <w:tabs>
          <w:tab w:leader="none" w:pos="880" w:val="left"/>
        </w:tabs>
        <w:numPr>
          <w:ilvl w:val="0"/>
          <w:numId w:val="114"/>
        </w:numPr>
        <w:rPr>
          <w:rFonts w:ascii="Arial" w:cs="Arial" w:eastAsia="Arial" w:hAnsi="Arial"/>
          <w:sz w:val="16"/>
          <w:szCs w:val="16"/>
          <w:color w:val="3B3B3B"/>
        </w:rPr>
      </w:pPr>
      <w:r>
        <w:rPr>
          <w:rFonts w:ascii="Arial" w:cs="Arial" w:eastAsia="Arial" w:hAnsi="Arial"/>
          <w:sz w:val="16"/>
          <w:szCs w:val="16"/>
          <w:color w:val="3B3B3B"/>
        </w:rPr>
        <w:t xml:space="preserve">are written </w:t>
      </w:r>
      <w:r>
        <w:rPr>
          <w:rFonts w:ascii="Arial" w:cs="Arial" w:eastAsia="Arial" w:hAnsi="Arial"/>
          <w:sz w:val="16"/>
          <w:szCs w:val="16"/>
          <w:color w:val="4B4B49"/>
        </w:rPr>
        <w:t>specifically</w:t>
      </w:r>
      <w:r>
        <w:rPr>
          <w:rFonts w:ascii="Arial" w:cs="Arial" w:eastAsia="Arial" w:hAnsi="Arial"/>
          <w:sz w:val="16"/>
          <w:szCs w:val="16"/>
          <w:color w:val="3B3B3B"/>
        </w:rPr>
        <w:t xml:space="preserve"> to </w:t>
      </w:r>
      <w:r>
        <w:rPr>
          <w:rFonts w:ascii="Arial" w:cs="Arial" w:eastAsia="Arial" w:hAnsi="Arial"/>
          <w:sz w:val="16"/>
          <w:szCs w:val="16"/>
          <w:color w:val="4B4B49"/>
        </w:rPr>
        <w:t>cover excess over</w:t>
      </w:r>
      <w:r>
        <w:rPr>
          <w:rFonts w:ascii="Arial" w:cs="Arial" w:eastAsia="Arial" w:hAnsi="Arial"/>
          <w:sz w:val="16"/>
          <w:szCs w:val="16"/>
          <w:color w:val="3B3B3B"/>
        </w:rPr>
        <w:t xml:space="preserve"> the amount </w:t>
      </w:r>
      <w:r>
        <w:rPr>
          <w:rFonts w:ascii="Arial" w:cs="Arial" w:eastAsia="Arial" w:hAnsi="Arial"/>
          <w:sz w:val="16"/>
          <w:szCs w:val="16"/>
          <w:color w:val="4B4B49"/>
        </w:rPr>
        <w:t>of coverage</w:t>
      </w:r>
      <w:r>
        <w:rPr>
          <w:rFonts w:ascii="Arial" w:cs="Arial" w:eastAsia="Arial" w:hAnsi="Arial"/>
          <w:sz w:val="16"/>
          <w:szCs w:val="16"/>
          <w:color w:val="3B3B3B"/>
        </w:rPr>
        <w:t xml:space="preserve"> that </w:t>
      </w:r>
      <w:r>
        <w:rPr>
          <w:rFonts w:ascii="Arial" w:cs="Arial" w:eastAsia="Arial" w:hAnsi="Arial"/>
          <w:sz w:val="16"/>
          <w:szCs w:val="16"/>
          <w:color w:val="4B4B49"/>
        </w:rPr>
        <w:t>applies in</w:t>
      </w:r>
      <w:r>
        <w:rPr>
          <w:rFonts w:ascii="Arial" w:cs="Arial" w:eastAsia="Arial" w:hAnsi="Arial"/>
          <w:sz w:val="16"/>
          <w:szCs w:val="16"/>
          <w:color w:val="3B3B3B"/>
        </w:rPr>
        <w:t xml:space="preserve"> this </w:t>
      </w:r>
      <w:r>
        <w:rPr>
          <w:rFonts w:ascii="Arial" w:cs="Arial" w:eastAsia="Arial" w:hAnsi="Arial"/>
          <w:sz w:val="16"/>
          <w:szCs w:val="16"/>
          <w:color w:val="4B4B49"/>
        </w:rPr>
        <w:t>policy; and</w:t>
      </w:r>
    </w:p>
    <w:p>
      <w:pPr>
        <w:spacing w:after="0" w:line="45" w:lineRule="exact"/>
        <w:rPr>
          <w:rFonts w:ascii="Arial" w:cs="Arial" w:eastAsia="Arial" w:hAnsi="Arial"/>
          <w:sz w:val="16"/>
          <w:szCs w:val="16"/>
          <w:color w:val="3B3B3B"/>
        </w:rPr>
      </w:pPr>
    </w:p>
    <w:p>
      <w:pPr>
        <w:ind w:left="880" w:hanging="305"/>
        <w:spacing w:after="0"/>
        <w:tabs>
          <w:tab w:leader="none" w:pos="880" w:val="left"/>
        </w:tabs>
        <w:numPr>
          <w:ilvl w:val="0"/>
          <w:numId w:val="114"/>
        </w:numPr>
        <w:rPr>
          <w:rFonts w:ascii="Arial" w:cs="Arial" w:eastAsia="Arial" w:hAnsi="Arial"/>
          <w:sz w:val="16"/>
          <w:szCs w:val="16"/>
          <w:color w:val="4B4B49"/>
        </w:rPr>
      </w:pPr>
      <w:r>
        <w:rPr>
          <w:rFonts w:ascii="Arial" w:cs="Arial" w:eastAsia="Arial" w:hAnsi="Arial"/>
          <w:sz w:val="16"/>
          <w:szCs w:val="16"/>
          <w:color w:val="4B4B49"/>
        </w:rPr>
        <w:t xml:space="preserve">schedule </w:t>
      </w:r>
      <w:r>
        <w:rPr>
          <w:rFonts w:ascii="Arial" w:cs="Arial" w:eastAsia="Arial" w:hAnsi="Arial"/>
          <w:sz w:val="16"/>
          <w:szCs w:val="16"/>
          <w:color w:val="3B3B3B"/>
        </w:rPr>
        <w:t>this</w:t>
      </w:r>
      <w:r>
        <w:rPr>
          <w:rFonts w:ascii="Arial" w:cs="Arial" w:eastAsia="Arial" w:hAnsi="Arial"/>
          <w:sz w:val="16"/>
          <w:szCs w:val="16"/>
          <w:color w:val="4B4B49"/>
        </w:rPr>
        <w:t xml:space="preserve"> policy as underlying insurance.</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Your duties </w:t>
      </w:r>
      <w:r>
        <w:rPr>
          <w:rFonts w:ascii="Arial" w:cs="Arial" w:eastAsia="Arial" w:hAnsi="Arial"/>
          <w:sz w:val="16"/>
          <w:szCs w:val="16"/>
          <w:b w:val="1"/>
          <w:bCs w:val="1"/>
          <w:color w:val="4B4B49"/>
        </w:rPr>
        <w:t>after</w:t>
      </w:r>
      <w:r>
        <w:rPr>
          <w:rFonts w:ascii="Arial" w:cs="Arial" w:eastAsia="Arial" w:hAnsi="Arial"/>
          <w:sz w:val="16"/>
          <w:szCs w:val="16"/>
          <w:b w:val="1"/>
          <w:bCs w:val="1"/>
          <w:color w:val="3B3B3B"/>
        </w:rPr>
        <w:t xml:space="preserve"> a loss</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case of an accident or occurrence, the</w:t>
      </w:r>
      <w:r>
        <w:rPr>
          <w:rFonts w:ascii="Arial" w:cs="Arial" w:eastAsia="Arial" w:hAnsi="Arial"/>
          <w:sz w:val="16"/>
          <w:szCs w:val="16"/>
          <w:color w:val="3B3B3B"/>
        </w:rPr>
        <w:t xml:space="preserve"> covered person </w:t>
      </w:r>
      <w:r>
        <w:rPr>
          <w:rFonts w:ascii="Arial" w:cs="Arial" w:eastAsia="Arial" w:hAnsi="Arial"/>
          <w:sz w:val="16"/>
          <w:szCs w:val="16"/>
          <w:color w:val="4B4B49"/>
        </w:rPr>
        <w:t>shall</w:t>
      </w:r>
      <w:r>
        <w:rPr>
          <w:rFonts w:ascii="Arial" w:cs="Arial" w:eastAsia="Arial" w:hAnsi="Arial"/>
          <w:sz w:val="16"/>
          <w:szCs w:val="16"/>
          <w:color w:val="3B3B3B"/>
        </w:rPr>
        <w:t xml:space="preserve"> perform the </w:t>
      </w:r>
      <w:r>
        <w:rPr>
          <w:rFonts w:ascii="Arial" w:cs="Arial" w:eastAsia="Arial" w:hAnsi="Arial"/>
          <w:sz w:val="16"/>
          <w:szCs w:val="16"/>
          <w:color w:val="4B4B49"/>
        </w:rPr>
        <w:t>following duties</w:t>
      </w:r>
      <w:r>
        <w:rPr>
          <w:rFonts w:ascii="Arial" w:cs="Arial" w:eastAsia="Arial" w:hAnsi="Arial"/>
          <w:sz w:val="16"/>
          <w:szCs w:val="16"/>
          <w:color w:val="3B3B3B"/>
        </w:rPr>
        <w:t xml:space="preserve"> that </w:t>
      </w:r>
      <w:r>
        <w:rPr>
          <w:rFonts w:ascii="Arial" w:cs="Arial" w:eastAsia="Arial" w:hAnsi="Arial"/>
          <w:sz w:val="16"/>
          <w:szCs w:val="16"/>
          <w:color w:val="4B4B49"/>
        </w:rPr>
        <w:t>apply: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Notification. </w:t>
      </w:r>
      <w:r>
        <w:rPr>
          <w:rFonts w:ascii="Arial" w:cs="Arial" w:eastAsia="Arial" w:hAnsi="Arial"/>
          <w:sz w:val="16"/>
          <w:szCs w:val="16"/>
          <w:color w:val="3B3B3B"/>
        </w:rPr>
        <w:t>You must notify us or</w:t>
      </w:r>
      <w:r>
        <w:rPr>
          <w:rFonts w:ascii="Arial" w:cs="Arial" w:eastAsia="Arial" w:hAnsi="Arial"/>
          <w:sz w:val="16"/>
          <w:szCs w:val="16"/>
          <w:b w:val="1"/>
          <w:bCs w:val="1"/>
          <w:color w:val="3B3B3B"/>
        </w:rPr>
        <w:t xml:space="preserve"> </w:t>
      </w:r>
      <w:r>
        <w:rPr>
          <w:rFonts w:ascii="Arial" w:cs="Arial" w:eastAsia="Arial" w:hAnsi="Arial"/>
          <w:sz w:val="16"/>
          <w:szCs w:val="16"/>
          <w:color w:val="4B4B49"/>
        </w:rPr>
        <w:t>your</w:t>
      </w:r>
      <w:r>
        <w:rPr>
          <w:rFonts w:ascii="Arial" w:cs="Arial" w:eastAsia="Arial" w:hAnsi="Arial"/>
          <w:sz w:val="16"/>
          <w:szCs w:val="16"/>
          <w:b w:val="1"/>
          <w:bCs w:val="1"/>
          <w:color w:val="3B3B3B"/>
        </w:rPr>
        <w:t xml:space="preserve"> </w:t>
      </w:r>
      <w:r>
        <w:rPr>
          <w:rFonts w:ascii="Arial" w:cs="Arial" w:eastAsia="Arial" w:hAnsi="Arial"/>
          <w:sz w:val="16"/>
          <w:szCs w:val="16"/>
          <w:color w:val="3B3B3B"/>
        </w:rPr>
        <w:t>agent</w:t>
      </w:r>
      <w:r>
        <w:rPr>
          <w:rFonts w:ascii="Arial" w:cs="Arial" w:eastAsia="Arial" w:hAnsi="Arial"/>
          <w:sz w:val="16"/>
          <w:szCs w:val="16"/>
          <w:b w:val="1"/>
          <w:bCs w:val="1"/>
          <w:color w:val="3B3B3B"/>
        </w:rPr>
        <w:t xml:space="preserve"> </w:t>
      </w:r>
      <w:r>
        <w:rPr>
          <w:rFonts w:ascii="Arial" w:cs="Arial" w:eastAsia="Arial" w:hAnsi="Arial"/>
          <w:sz w:val="16"/>
          <w:szCs w:val="16"/>
          <w:color w:val="4B4B49"/>
        </w:rPr>
        <w:t>or</w:t>
      </w:r>
      <w:r>
        <w:rPr>
          <w:rFonts w:ascii="Arial" w:cs="Arial" w:eastAsia="Arial" w:hAnsi="Arial"/>
          <w:sz w:val="16"/>
          <w:szCs w:val="16"/>
          <w:b w:val="1"/>
          <w:bCs w:val="1"/>
          <w:color w:val="3B3B3B"/>
        </w:rPr>
        <w:t xml:space="preserve"> </w:t>
      </w:r>
      <w:r>
        <w:rPr>
          <w:rFonts w:ascii="Arial" w:cs="Arial" w:eastAsia="Arial" w:hAnsi="Arial"/>
          <w:sz w:val="16"/>
          <w:szCs w:val="16"/>
          <w:color w:val="3B3B3B"/>
        </w:rPr>
        <w:t>broker</w:t>
      </w:r>
      <w:r>
        <w:rPr>
          <w:rFonts w:ascii="Arial" w:cs="Arial" w:eastAsia="Arial" w:hAnsi="Arial"/>
          <w:sz w:val="16"/>
          <w:szCs w:val="16"/>
          <w:b w:val="1"/>
          <w:bCs w:val="1"/>
          <w:color w:val="3B3B3B"/>
        </w:rPr>
        <w:t xml:space="preserve"> </w:t>
      </w:r>
      <w:r>
        <w:rPr>
          <w:rFonts w:ascii="Arial" w:cs="Arial" w:eastAsia="Arial" w:hAnsi="Arial"/>
          <w:sz w:val="16"/>
          <w:szCs w:val="16"/>
          <w:color w:val="4B4B49"/>
        </w:rPr>
        <w:t>as soon as possible.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4B4B49"/>
        </w:rPr>
        <w:t xml:space="preserve">Assistance. </w:t>
      </w:r>
      <w:r>
        <w:rPr>
          <w:rFonts w:ascii="Arial" w:cs="Arial" w:eastAsia="Arial" w:hAnsi="Arial"/>
          <w:sz w:val="15"/>
          <w:szCs w:val="15"/>
          <w:color w:val="3B3B3B"/>
        </w:rPr>
        <w:t>You</w:t>
      </w:r>
      <w:r>
        <w:rPr>
          <w:rFonts w:ascii="Arial" w:cs="Arial" w:eastAsia="Arial" w:hAnsi="Arial"/>
          <w:sz w:val="15"/>
          <w:szCs w:val="15"/>
          <w:b w:val="1"/>
          <w:bCs w:val="1"/>
          <w:color w:val="4B4B49"/>
        </w:rPr>
        <w:t xml:space="preserve"> </w:t>
      </w:r>
      <w:r>
        <w:rPr>
          <w:rFonts w:ascii="Arial" w:cs="Arial" w:eastAsia="Arial" w:hAnsi="Arial"/>
          <w:sz w:val="15"/>
          <w:szCs w:val="15"/>
          <w:color w:val="4B4B49"/>
        </w:rPr>
        <w:t>must provide</w:t>
      </w:r>
      <w:r>
        <w:rPr>
          <w:rFonts w:ascii="Arial" w:cs="Arial" w:eastAsia="Arial" w:hAnsi="Arial"/>
          <w:sz w:val="15"/>
          <w:szCs w:val="15"/>
          <w:b w:val="1"/>
          <w:bCs w:val="1"/>
          <w:color w:val="4B4B49"/>
        </w:rPr>
        <w:t xml:space="preserve"> </w:t>
      </w:r>
      <w:r>
        <w:rPr>
          <w:rFonts w:ascii="Arial" w:cs="Arial" w:eastAsia="Arial" w:hAnsi="Arial"/>
          <w:sz w:val="15"/>
          <w:szCs w:val="15"/>
          <w:color w:val="3B3B3B"/>
        </w:rPr>
        <w:t>us with all</w:t>
      </w:r>
      <w:r>
        <w:rPr>
          <w:rFonts w:ascii="Arial" w:cs="Arial" w:eastAsia="Arial" w:hAnsi="Arial"/>
          <w:sz w:val="15"/>
          <w:szCs w:val="15"/>
          <w:b w:val="1"/>
          <w:bCs w:val="1"/>
          <w:color w:val="4B4B49"/>
        </w:rPr>
        <w:t xml:space="preserve"> </w:t>
      </w:r>
      <w:r>
        <w:rPr>
          <w:rFonts w:ascii="Arial" w:cs="Arial" w:eastAsia="Arial" w:hAnsi="Arial"/>
          <w:sz w:val="15"/>
          <w:szCs w:val="15"/>
          <w:color w:val="4B4B49"/>
        </w:rPr>
        <w:t>available</w:t>
      </w:r>
      <w:r>
        <w:rPr>
          <w:rFonts w:ascii="Arial" w:cs="Arial" w:eastAsia="Arial" w:hAnsi="Arial"/>
          <w:sz w:val="15"/>
          <w:szCs w:val="15"/>
          <w:b w:val="1"/>
          <w:bCs w:val="1"/>
          <w:color w:val="4B4B49"/>
        </w:rPr>
        <w:t xml:space="preserve"> </w:t>
      </w:r>
      <w:r>
        <w:rPr>
          <w:rFonts w:ascii="Arial" w:cs="Arial" w:eastAsia="Arial" w:hAnsi="Arial"/>
          <w:sz w:val="15"/>
          <w:szCs w:val="15"/>
          <w:color w:val="3B3B3B"/>
        </w:rPr>
        <w:t>information.</w:t>
      </w:r>
      <w:r>
        <w:rPr>
          <w:rFonts w:ascii="Arial" w:cs="Arial" w:eastAsia="Arial" w:hAnsi="Arial"/>
          <w:sz w:val="15"/>
          <w:szCs w:val="15"/>
          <w:b w:val="1"/>
          <w:bCs w:val="1"/>
          <w:color w:val="4B4B49"/>
        </w:rPr>
        <w:t xml:space="preserve"> </w:t>
      </w:r>
      <w:r>
        <w:rPr>
          <w:rFonts w:ascii="Arial" w:cs="Arial" w:eastAsia="Arial" w:hAnsi="Arial"/>
          <w:sz w:val="15"/>
          <w:szCs w:val="15"/>
          <w:color w:val="4B4B49"/>
        </w:rPr>
        <w:t>This</w:t>
      </w:r>
      <w:r>
        <w:rPr>
          <w:rFonts w:ascii="Arial" w:cs="Arial" w:eastAsia="Arial" w:hAnsi="Arial"/>
          <w:sz w:val="15"/>
          <w:szCs w:val="15"/>
          <w:b w:val="1"/>
          <w:bCs w:val="1"/>
          <w:color w:val="4B4B49"/>
        </w:rPr>
        <w:t xml:space="preserve"> </w:t>
      </w:r>
      <w:r>
        <w:rPr>
          <w:rFonts w:ascii="Arial" w:cs="Arial" w:eastAsia="Arial" w:hAnsi="Arial"/>
          <w:sz w:val="15"/>
          <w:szCs w:val="15"/>
          <w:color w:val="3B3B3B"/>
        </w:rPr>
        <w:t>includes</w:t>
      </w:r>
      <w:r>
        <w:rPr>
          <w:rFonts w:ascii="Arial" w:cs="Arial" w:eastAsia="Arial" w:hAnsi="Arial"/>
          <w:sz w:val="15"/>
          <w:szCs w:val="15"/>
          <w:b w:val="1"/>
          <w:bCs w:val="1"/>
          <w:color w:val="4B4B49"/>
        </w:rPr>
        <w:t xml:space="preserve"> </w:t>
      </w:r>
      <w:r>
        <w:rPr>
          <w:rFonts w:ascii="Arial" w:cs="Arial" w:eastAsia="Arial" w:hAnsi="Arial"/>
          <w:sz w:val="15"/>
          <w:szCs w:val="15"/>
          <w:color w:val="4B4B49"/>
        </w:rPr>
        <w:t>any suit papers or other documents</w:t>
      </w:r>
      <w:r>
        <w:rPr>
          <w:rFonts w:ascii="Arial" w:cs="Arial" w:eastAsia="Arial" w:hAnsi="Arial"/>
          <w:sz w:val="15"/>
          <w:szCs w:val="15"/>
          <w:b w:val="1"/>
          <w:bCs w:val="1"/>
          <w:color w:val="4B4B49"/>
        </w:rPr>
        <w:t xml:space="preserve"> </w:t>
      </w:r>
      <w:r>
        <w:rPr>
          <w:rFonts w:ascii="Arial" w:cs="Arial" w:eastAsia="Arial" w:hAnsi="Arial"/>
          <w:sz w:val="15"/>
          <w:szCs w:val="15"/>
          <w:color w:val="3B3B3B"/>
        </w:rPr>
        <w:t>which help us in the event that we defend</w:t>
      </w:r>
      <w:r>
        <w:rPr>
          <w:rFonts w:ascii="Arial" w:cs="Arial" w:eastAsia="Arial" w:hAnsi="Arial"/>
          <w:sz w:val="15"/>
          <w:szCs w:val="15"/>
          <w:b w:val="1"/>
          <w:bCs w:val="1"/>
          <w:color w:val="4B4B49"/>
        </w:rPr>
        <w:t xml:space="preserve"> </w:t>
      </w:r>
      <w:r>
        <w:rPr>
          <w:rFonts w:ascii="Arial" w:cs="Arial" w:eastAsia="Arial" w:hAnsi="Arial"/>
          <w:sz w:val="15"/>
          <w:szCs w:val="15"/>
          <w:color w:val="4B4B49"/>
        </w:rPr>
        <w:t>you.</w:t>
      </w:r>
    </w:p>
    <w:p>
      <w:pPr>
        <w:spacing w:after="0" w:line="125" w:lineRule="exact"/>
        <w:rPr>
          <w:sz w:val="20"/>
          <w:szCs w:val="20"/>
          <w:color w:val="auto"/>
        </w:rPr>
      </w:pPr>
    </w:p>
    <w:p>
      <w:pPr>
        <w:ind w:left="560" w:right="640"/>
        <w:spacing w:after="0" w:line="280" w:lineRule="auto"/>
        <w:rPr>
          <w:sz w:val="20"/>
          <w:szCs w:val="20"/>
          <w:color w:val="auto"/>
        </w:rPr>
      </w:pPr>
      <w:r>
        <w:rPr>
          <w:rFonts w:ascii="Arial" w:cs="Arial" w:eastAsia="Arial" w:hAnsi="Arial"/>
          <w:sz w:val="16"/>
          <w:szCs w:val="16"/>
          <w:b w:val="1"/>
          <w:bCs w:val="1"/>
          <w:color w:val="3B3B3B"/>
        </w:rPr>
        <w:t xml:space="preserve">Cooperation. </w:t>
      </w:r>
      <w:r>
        <w:rPr>
          <w:rFonts w:ascii="Arial" w:cs="Arial" w:eastAsia="Arial" w:hAnsi="Arial"/>
          <w:sz w:val="16"/>
          <w:szCs w:val="16"/>
          <w:color w:val="4B4B49"/>
        </w:rPr>
        <w:t>You</w:t>
      </w:r>
      <w:r>
        <w:rPr>
          <w:rFonts w:ascii="Arial" w:cs="Arial" w:eastAsia="Arial" w:hAnsi="Arial"/>
          <w:sz w:val="16"/>
          <w:szCs w:val="16"/>
          <w:b w:val="1"/>
          <w:bCs w:val="1"/>
          <w:color w:val="3B3B3B"/>
        </w:rPr>
        <w:t xml:space="preserve"> </w:t>
      </w:r>
      <w:r>
        <w:rPr>
          <w:rFonts w:ascii="Arial" w:cs="Arial" w:eastAsia="Arial" w:hAnsi="Arial"/>
          <w:sz w:val="16"/>
          <w:szCs w:val="16"/>
          <w:color w:val="3B3B3B"/>
        </w:rPr>
        <w:t>must</w:t>
      </w:r>
      <w:r>
        <w:rPr>
          <w:rFonts w:ascii="Arial" w:cs="Arial" w:eastAsia="Arial" w:hAnsi="Arial"/>
          <w:sz w:val="16"/>
          <w:szCs w:val="16"/>
          <w:b w:val="1"/>
          <w:bCs w:val="1"/>
          <w:color w:val="3B3B3B"/>
        </w:rPr>
        <w:t xml:space="preserve"> </w:t>
      </w:r>
      <w:r>
        <w:rPr>
          <w:rFonts w:ascii="Arial" w:cs="Arial" w:eastAsia="Arial" w:hAnsi="Arial"/>
          <w:sz w:val="16"/>
          <w:szCs w:val="16"/>
          <w:color w:val="4B4B49"/>
        </w:rPr>
        <w:t>cooperate with</w:t>
      </w:r>
      <w:r>
        <w:rPr>
          <w:rFonts w:ascii="Arial" w:cs="Arial" w:eastAsia="Arial" w:hAnsi="Arial"/>
          <w:sz w:val="16"/>
          <w:szCs w:val="16"/>
          <w:b w:val="1"/>
          <w:bCs w:val="1"/>
          <w:color w:val="3B3B3B"/>
        </w:rPr>
        <w:t xml:space="preserve"> </w:t>
      </w:r>
      <w:r>
        <w:rPr>
          <w:rFonts w:ascii="Arial" w:cs="Arial" w:eastAsia="Arial" w:hAnsi="Arial"/>
          <w:sz w:val="16"/>
          <w:szCs w:val="16"/>
          <w:color w:val="3B3B3B"/>
        </w:rPr>
        <w:t>us</w:t>
      </w:r>
      <w:r>
        <w:rPr>
          <w:rFonts w:ascii="Arial" w:cs="Arial" w:eastAsia="Arial" w:hAnsi="Arial"/>
          <w:sz w:val="16"/>
          <w:szCs w:val="16"/>
          <w:b w:val="1"/>
          <w:bCs w:val="1"/>
          <w:color w:val="3B3B3B"/>
        </w:rPr>
        <w:t xml:space="preserve"> </w:t>
      </w:r>
      <w:r>
        <w:rPr>
          <w:rFonts w:ascii="Arial" w:cs="Arial" w:eastAsia="Arial" w:hAnsi="Arial"/>
          <w:sz w:val="16"/>
          <w:szCs w:val="16"/>
          <w:color w:val="4B4B49"/>
        </w:rPr>
        <w:t>fully</w:t>
      </w:r>
      <w:r>
        <w:rPr>
          <w:rFonts w:ascii="Arial" w:cs="Arial" w:eastAsia="Arial" w:hAnsi="Arial"/>
          <w:sz w:val="16"/>
          <w:szCs w:val="16"/>
          <w:b w:val="1"/>
          <w:bCs w:val="1"/>
          <w:color w:val="3B3B3B"/>
        </w:rPr>
        <w:t xml:space="preserve"> </w:t>
      </w:r>
      <w:r>
        <w:rPr>
          <w:rFonts w:ascii="Arial" w:cs="Arial" w:eastAsia="Arial" w:hAnsi="Arial"/>
          <w:sz w:val="16"/>
          <w:szCs w:val="16"/>
          <w:color w:val="3B3B3B"/>
        </w:rPr>
        <w:t>in</w:t>
      </w:r>
      <w:r>
        <w:rPr>
          <w:rFonts w:ascii="Arial" w:cs="Arial" w:eastAsia="Arial" w:hAnsi="Arial"/>
          <w:sz w:val="16"/>
          <w:szCs w:val="16"/>
          <w:b w:val="1"/>
          <w:bCs w:val="1"/>
          <w:color w:val="3B3B3B"/>
        </w:rPr>
        <w:t xml:space="preserve"> </w:t>
      </w:r>
      <w:r>
        <w:rPr>
          <w:rFonts w:ascii="Arial" w:cs="Arial" w:eastAsia="Arial" w:hAnsi="Arial"/>
          <w:sz w:val="16"/>
          <w:szCs w:val="16"/>
          <w:color w:val="4B4B49"/>
        </w:rPr>
        <w:t>any</w:t>
      </w:r>
      <w:r>
        <w:rPr>
          <w:rFonts w:ascii="Arial" w:cs="Arial" w:eastAsia="Arial" w:hAnsi="Arial"/>
          <w:sz w:val="16"/>
          <w:szCs w:val="16"/>
          <w:b w:val="1"/>
          <w:bCs w:val="1"/>
          <w:color w:val="3B3B3B"/>
        </w:rPr>
        <w:t xml:space="preserve"> </w:t>
      </w:r>
      <w:r>
        <w:rPr>
          <w:rFonts w:ascii="Arial" w:cs="Arial" w:eastAsia="Arial" w:hAnsi="Arial"/>
          <w:sz w:val="16"/>
          <w:szCs w:val="16"/>
          <w:color w:val="3B3B3B"/>
        </w:rPr>
        <w:t>legal defense</w:t>
      </w:r>
      <w:r>
        <w:rPr>
          <w:rFonts w:ascii="Arial" w:cs="Arial" w:eastAsia="Arial" w:hAnsi="Arial"/>
          <w:sz w:val="16"/>
          <w:szCs w:val="16"/>
          <w:color w:val="21211F"/>
        </w:rPr>
        <w:t>.</w:t>
      </w:r>
      <w:r>
        <w:rPr>
          <w:rFonts w:ascii="Arial" w:cs="Arial" w:eastAsia="Arial" w:hAnsi="Arial"/>
          <w:sz w:val="16"/>
          <w:szCs w:val="16"/>
          <w:b w:val="1"/>
          <w:bCs w:val="1"/>
          <w:color w:val="3B3B3B"/>
        </w:rPr>
        <w:t xml:space="preserve"> </w:t>
      </w:r>
      <w:r>
        <w:rPr>
          <w:rFonts w:ascii="Arial" w:cs="Arial" w:eastAsia="Arial" w:hAnsi="Arial"/>
          <w:sz w:val="16"/>
          <w:szCs w:val="16"/>
          <w:color w:val="4B4B49"/>
        </w:rPr>
        <w:t>This</w:t>
      </w:r>
      <w:r>
        <w:rPr>
          <w:rFonts w:ascii="Arial" w:cs="Arial" w:eastAsia="Arial" w:hAnsi="Arial"/>
          <w:sz w:val="16"/>
          <w:szCs w:val="16"/>
          <w:b w:val="1"/>
          <w:bCs w:val="1"/>
          <w:color w:val="3B3B3B"/>
        </w:rPr>
        <w:t xml:space="preserve"> </w:t>
      </w:r>
      <w:r>
        <w:rPr>
          <w:rFonts w:ascii="Arial" w:cs="Arial" w:eastAsia="Arial" w:hAnsi="Arial"/>
          <w:sz w:val="16"/>
          <w:szCs w:val="16"/>
          <w:color w:val="3B3B3B"/>
        </w:rPr>
        <w:t>may</w:t>
      </w:r>
      <w:r>
        <w:rPr>
          <w:rFonts w:ascii="Arial" w:cs="Arial" w:eastAsia="Arial" w:hAnsi="Arial"/>
          <w:sz w:val="16"/>
          <w:szCs w:val="16"/>
          <w:b w:val="1"/>
          <w:bCs w:val="1"/>
          <w:color w:val="3B3B3B"/>
        </w:rPr>
        <w:t xml:space="preserve"> </w:t>
      </w:r>
      <w:r>
        <w:rPr>
          <w:rFonts w:ascii="Arial" w:cs="Arial" w:eastAsia="Arial" w:hAnsi="Arial"/>
          <w:sz w:val="16"/>
          <w:szCs w:val="16"/>
          <w:color w:val="4B4B49"/>
        </w:rPr>
        <w:t>include any association</w:t>
      </w:r>
      <w:r>
        <w:rPr>
          <w:rFonts w:ascii="Arial" w:cs="Arial" w:eastAsia="Arial" w:hAnsi="Arial"/>
          <w:sz w:val="16"/>
          <w:szCs w:val="16"/>
          <w:b w:val="1"/>
          <w:bCs w:val="1"/>
          <w:color w:val="3B3B3B"/>
        </w:rPr>
        <w:t xml:space="preserve"> </w:t>
      </w:r>
      <w:r>
        <w:rPr>
          <w:rFonts w:ascii="Arial" w:cs="Arial" w:eastAsia="Arial" w:hAnsi="Arial"/>
          <w:sz w:val="16"/>
          <w:szCs w:val="16"/>
          <w:color w:val="3B3B3B"/>
        </w:rPr>
        <w:t>by</w:t>
      </w:r>
      <w:r>
        <w:rPr>
          <w:rFonts w:ascii="Arial" w:cs="Arial" w:eastAsia="Arial" w:hAnsi="Arial"/>
          <w:sz w:val="16"/>
          <w:szCs w:val="16"/>
          <w:b w:val="1"/>
          <w:bCs w:val="1"/>
          <w:color w:val="3B3B3B"/>
        </w:rPr>
        <w:t xml:space="preserve"> </w:t>
      </w:r>
      <w:r>
        <w:rPr>
          <w:rFonts w:ascii="Arial" w:cs="Arial" w:eastAsia="Arial" w:hAnsi="Arial"/>
          <w:sz w:val="16"/>
          <w:szCs w:val="16"/>
          <w:color w:val="4B4B49"/>
        </w:rPr>
        <w:t>us</w:t>
      </w:r>
      <w:r>
        <w:rPr>
          <w:rFonts w:ascii="Arial" w:cs="Arial" w:eastAsia="Arial" w:hAnsi="Arial"/>
          <w:sz w:val="16"/>
          <w:szCs w:val="16"/>
          <w:b w:val="1"/>
          <w:bCs w:val="1"/>
          <w:color w:val="3B3B3B"/>
        </w:rPr>
        <w:t xml:space="preserve"> </w:t>
      </w:r>
      <w:r>
        <w:rPr>
          <w:rFonts w:ascii="Arial" w:cs="Arial" w:eastAsia="Arial" w:hAnsi="Arial"/>
          <w:sz w:val="16"/>
          <w:szCs w:val="16"/>
          <w:color w:val="3B3B3B"/>
        </w:rPr>
        <w:t>with the covered person</w:t>
      </w:r>
      <w:r>
        <w:rPr>
          <w:rFonts w:ascii="Arial" w:cs="Arial" w:eastAsia="Arial" w:hAnsi="Arial"/>
          <w:sz w:val="16"/>
          <w:szCs w:val="16"/>
          <w:b w:val="1"/>
          <w:bCs w:val="1"/>
          <w:color w:val="3B3B3B"/>
        </w:rPr>
        <w:t xml:space="preserve"> </w:t>
      </w:r>
      <w:r>
        <w:rPr>
          <w:rFonts w:ascii="Arial" w:cs="Arial" w:eastAsia="Arial" w:hAnsi="Arial"/>
          <w:sz w:val="16"/>
          <w:szCs w:val="16"/>
          <w:color w:val="4B4B49"/>
        </w:rPr>
        <w:t>in</w:t>
      </w:r>
      <w:r>
        <w:rPr>
          <w:rFonts w:ascii="Arial" w:cs="Arial" w:eastAsia="Arial" w:hAnsi="Arial"/>
          <w:sz w:val="16"/>
          <w:szCs w:val="16"/>
          <w:b w:val="1"/>
          <w:bCs w:val="1"/>
          <w:color w:val="3B3B3B"/>
        </w:rPr>
        <w:t xml:space="preserve"> </w:t>
      </w:r>
      <w:r>
        <w:rPr>
          <w:rFonts w:ascii="Arial" w:cs="Arial" w:eastAsia="Arial" w:hAnsi="Arial"/>
          <w:sz w:val="16"/>
          <w:szCs w:val="16"/>
          <w:color w:val="3B3B3B"/>
        </w:rPr>
        <w:t>defense</w:t>
      </w:r>
      <w:r>
        <w:rPr>
          <w:rFonts w:ascii="Arial" w:cs="Arial" w:eastAsia="Arial" w:hAnsi="Arial"/>
          <w:sz w:val="16"/>
          <w:szCs w:val="16"/>
          <w:b w:val="1"/>
          <w:bCs w:val="1"/>
          <w:color w:val="3B3B3B"/>
        </w:rPr>
        <w:t xml:space="preserve"> </w:t>
      </w:r>
      <w:r>
        <w:rPr>
          <w:rFonts w:ascii="Arial" w:cs="Arial" w:eastAsia="Arial" w:hAnsi="Arial"/>
          <w:sz w:val="16"/>
          <w:szCs w:val="16"/>
          <w:color w:val="4B4B49"/>
        </w:rPr>
        <w:t>of</w:t>
      </w:r>
      <w:r>
        <w:rPr>
          <w:rFonts w:ascii="Arial" w:cs="Arial" w:eastAsia="Arial" w:hAnsi="Arial"/>
          <w:sz w:val="16"/>
          <w:szCs w:val="16"/>
          <w:b w:val="1"/>
          <w:bCs w:val="1"/>
          <w:color w:val="3B3B3B"/>
        </w:rPr>
        <w:t xml:space="preserve"> </w:t>
      </w:r>
      <w:r>
        <w:rPr>
          <w:rFonts w:ascii="Arial" w:cs="Arial" w:eastAsia="Arial" w:hAnsi="Arial"/>
          <w:sz w:val="16"/>
          <w:szCs w:val="16"/>
          <w:color w:val="3B3B3B"/>
        </w:rPr>
        <w:t>a</w:t>
      </w:r>
      <w:r>
        <w:rPr>
          <w:rFonts w:ascii="Arial" w:cs="Arial" w:eastAsia="Arial" w:hAnsi="Arial"/>
          <w:sz w:val="16"/>
          <w:szCs w:val="16"/>
          <w:b w:val="1"/>
          <w:bCs w:val="1"/>
          <w:color w:val="3B3B3B"/>
        </w:rPr>
        <w:t xml:space="preserve"> </w:t>
      </w:r>
      <w:r>
        <w:rPr>
          <w:rFonts w:ascii="Arial" w:cs="Arial" w:eastAsia="Arial" w:hAnsi="Arial"/>
          <w:sz w:val="16"/>
          <w:szCs w:val="16"/>
          <w:color w:val="4B4B49"/>
        </w:rPr>
        <w:t>claim</w:t>
      </w:r>
      <w:r>
        <w:rPr>
          <w:rFonts w:ascii="Arial" w:cs="Arial" w:eastAsia="Arial" w:hAnsi="Arial"/>
          <w:sz w:val="16"/>
          <w:szCs w:val="16"/>
          <w:b w:val="1"/>
          <w:bCs w:val="1"/>
          <w:color w:val="3B3B3B"/>
        </w:rPr>
        <w:t xml:space="preserve"> </w:t>
      </w:r>
      <w:r>
        <w:rPr>
          <w:rFonts w:ascii="Arial" w:cs="Arial" w:eastAsia="Arial" w:hAnsi="Arial"/>
          <w:sz w:val="16"/>
          <w:szCs w:val="16"/>
          <w:color w:val="4B4B49"/>
        </w:rPr>
        <w:t xml:space="preserve">reasonably </w:t>
      </w:r>
      <w:r>
        <w:rPr>
          <w:rFonts w:ascii="Arial" w:cs="Arial" w:eastAsia="Arial" w:hAnsi="Arial"/>
          <w:sz w:val="16"/>
          <w:szCs w:val="16"/>
          <w:color w:val="3B3B3B"/>
        </w:rPr>
        <w:t>likely</w:t>
      </w:r>
      <w:r>
        <w:rPr>
          <w:rFonts w:ascii="Arial" w:cs="Arial" w:eastAsia="Arial" w:hAnsi="Arial"/>
          <w:sz w:val="16"/>
          <w:szCs w:val="16"/>
          <w:color w:val="4B4B49"/>
        </w:rPr>
        <w:t xml:space="preserve"> to involve us.</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Examination. </w:t>
      </w:r>
      <w:r>
        <w:rPr>
          <w:rFonts w:ascii="Arial" w:cs="Arial" w:eastAsia="Arial" w:hAnsi="Arial"/>
          <w:sz w:val="16"/>
          <w:szCs w:val="16"/>
          <w:color w:val="3B3B3B"/>
        </w:rPr>
        <w:t>A</w:t>
      </w:r>
      <w:r>
        <w:rPr>
          <w:rFonts w:ascii="Arial" w:cs="Arial" w:eastAsia="Arial" w:hAnsi="Arial"/>
          <w:sz w:val="16"/>
          <w:szCs w:val="16"/>
          <w:b w:val="1"/>
          <w:bCs w:val="1"/>
          <w:color w:val="4B4B49"/>
        </w:rPr>
        <w:t xml:space="preserve"> </w:t>
      </w:r>
      <w:r>
        <w:rPr>
          <w:rFonts w:ascii="Arial" w:cs="Arial" w:eastAsia="Arial" w:hAnsi="Arial"/>
          <w:sz w:val="16"/>
          <w:szCs w:val="16"/>
          <w:color w:val="4B4B49"/>
        </w:rPr>
        <w:t>person</w:t>
      </w:r>
      <w:r>
        <w:rPr>
          <w:rFonts w:ascii="Arial" w:cs="Arial" w:eastAsia="Arial" w:hAnsi="Arial"/>
          <w:sz w:val="16"/>
          <w:szCs w:val="16"/>
          <w:b w:val="1"/>
          <w:bCs w:val="1"/>
          <w:color w:val="4B4B49"/>
        </w:rPr>
        <w:t xml:space="preserve"> </w:t>
      </w:r>
      <w:r>
        <w:rPr>
          <w:rFonts w:ascii="Arial" w:cs="Arial" w:eastAsia="Arial" w:hAnsi="Arial"/>
          <w:sz w:val="16"/>
          <w:szCs w:val="16"/>
          <w:color w:val="3B3B3B"/>
        </w:rPr>
        <w:t>making</w:t>
      </w:r>
      <w:r>
        <w:rPr>
          <w:rFonts w:ascii="Arial" w:cs="Arial" w:eastAsia="Arial" w:hAnsi="Arial"/>
          <w:sz w:val="16"/>
          <w:szCs w:val="16"/>
          <w:b w:val="1"/>
          <w:bCs w:val="1"/>
          <w:color w:val="4B4B49"/>
        </w:rPr>
        <w:t xml:space="preserve"> </w:t>
      </w:r>
      <w:r>
        <w:rPr>
          <w:rFonts w:ascii="Arial" w:cs="Arial" w:eastAsia="Arial" w:hAnsi="Arial"/>
          <w:sz w:val="16"/>
          <w:szCs w:val="16"/>
          <w:color w:val="4B4B49"/>
        </w:rPr>
        <w:t>a</w:t>
      </w:r>
      <w:r>
        <w:rPr>
          <w:rFonts w:ascii="Arial" w:cs="Arial" w:eastAsia="Arial" w:hAnsi="Arial"/>
          <w:sz w:val="16"/>
          <w:szCs w:val="16"/>
          <w:b w:val="1"/>
          <w:bCs w:val="1"/>
          <w:color w:val="4B4B49"/>
        </w:rPr>
        <w:t xml:space="preserve"> </w:t>
      </w:r>
      <w:r>
        <w:rPr>
          <w:rFonts w:ascii="Arial" w:cs="Arial" w:eastAsia="Arial" w:hAnsi="Arial"/>
          <w:sz w:val="16"/>
          <w:szCs w:val="16"/>
          <w:color w:val="3B3B3B"/>
        </w:rPr>
        <w:t>claim under this</w:t>
      </w:r>
      <w:r>
        <w:rPr>
          <w:rFonts w:ascii="Arial" w:cs="Arial" w:eastAsia="Arial" w:hAnsi="Arial"/>
          <w:sz w:val="16"/>
          <w:szCs w:val="16"/>
          <w:b w:val="1"/>
          <w:bCs w:val="1"/>
          <w:color w:val="4B4B49"/>
        </w:rPr>
        <w:t xml:space="preserve"> </w:t>
      </w:r>
      <w:r>
        <w:rPr>
          <w:rFonts w:ascii="Arial" w:cs="Arial" w:eastAsia="Arial" w:hAnsi="Arial"/>
          <w:sz w:val="16"/>
          <w:szCs w:val="16"/>
          <w:color w:val="4B4B49"/>
        </w:rPr>
        <w:t>policy</w:t>
      </w:r>
      <w:r>
        <w:rPr>
          <w:rFonts w:ascii="Arial" w:cs="Arial" w:eastAsia="Arial" w:hAnsi="Arial"/>
          <w:sz w:val="16"/>
          <w:szCs w:val="16"/>
          <w:b w:val="1"/>
          <w:bCs w:val="1"/>
          <w:color w:val="4B4B49"/>
        </w:rPr>
        <w:t xml:space="preserve"> </w:t>
      </w:r>
      <w:r>
        <w:rPr>
          <w:rFonts w:ascii="Arial" w:cs="Arial" w:eastAsia="Arial" w:hAnsi="Arial"/>
          <w:sz w:val="16"/>
          <w:szCs w:val="16"/>
          <w:color w:val="3B3B3B"/>
        </w:rPr>
        <w:t>must</w:t>
      </w:r>
      <w:r>
        <w:rPr>
          <w:rFonts w:ascii="Arial" w:cs="Arial" w:eastAsia="Arial" w:hAnsi="Arial"/>
          <w:sz w:val="16"/>
          <w:szCs w:val="16"/>
          <w:b w:val="1"/>
          <w:bCs w:val="1"/>
          <w:color w:val="4B4B49"/>
        </w:rPr>
        <w:t xml:space="preserve"> </w:t>
      </w:r>
      <w:r>
        <w:rPr>
          <w:rFonts w:ascii="Arial" w:cs="Arial" w:eastAsia="Arial" w:hAnsi="Arial"/>
          <w:sz w:val="16"/>
          <w:szCs w:val="16"/>
          <w:color w:val="4B4B49"/>
        </w:rPr>
        <w:t>submit as often as we</w:t>
      </w:r>
      <w:r>
        <w:rPr>
          <w:rFonts w:ascii="Arial" w:cs="Arial" w:eastAsia="Arial" w:hAnsi="Arial"/>
          <w:sz w:val="16"/>
          <w:szCs w:val="16"/>
          <w:b w:val="1"/>
          <w:bCs w:val="1"/>
          <w:color w:val="4B4B49"/>
        </w:rPr>
        <w:t xml:space="preserve"> </w:t>
      </w:r>
      <w:r>
        <w:rPr>
          <w:rFonts w:ascii="Arial" w:cs="Arial" w:eastAsia="Arial" w:hAnsi="Arial"/>
          <w:sz w:val="16"/>
          <w:szCs w:val="16"/>
          <w:color w:val="3B3B3B"/>
        </w:rPr>
        <w:t>reasonably</w:t>
      </w:r>
      <w:r>
        <w:rPr>
          <w:rFonts w:ascii="Arial" w:cs="Arial" w:eastAsia="Arial" w:hAnsi="Arial"/>
          <w:sz w:val="16"/>
          <w:szCs w:val="16"/>
          <w:b w:val="1"/>
          <w:bCs w:val="1"/>
          <w:color w:val="4B4B49"/>
        </w:rPr>
        <w:t xml:space="preserve"> </w:t>
      </w:r>
      <w:r>
        <w:rPr>
          <w:rFonts w:ascii="Arial" w:cs="Arial" w:eastAsia="Arial" w:hAnsi="Arial"/>
          <w:sz w:val="16"/>
          <w:szCs w:val="16"/>
          <w:color w:val="4B4B49"/>
        </w:rPr>
        <w:t>require:</w:t>
      </w:r>
    </w:p>
    <w:p>
      <w:pPr>
        <w:spacing w:after="0" w:line="12" w:lineRule="exact"/>
        <w:rPr>
          <w:sz w:val="20"/>
          <w:szCs w:val="20"/>
          <w:color w:val="auto"/>
        </w:rPr>
      </w:pPr>
    </w:p>
    <w:p>
      <w:pPr>
        <w:ind w:left="880" w:hanging="305"/>
        <w:spacing w:after="0"/>
        <w:tabs>
          <w:tab w:leader="none" w:pos="880" w:val="left"/>
        </w:tabs>
        <w:numPr>
          <w:ilvl w:val="0"/>
          <w:numId w:val="115"/>
        </w:numPr>
        <w:rPr>
          <w:rFonts w:ascii="Arial" w:cs="Arial" w:eastAsia="Arial" w:hAnsi="Arial"/>
          <w:sz w:val="20"/>
          <w:szCs w:val="20"/>
          <w:color w:val="auto"/>
        </w:rPr>
      </w:pPr>
      <w:r>
        <w:rPr>
          <w:rFonts w:ascii="Arial" w:cs="Arial" w:eastAsia="Arial" w:hAnsi="Arial"/>
          <w:sz w:val="16"/>
          <w:szCs w:val="16"/>
          <w:color w:val="3B3B3B"/>
        </w:rPr>
        <w:t xml:space="preserve">to physical </w:t>
      </w:r>
      <w:r>
        <w:rPr>
          <w:rFonts w:ascii="Arial" w:cs="Arial" w:eastAsia="Arial" w:hAnsi="Arial"/>
          <w:sz w:val="16"/>
          <w:szCs w:val="16"/>
          <w:color w:val="4B4B49"/>
        </w:rPr>
        <w:t>exams</w:t>
      </w:r>
      <w:r>
        <w:rPr>
          <w:rFonts w:ascii="Arial" w:cs="Arial" w:eastAsia="Arial" w:hAnsi="Arial"/>
          <w:sz w:val="16"/>
          <w:szCs w:val="16"/>
          <w:color w:val="3B3B3B"/>
        </w:rPr>
        <w:t xml:space="preserve"> by physicians </w:t>
      </w:r>
      <w:r>
        <w:rPr>
          <w:rFonts w:ascii="Arial" w:cs="Arial" w:eastAsia="Arial" w:hAnsi="Arial"/>
          <w:sz w:val="16"/>
          <w:szCs w:val="16"/>
          <w:color w:val="4B4B49"/>
        </w:rPr>
        <w:t>we</w:t>
      </w:r>
      <w:r>
        <w:rPr>
          <w:rFonts w:ascii="Arial" w:cs="Arial" w:eastAsia="Arial" w:hAnsi="Arial"/>
          <w:sz w:val="16"/>
          <w:szCs w:val="16"/>
          <w:color w:val="3B3B3B"/>
        </w:rPr>
        <w:t xml:space="preserve"> select, </w:t>
      </w:r>
      <w:r>
        <w:rPr>
          <w:rFonts w:ascii="Arial" w:cs="Arial" w:eastAsia="Arial" w:hAnsi="Arial"/>
          <w:sz w:val="16"/>
          <w:szCs w:val="16"/>
          <w:color w:val="4B4B49"/>
        </w:rPr>
        <w:t>which we</w:t>
      </w:r>
      <w:r>
        <w:rPr>
          <w:rFonts w:ascii="Arial" w:cs="Arial" w:eastAsia="Arial" w:hAnsi="Arial"/>
          <w:sz w:val="16"/>
          <w:szCs w:val="16"/>
          <w:color w:val="3B3B3B"/>
        </w:rPr>
        <w:t xml:space="preserve"> will pay </w:t>
      </w:r>
      <w:r>
        <w:rPr>
          <w:rFonts w:ascii="Arial" w:cs="Arial" w:eastAsia="Arial" w:hAnsi="Arial"/>
          <w:sz w:val="16"/>
          <w:szCs w:val="16"/>
          <w:color w:val="4B4B49"/>
        </w:rPr>
        <w:t>for; and</w:t>
      </w:r>
    </w:p>
    <w:p>
      <w:pPr>
        <w:spacing w:after="0" w:line="67" w:lineRule="exact"/>
        <w:rPr>
          <w:rFonts w:ascii="Arial" w:cs="Arial" w:eastAsia="Arial" w:hAnsi="Arial"/>
          <w:sz w:val="20"/>
          <w:szCs w:val="20"/>
          <w:color w:val="auto"/>
        </w:rPr>
      </w:pPr>
    </w:p>
    <w:p>
      <w:pPr>
        <w:ind w:left="820" w:hanging="245"/>
        <w:spacing w:after="0"/>
        <w:tabs>
          <w:tab w:leader="none" w:pos="820" w:val="left"/>
        </w:tabs>
        <w:numPr>
          <w:ilvl w:val="0"/>
          <w:numId w:val="115"/>
        </w:numPr>
        <w:rPr>
          <w:rFonts w:ascii="Arial" w:cs="Arial" w:eastAsia="Arial" w:hAnsi="Arial"/>
          <w:sz w:val="20"/>
          <w:szCs w:val="20"/>
          <w:color w:val="auto"/>
        </w:rPr>
      </w:pPr>
      <w:r>
        <w:rPr>
          <w:rFonts w:ascii="Arial" w:cs="Arial" w:eastAsia="Arial" w:hAnsi="Arial"/>
          <w:sz w:val="16"/>
          <w:szCs w:val="16"/>
          <w:color w:val="3B3B3B"/>
        </w:rPr>
        <w:t xml:space="preserve">to examination under </w:t>
      </w:r>
      <w:r>
        <w:rPr>
          <w:rFonts w:ascii="Arial" w:cs="Arial" w:eastAsia="Arial" w:hAnsi="Arial"/>
          <w:sz w:val="16"/>
          <w:szCs w:val="16"/>
          <w:color w:val="4B4B49"/>
        </w:rPr>
        <w:t>oath</w:t>
      </w:r>
      <w:r>
        <w:rPr>
          <w:rFonts w:ascii="Arial" w:cs="Arial" w:eastAsia="Arial" w:hAnsi="Arial"/>
          <w:sz w:val="16"/>
          <w:szCs w:val="16"/>
          <w:color w:val="3B3B3B"/>
        </w:rPr>
        <w:t xml:space="preserve"> and </w:t>
      </w:r>
      <w:r>
        <w:rPr>
          <w:rFonts w:ascii="Arial" w:cs="Arial" w:eastAsia="Arial" w:hAnsi="Arial"/>
          <w:sz w:val="16"/>
          <w:szCs w:val="16"/>
          <w:color w:val="4B4B49"/>
        </w:rPr>
        <w:t>subscribe</w:t>
      </w:r>
      <w:r>
        <w:rPr>
          <w:rFonts w:ascii="Arial" w:cs="Arial" w:eastAsia="Arial" w:hAnsi="Arial"/>
          <w:sz w:val="16"/>
          <w:szCs w:val="16"/>
          <w:color w:val="3B3B3B"/>
        </w:rPr>
        <w:t xml:space="preserve"> the </w:t>
      </w:r>
      <w:r>
        <w:rPr>
          <w:rFonts w:ascii="Arial" w:cs="Arial" w:eastAsia="Arial" w:hAnsi="Arial"/>
          <w:sz w:val="16"/>
          <w:szCs w:val="16"/>
          <w:color w:val="4B4B49"/>
        </w:rPr>
        <w:t>same; and</w:t>
      </w:r>
      <w:r>
        <w:rPr>
          <w:rFonts w:ascii="Arial" w:cs="Arial" w:eastAsia="Arial" w:hAnsi="Arial"/>
          <w:sz w:val="16"/>
          <w:szCs w:val="16"/>
          <w:color w:val="3B3B3B"/>
        </w:rPr>
        <w:t xml:space="preserve"> authorize </w:t>
      </w:r>
      <w:r>
        <w:rPr>
          <w:rFonts w:ascii="Arial" w:cs="Arial" w:eastAsia="Arial" w:hAnsi="Arial"/>
          <w:sz w:val="16"/>
          <w:szCs w:val="16"/>
          <w:color w:val="4B4B49"/>
        </w:rPr>
        <w:t>us</w:t>
      </w:r>
      <w:r>
        <w:rPr>
          <w:rFonts w:ascii="Arial" w:cs="Arial" w:eastAsia="Arial" w:hAnsi="Arial"/>
          <w:sz w:val="16"/>
          <w:szCs w:val="16"/>
          <w:color w:val="3B3B3B"/>
        </w:rPr>
        <w:t xml:space="preserve"> to obtain:</w:t>
      </w:r>
    </w:p>
    <w:p>
      <w:pPr>
        <w:spacing w:after="0" w:line="10" w:lineRule="exact"/>
        <w:rPr>
          <w:rFonts w:ascii="Arial" w:cs="Arial" w:eastAsia="Arial" w:hAnsi="Arial"/>
          <w:sz w:val="20"/>
          <w:szCs w:val="20"/>
          <w:color w:val="auto"/>
        </w:rPr>
      </w:pPr>
    </w:p>
    <w:p>
      <w:pPr>
        <w:ind w:left="900" w:hanging="325"/>
        <w:spacing w:after="0" w:line="229" w:lineRule="auto"/>
        <w:tabs>
          <w:tab w:leader="none" w:pos="900" w:val="left"/>
        </w:tabs>
        <w:numPr>
          <w:ilvl w:val="0"/>
          <w:numId w:val="115"/>
        </w:numPr>
        <w:rPr>
          <w:rFonts w:ascii="Arial" w:cs="Arial" w:eastAsia="Arial" w:hAnsi="Arial"/>
          <w:sz w:val="20"/>
          <w:szCs w:val="20"/>
          <w:color w:val="auto"/>
        </w:rPr>
      </w:pPr>
      <w:r>
        <w:rPr>
          <w:rFonts w:ascii="Arial" w:cs="Arial" w:eastAsia="Arial" w:hAnsi="Arial"/>
          <w:sz w:val="16"/>
          <w:szCs w:val="16"/>
          <w:color w:val="3B3B3B"/>
        </w:rPr>
        <w:t>medical reports; and</w:t>
      </w:r>
    </w:p>
    <w:p>
      <w:pPr>
        <w:spacing w:after="0" w:line="23" w:lineRule="exact"/>
        <w:rPr>
          <w:rFonts w:ascii="Arial" w:cs="Arial" w:eastAsia="Arial" w:hAnsi="Arial"/>
          <w:sz w:val="20"/>
          <w:szCs w:val="20"/>
          <w:color w:val="auto"/>
        </w:rPr>
      </w:pPr>
    </w:p>
    <w:p>
      <w:pPr>
        <w:ind w:left="900" w:hanging="325"/>
        <w:spacing w:after="0" w:line="214" w:lineRule="auto"/>
        <w:tabs>
          <w:tab w:leader="none" w:pos="900" w:val="left"/>
        </w:tabs>
        <w:numPr>
          <w:ilvl w:val="0"/>
          <w:numId w:val="115"/>
        </w:numPr>
        <w:rPr>
          <w:rFonts w:ascii="Arial" w:cs="Arial" w:eastAsia="Arial" w:hAnsi="Arial"/>
          <w:sz w:val="20"/>
          <w:szCs w:val="20"/>
          <w:color w:val="auto"/>
        </w:rPr>
      </w:pPr>
      <w:r>
        <w:rPr>
          <w:rFonts w:ascii="Arial" w:cs="Arial" w:eastAsia="Arial" w:hAnsi="Arial"/>
          <w:sz w:val="16"/>
          <w:szCs w:val="16"/>
          <w:color w:val="4B4B49"/>
        </w:rPr>
        <w:t xml:space="preserve">other pertinent </w:t>
      </w:r>
      <w:r>
        <w:rPr>
          <w:rFonts w:ascii="Arial" w:cs="Arial" w:eastAsia="Arial" w:hAnsi="Arial"/>
          <w:sz w:val="16"/>
          <w:szCs w:val="16"/>
          <w:color w:val="3B3B3B"/>
        </w:rPr>
        <w:t>records.</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3B3B3B"/>
        </w:rPr>
        <w:t>Appeals</w:t>
      </w:r>
    </w:p>
    <w:p>
      <w:pPr>
        <w:spacing w:after="0" w:line="50" w:lineRule="exact"/>
        <w:rPr>
          <w:sz w:val="20"/>
          <w:szCs w:val="20"/>
          <w:color w:val="auto"/>
        </w:rPr>
      </w:pPr>
    </w:p>
    <w:p>
      <w:pPr>
        <w:jc w:val="both"/>
        <w:ind w:left="520"/>
        <w:spacing w:after="0" w:line="328" w:lineRule="auto"/>
        <w:rPr>
          <w:sz w:val="20"/>
          <w:szCs w:val="20"/>
          <w:color w:val="auto"/>
        </w:rPr>
      </w:pPr>
      <w:r>
        <w:rPr>
          <w:rFonts w:ascii="Arial" w:cs="Arial" w:eastAsia="Arial" w:hAnsi="Arial"/>
          <w:sz w:val="16"/>
          <w:szCs w:val="16"/>
          <w:color w:val="3B3B3B"/>
        </w:rPr>
        <w:t xml:space="preserve">If </w:t>
      </w:r>
      <w:r>
        <w:rPr>
          <w:rFonts w:ascii="Arial" w:cs="Arial" w:eastAsia="Arial" w:hAnsi="Arial"/>
          <w:sz w:val="16"/>
          <w:szCs w:val="16"/>
          <w:color w:val="4B4B49"/>
        </w:rPr>
        <w:t>a covered</w:t>
      </w:r>
      <w:r>
        <w:rPr>
          <w:rFonts w:ascii="Arial" w:cs="Arial" w:eastAsia="Arial" w:hAnsi="Arial"/>
          <w:sz w:val="16"/>
          <w:szCs w:val="16"/>
          <w:color w:val="3B3B3B"/>
        </w:rPr>
        <w:t xml:space="preserve"> person, or </w:t>
      </w:r>
      <w:r>
        <w:rPr>
          <w:rFonts w:ascii="Arial" w:cs="Arial" w:eastAsia="Arial" w:hAnsi="Arial"/>
          <w:sz w:val="16"/>
          <w:szCs w:val="16"/>
          <w:color w:val="4B4B49"/>
        </w:rPr>
        <w:t>any primary insurer, does not appeal a judgment for covered damages, we may choose</w:t>
      </w:r>
      <w:r>
        <w:rPr>
          <w:rFonts w:ascii="Arial" w:cs="Arial" w:eastAsia="Arial" w:hAnsi="Arial"/>
          <w:sz w:val="16"/>
          <w:szCs w:val="16"/>
          <w:color w:val="3B3B3B"/>
        </w:rPr>
        <w:t xml:space="preserve"> to </w:t>
      </w:r>
      <w:r>
        <w:rPr>
          <w:rFonts w:ascii="Arial" w:cs="Arial" w:eastAsia="Arial" w:hAnsi="Arial"/>
          <w:sz w:val="16"/>
          <w:szCs w:val="16"/>
          <w:color w:val="4B4B49"/>
        </w:rPr>
        <w:t>do so. We will</w:t>
      </w:r>
      <w:r>
        <w:rPr>
          <w:rFonts w:ascii="Arial" w:cs="Arial" w:eastAsia="Arial" w:hAnsi="Arial"/>
          <w:sz w:val="16"/>
          <w:szCs w:val="16"/>
          <w:color w:val="3B3B3B"/>
        </w:rPr>
        <w:t xml:space="preserve"> then </w:t>
      </w:r>
      <w:r>
        <w:rPr>
          <w:rFonts w:ascii="Arial" w:cs="Arial" w:eastAsia="Arial" w:hAnsi="Arial"/>
          <w:sz w:val="16"/>
          <w:szCs w:val="16"/>
          <w:color w:val="4B4B49"/>
        </w:rPr>
        <w:t>become responsible for</w:t>
      </w:r>
      <w:r>
        <w:rPr>
          <w:rFonts w:ascii="Arial" w:cs="Arial" w:eastAsia="Arial" w:hAnsi="Arial"/>
          <w:sz w:val="16"/>
          <w:szCs w:val="16"/>
          <w:color w:val="3B3B3B"/>
        </w:rPr>
        <w:t xml:space="preserve"> all </w:t>
      </w:r>
      <w:r>
        <w:rPr>
          <w:rFonts w:ascii="Arial" w:cs="Arial" w:eastAsia="Arial" w:hAnsi="Arial"/>
          <w:sz w:val="16"/>
          <w:szCs w:val="16"/>
          <w:color w:val="4B4B49"/>
        </w:rPr>
        <w:t xml:space="preserve">expenses, taxable costs, </w:t>
      </w:r>
      <w:r>
        <w:rPr>
          <w:rFonts w:ascii="Arial" w:cs="Arial" w:eastAsia="Arial" w:hAnsi="Arial"/>
          <w:sz w:val="16"/>
          <w:szCs w:val="16"/>
          <w:color w:val="3B3B3B"/>
        </w:rPr>
        <w:t>and interest arising</w:t>
      </w:r>
      <w:r>
        <w:rPr>
          <w:rFonts w:ascii="Arial" w:cs="Arial" w:eastAsia="Arial" w:hAnsi="Arial"/>
          <w:sz w:val="16"/>
          <w:szCs w:val="16"/>
          <w:color w:val="4B4B49"/>
        </w:rPr>
        <w:t xml:space="preserve"> out of </w:t>
      </w:r>
      <w:r>
        <w:rPr>
          <w:rFonts w:ascii="Arial" w:cs="Arial" w:eastAsia="Arial" w:hAnsi="Arial"/>
          <w:sz w:val="16"/>
          <w:szCs w:val="16"/>
          <w:color w:val="3B3B3B"/>
        </w:rPr>
        <w:t>the</w:t>
      </w:r>
      <w:r>
        <w:rPr>
          <w:rFonts w:ascii="Arial" w:cs="Arial" w:eastAsia="Arial" w:hAnsi="Arial"/>
          <w:sz w:val="16"/>
          <w:szCs w:val="16"/>
          <w:color w:val="4B4B49"/>
        </w:rPr>
        <w:t xml:space="preserve"> appeal. However, </w:t>
      </w:r>
      <w:r>
        <w:rPr>
          <w:rFonts w:ascii="Arial" w:cs="Arial" w:eastAsia="Arial" w:hAnsi="Arial"/>
          <w:sz w:val="16"/>
          <w:szCs w:val="16"/>
          <w:color w:val="3B3B3B"/>
        </w:rPr>
        <w:t>the</w:t>
      </w:r>
      <w:r>
        <w:rPr>
          <w:rFonts w:ascii="Arial" w:cs="Arial" w:eastAsia="Arial" w:hAnsi="Arial"/>
          <w:sz w:val="16"/>
          <w:szCs w:val="16"/>
          <w:color w:val="4B4B49"/>
        </w:rPr>
        <w:t xml:space="preserve"> amount of </w:t>
      </w:r>
      <w:r>
        <w:rPr>
          <w:rFonts w:ascii="Arial" w:cs="Arial" w:eastAsia="Arial" w:hAnsi="Arial"/>
          <w:sz w:val="16"/>
          <w:szCs w:val="16"/>
          <w:color w:val="3B3B3B"/>
        </w:rPr>
        <w:t>coverage</w:t>
      </w:r>
      <w:r>
        <w:rPr>
          <w:rFonts w:ascii="Arial" w:cs="Arial" w:eastAsia="Arial" w:hAnsi="Arial"/>
          <w:sz w:val="16"/>
          <w:szCs w:val="16"/>
          <w:color w:val="4B4B49"/>
        </w:rPr>
        <w:t xml:space="preserve"> for </w:t>
      </w:r>
      <w:r>
        <w:rPr>
          <w:rFonts w:ascii="Arial" w:cs="Arial" w:eastAsia="Arial" w:hAnsi="Arial"/>
          <w:sz w:val="16"/>
          <w:szCs w:val="16"/>
          <w:color w:val="3B3B3B"/>
        </w:rPr>
        <w:t>damages</w:t>
      </w:r>
      <w:r>
        <w:rPr>
          <w:rFonts w:ascii="Arial" w:cs="Arial" w:eastAsia="Arial" w:hAnsi="Arial"/>
          <w:sz w:val="16"/>
          <w:szCs w:val="16"/>
          <w:color w:val="4B4B49"/>
        </w:rPr>
        <w:t xml:space="preserve"> will </w:t>
      </w:r>
      <w:r>
        <w:rPr>
          <w:rFonts w:ascii="Arial" w:cs="Arial" w:eastAsia="Arial" w:hAnsi="Arial"/>
          <w:sz w:val="16"/>
          <w:szCs w:val="16"/>
          <w:color w:val="3B3B3B"/>
        </w:rPr>
        <w:t>not</w:t>
      </w:r>
      <w:r>
        <w:rPr>
          <w:rFonts w:ascii="Arial" w:cs="Arial" w:eastAsia="Arial" w:hAnsi="Arial"/>
          <w:sz w:val="16"/>
          <w:szCs w:val="16"/>
          <w:color w:val="4B4B49"/>
        </w:rPr>
        <w:t xml:space="preserve"> be </w:t>
      </w:r>
      <w:r>
        <w:rPr>
          <w:rFonts w:ascii="Arial" w:cs="Arial" w:eastAsia="Arial" w:hAnsi="Arial"/>
          <w:sz w:val="16"/>
          <w:szCs w:val="16"/>
          <w:color w:val="3B3B3B"/>
        </w:rPr>
        <w:t>increased.</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B3B3B"/>
        </w:rPr>
        <w:t>Special Conditions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the event</w:t>
      </w:r>
      <w:r>
        <w:rPr>
          <w:rFonts w:ascii="Arial" w:cs="Arial" w:eastAsia="Arial" w:hAnsi="Arial"/>
          <w:sz w:val="16"/>
          <w:szCs w:val="16"/>
          <w:color w:val="3B3B3B"/>
        </w:rPr>
        <w:t xml:space="preserve"> of </w:t>
      </w:r>
      <w:r>
        <w:rPr>
          <w:rFonts w:ascii="Arial" w:cs="Arial" w:eastAsia="Arial" w:hAnsi="Arial"/>
          <w:sz w:val="16"/>
          <w:szCs w:val="16"/>
          <w:color w:val="4B4B49"/>
        </w:rPr>
        <w:t>conflict with any other conditions of your</w:t>
      </w:r>
      <w:r>
        <w:rPr>
          <w:rFonts w:ascii="Arial" w:cs="Arial" w:eastAsia="Arial" w:hAnsi="Arial"/>
          <w:sz w:val="16"/>
          <w:szCs w:val="16"/>
          <w:color w:val="3B3B3B"/>
        </w:rPr>
        <w:t xml:space="preserve"> policy, these </w:t>
      </w:r>
      <w:r>
        <w:rPr>
          <w:rFonts w:ascii="Arial" w:cs="Arial" w:eastAsia="Arial" w:hAnsi="Arial"/>
          <w:sz w:val="16"/>
          <w:szCs w:val="16"/>
          <w:color w:val="4B4B49"/>
        </w:rPr>
        <w:t>conditions supersede.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3B3B3B"/>
        </w:rPr>
        <w:t>Legal action against us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6"/>
          <w:szCs w:val="16"/>
          <w:color w:val="4B4B49"/>
        </w:rPr>
        <w:t xml:space="preserve">You agree not to </w:t>
      </w:r>
      <w:r>
        <w:rPr>
          <w:rFonts w:ascii="Arial" w:cs="Arial" w:eastAsia="Arial" w:hAnsi="Arial"/>
          <w:sz w:val="16"/>
          <w:szCs w:val="16"/>
          <w:color w:val="3B3B3B"/>
        </w:rPr>
        <w:t>bring action</w:t>
      </w:r>
      <w:r>
        <w:rPr>
          <w:rFonts w:ascii="Arial" w:cs="Arial" w:eastAsia="Arial" w:hAnsi="Arial"/>
          <w:sz w:val="16"/>
          <w:szCs w:val="16"/>
          <w:color w:val="4B4B49"/>
        </w:rPr>
        <w:t xml:space="preserve"> against </w:t>
      </w:r>
      <w:r>
        <w:rPr>
          <w:rFonts w:ascii="Arial" w:cs="Arial" w:eastAsia="Arial" w:hAnsi="Arial"/>
          <w:sz w:val="16"/>
          <w:szCs w:val="16"/>
          <w:color w:val="3B3B3B"/>
        </w:rPr>
        <w:t>us</w:t>
      </w:r>
      <w:r>
        <w:rPr>
          <w:rFonts w:ascii="Arial" w:cs="Arial" w:eastAsia="Arial" w:hAnsi="Arial"/>
          <w:sz w:val="16"/>
          <w:szCs w:val="16"/>
          <w:color w:val="4B4B49"/>
        </w:rPr>
        <w:t xml:space="preserve"> unless you </w:t>
      </w:r>
      <w:r>
        <w:rPr>
          <w:rFonts w:ascii="Arial" w:cs="Arial" w:eastAsia="Arial" w:hAnsi="Arial"/>
          <w:sz w:val="16"/>
          <w:szCs w:val="16"/>
          <w:color w:val="3B3B3B"/>
        </w:rPr>
        <w:t>have</w:t>
      </w:r>
      <w:r>
        <w:rPr>
          <w:rFonts w:ascii="Arial" w:cs="Arial" w:eastAsia="Arial" w:hAnsi="Arial"/>
          <w:sz w:val="16"/>
          <w:szCs w:val="16"/>
          <w:color w:val="4B4B49"/>
        </w:rPr>
        <w:t xml:space="preserve"> first complied with all conditions of this policy.</w:t>
      </w:r>
    </w:p>
    <w:p>
      <w:pPr>
        <w:spacing w:after="0" w:line="140" w:lineRule="exact"/>
        <w:rPr>
          <w:sz w:val="20"/>
          <w:szCs w:val="20"/>
          <w:color w:val="auto"/>
        </w:rPr>
      </w:pPr>
    </w:p>
    <w:p>
      <w:pPr>
        <w:jc w:val="both"/>
        <w:ind w:left="540" w:hanging="26"/>
        <w:spacing w:after="0" w:line="296" w:lineRule="auto"/>
        <w:rPr>
          <w:sz w:val="20"/>
          <w:szCs w:val="20"/>
          <w:color w:val="auto"/>
        </w:rPr>
      </w:pPr>
      <w:r>
        <w:rPr>
          <w:rFonts w:ascii="Arial" w:cs="Arial" w:eastAsia="Arial" w:hAnsi="Arial"/>
          <w:sz w:val="16"/>
          <w:szCs w:val="16"/>
          <w:color w:val="3B3B3B"/>
        </w:rPr>
        <w:t xml:space="preserve">You </w:t>
      </w:r>
      <w:r>
        <w:rPr>
          <w:rFonts w:ascii="Arial" w:cs="Arial" w:eastAsia="Arial" w:hAnsi="Arial"/>
          <w:sz w:val="16"/>
          <w:szCs w:val="16"/>
          <w:color w:val="4B4B49"/>
        </w:rPr>
        <w:t>also</w:t>
      </w:r>
      <w:r>
        <w:rPr>
          <w:rFonts w:ascii="Arial" w:cs="Arial" w:eastAsia="Arial" w:hAnsi="Arial"/>
          <w:sz w:val="16"/>
          <w:szCs w:val="16"/>
          <w:color w:val="3B3B3B"/>
        </w:rPr>
        <w:t xml:space="preserve"> agree not </w:t>
      </w:r>
      <w:r>
        <w:rPr>
          <w:rFonts w:ascii="Arial" w:cs="Arial" w:eastAsia="Arial" w:hAnsi="Arial"/>
          <w:sz w:val="16"/>
          <w:szCs w:val="16"/>
          <w:color w:val="4B4B49"/>
        </w:rPr>
        <w:t>to</w:t>
      </w:r>
      <w:r>
        <w:rPr>
          <w:rFonts w:ascii="Arial" w:cs="Arial" w:eastAsia="Arial" w:hAnsi="Arial"/>
          <w:sz w:val="16"/>
          <w:szCs w:val="16"/>
          <w:color w:val="3B3B3B"/>
        </w:rPr>
        <w:t xml:space="preserve"> bring any </w:t>
      </w:r>
      <w:r>
        <w:rPr>
          <w:rFonts w:ascii="Arial" w:cs="Arial" w:eastAsia="Arial" w:hAnsi="Arial"/>
          <w:sz w:val="16"/>
          <w:szCs w:val="16"/>
          <w:color w:val="4B4B49"/>
        </w:rPr>
        <w:t>action against</w:t>
      </w:r>
      <w:r>
        <w:rPr>
          <w:rFonts w:ascii="Arial" w:cs="Arial" w:eastAsia="Arial" w:hAnsi="Arial"/>
          <w:sz w:val="16"/>
          <w:szCs w:val="16"/>
          <w:color w:val="3B3B3B"/>
        </w:rPr>
        <w:t xml:space="preserve"> us until the </w:t>
      </w:r>
      <w:r>
        <w:rPr>
          <w:rFonts w:ascii="Arial" w:cs="Arial" w:eastAsia="Arial" w:hAnsi="Arial"/>
          <w:sz w:val="16"/>
          <w:szCs w:val="16"/>
          <w:color w:val="4B4B49"/>
        </w:rPr>
        <w:t>amount of damages</w:t>
      </w:r>
      <w:r>
        <w:rPr>
          <w:rFonts w:ascii="Arial" w:cs="Arial" w:eastAsia="Arial" w:hAnsi="Arial"/>
          <w:sz w:val="16"/>
          <w:szCs w:val="16"/>
          <w:color w:val="3B3B3B"/>
        </w:rPr>
        <w:t xml:space="preserve"> you are </w:t>
      </w:r>
      <w:r>
        <w:rPr>
          <w:rFonts w:ascii="Arial" w:cs="Arial" w:eastAsia="Arial" w:hAnsi="Arial"/>
          <w:sz w:val="16"/>
          <w:szCs w:val="16"/>
          <w:color w:val="4B4B49"/>
        </w:rPr>
        <w:t>legally obligated to pay</w:t>
      </w:r>
      <w:r>
        <w:rPr>
          <w:rFonts w:ascii="Arial" w:cs="Arial" w:eastAsia="Arial" w:hAnsi="Arial"/>
          <w:sz w:val="16"/>
          <w:szCs w:val="16"/>
          <w:color w:val="3B3B3B"/>
        </w:rPr>
        <w:t xml:space="preserve"> has </w:t>
      </w:r>
      <w:r>
        <w:rPr>
          <w:rFonts w:ascii="Arial" w:cs="Arial" w:eastAsia="Arial" w:hAnsi="Arial"/>
          <w:sz w:val="16"/>
          <w:szCs w:val="16"/>
          <w:color w:val="4B4B49"/>
        </w:rPr>
        <w:t>been</w:t>
      </w:r>
      <w:r>
        <w:rPr>
          <w:rFonts w:ascii="Arial" w:cs="Arial" w:eastAsia="Arial" w:hAnsi="Arial"/>
          <w:sz w:val="16"/>
          <w:szCs w:val="16"/>
          <w:color w:val="3B3B3B"/>
        </w:rPr>
        <w:t xml:space="preserve"> finally </w:t>
      </w:r>
      <w:r>
        <w:rPr>
          <w:rFonts w:ascii="Arial" w:cs="Arial" w:eastAsia="Arial" w:hAnsi="Arial"/>
          <w:sz w:val="16"/>
          <w:szCs w:val="16"/>
          <w:color w:val="4B4B49"/>
        </w:rPr>
        <w:t>determined after an actual trial or</w:t>
      </w:r>
      <w:r>
        <w:rPr>
          <w:rFonts w:ascii="Arial" w:cs="Arial" w:eastAsia="Arial" w:hAnsi="Arial"/>
          <w:sz w:val="16"/>
          <w:szCs w:val="16"/>
          <w:color w:val="3B3B3B"/>
        </w:rPr>
        <w:t xml:space="preserve"> </w:t>
      </w:r>
      <w:r>
        <w:rPr>
          <w:rFonts w:ascii="Arial" w:cs="Arial" w:eastAsia="Arial" w:hAnsi="Arial"/>
          <w:sz w:val="16"/>
          <w:szCs w:val="16"/>
          <w:color w:val="4B4B49"/>
        </w:rPr>
        <w:t xml:space="preserve">appeal, if any, or by a </w:t>
      </w:r>
      <w:r>
        <w:rPr>
          <w:rFonts w:ascii="Arial" w:cs="Arial" w:eastAsia="Arial" w:hAnsi="Arial"/>
          <w:sz w:val="16"/>
          <w:szCs w:val="16"/>
          <w:color w:val="3B3B3B"/>
        </w:rPr>
        <w:t>written</w:t>
      </w:r>
      <w:r>
        <w:rPr>
          <w:rFonts w:ascii="Arial" w:cs="Arial" w:eastAsia="Arial" w:hAnsi="Arial"/>
          <w:sz w:val="16"/>
          <w:szCs w:val="16"/>
          <w:color w:val="4B4B49"/>
        </w:rPr>
        <w:t xml:space="preserve"> agreement between you, us and the </w:t>
      </w:r>
      <w:r>
        <w:rPr>
          <w:rFonts w:ascii="Arial" w:cs="Arial" w:eastAsia="Arial" w:hAnsi="Arial"/>
          <w:sz w:val="16"/>
          <w:szCs w:val="16"/>
          <w:color w:val="3B3B3B"/>
        </w:rPr>
        <w:t>claimant</w:t>
      </w:r>
      <w:r>
        <w:rPr>
          <w:rFonts w:ascii="Arial" w:cs="Arial" w:eastAsia="Arial" w:hAnsi="Arial"/>
          <w:sz w:val="16"/>
          <w:szCs w:val="16"/>
          <w:color w:val="4B4B49"/>
        </w:rPr>
        <w:t xml:space="preserve"> No person or organization </w:t>
      </w:r>
      <w:r>
        <w:rPr>
          <w:rFonts w:ascii="Arial" w:cs="Arial" w:eastAsia="Arial" w:hAnsi="Arial"/>
          <w:sz w:val="16"/>
          <w:szCs w:val="16"/>
          <w:color w:val="3B3B3B"/>
        </w:rPr>
        <w:t>has</w:t>
      </w:r>
      <w:r>
        <w:rPr>
          <w:rFonts w:ascii="Arial" w:cs="Arial" w:eastAsia="Arial" w:hAnsi="Arial"/>
          <w:sz w:val="16"/>
          <w:szCs w:val="16"/>
          <w:color w:val="4B4B49"/>
        </w:rPr>
        <w:t xml:space="preserve"> any </w:t>
      </w:r>
      <w:r>
        <w:rPr>
          <w:rFonts w:ascii="Arial" w:cs="Arial" w:eastAsia="Arial" w:hAnsi="Arial"/>
          <w:sz w:val="16"/>
          <w:szCs w:val="16"/>
          <w:color w:val="3B3B3B"/>
        </w:rPr>
        <w:t>right under this policy</w:t>
      </w:r>
      <w:r>
        <w:rPr>
          <w:rFonts w:ascii="Arial" w:cs="Arial" w:eastAsia="Arial" w:hAnsi="Arial"/>
          <w:sz w:val="16"/>
          <w:szCs w:val="16"/>
          <w:color w:val="4B4B49"/>
        </w:rPr>
        <w:t xml:space="preserve"> to bring us </w:t>
      </w:r>
      <w:r>
        <w:rPr>
          <w:rFonts w:ascii="Arial" w:cs="Arial" w:eastAsia="Arial" w:hAnsi="Arial"/>
          <w:sz w:val="16"/>
          <w:szCs w:val="16"/>
          <w:color w:val="3B3B3B"/>
        </w:rPr>
        <w:t>into</w:t>
      </w:r>
      <w:r>
        <w:rPr>
          <w:rFonts w:ascii="Arial" w:cs="Arial" w:eastAsia="Arial" w:hAnsi="Arial"/>
          <w:sz w:val="16"/>
          <w:szCs w:val="16"/>
          <w:color w:val="4B4B49"/>
        </w:rPr>
        <w:t xml:space="preserve"> any action </w:t>
      </w:r>
      <w:r>
        <w:rPr>
          <w:rFonts w:ascii="Arial" w:cs="Arial" w:eastAsia="Arial" w:hAnsi="Arial"/>
          <w:sz w:val="16"/>
          <w:szCs w:val="16"/>
          <w:color w:val="3B3B3B"/>
        </w:rPr>
        <w:t>to</w:t>
      </w:r>
      <w:r>
        <w:rPr>
          <w:rFonts w:ascii="Arial" w:cs="Arial" w:eastAsia="Arial" w:hAnsi="Arial"/>
          <w:sz w:val="16"/>
          <w:szCs w:val="16"/>
          <w:color w:val="4B4B49"/>
        </w:rPr>
        <w:t xml:space="preserve"> </w:t>
      </w:r>
      <w:r>
        <w:rPr>
          <w:rFonts w:ascii="Arial" w:cs="Arial" w:eastAsia="Arial" w:hAnsi="Arial"/>
          <w:sz w:val="16"/>
          <w:szCs w:val="16"/>
          <w:color w:val="3B3B3B"/>
        </w:rPr>
        <w:t xml:space="preserve">determine </w:t>
      </w:r>
      <w:r>
        <w:rPr>
          <w:rFonts w:ascii="Arial" w:cs="Arial" w:eastAsia="Arial" w:hAnsi="Arial"/>
          <w:sz w:val="16"/>
          <w:szCs w:val="16"/>
          <w:color w:val="4B4B49"/>
        </w:rPr>
        <w:t>the liability of a covered person.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Notice of </w:t>
      </w:r>
      <w:r>
        <w:rPr>
          <w:rFonts w:ascii="Arial" w:cs="Arial" w:eastAsia="Arial" w:hAnsi="Arial"/>
          <w:sz w:val="16"/>
          <w:szCs w:val="16"/>
          <w:b w:val="1"/>
          <w:bCs w:val="1"/>
          <w:color w:val="3B3B3B"/>
        </w:rPr>
        <w:t>cancellation and</w:t>
      </w:r>
      <w:r>
        <w:rPr>
          <w:rFonts w:ascii="Arial" w:cs="Arial" w:eastAsia="Arial" w:hAnsi="Arial"/>
          <w:sz w:val="16"/>
          <w:szCs w:val="16"/>
          <w:b w:val="1"/>
          <w:bCs w:val="1"/>
          <w:color w:val="4B4B49"/>
        </w:rPr>
        <w:t xml:space="preserve"> coverage termination conditions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The Sponsoring </w:t>
      </w:r>
      <w:r>
        <w:rPr>
          <w:rFonts w:ascii="Arial" w:cs="Arial" w:eastAsia="Arial" w:hAnsi="Arial"/>
          <w:sz w:val="16"/>
          <w:szCs w:val="16"/>
          <w:color w:val="4B4B49"/>
        </w:rPr>
        <w:t>Organization may cancel this policy by</w:t>
      </w:r>
      <w:r>
        <w:rPr>
          <w:rFonts w:ascii="Arial" w:cs="Arial" w:eastAsia="Arial" w:hAnsi="Arial"/>
          <w:sz w:val="16"/>
          <w:szCs w:val="16"/>
          <w:color w:val="3B3B3B"/>
        </w:rPr>
        <w:t xml:space="preserve"> returning it to us or notifying </w:t>
      </w:r>
      <w:r>
        <w:rPr>
          <w:rFonts w:ascii="Arial" w:cs="Arial" w:eastAsia="Arial" w:hAnsi="Arial"/>
          <w:sz w:val="16"/>
          <w:szCs w:val="16"/>
          <w:color w:val="4B4B49"/>
        </w:rPr>
        <w:t>us</w:t>
      </w:r>
      <w:r>
        <w:rPr>
          <w:rFonts w:ascii="Arial" w:cs="Arial" w:eastAsia="Arial" w:hAnsi="Arial"/>
          <w:sz w:val="16"/>
          <w:szCs w:val="16"/>
          <w:color w:val="3B3B3B"/>
        </w:rPr>
        <w:t xml:space="preserve"> in </w:t>
      </w:r>
      <w:r>
        <w:rPr>
          <w:rFonts w:ascii="Arial" w:cs="Arial" w:eastAsia="Arial" w:hAnsi="Arial"/>
          <w:sz w:val="16"/>
          <w:szCs w:val="16"/>
          <w:color w:val="4B4B49"/>
        </w:rPr>
        <w:t>writing</w:t>
      </w:r>
      <w:r>
        <w:rPr>
          <w:rFonts w:ascii="Arial" w:cs="Arial" w:eastAsia="Arial" w:hAnsi="Arial"/>
          <w:sz w:val="16"/>
          <w:szCs w:val="16"/>
          <w:color w:val="3B3B3B"/>
        </w:rPr>
        <w:t xml:space="preserve"> at any time </w:t>
      </w:r>
      <w:r>
        <w:rPr>
          <w:rFonts w:ascii="Arial" w:cs="Arial" w:eastAsia="Arial" w:hAnsi="Arial"/>
          <w:sz w:val="16"/>
          <w:szCs w:val="16"/>
          <w:color w:val="4B4B49"/>
        </w:rPr>
        <w:t>subject to</w:t>
      </w:r>
      <w:r>
        <w:rPr>
          <w:rFonts w:ascii="Arial" w:cs="Arial" w:eastAsia="Arial" w:hAnsi="Arial"/>
          <w:sz w:val="16"/>
          <w:szCs w:val="16"/>
          <w:color w:val="3B3B3B"/>
        </w:rPr>
        <w:t xml:space="preserve"> the following:</w:t>
      </w:r>
    </w:p>
    <w:p>
      <w:pPr>
        <w:spacing w:after="0" w:line="46" w:lineRule="exact"/>
        <w:rPr>
          <w:sz w:val="20"/>
          <w:szCs w:val="20"/>
          <w:color w:val="auto"/>
        </w:rPr>
      </w:pPr>
    </w:p>
    <w:p>
      <w:pPr>
        <w:ind w:left="840" w:hanging="319"/>
        <w:spacing w:after="0"/>
        <w:tabs>
          <w:tab w:leader="none" w:pos="840" w:val="left"/>
        </w:tabs>
        <w:numPr>
          <w:ilvl w:val="0"/>
          <w:numId w:val="116"/>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w:t>
      </w:r>
      <w:r>
        <w:rPr>
          <w:rFonts w:ascii="Arial" w:cs="Arial" w:eastAsia="Arial" w:hAnsi="Arial"/>
          <w:sz w:val="16"/>
          <w:szCs w:val="16"/>
          <w:color w:val="3B3B3B"/>
        </w:rPr>
        <w:t xml:space="preserve"> must notify us in </w:t>
      </w:r>
      <w:r>
        <w:rPr>
          <w:rFonts w:ascii="Arial" w:cs="Arial" w:eastAsia="Arial" w:hAnsi="Arial"/>
          <w:sz w:val="16"/>
          <w:szCs w:val="16"/>
          <w:color w:val="4B4B49"/>
        </w:rPr>
        <w:t>advance of</w:t>
      </w:r>
      <w:r>
        <w:rPr>
          <w:rFonts w:ascii="Arial" w:cs="Arial" w:eastAsia="Arial" w:hAnsi="Arial"/>
          <w:sz w:val="16"/>
          <w:szCs w:val="16"/>
          <w:color w:val="3B3B3B"/>
        </w:rPr>
        <w:t xml:space="preserve"> the requested cancellation </w:t>
      </w:r>
      <w:r>
        <w:rPr>
          <w:rFonts w:ascii="Arial" w:cs="Arial" w:eastAsia="Arial" w:hAnsi="Arial"/>
          <w:sz w:val="16"/>
          <w:szCs w:val="16"/>
          <w:color w:val="4B4B49"/>
        </w:rPr>
        <w:t>date;</w:t>
      </w:r>
      <w:r>
        <w:rPr>
          <w:rFonts w:ascii="Arial" w:cs="Arial" w:eastAsia="Arial" w:hAnsi="Arial"/>
          <w:sz w:val="16"/>
          <w:szCs w:val="16"/>
          <w:color w:val="3B3B3B"/>
        </w:rPr>
        <w:t xml:space="preserve"> and</w:t>
      </w:r>
    </w:p>
    <w:p>
      <w:pPr>
        <w:spacing w:after="0" w:line="45" w:lineRule="exact"/>
        <w:rPr>
          <w:rFonts w:ascii="Arial" w:cs="Arial" w:eastAsia="Arial" w:hAnsi="Arial"/>
          <w:sz w:val="16"/>
          <w:szCs w:val="16"/>
          <w:color w:val="42423F"/>
        </w:rPr>
      </w:pPr>
    </w:p>
    <w:p>
      <w:pPr>
        <w:ind w:left="820" w:hanging="299"/>
        <w:spacing w:after="0"/>
        <w:tabs>
          <w:tab w:leader="none" w:pos="820" w:val="left"/>
        </w:tabs>
        <w:numPr>
          <w:ilvl w:val="0"/>
          <w:numId w:val="116"/>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 must provide proof of notification</w:t>
      </w:r>
      <w:r>
        <w:rPr>
          <w:rFonts w:ascii="Arial" w:cs="Arial" w:eastAsia="Arial" w:hAnsi="Arial"/>
          <w:sz w:val="16"/>
          <w:szCs w:val="16"/>
          <w:color w:val="3B3B3B"/>
        </w:rPr>
        <w:t xml:space="preserve"> to </w:t>
      </w:r>
      <w:r>
        <w:rPr>
          <w:rFonts w:ascii="Arial" w:cs="Arial" w:eastAsia="Arial" w:hAnsi="Arial"/>
          <w:sz w:val="16"/>
          <w:szCs w:val="16"/>
          <w:color w:val="4B4B49"/>
        </w:rPr>
        <w:t>each member of</w:t>
      </w:r>
      <w:r>
        <w:rPr>
          <w:rFonts w:ascii="Arial" w:cs="Arial" w:eastAsia="Arial" w:hAnsi="Arial"/>
          <w:sz w:val="16"/>
          <w:szCs w:val="16"/>
          <w:color w:val="3B3B3B"/>
        </w:rPr>
        <w:t xml:space="preserve"> the </w:t>
      </w:r>
      <w:r>
        <w:rPr>
          <w:rFonts w:ascii="Arial" w:cs="Arial" w:eastAsia="Arial" w:hAnsi="Arial"/>
          <w:sz w:val="16"/>
          <w:szCs w:val="16"/>
          <w:color w:val="4B4B49"/>
        </w:rPr>
        <w:t>Defined Group covered</w:t>
      </w:r>
      <w:r>
        <w:rPr>
          <w:rFonts w:ascii="Arial" w:cs="Arial" w:eastAsia="Arial" w:hAnsi="Arial"/>
          <w:sz w:val="16"/>
          <w:szCs w:val="16"/>
          <w:color w:val="3B3B3B"/>
        </w:rPr>
        <w:t xml:space="preserve"> under this policy.</w:t>
      </w:r>
    </w:p>
    <w:p>
      <w:pPr>
        <w:spacing w:after="0" w:line="221" w:lineRule="exact"/>
        <w:rPr>
          <w:sz w:val="20"/>
          <w:szCs w:val="20"/>
          <w:color w:val="auto"/>
        </w:rPr>
      </w:pPr>
    </w:p>
    <w:p>
      <w:pPr>
        <w:ind w:left="540" w:hanging="26"/>
        <w:spacing w:after="0" w:line="275" w:lineRule="auto"/>
        <w:rPr>
          <w:sz w:val="20"/>
          <w:szCs w:val="20"/>
          <w:color w:val="auto"/>
        </w:rPr>
      </w:pPr>
      <w:r>
        <w:rPr>
          <w:rFonts w:ascii="Arial" w:cs="Arial" w:eastAsia="Arial" w:hAnsi="Arial"/>
          <w:sz w:val="16"/>
          <w:szCs w:val="16"/>
          <w:color w:val="4B4B49"/>
        </w:rPr>
        <w:t xml:space="preserve">We may cancel this </w:t>
      </w:r>
      <w:r>
        <w:rPr>
          <w:rFonts w:ascii="Arial" w:cs="Arial" w:eastAsia="Arial" w:hAnsi="Arial"/>
          <w:sz w:val="16"/>
          <w:szCs w:val="16"/>
          <w:color w:val="3B3B3B"/>
        </w:rPr>
        <w:t>policy</w:t>
      </w:r>
      <w:r>
        <w:rPr>
          <w:rFonts w:ascii="Arial" w:cs="Arial" w:eastAsia="Arial" w:hAnsi="Arial"/>
          <w:sz w:val="16"/>
          <w:szCs w:val="16"/>
          <w:color w:val="4B4B49"/>
        </w:rPr>
        <w:t xml:space="preserve"> or any part of </w:t>
      </w:r>
      <w:r>
        <w:rPr>
          <w:rFonts w:ascii="Arial" w:cs="Arial" w:eastAsia="Arial" w:hAnsi="Arial"/>
          <w:sz w:val="16"/>
          <w:szCs w:val="16"/>
          <w:color w:val="3B3B3B"/>
        </w:rPr>
        <w:t>it</w:t>
      </w:r>
      <w:r>
        <w:rPr>
          <w:rFonts w:ascii="Arial" w:cs="Arial" w:eastAsia="Arial" w:hAnsi="Arial"/>
          <w:sz w:val="16"/>
          <w:szCs w:val="16"/>
          <w:color w:val="4B4B49"/>
        </w:rPr>
        <w:t xml:space="preserve"> subject to the following conditions. Our right to cancel applies to each coverage or limit </w:t>
      </w:r>
      <w:r>
        <w:rPr>
          <w:rFonts w:ascii="Arial" w:cs="Arial" w:eastAsia="Arial" w:hAnsi="Arial"/>
          <w:sz w:val="16"/>
          <w:szCs w:val="16"/>
          <w:color w:val="3B3B3B"/>
        </w:rPr>
        <w:t>in this</w:t>
      </w:r>
      <w:r>
        <w:rPr>
          <w:rFonts w:ascii="Arial" w:cs="Arial" w:eastAsia="Arial" w:hAnsi="Arial"/>
          <w:sz w:val="16"/>
          <w:szCs w:val="16"/>
          <w:color w:val="4B4B49"/>
        </w:rPr>
        <w:t xml:space="preserve"> policy. </w:t>
      </w:r>
      <w:r>
        <w:rPr>
          <w:rFonts w:ascii="Arial" w:cs="Arial" w:eastAsia="Arial" w:hAnsi="Arial"/>
          <w:sz w:val="16"/>
          <w:szCs w:val="16"/>
          <w:color w:val="3B3B3B"/>
        </w:rPr>
        <w:t>In the</w:t>
      </w:r>
      <w:r>
        <w:rPr>
          <w:rFonts w:ascii="Arial" w:cs="Arial" w:eastAsia="Arial" w:hAnsi="Arial"/>
          <w:sz w:val="16"/>
          <w:szCs w:val="16"/>
          <w:color w:val="4B4B49"/>
        </w:rPr>
        <w:t xml:space="preserve"> event we cancel </w:t>
      </w:r>
      <w:r>
        <w:rPr>
          <w:rFonts w:ascii="Arial" w:cs="Arial" w:eastAsia="Arial" w:hAnsi="Arial"/>
          <w:sz w:val="16"/>
          <w:szCs w:val="16"/>
          <w:color w:val="3B3B3B"/>
        </w:rPr>
        <w:t>this</w:t>
      </w:r>
      <w:r>
        <w:rPr>
          <w:rFonts w:ascii="Arial" w:cs="Arial" w:eastAsia="Arial" w:hAnsi="Arial"/>
          <w:sz w:val="16"/>
          <w:szCs w:val="16"/>
          <w:color w:val="4B4B49"/>
        </w:rPr>
        <w:t xml:space="preserve"> policy, </w:t>
      </w:r>
      <w:r>
        <w:rPr>
          <w:rFonts w:ascii="Arial" w:cs="Arial" w:eastAsia="Arial" w:hAnsi="Arial"/>
          <w:sz w:val="16"/>
          <w:szCs w:val="16"/>
          <w:color w:val="3B3B3B"/>
        </w:rPr>
        <w:t>we are under</w:t>
      </w:r>
      <w:r>
        <w:rPr>
          <w:rFonts w:ascii="Arial" w:cs="Arial" w:eastAsia="Arial" w:hAnsi="Arial"/>
          <w:sz w:val="16"/>
          <w:szCs w:val="16"/>
          <w:color w:val="4B4B49"/>
        </w:rPr>
        <w:t xml:space="preserve"> no obligation </w:t>
      </w:r>
      <w:r>
        <w:rPr>
          <w:rFonts w:ascii="Arial" w:cs="Arial" w:eastAsia="Arial" w:hAnsi="Arial"/>
          <w:sz w:val="16"/>
          <w:szCs w:val="16"/>
          <w:color w:val="3B3B3B"/>
        </w:rPr>
        <w:t>to</w:t>
      </w:r>
      <w:r>
        <w:rPr>
          <w:rFonts w:ascii="Arial" w:cs="Arial" w:eastAsia="Arial" w:hAnsi="Arial"/>
          <w:sz w:val="16"/>
          <w:szCs w:val="16"/>
          <w:color w:val="4B4B49"/>
        </w:rPr>
        <w:t xml:space="preserve"> provide you with an opportunity </w:t>
      </w:r>
      <w:r>
        <w:rPr>
          <w:rFonts w:ascii="Arial" w:cs="Arial" w:eastAsia="Arial" w:hAnsi="Arial"/>
          <w:sz w:val="16"/>
          <w:szCs w:val="16"/>
          <w:color w:val="3B3B3B"/>
        </w:rPr>
        <w:t>to</w:t>
      </w:r>
      <w:r>
        <w:rPr>
          <w:rFonts w:ascii="Arial" w:cs="Arial" w:eastAsia="Arial" w:hAnsi="Arial"/>
          <w:sz w:val="16"/>
          <w:szCs w:val="16"/>
          <w:color w:val="4B4B49"/>
        </w:rPr>
        <w:t xml:space="preserve"> purchase </w:t>
      </w:r>
      <w:r>
        <w:rPr>
          <w:rFonts w:ascii="Arial" w:cs="Arial" w:eastAsia="Arial" w:hAnsi="Arial"/>
          <w:sz w:val="16"/>
          <w:szCs w:val="16"/>
          <w:color w:val="3B3B3B"/>
        </w:rPr>
        <w:t>equivalent</w:t>
      </w:r>
      <w:r>
        <w:rPr>
          <w:rFonts w:ascii="Arial" w:cs="Arial" w:eastAsia="Arial" w:hAnsi="Arial"/>
          <w:sz w:val="16"/>
          <w:szCs w:val="16"/>
          <w:color w:val="4B4B49"/>
        </w:rPr>
        <w:t xml:space="preserve"> coverage.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14 of 15</w:t>
      </w:r>
    </w:p>
    <w:p>
      <w:pPr>
        <w:sectPr>
          <w:pgSz w:w="11900" w:h="16838" w:orient="portrait"/>
          <w:cols w:equalWidth="0" w:num="1">
            <w:col w:w="11240"/>
          </w:cols>
          <w:pgMar w:left="320" w:top="514" w:right="339" w:bottom="1440" w:gutter="0" w:footer="0" w:header="0"/>
        </w:sectPr>
      </w:pPr>
    </w:p>
    <w:bookmarkStart w:id="144" w:name="page145"/>
    <w:bookmarkEnd w:id="144"/>
    <w:p>
      <w:pPr>
        <w:ind w:left="180"/>
        <w:spacing w:after="0"/>
        <w:rPr>
          <w:sz w:val="20"/>
          <w:szCs w:val="20"/>
          <w:color w:val="auto"/>
        </w:rPr>
      </w:pPr>
      <w:r>
        <w:rPr>
          <w:rFonts w:ascii="Arial" w:cs="Arial" w:eastAsia="Arial" w:hAnsi="Arial"/>
          <w:sz w:val="22"/>
          <w:szCs w:val="22"/>
          <w:b w:val="1"/>
          <w:bCs w:val="1"/>
          <w:i w:val="1"/>
          <w:iCs w:val="1"/>
          <w:color w:val="343634"/>
        </w:rPr>
        <w:t>Special Conditions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343634"/>
        </w:rPr>
        <w:t>(continued)</w:t>
      </w: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Within 60 days. </w:t>
      </w:r>
      <w:r>
        <w:rPr>
          <w:rFonts w:ascii="Arial" w:cs="Arial" w:eastAsia="Arial" w:hAnsi="Arial"/>
          <w:sz w:val="16"/>
          <w:szCs w:val="16"/>
          <w:color w:val="343634"/>
        </w:rPr>
        <w:t>When this policy or any part of it has been in effect for less than 60 days, we may cancel with 30 days notice for any reason.</w:t>
      </w:r>
    </w:p>
    <w:p>
      <w:pPr>
        <w:spacing w:after="0" w:line="289"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b w:val="1"/>
          <w:bCs w:val="1"/>
          <w:color w:val="343634"/>
        </w:rPr>
        <w:t xml:space="preserve">Nonpayment of premium. </w:t>
      </w:r>
      <w:r>
        <w:rPr>
          <w:rFonts w:ascii="Arial" w:cs="Arial" w:eastAsia="Arial" w:hAnsi="Arial"/>
          <w:sz w:val="16"/>
          <w:szCs w:val="16"/>
          <w:color w:val="343634"/>
        </w:rPr>
        <w:t>We may cancel this policy or any part of it with 10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Sponsoring Organization or you fail to pay the premium by the due date,</w:t>
      </w:r>
      <w:r>
        <w:rPr>
          <w:rFonts w:ascii="Arial" w:cs="Arial" w:eastAsia="Arial" w:hAnsi="Arial"/>
          <w:sz w:val="16"/>
          <w:szCs w:val="16"/>
          <w:b w:val="1"/>
          <w:bCs w:val="1"/>
          <w:color w:val="343634"/>
        </w:rPr>
        <w:t xml:space="preserve"> </w:t>
      </w:r>
      <w:r>
        <w:rPr>
          <w:rFonts w:ascii="Arial" w:cs="Arial" w:eastAsia="Arial" w:hAnsi="Arial"/>
          <w:sz w:val="16"/>
          <w:szCs w:val="16"/>
          <w:color w:val="343634"/>
        </w:rPr>
        <w:t xml:space="preserve">regardless of whether the premium </w:t>
      </w:r>
      <w:r>
        <w:rPr>
          <w:rFonts w:ascii="Arial" w:cs="Arial" w:eastAsia="Arial" w:hAnsi="Arial"/>
          <w:sz w:val="16"/>
          <w:szCs w:val="16"/>
          <w:color w:val="4B4B49"/>
        </w:rPr>
        <w:t>is</w:t>
      </w:r>
      <w:r>
        <w:rPr>
          <w:rFonts w:ascii="Arial" w:cs="Arial" w:eastAsia="Arial" w:hAnsi="Arial"/>
          <w:sz w:val="16"/>
          <w:szCs w:val="16"/>
          <w:color w:val="343634"/>
        </w:rPr>
        <w:t xml:space="preserve"> payable to us, to our agent, or under any financial credit.</w:t>
      </w:r>
    </w:p>
    <w:p>
      <w:pPr>
        <w:spacing w:after="0" w:line="232"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b w:val="1"/>
          <w:bCs w:val="1"/>
          <w:color w:val="343634"/>
        </w:rPr>
        <w:t xml:space="preserve">Misrepresentation. </w:t>
      </w:r>
      <w:r>
        <w:rPr>
          <w:rFonts w:ascii="Arial" w:cs="Arial" w:eastAsia="Arial" w:hAnsi="Arial"/>
          <w:sz w:val="16"/>
          <w:szCs w:val="16"/>
          <w:color w:val="343634"/>
        </w:rPr>
        <w:t>We may cancel this policy or any part of it with 30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coverage was obtained through misrepresentation, fraudulent statements, or</w:t>
      </w:r>
      <w:r>
        <w:rPr>
          <w:rFonts w:ascii="Arial" w:cs="Arial" w:eastAsia="Arial" w:hAnsi="Arial"/>
          <w:sz w:val="16"/>
          <w:szCs w:val="16"/>
          <w:b w:val="1"/>
          <w:bCs w:val="1"/>
          <w:color w:val="343634"/>
        </w:rPr>
        <w:t xml:space="preserve"> </w:t>
      </w:r>
      <w:r>
        <w:rPr>
          <w:rFonts w:ascii="Arial" w:cs="Arial" w:eastAsia="Arial" w:hAnsi="Arial"/>
          <w:sz w:val="16"/>
          <w:szCs w:val="16"/>
          <w:color w:val="343634"/>
        </w:rPr>
        <w:t>omissions or concealment of a fact that is relevant to the acceptance of the risk or to the hazard we assumed</w:t>
      </w:r>
      <w:r>
        <w:rPr>
          <w:rFonts w:ascii="Arial" w:cs="Arial" w:eastAsia="Arial" w:hAnsi="Arial"/>
          <w:sz w:val="16"/>
          <w:szCs w:val="16"/>
          <w:color w:val="605D5D"/>
        </w:rPr>
        <w:t>.</w:t>
      </w:r>
    </w:p>
    <w:p>
      <w:pPr>
        <w:spacing w:after="0" w:line="211" w:lineRule="exact"/>
        <w:rPr>
          <w:sz w:val="20"/>
          <w:szCs w:val="20"/>
          <w:color w:val="auto"/>
        </w:rPr>
      </w:pPr>
    </w:p>
    <w:p>
      <w:pPr>
        <w:ind w:left="120"/>
        <w:spacing w:after="0" w:line="385" w:lineRule="auto"/>
        <w:rPr>
          <w:sz w:val="20"/>
          <w:szCs w:val="20"/>
          <w:color w:val="auto"/>
        </w:rPr>
      </w:pPr>
      <w:r>
        <w:rPr>
          <w:rFonts w:ascii="Arial" w:cs="Arial" w:eastAsia="Arial" w:hAnsi="Arial"/>
          <w:sz w:val="15"/>
          <w:szCs w:val="15"/>
          <w:b w:val="1"/>
          <w:bCs w:val="1"/>
          <w:color w:val="343634"/>
        </w:rPr>
        <w:t xml:space="preserve">Increase </w:t>
      </w:r>
      <w:r>
        <w:rPr>
          <w:rFonts w:ascii="Arial" w:cs="Arial" w:eastAsia="Arial" w:hAnsi="Arial"/>
          <w:sz w:val="16"/>
          <w:szCs w:val="16"/>
          <w:b w:val="1"/>
          <w:bCs w:val="1"/>
          <w:color w:val="343634"/>
        </w:rPr>
        <w:t>in</w:t>
      </w:r>
      <w:r>
        <w:rPr>
          <w:rFonts w:ascii="Arial" w:cs="Arial" w:eastAsia="Arial" w:hAnsi="Arial"/>
          <w:sz w:val="15"/>
          <w:szCs w:val="15"/>
          <w:b w:val="1"/>
          <w:bCs w:val="1"/>
          <w:color w:val="343634"/>
        </w:rPr>
        <w:t xml:space="preserve"> hazard. </w:t>
      </w:r>
      <w:r>
        <w:rPr>
          <w:rFonts w:ascii="Arial" w:cs="Arial" w:eastAsia="Arial" w:hAnsi="Arial"/>
          <w:sz w:val="15"/>
          <w:szCs w:val="15"/>
          <w:color w:val="343634"/>
        </w:rPr>
        <w:t>We may cancel this policy or any</w:t>
      </w:r>
      <w:r>
        <w:rPr>
          <w:rFonts w:ascii="Arial" w:cs="Arial" w:eastAsia="Arial" w:hAnsi="Arial"/>
          <w:sz w:val="15"/>
          <w:szCs w:val="15"/>
          <w:b w:val="1"/>
          <w:bCs w:val="1"/>
          <w:color w:val="343634"/>
        </w:rPr>
        <w:t xml:space="preserve"> </w:t>
      </w:r>
      <w:r>
        <w:rPr>
          <w:rFonts w:ascii="Arial" w:cs="Arial" w:eastAsia="Arial" w:hAnsi="Arial"/>
          <w:sz w:val="15"/>
          <w:szCs w:val="15"/>
          <w:color w:val="4B4B49"/>
        </w:rPr>
        <w:t>part</w:t>
      </w:r>
      <w:r>
        <w:rPr>
          <w:rFonts w:ascii="Arial" w:cs="Arial" w:eastAsia="Arial" w:hAnsi="Arial"/>
          <w:sz w:val="15"/>
          <w:szCs w:val="15"/>
          <w:b w:val="1"/>
          <w:bCs w:val="1"/>
          <w:color w:val="343634"/>
        </w:rPr>
        <w:t xml:space="preserve"> </w:t>
      </w:r>
      <w:r>
        <w:rPr>
          <w:rFonts w:ascii="Arial" w:cs="Arial" w:eastAsia="Arial" w:hAnsi="Arial"/>
          <w:sz w:val="15"/>
          <w:szCs w:val="15"/>
          <w:color w:val="343634"/>
        </w:rPr>
        <w:t>of it with 30 days notice</w:t>
      </w:r>
      <w:r>
        <w:rPr>
          <w:rFonts w:ascii="Arial" w:cs="Arial" w:eastAsia="Arial" w:hAnsi="Arial"/>
          <w:sz w:val="15"/>
          <w:szCs w:val="15"/>
          <w:b w:val="1"/>
          <w:bCs w:val="1"/>
          <w:color w:val="343634"/>
        </w:rPr>
        <w:t xml:space="preserve"> </w:t>
      </w:r>
      <w:r>
        <w:rPr>
          <w:rFonts w:ascii="Arial" w:cs="Arial" w:eastAsia="Arial" w:hAnsi="Arial"/>
          <w:sz w:val="14"/>
          <w:szCs w:val="14"/>
          <w:color w:val="343634"/>
        </w:rPr>
        <w:t>if</w:t>
      </w:r>
      <w:r>
        <w:rPr>
          <w:rFonts w:ascii="Arial" w:cs="Arial" w:eastAsia="Arial" w:hAnsi="Arial"/>
          <w:sz w:val="15"/>
          <w:szCs w:val="15"/>
          <w:b w:val="1"/>
          <w:bCs w:val="1"/>
          <w:color w:val="343634"/>
        </w:rPr>
        <w:t xml:space="preserve"> </w:t>
      </w:r>
      <w:r>
        <w:rPr>
          <w:rFonts w:ascii="Arial" w:cs="Arial" w:eastAsia="Arial" w:hAnsi="Arial"/>
          <w:sz w:val="15"/>
          <w:szCs w:val="15"/>
          <w:color w:val="343634"/>
        </w:rPr>
        <w:t>there has been a substantial change in the risk which increases the chance of loss</w:t>
      </w:r>
      <w:r>
        <w:rPr>
          <w:rFonts w:ascii="Arial" w:cs="Arial" w:eastAsia="Arial" w:hAnsi="Arial"/>
          <w:sz w:val="15"/>
          <w:szCs w:val="15"/>
          <w:b w:val="1"/>
          <w:bCs w:val="1"/>
          <w:color w:val="343634"/>
        </w:rPr>
        <w:t xml:space="preserve"> </w:t>
      </w:r>
      <w:r>
        <w:rPr>
          <w:rFonts w:ascii="Arial" w:cs="Arial" w:eastAsia="Arial" w:hAnsi="Arial"/>
          <w:sz w:val="15"/>
          <w:szCs w:val="15"/>
          <w:color w:val="343634"/>
        </w:rPr>
        <w:t>after insurance coverage has been issued or renewed, including but not limited to an increase in exposure due to rules, legislation, or court decision.</w:t>
      </w:r>
    </w:p>
    <w:p>
      <w:pPr>
        <w:spacing w:after="0" w:line="165" w:lineRule="exact"/>
        <w:rPr>
          <w:sz w:val="20"/>
          <w:szCs w:val="20"/>
          <w:color w:val="auto"/>
        </w:rPr>
      </w:pPr>
    </w:p>
    <w:p>
      <w:pPr>
        <w:ind w:left="120" w:right="20"/>
        <w:spacing w:after="0" w:line="333" w:lineRule="auto"/>
        <w:rPr>
          <w:sz w:val="20"/>
          <w:szCs w:val="20"/>
          <w:color w:val="auto"/>
        </w:rPr>
      </w:pPr>
      <w:r>
        <w:rPr>
          <w:rFonts w:ascii="Arial" w:cs="Arial" w:eastAsia="Arial" w:hAnsi="Arial"/>
          <w:sz w:val="16"/>
          <w:szCs w:val="16"/>
          <w:b w:val="1"/>
          <w:bCs w:val="1"/>
          <w:color w:val="343634"/>
        </w:rPr>
        <w:t xml:space="preserve">Procedure. </w:t>
      </w:r>
      <w:r>
        <w:rPr>
          <w:rFonts w:ascii="Arial" w:cs="Arial" w:eastAsia="Arial" w:hAnsi="Arial"/>
          <w:sz w:val="16"/>
          <w:szCs w:val="16"/>
          <w:color w:val="343634"/>
        </w:rPr>
        <w:t>To cancel this policy or any part of it, we must notify you in writing. This notice will</w:t>
      </w:r>
      <w:r>
        <w:rPr>
          <w:rFonts w:ascii="Arial" w:cs="Arial" w:eastAsia="Arial" w:hAnsi="Arial"/>
          <w:sz w:val="16"/>
          <w:szCs w:val="16"/>
          <w:b w:val="1"/>
          <w:bCs w:val="1"/>
          <w:color w:val="343634"/>
        </w:rPr>
        <w:t xml:space="preserve"> </w:t>
      </w:r>
      <w:r>
        <w:rPr>
          <w:rFonts w:ascii="Arial" w:cs="Arial" w:eastAsia="Arial" w:hAnsi="Arial"/>
          <w:sz w:val="14"/>
          <w:szCs w:val="14"/>
          <w:color w:val="343634"/>
        </w:rPr>
        <w:t>be</w:t>
      </w:r>
      <w:r>
        <w:rPr>
          <w:rFonts w:ascii="Arial" w:cs="Arial" w:eastAsia="Arial" w:hAnsi="Arial"/>
          <w:sz w:val="16"/>
          <w:szCs w:val="16"/>
          <w:b w:val="1"/>
          <w:bCs w:val="1"/>
          <w:color w:val="343634"/>
        </w:rPr>
        <w:t xml:space="preserve"> </w:t>
      </w:r>
      <w:r>
        <w:rPr>
          <w:rFonts w:ascii="Arial" w:cs="Arial" w:eastAsia="Arial" w:hAnsi="Arial"/>
          <w:sz w:val="16"/>
          <w:szCs w:val="16"/>
          <w:color w:val="343634"/>
        </w:rPr>
        <w:t>mailed to the Sponsoring Organization at the mailing address shown</w:t>
      </w:r>
      <w:r>
        <w:rPr>
          <w:rFonts w:ascii="Arial" w:cs="Arial" w:eastAsia="Arial" w:hAnsi="Arial"/>
          <w:sz w:val="16"/>
          <w:szCs w:val="16"/>
          <w:b w:val="1"/>
          <w:bCs w:val="1"/>
          <w:color w:val="343634"/>
        </w:rPr>
        <w:t xml:space="preserve"> </w:t>
      </w:r>
      <w:r>
        <w:rPr>
          <w:rFonts w:ascii="Arial" w:cs="Arial" w:eastAsia="Arial" w:hAnsi="Arial"/>
          <w:sz w:val="16"/>
          <w:szCs w:val="16"/>
          <w:color w:val="343634"/>
        </w:rPr>
        <w:t>in the Coverage Summary and we will obtain a certificate of mailing. This notice will include the date the cancellation is to take effect.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Termination. </w:t>
      </w:r>
      <w:r>
        <w:rPr>
          <w:rFonts w:ascii="Arial" w:cs="Arial" w:eastAsia="Arial" w:hAnsi="Arial"/>
          <w:sz w:val="16"/>
          <w:szCs w:val="16"/>
          <w:color w:val="343634"/>
        </w:rPr>
        <w:t>Should an individual for any reason no longer qualify as a member of the Defined Group, coverage will cease sixty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color w:val="343634"/>
        </w:rPr>
        <w:t>(60) days from the date that individual no longer qualifies as a member of the Defined Group, or the policy expiration or cancellation date, whichever comes first.</w:t>
      </w:r>
    </w:p>
    <w:p>
      <w:pPr>
        <w:spacing w:after="0" w:line="302" w:lineRule="exact"/>
        <w:rPr>
          <w:sz w:val="20"/>
          <w:szCs w:val="20"/>
          <w:color w:val="auto"/>
        </w:rPr>
      </w:pPr>
    </w:p>
    <w:p>
      <w:pPr>
        <w:ind w:left="80" w:right="20"/>
        <w:spacing w:after="0" w:line="342" w:lineRule="auto"/>
        <w:rPr>
          <w:sz w:val="20"/>
          <w:szCs w:val="20"/>
          <w:color w:val="auto"/>
        </w:rPr>
      </w:pPr>
      <w:r>
        <w:rPr>
          <w:rFonts w:ascii="Arial" w:cs="Arial" w:eastAsia="Arial" w:hAnsi="Arial"/>
          <w:sz w:val="17"/>
          <w:szCs w:val="17"/>
          <w:b w:val="1"/>
          <w:bCs w:val="1"/>
          <w:color w:val="343634"/>
        </w:rPr>
        <w:t xml:space="preserve">Refund. </w:t>
      </w:r>
      <w:r>
        <w:rPr>
          <w:rFonts w:ascii="Arial" w:cs="Arial" w:eastAsia="Arial" w:hAnsi="Arial"/>
          <w:sz w:val="16"/>
          <w:szCs w:val="16"/>
          <w:color w:val="343634"/>
        </w:rPr>
        <w:t>In the event of cancellation by the Sponsoring Organization or us, we will refund any unearned premium on the effective date of cancellation, or as soon as</w:t>
      </w:r>
      <w:r>
        <w:rPr>
          <w:rFonts w:ascii="Arial" w:cs="Arial" w:eastAsia="Arial" w:hAnsi="Arial"/>
          <w:sz w:val="17"/>
          <w:szCs w:val="17"/>
          <w:b w:val="1"/>
          <w:bCs w:val="1"/>
          <w:color w:val="343634"/>
        </w:rPr>
        <w:t xml:space="preserve"> </w:t>
      </w:r>
      <w:r>
        <w:rPr>
          <w:rFonts w:ascii="Arial" w:cs="Arial" w:eastAsia="Arial" w:hAnsi="Arial"/>
          <w:sz w:val="16"/>
          <w:szCs w:val="16"/>
          <w:color w:val="343634"/>
        </w:rPr>
        <w:t>possible afterwards to the Sponsoring Organization. The unearned premium will be computed short rate for the unexpired term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15 of 15</w:t>
      </w:r>
    </w:p>
    <w:p>
      <w:pPr>
        <w:sectPr>
          <w:pgSz w:w="11900" w:h="16838" w:orient="portrait"/>
          <w:cols w:equalWidth="0" w:num="1">
            <w:col w:w="11240"/>
          </w:cols>
          <w:pgMar w:left="320" w:top="326" w:right="339" w:bottom="1440" w:gutter="0" w:footer="0" w:header="0"/>
        </w:sectPr>
      </w:pPr>
    </w:p>
    <w:bookmarkStart w:id="145" w:name="page146"/>
    <w:bookmarkEnd w:id="145"/>
    <w:p>
      <w:pPr>
        <w:ind w:left="218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-162560</wp:posOffset>
            </wp:positionV>
            <wp:extent cx="110553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1">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3"/>
          <w:szCs w:val="23"/>
          <w:b w:val="1"/>
          <w:bCs w:val="1"/>
          <w:color w:val="333331"/>
        </w:rPr>
        <w:t>ENDORSEMENT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1880" w:type="dxa"/>
            <w:vAlign w:val="bottom"/>
          </w:tcPr>
          <w:p>
            <w:pPr>
              <w:spacing w:after="0"/>
              <w:rPr>
                <w:sz w:val="20"/>
                <w:szCs w:val="20"/>
                <w:color w:val="auto"/>
              </w:rPr>
            </w:pPr>
            <w:r>
              <w:rPr>
                <w:rFonts w:ascii="Arial" w:cs="Arial" w:eastAsia="Arial" w:hAnsi="Arial"/>
                <w:sz w:val="17"/>
                <w:szCs w:val="17"/>
                <w:color w:val="333331"/>
              </w:rPr>
              <w:t>Policy Period</w:t>
            </w:r>
          </w:p>
        </w:tc>
        <w:tc>
          <w:tcPr>
            <w:tcW w:w="3660" w:type="dxa"/>
            <w:vAlign w:val="bottom"/>
          </w:tcPr>
          <w:p>
            <w:pPr>
              <w:ind w:left="480"/>
              <w:spacing w:after="0"/>
              <w:rPr>
                <w:sz w:val="20"/>
                <w:szCs w:val="20"/>
                <w:color w:val="auto"/>
              </w:rPr>
            </w:pPr>
            <w:r>
              <w:rPr>
                <w:rFonts w:ascii="Arial" w:cs="Arial" w:eastAsia="Arial" w:hAnsi="Arial"/>
                <w:sz w:val="17"/>
                <w:szCs w:val="17"/>
                <w:color w:val="333331"/>
              </w:rPr>
              <w:t>JANUARY 01, 2020</w:t>
            </w:r>
          </w:p>
        </w:tc>
        <w:tc>
          <w:tcPr>
            <w:tcW w:w="2440" w:type="dxa"/>
            <w:vAlign w:val="bottom"/>
          </w:tcPr>
          <w:p>
            <w:pPr>
              <w:ind w:left="46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333331"/>
              </w:rPr>
              <w:t>JANUARY 01, 2021</w:t>
            </w:r>
          </w:p>
        </w:tc>
      </w:tr>
      <w:tr>
        <w:trPr>
          <w:trHeight w:val="496"/>
        </w:trPr>
        <w:tc>
          <w:tcPr>
            <w:tcW w:w="1880" w:type="dxa"/>
            <w:vAlign w:val="bottom"/>
          </w:tcPr>
          <w:p>
            <w:pPr>
              <w:spacing w:after="0"/>
              <w:rPr>
                <w:sz w:val="20"/>
                <w:szCs w:val="20"/>
                <w:color w:val="auto"/>
              </w:rPr>
            </w:pPr>
            <w:r>
              <w:rPr>
                <w:rFonts w:ascii="Arial" w:cs="Arial" w:eastAsia="Arial" w:hAnsi="Arial"/>
                <w:sz w:val="17"/>
                <w:szCs w:val="17"/>
                <w:color w:val="1C1C1A"/>
              </w:rPr>
              <w:t xml:space="preserve">Effective </w:t>
            </w:r>
            <w:r>
              <w:rPr>
                <w:rFonts w:ascii="Arial" w:cs="Arial" w:eastAsia="Arial" w:hAnsi="Arial"/>
                <w:sz w:val="17"/>
                <w:szCs w:val="17"/>
                <w:color w:val="333331"/>
              </w:rPr>
              <w:t>Date</w:t>
            </w:r>
          </w:p>
        </w:tc>
        <w:tc>
          <w:tcPr>
            <w:tcW w:w="3660" w:type="dxa"/>
            <w:vAlign w:val="bottom"/>
          </w:tcPr>
          <w:p>
            <w:pPr>
              <w:ind w:left="480"/>
              <w:spacing w:after="0"/>
              <w:rPr>
                <w:sz w:val="20"/>
                <w:szCs w:val="20"/>
                <w:color w:val="auto"/>
              </w:rPr>
            </w:pPr>
            <w:r>
              <w:rPr>
                <w:rFonts w:ascii="Arial" w:cs="Arial" w:eastAsia="Arial" w:hAnsi="Arial"/>
                <w:sz w:val="17"/>
                <w:szCs w:val="17"/>
                <w:color w:val="333331"/>
              </w:rPr>
              <w:t>JANUARY 01, 2020</w:t>
            </w:r>
          </w:p>
        </w:tc>
        <w:tc>
          <w:tcPr>
            <w:tcW w:w="2440" w:type="dxa"/>
            <w:vAlign w:val="bottom"/>
          </w:tcPr>
          <w:p>
            <w:pPr>
              <w:spacing w:after="0"/>
              <w:rPr>
                <w:sz w:val="24"/>
                <w:szCs w:val="24"/>
                <w:color w:val="auto"/>
              </w:rPr>
            </w:pPr>
          </w:p>
        </w:tc>
      </w:tr>
      <w:tr>
        <w:trPr>
          <w:trHeight w:val="473"/>
        </w:trPr>
        <w:tc>
          <w:tcPr>
            <w:tcW w:w="1880" w:type="dxa"/>
            <w:vAlign w:val="bottom"/>
          </w:tcPr>
          <w:p>
            <w:pPr>
              <w:spacing w:after="0"/>
              <w:rPr>
                <w:sz w:val="20"/>
                <w:szCs w:val="20"/>
                <w:color w:val="auto"/>
              </w:rPr>
            </w:pPr>
            <w:r>
              <w:rPr>
                <w:rFonts w:ascii="Arial" w:cs="Arial" w:eastAsia="Arial" w:hAnsi="Arial"/>
                <w:sz w:val="17"/>
                <w:szCs w:val="17"/>
                <w:color w:val="333331"/>
              </w:rPr>
              <w:t>Policy Number</w:t>
            </w:r>
          </w:p>
        </w:tc>
        <w:tc>
          <w:tcPr>
            <w:tcW w:w="36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86"/>
        </w:trPr>
        <w:tc>
          <w:tcPr>
            <w:tcW w:w="1880" w:type="dxa"/>
            <w:vAlign w:val="bottom"/>
          </w:tcPr>
          <w:p>
            <w:pPr>
              <w:spacing w:after="0"/>
              <w:rPr>
                <w:sz w:val="20"/>
                <w:szCs w:val="20"/>
                <w:color w:val="auto"/>
              </w:rPr>
            </w:pPr>
            <w:r>
              <w:rPr>
                <w:rFonts w:ascii="Arial" w:cs="Arial" w:eastAsia="Arial" w:hAnsi="Arial"/>
                <w:sz w:val="17"/>
                <w:szCs w:val="17"/>
                <w:color w:val="333331"/>
              </w:rPr>
              <w:t>Insured</w:t>
            </w:r>
          </w:p>
        </w:tc>
        <w:tc>
          <w:tcPr>
            <w:tcW w:w="3660" w:type="dxa"/>
            <w:vAlign w:val="bottom"/>
          </w:tcPr>
          <w:p>
            <w:pPr>
              <w:ind w:left="480"/>
              <w:spacing w:after="0"/>
              <w:rPr>
                <w:sz w:val="20"/>
                <w:szCs w:val="20"/>
                <w:color w:val="auto"/>
              </w:rPr>
            </w:pPr>
            <w:r>
              <w:rPr>
                <w:rFonts w:ascii="Arial" w:cs="Arial" w:eastAsia="Arial" w:hAnsi="Arial"/>
                <w:sz w:val="17"/>
                <w:szCs w:val="17"/>
                <w:color w:val="333331"/>
              </w:rPr>
              <w:t>BOOZ ALLEN HAMILTON INC</w:t>
            </w:r>
          </w:p>
        </w:tc>
        <w:tc>
          <w:tcPr>
            <w:tcW w:w="2440" w:type="dxa"/>
            <w:vAlign w:val="bottom"/>
          </w:tcPr>
          <w:p>
            <w:pPr>
              <w:spacing w:after="0"/>
              <w:rPr>
                <w:sz w:val="24"/>
                <w:szCs w:val="24"/>
                <w:color w:val="auto"/>
              </w:rPr>
            </w:pPr>
          </w:p>
        </w:tc>
      </w:tr>
      <w:tr>
        <w:trPr>
          <w:trHeight w:val="486"/>
        </w:trPr>
        <w:tc>
          <w:tcPr>
            <w:tcW w:w="188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Arial" w:cs="Arial" w:eastAsia="Arial" w:hAnsi="Arial"/>
                <w:sz w:val="17"/>
                <w:szCs w:val="17"/>
                <w:color w:val="333331"/>
              </w:rPr>
              <w:t>Group Personal Excess Program</w:t>
            </w:r>
          </w:p>
        </w:tc>
        <w:tc>
          <w:tcPr>
            <w:tcW w:w="2440" w:type="dxa"/>
            <w:vAlign w:val="bottom"/>
          </w:tcPr>
          <w:p>
            <w:pPr>
              <w:spacing w:after="0"/>
              <w:rPr>
                <w:sz w:val="24"/>
                <w:szCs w:val="24"/>
                <w:color w:val="auto"/>
              </w:rPr>
            </w:pPr>
          </w:p>
        </w:tc>
      </w:tr>
      <w:tr>
        <w:trPr>
          <w:trHeight w:val="823"/>
        </w:trPr>
        <w:tc>
          <w:tcPr>
            <w:tcW w:w="1880" w:type="dxa"/>
            <w:vAlign w:val="bottom"/>
          </w:tcPr>
          <w:p>
            <w:pPr>
              <w:spacing w:after="0"/>
              <w:rPr>
                <w:sz w:val="20"/>
                <w:szCs w:val="20"/>
                <w:color w:val="auto"/>
              </w:rPr>
            </w:pPr>
            <w:r>
              <w:rPr>
                <w:rFonts w:ascii="Arial" w:cs="Arial" w:eastAsia="Arial" w:hAnsi="Arial"/>
                <w:sz w:val="17"/>
                <w:szCs w:val="17"/>
                <w:color w:val="333331"/>
              </w:rPr>
              <w:t>Name of Company</w:t>
            </w:r>
          </w:p>
        </w:tc>
        <w:tc>
          <w:tcPr>
            <w:tcW w:w="3660" w:type="dxa"/>
            <w:vAlign w:val="bottom"/>
          </w:tcPr>
          <w:p>
            <w:pPr>
              <w:ind w:left="480"/>
              <w:spacing w:after="0"/>
              <w:rPr>
                <w:sz w:val="20"/>
                <w:szCs w:val="20"/>
                <w:color w:val="auto"/>
              </w:rPr>
            </w:pPr>
            <w:r>
              <w:rPr>
                <w:rFonts w:ascii="Arial" w:cs="Arial" w:eastAsia="Arial" w:hAnsi="Arial"/>
                <w:sz w:val="17"/>
                <w:szCs w:val="17"/>
                <w:color w:val="1C1C1A"/>
              </w:rPr>
              <w:t xml:space="preserve">FEDERAL </w:t>
            </w:r>
            <w:r>
              <w:rPr>
                <w:rFonts w:ascii="Arial" w:cs="Arial" w:eastAsia="Arial" w:hAnsi="Arial"/>
                <w:sz w:val="17"/>
                <w:szCs w:val="17"/>
                <w:color w:val="333331"/>
              </w:rPr>
              <w:t>INSURANCE COMPANY</w:t>
            </w:r>
          </w:p>
        </w:tc>
        <w:tc>
          <w:tcPr>
            <w:tcW w:w="2440" w:type="dxa"/>
            <w:vAlign w:val="bottom"/>
          </w:tcPr>
          <w:p>
            <w:pPr>
              <w:spacing w:after="0"/>
              <w:rPr>
                <w:sz w:val="24"/>
                <w:szCs w:val="24"/>
                <w:color w:val="auto"/>
              </w:rPr>
            </w:pPr>
          </w:p>
        </w:tc>
      </w:tr>
      <w:tr>
        <w:trPr>
          <w:trHeight w:val="283"/>
        </w:trPr>
        <w:tc>
          <w:tcPr>
            <w:tcW w:w="1880" w:type="dxa"/>
            <w:vAlign w:val="bottom"/>
          </w:tcPr>
          <w:p>
            <w:pPr>
              <w:spacing w:after="0"/>
              <w:rPr>
                <w:sz w:val="20"/>
                <w:szCs w:val="20"/>
                <w:color w:val="auto"/>
              </w:rPr>
            </w:pPr>
            <w:r>
              <w:rPr>
                <w:rFonts w:ascii="Arial" w:cs="Arial" w:eastAsia="Arial" w:hAnsi="Arial"/>
                <w:sz w:val="17"/>
                <w:szCs w:val="17"/>
                <w:color w:val="333331"/>
              </w:rPr>
              <w:t>Date Issued</w:t>
            </w:r>
          </w:p>
        </w:tc>
        <w:tc>
          <w:tcPr>
            <w:tcW w:w="3660" w:type="dxa"/>
            <w:vAlign w:val="bottom"/>
          </w:tcPr>
          <w:p>
            <w:pPr>
              <w:ind w:left="480"/>
              <w:spacing w:after="0"/>
              <w:rPr>
                <w:sz w:val="20"/>
                <w:szCs w:val="20"/>
                <w:color w:val="auto"/>
              </w:rPr>
            </w:pPr>
            <w:r>
              <w:rPr>
                <w:rFonts w:ascii="Arial" w:cs="Arial" w:eastAsia="Arial" w:hAnsi="Arial"/>
                <w:sz w:val="17"/>
                <w:szCs w:val="17"/>
                <w:color w:val="333331"/>
              </w:rPr>
              <w:t>January 24, 2020</w:t>
            </w:r>
          </w:p>
        </w:tc>
        <w:tc>
          <w:tcPr>
            <w:tcW w:w="2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1219835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300"/>
        <w:spacing w:after="0"/>
        <w:rPr>
          <w:sz w:val="20"/>
          <w:szCs w:val="20"/>
          <w:color w:val="auto"/>
        </w:rPr>
      </w:pPr>
      <w:r>
        <w:rPr>
          <w:rFonts w:ascii="Arial" w:cs="Arial" w:eastAsia="Arial" w:hAnsi="Arial"/>
          <w:sz w:val="20"/>
          <w:szCs w:val="20"/>
          <w:color w:val="333331"/>
        </w:rPr>
        <w:t>ANNUAL PREMIUM ADJUSTMENT CLAUSE</w:t>
      </w:r>
    </w:p>
    <w:p>
      <w:pPr>
        <w:spacing w:after="0" w:line="205" w:lineRule="exact"/>
        <w:rPr>
          <w:sz w:val="20"/>
          <w:szCs w:val="20"/>
          <w:color w:val="auto"/>
        </w:rPr>
      </w:pPr>
    </w:p>
    <w:p>
      <w:pPr>
        <w:ind w:left="1300" w:right="520"/>
        <w:spacing w:after="0" w:line="293" w:lineRule="auto"/>
        <w:rPr>
          <w:sz w:val="20"/>
          <w:szCs w:val="20"/>
          <w:color w:val="auto"/>
        </w:rPr>
      </w:pPr>
      <w:r>
        <w:rPr>
          <w:rFonts w:ascii="Arial" w:cs="Arial" w:eastAsia="Arial" w:hAnsi="Arial"/>
          <w:sz w:val="18"/>
          <w:szCs w:val="18"/>
          <w:color w:val="333331"/>
        </w:rPr>
        <w:t>This policy is written with a deposit premium to be adjusted on either each policy anniversary or at policy expiration. The premium will be adjusted on the basis of the difference between:</w:t>
      </w:r>
    </w:p>
    <w:p>
      <w:pPr>
        <w:spacing w:after="0" w:line="129" w:lineRule="exact"/>
        <w:rPr>
          <w:sz w:val="20"/>
          <w:szCs w:val="20"/>
          <w:color w:val="auto"/>
        </w:rPr>
      </w:pPr>
    </w:p>
    <w:p>
      <w:pPr>
        <w:ind w:left="1420" w:hanging="128"/>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total number of participants at inceptions; and</w:t>
      </w:r>
    </w:p>
    <w:p>
      <w:pPr>
        <w:spacing w:after="0" w:line="198" w:lineRule="exact"/>
        <w:rPr>
          <w:rFonts w:ascii="Arial" w:cs="Arial" w:eastAsia="Arial" w:hAnsi="Arial"/>
          <w:sz w:val="18"/>
          <w:szCs w:val="18"/>
          <w:color w:val="auto"/>
        </w:rPr>
      </w:pPr>
    </w:p>
    <w:p>
      <w:pPr>
        <w:ind w:left="1420" w:hanging="128"/>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actual number of participants at each policy anniversary.</w:t>
      </w:r>
    </w:p>
    <w:p>
      <w:pPr>
        <w:spacing w:after="0" w:line="198" w:lineRule="exact"/>
        <w:rPr>
          <w:sz w:val="20"/>
          <w:szCs w:val="20"/>
          <w:color w:val="auto"/>
        </w:rPr>
      </w:pPr>
    </w:p>
    <w:p>
      <w:pPr>
        <w:ind w:left="1300" w:right="300"/>
        <w:spacing w:after="0" w:line="293" w:lineRule="auto"/>
        <w:rPr>
          <w:sz w:val="20"/>
          <w:szCs w:val="20"/>
          <w:color w:val="auto"/>
        </w:rPr>
      </w:pPr>
      <w:r>
        <w:rPr>
          <w:rFonts w:ascii="Arial" w:cs="Arial" w:eastAsia="Arial" w:hAnsi="Arial"/>
          <w:sz w:val="18"/>
          <w:szCs w:val="18"/>
          <w:color w:val="auto"/>
        </w:rPr>
        <w:t>This difference will be multiplied by fifty percent (50%) of the annual rate per participant, resulting in either an additional or return premium.</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17"/>
          <w:szCs w:val="17"/>
          <w:color w:val="333331"/>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265430</wp:posOffset>
            </wp:positionV>
            <wp:extent cx="140589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3">
                      <a:extLst>
                        <a:ext uri="{28A0092B-C50C-407E-A947-70E740481C1C}"/>
                      </a:extLst>
                    </a:blip>
                    <a:srcRect/>
                    <a:stretch>
                      <a:fillRect/>
                    </a:stretch>
                  </pic:blipFill>
                  <pic:spPr bwMode="auto">
                    <a:xfrm>
                      <a:off x="0" y="0"/>
                      <a:ext cx="14058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333331"/>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200025</wp:posOffset>
            </wp:positionV>
            <wp:extent cx="71234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580"/>
          </w:cols>
          <w:pgMar w:left="980" w:top="689" w:right="339" w:bottom="1440" w:gutter="0" w:footer="0" w:header="0"/>
        </w:sectPr>
      </w:pPr>
    </w:p>
    <w:bookmarkStart w:id="146" w:name="page147"/>
    <w:bookmarkEnd w:id="146"/>
    <w:p>
      <w:pPr>
        <w:ind w:left="298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-162560</wp:posOffset>
            </wp:positionV>
            <wp:extent cx="11055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5">
                      <a:extLst>
                        <a:ext uri="{28A0092B-C50C-407E-A947-70E740481C1C}"/>
                      </a:extLst>
                    </a:blip>
                    <a:srcRect/>
                    <a:stretch>
                      <a:fillRect/>
                    </a:stretch>
                  </pic:blipFill>
                  <pic:spPr bwMode="auto">
                    <a:xfrm>
                      <a:off x="0" y="0"/>
                      <a:ext cx="1105535" cy="1454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00"/>
        <w:spacing w:after="0"/>
        <w:rPr>
          <w:sz w:val="20"/>
          <w:szCs w:val="20"/>
          <w:color w:val="auto"/>
        </w:rPr>
      </w:pPr>
      <w:r>
        <w:rPr>
          <w:rFonts w:ascii="Arial" w:cs="Arial" w:eastAsia="Arial" w:hAnsi="Arial"/>
          <w:sz w:val="23"/>
          <w:szCs w:val="23"/>
          <w:b w:val="1"/>
          <w:bCs w:val="1"/>
          <w:color w:val="31312F"/>
        </w:rPr>
        <w:t>ENDORSEMENT</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1880" w:type="dxa"/>
            <w:vAlign w:val="bottom"/>
          </w:tcPr>
          <w:p>
            <w:pPr>
              <w:spacing w:after="0"/>
              <w:rPr>
                <w:sz w:val="20"/>
                <w:szCs w:val="20"/>
                <w:color w:val="auto"/>
              </w:rPr>
            </w:pPr>
            <w:r>
              <w:rPr>
                <w:rFonts w:ascii="Arial" w:cs="Arial" w:eastAsia="Arial" w:hAnsi="Arial"/>
                <w:sz w:val="17"/>
                <w:szCs w:val="17"/>
                <w:color w:val="333331"/>
              </w:rPr>
              <w:t>Policy Period</w:t>
            </w:r>
          </w:p>
        </w:tc>
        <w:tc>
          <w:tcPr>
            <w:tcW w:w="3640" w:type="dxa"/>
            <w:vAlign w:val="bottom"/>
          </w:tcPr>
          <w:p>
            <w:pPr>
              <w:ind w:left="460"/>
              <w:spacing w:after="0"/>
              <w:rPr>
                <w:sz w:val="20"/>
                <w:szCs w:val="20"/>
                <w:color w:val="auto"/>
              </w:rPr>
            </w:pPr>
            <w:r>
              <w:rPr>
                <w:rFonts w:ascii="Arial" w:cs="Arial" w:eastAsia="Arial" w:hAnsi="Arial"/>
                <w:sz w:val="17"/>
                <w:szCs w:val="17"/>
                <w:color w:val="333331"/>
              </w:rPr>
              <w:t>JANUARY 01, 2020</w:t>
            </w:r>
          </w:p>
        </w:tc>
        <w:tc>
          <w:tcPr>
            <w:tcW w:w="2420" w:type="dxa"/>
            <w:vAlign w:val="bottom"/>
          </w:tcPr>
          <w:p>
            <w:pPr>
              <w:ind w:left="44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333331"/>
              </w:rPr>
              <w:t>JANUARY 01, 2021</w:t>
            </w:r>
          </w:p>
        </w:tc>
      </w:tr>
      <w:tr>
        <w:trPr>
          <w:trHeight w:val="496"/>
        </w:trPr>
        <w:tc>
          <w:tcPr>
            <w:tcW w:w="1880" w:type="dxa"/>
            <w:vAlign w:val="bottom"/>
          </w:tcPr>
          <w:p>
            <w:pPr>
              <w:spacing w:after="0"/>
              <w:rPr>
                <w:sz w:val="20"/>
                <w:szCs w:val="20"/>
                <w:color w:val="auto"/>
              </w:rPr>
            </w:pPr>
            <w:r>
              <w:rPr>
                <w:rFonts w:ascii="Arial" w:cs="Arial" w:eastAsia="Arial" w:hAnsi="Arial"/>
                <w:sz w:val="17"/>
                <w:szCs w:val="17"/>
                <w:color w:val="1C1C1A"/>
              </w:rPr>
              <w:t xml:space="preserve">Effective </w:t>
            </w:r>
            <w:r>
              <w:rPr>
                <w:rFonts w:ascii="Arial" w:cs="Arial" w:eastAsia="Arial" w:hAnsi="Arial"/>
                <w:sz w:val="17"/>
                <w:szCs w:val="17"/>
                <w:color w:val="333331"/>
              </w:rPr>
              <w:t>Date</w:t>
            </w:r>
          </w:p>
        </w:tc>
        <w:tc>
          <w:tcPr>
            <w:tcW w:w="3640" w:type="dxa"/>
            <w:vAlign w:val="bottom"/>
          </w:tcPr>
          <w:p>
            <w:pPr>
              <w:ind w:left="460"/>
              <w:spacing w:after="0"/>
              <w:rPr>
                <w:sz w:val="20"/>
                <w:szCs w:val="20"/>
                <w:color w:val="auto"/>
              </w:rPr>
            </w:pPr>
            <w:r>
              <w:rPr>
                <w:rFonts w:ascii="Arial" w:cs="Arial" w:eastAsia="Arial" w:hAnsi="Arial"/>
                <w:sz w:val="17"/>
                <w:szCs w:val="17"/>
                <w:color w:val="333331"/>
              </w:rPr>
              <w:t>JANUARY 01, 2020</w:t>
            </w:r>
          </w:p>
        </w:tc>
        <w:tc>
          <w:tcPr>
            <w:tcW w:w="2420" w:type="dxa"/>
            <w:vAlign w:val="bottom"/>
          </w:tcPr>
          <w:p>
            <w:pPr>
              <w:spacing w:after="0"/>
              <w:rPr>
                <w:sz w:val="24"/>
                <w:szCs w:val="24"/>
                <w:color w:val="auto"/>
              </w:rPr>
            </w:pPr>
          </w:p>
        </w:tc>
      </w:tr>
      <w:tr>
        <w:trPr>
          <w:trHeight w:val="473"/>
        </w:trPr>
        <w:tc>
          <w:tcPr>
            <w:tcW w:w="1880" w:type="dxa"/>
            <w:vAlign w:val="bottom"/>
          </w:tcPr>
          <w:p>
            <w:pPr>
              <w:spacing w:after="0"/>
              <w:rPr>
                <w:sz w:val="20"/>
                <w:szCs w:val="20"/>
                <w:color w:val="auto"/>
              </w:rPr>
            </w:pPr>
            <w:r>
              <w:rPr>
                <w:rFonts w:ascii="Arial" w:cs="Arial" w:eastAsia="Arial" w:hAnsi="Arial"/>
                <w:sz w:val="17"/>
                <w:szCs w:val="17"/>
                <w:color w:val="333331"/>
              </w:rPr>
              <w:t>Policy Number</w:t>
            </w:r>
          </w:p>
        </w:tc>
        <w:tc>
          <w:tcPr>
            <w:tcW w:w="36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1880" w:type="dxa"/>
            <w:vAlign w:val="bottom"/>
          </w:tcPr>
          <w:p>
            <w:pPr>
              <w:spacing w:after="0"/>
              <w:rPr>
                <w:sz w:val="20"/>
                <w:szCs w:val="20"/>
                <w:color w:val="auto"/>
              </w:rPr>
            </w:pPr>
            <w:r>
              <w:rPr>
                <w:rFonts w:ascii="Arial" w:cs="Arial" w:eastAsia="Arial" w:hAnsi="Arial"/>
                <w:sz w:val="17"/>
                <w:szCs w:val="17"/>
                <w:color w:val="333331"/>
              </w:rPr>
              <w:t>Insured</w:t>
            </w:r>
          </w:p>
        </w:tc>
        <w:tc>
          <w:tcPr>
            <w:tcW w:w="3640" w:type="dxa"/>
            <w:vAlign w:val="bottom"/>
          </w:tcPr>
          <w:p>
            <w:pPr>
              <w:ind w:left="460"/>
              <w:spacing w:after="0"/>
              <w:rPr>
                <w:sz w:val="20"/>
                <w:szCs w:val="20"/>
                <w:color w:val="auto"/>
              </w:rPr>
            </w:pPr>
            <w:r>
              <w:rPr>
                <w:rFonts w:ascii="Arial" w:cs="Arial" w:eastAsia="Arial" w:hAnsi="Arial"/>
                <w:sz w:val="17"/>
                <w:szCs w:val="17"/>
                <w:color w:val="333331"/>
              </w:rPr>
              <w:t>BOOZ ALLEN HAMILTON INC</w:t>
            </w:r>
          </w:p>
        </w:tc>
        <w:tc>
          <w:tcPr>
            <w:tcW w:w="2420" w:type="dxa"/>
            <w:vAlign w:val="bottom"/>
          </w:tcPr>
          <w:p>
            <w:pPr>
              <w:spacing w:after="0"/>
              <w:rPr>
                <w:sz w:val="24"/>
                <w:szCs w:val="24"/>
                <w:color w:val="auto"/>
              </w:rPr>
            </w:pPr>
          </w:p>
        </w:tc>
      </w:tr>
      <w:tr>
        <w:trPr>
          <w:trHeight w:val="486"/>
        </w:trPr>
        <w:tc>
          <w:tcPr>
            <w:tcW w:w="1880" w:type="dxa"/>
            <w:vAlign w:val="bottom"/>
          </w:tcPr>
          <w:p>
            <w:pPr>
              <w:spacing w:after="0"/>
              <w:rPr>
                <w:sz w:val="24"/>
                <w:szCs w:val="24"/>
                <w:color w:val="auto"/>
              </w:rPr>
            </w:pPr>
          </w:p>
        </w:tc>
        <w:tc>
          <w:tcPr>
            <w:tcW w:w="3640" w:type="dxa"/>
            <w:vAlign w:val="bottom"/>
          </w:tcPr>
          <w:p>
            <w:pPr>
              <w:ind w:left="460"/>
              <w:spacing w:after="0"/>
              <w:rPr>
                <w:sz w:val="20"/>
                <w:szCs w:val="20"/>
                <w:color w:val="auto"/>
              </w:rPr>
            </w:pPr>
            <w:r>
              <w:rPr>
                <w:rFonts w:ascii="Arial" w:cs="Arial" w:eastAsia="Arial" w:hAnsi="Arial"/>
                <w:sz w:val="17"/>
                <w:szCs w:val="17"/>
                <w:color w:val="333331"/>
              </w:rPr>
              <w:t>Group Personal Excess Program</w:t>
            </w:r>
          </w:p>
        </w:tc>
        <w:tc>
          <w:tcPr>
            <w:tcW w:w="2420" w:type="dxa"/>
            <w:vAlign w:val="bottom"/>
          </w:tcPr>
          <w:p>
            <w:pPr>
              <w:spacing w:after="0"/>
              <w:rPr>
                <w:sz w:val="24"/>
                <w:szCs w:val="24"/>
                <w:color w:val="auto"/>
              </w:rPr>
            </w:pPr>
          </w:p>
        </w:tc>
      </w:tr>
      <w:tr>
        <w:trPr>
          <w:trHeight w:val="823"/>
        </w:trPr>
        <w:tc>
          <w:tcPr>
            <w:tcW w:w="1880" w:type="dxa"/>
            <w:vAlign w:val="bottom"/>
          </w:tcPr>
          <w:p>
            <w:pPr>
              <w:spacing w:after="0"/>
              <w:rPr>
                <w:sz w:val="20"/>
                <w:szCs w:val="20"/>
                <w:color w:val="auto"/>
              </w:rPr>
            </w:pPr>
            <w:r>
              <w:rPr>
                <w:rFonts w:ascii="Arial" w:cs="Arial" w:eastAsia="Arial" w:hAnsi="Arial"/>
                <w:sz w:val="17"/>
                <w:szCs w:val="17"/>
                <w:color w:val="333331"/>
              </w:rPr>
              <w:t>Name of Company</w:t>
            </w:r>
          </w:p>
        </w:tc>
        <w:tc>
          <w:tcPr>
            <w:tcW w:w="3640" w:type="dxa"/>
            <w:vAlign w:val="bottom"/>
          </w:tcPr>
          <w:p>
            <w:pPr>
              <w:ind w:left="460"/>
              <w:spacing w:after="0"/>
              <w:rPr>
                <w:sz w:val="20"/>
                <w:szCs w:val="20"/>
                <w:color w:val="auto"/>
              </w:rPr>
            </w:pPr>
            <w:r>
              <w:rPr>
                <w:rFonts w:ascii="Arial" w:cs="Arial" w:eastAsia="Arial" w:hAnsi="Arial"/>
                <w:sz w:val="17"/>
                <w:szCs w:val="17"/>
                <w:color w:val="1C1C1A"/>
              </w:rPr>
              <w:t xml:space="preserve">FEDERAL </w:t>
            </w:r>
            <w:r>
              <w:rPr>
                <w:rFonts w:ascii="Arial" w:cs="Arial" w:eastAsia="Arial" w:hAnsi="Arial"/>
                <w:sz w:val="17"/>
                <w:szCs w:val="17"/>
                <w:color w:val="333331"/>
              </w:rPr>
              <w:t>INSURANCE COMPANY</w:t>
            </w:r>
          </w:p>
        </w:tc>
        <w:tc>
          <w:tcPr>
            <w:tcW w:w="2420" w:type="dxa"/>
            <w:vAlign w:val="bottom"/>
          </w:tcPr>
          <w:p>
            <w:pPr>
              <w:spacing w:after="0"/>
              <w:rPr>
                <w:sz w:val="24"/>
                <w:szCs w:val="24"/>
                <w:color w:val="auto"/>
              </w:rPr>
            </w:pPr>
          </w:p>
        </w:tc>
      </w:tr>
      <w:tr>
        <w:trPr>
          <w:trHeight w:val="283"/>
        </w:trPr>
        <w:tc>
          <w:tcPr>
            <w:tcW w:w="1880" w:type="dxa"/>
            <w:vAlign w:val="bottom"/>
          </w:tcPr>
          <w:p>
            <w:pPr>
              <w:spacing w:after="0"/>
              <w:rPr>
                <w:sz w:val="20"/>
                <w:szCs w:val="20"/>
                <w:color w:val="auto"/>
              </w:rPr>
            </w:pPr>
            <w:r>
              <w:rPr>
                <w:rFonts w:ascii="Arial" w:cs="Arial" w:eastAsia="Arial" w:hAnsi="Arial"/>
                <w:sz w:val="17"/>
                <w:szCs w:val="17"/>
                <w:color w:val="333331"/>
              </w:rPr>
              <w:t>Date Issued</w:t>
            </w:r>
          </w:p>
        </w:tc>
        <w:tc>
          <w:tcPr>
            <w:tcW w:w="3640" w:type="dxa"/>
            <w:vAlign w:val="bottom"/>
          </w:tcPr>
          <w:p>
            <w:pPr>
              <w:ind w:left="460"/>
              <w:spacing w:after="0"/>
              <w:rPr>
                <w:sz w:val="20"/>
                <w:szCs w:val="20"/>
                <w:color w:val="auto"/>
              </w:rPr>
            </w:pPr>
            <w:r>
              <w:rPr>
                <w:rFonts w:ascii="Arial" w:cs="Arial" w:eastAsia="Arial" w:hAnsi="Arial"/>
                <w:sz w:val="17"/>
                <w:szCs w:val="17"/>
                <w:color w:val="333331"/>
              </w:rPr>
              <w:t>January 24, 2020</w:t>
            </w: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456565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spacing w:after="0"/>
        <w:rPr>
          <w:sz w:val="20"/>
          <w:szCs w:val="20"/>
          <w:color w:val="auto"/>
        </w:rPr>
      </w:pPr>
      <w:r>
        <w:rPr>
          <w:rFonts w:ascii="Arial" w:cs="Arial" w:eastAsia="Arial" w:hAnsi="Arial"/>
          <w:sz w:val="20"/>
          <w:szCs w:val="20"/>
          <w:color w:val="31312F"/>
        </w:rPr>
        <w:t>UNDERLYING LIMITS ENDORSEMENT</w:t>
      </w:r>
    </w:p>
    <w:p>
      <w:pPr>
        <w:spacing w:after="0" w:line="108" w:lineRule="exact"/>
        <w:rPr>
          <w:sz w:val="20"/>
          <w:szCs w:val="20"/>
          <w:color w:val="auto"/>
        </w:rPr>
      </w:pPr>
    </w:p>
    <w:p>
      <w:pPr>
        <w:ind w:left="1120" w:right="720"/>
        <w:spacing w:after="0" w:line="260" w:lineRule="auto"/>
        <w:rPr>
          <w:sz w:val="20"/>
          <w:szCs w:val="20"/>
          <w:color w:val="auto"/>
        </w:rPr>
      </w:pPr>
      <w:r>
        <w:rPr>
          <w:rFonts w:ascii="Arial" w:cs="Arial" w:eastAsia="Arial" w:hAnsi="Arial"/>
          <w:sz w:val="20"/>
          <w:szCs w:val="20"/>
          <w:color w:val="41413F"/>
        </w:rPr>
        <w:t xml:space="preserve">IT </w:t>
      </w:r>
      <w:r>
        <w:rPr>
          <w:rFonts w:ascii="Arial" w:cs="Arial" w:eastAsia="Arial" w:hAnsi="Arial"/>
          <w:sz w:val="20"/>
          <w:szCs w:val="20"/>
          <w:color w:val="31312F"/>
        </w:rPr>
        <w:t>IS HEREBY UNDERSTOOD AND AGREED THAT THE REQUIRED PRIMARY UNDERLYING</w:t>
      </w:r>
      <w:r>
        <w:rPr>
          <w:rFonts w:ascii="Arial" w:cs="Arial" w:eastAsia="Arial" w:hAnsi="Arial"/>
          <w:sz w:val="20"/>
          <w:szCs w:val="20"/>
          <w:color w:val="41413F"/>
        </w:rPr>
        <w:t xml:space="preserve"> </w:t>
      </w:r>
      <w:r>
        <w:rPr>
          <w:rFonts w:ascii="Arial" w:cs="Arial" w:eastAsia="Arial" w:hAnsi="Arial"/>
          <w:sz w:val="20"/>
          <w:szCs w:val="20"/>
          <w:color w:val="31312F"/>
        </w:rPr>
        <w:t>LIABILITY INSURANCE LIMITS ARE AMENDED TO:</w:t>
      </w:r>
    </w:p>
    <w:p>
      <w:pPr>
        <w:spacing w:after="0" w:line="63" w:lineRule="exact"/>
        <w:rPr>
          <w:sz w:val="20"/>
          <w:szCs w:val="20"/>
          <w:color w:val="auto"/>
        </w:rPr>
      </w:pPr>
    </w:p>
    <w:p>
      <w:pPr>
        <w:ind w:left="1120" w:right="160" w:hanging="26"/>
        <w:spacing w:after="0" w:line="261" w:lineRule="auto"/>
        <w:rPr>
          <w:sz w:val="20"/>
          <w:szCs w:val="20"/>
          <w:color w:val="auto"/>
        </w:rPr>
      </w:pPr>
      <w:r>
        <w:rPr>
          <w:rFonts w:ascii="Arial" w:cs="Arial" w:eastAsia="Arial" w:hAnsi="Arial"/>
          <w:sz w:val="19"/>
          <w:szCs w:val="19"/>
          <w:color w:val="31312F"/>
        </w:rPr>
        <w:t xml:space="preserve">Personal Liability (Homeowners) for personal injury and property damage in </w:t>
      </w:r>
      <w:r>
        <w:rPr>
          <w:rFonts w:ascii="Arial" w:cs="Arial" w:eastAsia="Arial" w:hAnsi="Arial"/>
          <w:sz w:val="19"/>
          <w:szCs w:val="19"/>
          <w:color w:val="41413F"/>
        </w:rPr>
        <w:t>the</w:t>
      </w:r>
      <w:r>
        <w:rPr>
          <w:rFonts w:ascii="Arial" w:cs="Arial" w:eastAsia="Arial" w:hAnsi="Arial"/>
          <w:sz w:val="19"/>
          <w:szCs w:val="19"/>
          <w:color w:val="31312F"/>
        </w:rPr>
        <w:t xml:space="preserve"> minimum amount of $300,000 each occurrence.</w:t>
      </w:r>
    </w:p>
    <w:p>
      <w:pPr>
        <w:spacing w:after="0" w:line="65" w:lineRule="exact"/>
        <w:rPr>
          <w:sz w:val="20"/>
          <w:szCs w:val="20"/>
          <w:color w:val="auto"/>
        </w:rPr>
      </w:pPr>
    </w:p>
    <w:p>
      <w:pPr>
        <w:ind w:left="112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w:t>
      </w:r>
      <w:r>
        <w:rPr>
          <w:rFonts w:ascii="Arial" w:cs="Arial" w:eastAsia="Arial" w:hAnsi="Arial"/>
          <w:sz w:val="19"/>
          <w:szCs w:val="19"/>
          <w:color w:val="31312F"/>
        </w:rPr>
        <w:t xml:space="preserve"> in the minimum amount of:</w:t>
      </w:r>
    </w:p>
    <w:p>
      <w:pPr>
        <w:spacing w:after="0" w:line="106" w:lineRule="exact"/>
        <w:rPr>
          <w:sz w:val="20"/>
          <w:szCs w:val="20"/>
          <w:color w:val="auto"/>
        </w:rPr>
      </w:pPr>
    </w:p>
    <w:p>
      <w:pPr>
        <w:ind w:left="1340" w:right="3640"/>
        <w:spacing w:after="0" w:line="278" w:lineRule="auto"/>
        <w:rPr>
          <w:sz w:val="20"/>
          <w:szCs w:val="20"/>
          <w:color w:val="auto"/>
        </w:rPr>
      </w:pPr>
      <w:r>
        <w:rPr>
          <w:rFonts w:ascii="Arial" w:cs="Arial" w:eastAsia="Arial" w:hAnsi="Arial"/>
          <w:sz w:val="19"/>
          <w:szCs w:val="19"/>
          <w:color w:val="31312F"/>
        </w:rPr>
        <w:t xml:space="preserve">$250,000/$500,000 bodily injury </w:t>
      </w:r>
      <w:r>
        <w:rPr>
          <w:rFonts w:ascii="Arial" w:cs="Arial" w:eastAsia="Arial" w:hAnsi="Arial"/>
          <w:sz w:val="19"/>
          <w:szCs w:val="19"/>
          <w:color w:val="41413F"/>
        </w:rPr>
        <w:t>and</w:t>
      </w:r>
      <w:r>
        <w:rPr>
          <w:rFonts w:ascii="Arial" w:cs="Arial" w:eastAsia="Arial" w:hAnsi="Arial"/>
          <w:sz w:val="19"/>
          <w:szCs w:val="19"/>
          <w:color w:val="31312F"/>
        </w:rPr>
        <w:t xml:space="preserve"> $100,000 property damage; $300,000/$300,000 bodily injury and $100,000 property damage; or $300,000 single limit each occurrence.</w:t>
      </w:r>
    </w:p>
    <w:p>
      <w:pPr>
        <w:spacing w:after="0" w:line="51" w:lineRule="exact"/>
        <w:rPr>
          <w:sz w:val="20"/>
          <w:szCs w:val="20"/>
          <w:color w:val="auto"/>
        </w:rPr>
      </w:pPr>
    </w:p>
    <w:p>
      <w:pPr>
        <w:ind w:left="1120"/>
        <w:spacing w:after="0"/>
        <w:rPr>
          <w:sz w:val="20"/>
          <w:szCs w:val="20"/>
          <w:color w:val="auto"/>
        </w:rPr>
      </w:pPr>
      <w:r>
        <w:rPr>
          <w:rFonts w:ascii="Arial" w:cs="Arial" w:eastAsia="Arial" w:hAnsi="Arial"/>
          <w:sz w:val="18"/>
          <w:szCs w:val="18"/>
          <w:color w:val="31312F"/>
        </w:rPr>
        <w:t xml:space="preserve">Unregistered </w:t>
      </w:r>
      <w:r>
        <w:rPr>
          <w:rFonts w:ascii="Arial" w:cs="Arial" w:eastAsia="Arial" w:hAnsi="Arial"/>
          <w:sz w:val="18"/>
          <w:szCs w:val="18"/>
          <w:color w:val="41413F"/>
        </w:rPr>
        <w:t>vehicles</w:t>
      </w:r>
      <w:r>
        <w:rPr>
          <w:rFonts w:ascii="Arial" w:cs="Arial" w:eastAsia="Arial" w:hAnsi="Arial"/>
          <w:sz w:val="18"/>
          <w:szCs w:val="18"/>
          <w:color w:val="31312F"/>
        </w:rPr>
        <w:t xml:space="preserve"> in the minimum amount of $300,000 bodily injury and property damage each </w:t>
      </w:r>
      <w:r>
        <w:rPr>
          <w:rFonts w:ascii="Arial" w:cs="Arial" w:eastAsia="Arial" w:hAnsi="Arial"/>
          <w:sz w:val="18"/>
          <w:szCs w:val="18"/>
          <w:color w:val="41413F"/>
        </w:rPr>
        <w:t>occurrence</w:t>
      </w:r>
      <w:r>
        <w:rPr>
          <w:rFonts w:ascii="Arial" w:cs="Arial" w:eastAsia="Arial" w:hAnsi="Arial"/>
          <w:sz w:val="18"/>
          <w:szCs w:val="18"/>
          <w:color w:val="626260"/>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 with</w:t>
      </w:r>
      <w:r>
        <w:rPr>
          <w:rFonts w:ascii="Arial" w:cs="Arial" w:eastAsia="Arial" w:hAnsi="Arial"/>
          <w:sz w:val="19"/>
          <w:szCs w:val="19"/>
          <w:color w:val="31312F"/>
        </w:rPr>
        <w:t xml:space="preserve"> less than four wheels and motorhomes </w:t>
      </w:r>
      <w:r>
        <w:rPr>
          <w:rFonts w:ascii="Arial" w:cs="Arial" w:eastAsia="Arial" w:hAnsi="Arial"/>
          <w:sz w:val="19"/>
          <w:szCs w:val="19"/>
          <w:color w:val="41413F"/>
        </w:rPr>
        <w:t>in</w:t>
      </w:r>
      <w:r>
        <w:rPr>
          <w:rFonts w:ascii="Arial" w:cs="Arial" w:eastAsia="Arial" w:hAnsi="Arial"/>
          <w:sz w:val="19"/>
          <w:szCs w:val="19"/>
          <w:color w:val="31312F"/>
        </w:rPr>
        <w:t xml:space="preserve"> the minimum amount of:</w:t>
      </w:r>
    </w:p>
    <w:p>
      <w:pPr>
        <w:spacing w:after="0" w:line="106" w:lineRule="exact"/>
        <w:rPr>
          <w:sz w:val="20"/>
          <w:szCs w:val="20"/>
          <w:color w:val="auto"/>
        </w:rPr>
      </w:pPr>
    </w:p>
    <w:p>
      <w:pPr>
        <w:ind w:left="1340" w:right="3640"/>
        <w:spacing w:after="0" w:line="278" w:lineRule="auto"/>
        <w:rPr>
          <w:sz w:val="20"/>
          <w:szCs w:val="20"/>
          <w:color w:val="auto"/>
        </w:rPr>
      </w:pPr>
      <w:r>
        <w:rPr>
          <w:rFonts w:ascii="Arial" w:cs="Arial" w:eastAsia="Arial" w:hAnsi="Arial"/>
          <w:sz w:val="19"/>
          <w:szCs w:val="19"/>
          <w:color w:val="31312F"/>
        </w:rPr>
        <w:t xml:space="preserve">$250,000/$500,000 bodily injury and $100,000 property damage; $300,000/$300,000 bodily injury and $100,000 property damage; </w:t>
      </w:r>
      <w:r>
        <w:rPr>
          <w:rFonts w:ascii="Arial" w:cs="Arial" w:eastAsia="Arial" w:hAnsi="Arial"/>
          <w:sz w:val="19"/>
          <w:szCs w:val="19"/>
          <w:color w:val="41413F"/>
        </w:rPr>
        <w:t>or</w:t>
      </w:r>
      <w:r>
        <w:rPr>
          <w:rFonts w:ascii="Arial" w:cs="Arial" w:eastAsia="Arial" w:hAnsi="Arial"/>
          <w:sz w:val="19"/>
          <w:szCs w:val="19"/>
          <w:color w:val="31312F"/>
        </w:rPr>
        <w:t xml:space="preserve"> $300,000 single </w:t>
      </w:r>
      <w:r>
        <w:rPr>
          <w:rFonts w:ascii="Arial" w:cs="Arial" w:eastAsia="Arial" w:hAnsi="Arial"/>
          <w:sz w:val="19"/>
          <w:szCs w:val="19"/>
          <w:color w:val="41413F"/>
        </w:rPr>
        <w:t>limit</w:t>
      </w:r>
      <w:r>
        <w:rPr>
          <w:rFonts w:ascii="Arial" w:cs="Arial" w:eastAsia="Arial" w:hAnsi="Arial"/>
          <w:sz w:val="19"/>
          <w:szCs w:val="19"/>
          <w:color w:val="31312F"/>
        </w:rPr>
        <w:t xml:space="preserve"> each </w:t>
      </w:r>
      <w:r>
        <w:rPr>
          <w:rFonts w:ascii="Arial" w:cs="Arial" w:eastAsia="Arial" w:hAnsi="Arial"/>
          <w:sz w:val="19"/>
          <w:szCs w:val="19"/>
          <w:color w:val="41413F"/>
        </w:rPr>
        <w:t>occurrence</w:t>
      </w:r>
      <w:r>
        <w:rPr>
          <w:rFonts w:ascii="Arial" w:cs="Arial" w:eastAsia="Arial" w:hAnsi="Arial"/>
          <w:sz w:val="19"/>
          <w:szCs w:val="19"/>
          <w:color w:val="626260"/>
        </w:rPr>
        <w:t>.</w:t>
      </w:r>
    </w:p>
    <w:p>
      <w:pPr>
        <w:spacing w:after="0" w:line="64" w:lineRule="exact"/>
        <w:rPr>
          <w:sz w:val="20"/>
          <w:szCs w:val="20"/>
          <w:color w:val="auto"/>
        </w:rPr>
      </w:pPr>
    </w:p>
    <w:p>
      <w:pPr>
        <w:ind w:left="1160" w:right="500"/>
        <w:spacing w:after="0" w:line="261" w:lineRule="auto"/>
        <w:rPr>
          <w:sz w:val="20"/>
          <w:szCs w:val="20"/>
          <w:color w:val="auto"/>
        </w:rPr>
      </w:pPr>
      <w:r>
        <w:rPr>
          <w:rFonts w:ascii="Arial" w:cs="Arial" w:eastAsia="Arial" w:hAnsi="Arial"/>
          <w:sz w:val="19"/>
          <w:szCs w:val="19"/>
          <w:color w:val="41413F"/>
        </w:rPr>
        <w:t xml:space="preserve">Watercraft </w:t>
      </w:r>
      <w:r>
        <w:rPr>
          <w:rFonts w:ascii="Arial" w:cs="Arial" w:eastAsia="Arial" w:hAnsi="Arial"/>
          <w:sz w:val="19"/>
          <w:szCs w:val="19"/>
          <w:color w:val="31312F"/>
        </w:rPr>
        <w:t>less than 26 feet and 50</w:t>
      </w:r>
      <w:r>
        <w:rPr>
          <w:rFonts w:ascii="Arial" w:cs="Arial" w:eastAsia="Arial" w:hAnsi="Arial"/>
          <w:sz w:val="19"/>
          <w:szCs w:val="19"/>
          <w:color w:val="41413F"/>
        </w:rPr>
        <w:t xml:space="preserve"> engine </w:t>
      </w:r>
      <w:r>
        <w:rPr>
          <w:rFonts w:ascii="Arial" w:cs="Arial" w:eastAsia="Arial" w:hAnsi="Arial"/>
          <w:sz w:val="19"/>
          <w:szCs w:val="19"/>
          <w:color w:val="31312F"/>
        </w:rPr>
        <w:t>rated horsepower</w:t>
      </w:r>
      <w:r>
        <w:rPr>
          <w:rFonts w:ascii="Arial" w:cs="Arial" w:eastAsia="Arial" w:hAnsi="Arial"/>
          <w:sz w:val="19"/>
          <w:szCs w:val="19"/>
          <w:color w:val="41413F"/>
        </w:rPr>
        <w:t xml:space="preserve"> or </w:t>
      </w:r>
      <w:r>
        <w:rPr>
          <w:rFonts w:ascii="Arial" w:cs="Arial" w:eastAsia="Arial" w:hAnsi="Arial"/>
          <w:sz w:val="19"/>
          <w:szCs w:val="19"/>
          <w:color w:val="31312F"/>
        </w:rPr>
        <w:t>less for bodily injury and property damage in the</w:t>
      </w:r>
      <w:r>
        <w:rPr>
          <w:rFonts w:ascii="Arial" w:cs="Arial" w:eastAsia="Arial" w:hAnsi="Arial"/>
          <w:sz w:val="19"/>
          <w:szCs w:val="19"/>
          <w:color w:val="41413F"/>
        </w:rPr>
        <w:t xml:space="preserve"> </w:t>
      </w:r>
      <w:r>
        <w:rPr>
          <w:rFonts w:ascii="Arial" w:cs="Arial" w:eastAsia="Arial" w:hAnsi="Arial"/>
          <w:sz w:val="19"/>
          <w:szCs w:val="19"/>
          <w:color w:val="31312F"/>
        </w:rPr>
        <w:t xml:space="preserve">minimum amount of </w:t>
      </w:r>
      <w:r>
        <w:rPr>
          <w:rFonts w:ascii="Arial" w:cs="Arial" w:eastAsia="Arial" w:hAnsi="Arial"/>
          <w:sz w:val="19"/>
          <w:szCs w:val="19"/>
          <w:color w:val="41413F"/>
        </w:rPr>
        <w:t>$300,000</w:t>
      </w:r>
      <w:r>
        <w:rPr>
          <w:rFonts w:ascii="Arial" w:cs="Arial" w:eastAsia="Arial" w:hAnsi="Arial"/>
          <w:sz w:val="19"/>
          <w:szCs w:val="19"/>
          <w:color w:val="31312F"/>
        </w:rPr>
        <w:t xml:space="preserve"> each occurrence.</w:t>
      </w:r>
    </w:p>
    <w:p>
      <w:pPr>
        <w:spacing w:after="0" w:line="65" w:lineRule="exact"/>
        <w:rPr>
          <w:sz w:val="20"/>
          <w:szCs w:val="20"/>
          <w:color w:val="auto"/>
        </w:rPr>
      </w:pPr>
    </w:p>
    <w:p>
      <w:pPr>
        <w:ind w:left="1160" w:right="300"/>
        <w:spacing w:after="0" w:line="259" w:lineRule="auto"/>
        <w:rPr>
          <w:sz w:val="20"/>
          <w:szCs w:val="20"/>
          <w:color w:val="auto"/>
        </w:rPr>
      </w:pPr>
      <w:r>
        <w:rPr>
          <w:rFonts w:ascii="Arial" w:cs="Arial" w:eastAsia="Arial" w:hAnsi="Arial"/>
          <w:sz w:val="19"/>
          <w:szCs w:val="19"/>
          <w:color w:val="31312F"/>
        </w:rPr>
        <w:t xml:space="preserve">Watercraft 26 feet or longer </w:t>
      </w:r>
      <w:r>
        <w:rPr>
          <w:rFonts w:ascii="Arial" w:cs="Arial" w:eastAsia="Arial" w:hAnsi="Arial"/>
          <w:sz w:val="19"/>
          <w:szCs w:val="19"/>
          <w:color w:val="41413F"/>
        </w:rPr>
        <w:t>or</w:t>
      </w:r>
      <w:r>
        <w:rPr>
          <w:rFonts w:ascii="Arial" w:cs="Arial" w:eastAsia="Arial" w:hAnsi="Arial"/>
          <w:sz w:val="19"/>
          <w:szCs w:val="19"/>
          <w:color w:val="31312F"/>
        </w:rPr>
        <w:t xml:space="preserve"> more than 50 engine rated horsepower for bodily injury and property damage in the minimum amount of</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9"/>
          <w:szCs w:val="19"/>
          <w:color w:val="31312F"/>
        </w:rPr>
        <w:t>$500,000 each occurrence.</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9"/>
          <w:szCs w:val="19"/>
          <w:color w:val="31312F"/>
        </w:rPr>
        <w:t xml:space="preserve">Uninsured motorists </w:t>
      </w:r>
      <w:r>
        <w:rPr>
          <w:rFonts w:ascii="Arial" w:cs="Arial" w:eastAsia="Arial" w:hAnsi="Arial"/>
          <w:sz w:val="19"/>
          <w:szCs w:val="19"/>
          <w:color w:val="41413F"/>
        </w:rPr>
        <w:t>/underinsured</w:t>
      </w:r>
      <w:r>
        <w:rPr>
          <w:rFonts w:ascii="Arial" w:cs="Arial" w:eastAsia="Arial" w:hAnsi="Arial"/>
          <w:sz w:val="19"/>
          <w:szCs w:val="19"/>
          <w:color w:val="31312F"/>
        </w:rPr>
        <w:t xml:space="preserve"> motorist protection in the minimum amount of:</w:t>
      </w:r>
    </w:p>
    <w:p>
      <w:pPr>
        <w:spacing w:after="0" w:line="133" w:lineRule="exact"/>
        <w:rPr>
          <w:sz w:val="20"/>
          <w:szCs w:val="20"/>
          <w:color w:val="auto"/>
        </w:rPr>
      </w:pPr>
    </w:p>
    <w:p>
      <w:pPr>
        <w:ind w:left="1380" w:right="3600"/>
        <w:spacing w:after="0" w:line="353" w:lineRule="auto"/>
        <w:rPr>
          <w:sz w:val="20"/>
          <w:szCs w:val="20"/>
          <w:color w:val="auto"/>
        </w:rPr>
      </w:pPr>
      <w:r>
        <w:rPr>
          <w:rFonts w:ascii="Arial" w:cs="Arial" w:eastAsia="Arial" w:hAnsi="Arial"/>
          <w:sz w:val="17"/>
          <w:szCs w:val="17"/>
          <w:color w:val="31312F"/>
        </w:rPr>
        <w:t xml:space="preserve">$250,000/$500,000 bodily </w:t>
      </w:r>
      <w:r>
        <w:rPr>
          <w:rFonts w:ascii="Arial" w:cs="Arial" w:eastAsia="Arial" w:hAnsi="Arial"/>
          <w:sz w:val="17"/>
          <w:szCs w:val="17"/>
          <w:color w:val="41413F"/>
        </w:rPr>
        <w:t>injury</w:t>
      </w:r>
      <w:r>
        <w:rPr>
          <w:rFonts w:ascii="Arial" w:cs="Arial" w:eastAsia="Arial" w:hAnsi="Arial"/>
          <w:sz w:val="17"/>
          <w:szCs w:val="17"/>
          <w:color w:val="31312F"/>
        </w:rPr>
        <w:t xml:space="preserve"> and $100,000 property damage; $300,000/$300,000 bodily injury and $100,000 property damage; or</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120"/>
          </w:cols>
          <w:pgMar w:left="1440" w:top="514" w:right="339" w:bottom="1440" w:gutter="0" w:footer="0" w:header="0"/>
        </w:sectPr>
      </w:pPr>
    </w:p>
    <w:bookmarkStart w:id="147" w:name="page148"/>
    <w:bookmarkEnd w:id="147"/>
    <w:p>
      <w:pPr>
        <w:ind w:left="2500"/>
        <w:spacing w:after="0"/>
        <w:rPr>
          <w:sz w:val="20"/>
          <w:szCs w:val="20"/>
          <w:color w:val="auto"/>
        </w:rPr>
      </w:pPr>
      <w:r>
        <w:rPr>
          <w:rFonts w:ascii="Arial" w:cs="Arial" w:eastAsia="Arial" w:hAnsi="Arial"/>
          <w:sz w:val="19"/>
          <w:szCs w:val="19"/>
          <w:color w:val="383836"/>
        </w:rPr>
        <w:t>$</w:t>
      </w:r>
      <w:r>
        <w:rPr>
          <w:rFonts w:ascii="Arial" w:cs="Arial" w:eastAsia="Arial" w:hAnsi="Arial"/>
          <w:sz w:val="19"/>
          <w:szCs w:val="19"/>
          <w:color w:val="31312F"/>
        </w:rPr>
        <w:t>300,000</w:t>
      </w:r>
      <w:r>
        <w:rPr>
          <w:rFonts w:ascii="Arial" w:cs="Arial" w:eastAsia="Arial" w:hAnsi="Arial"/>
          <w:sz w:val="19"/>
          <w:szCs w:val="19"/>
          <w:color w:val="383836"/>
        </w:rPr>
        <w:t xml:space="preserve"> </w:t>
      </w:r>
      <w:r>
        <w:rPr>
          <w:rFonts w:ascii="Arial" w:cs="Arial" w:eastAsia="Arial" w:hAnsi="Arial"/>
          <w:sz w:val="17"/>
          <w:szCs w:val="17"/>
          <w:color w:val="383836"/>
        </w:rPr>
        <w:t>single</w:t>
      </w:r>
      <w:r>
        <w:rPr>
          <w:rFonts w:ascii="Arial" w:cs="Arial" w:eastAsia="Arial" w:hAnsi="Arial"/>
          <w:sz w:val="19"/>
          <w:szCs w:val="19"/>
          <w:color w:val="383836"/>
        </w:rPr>
        <w:t xml:space="preserve"> </w:t>
      </w:r>
      <w:r>
        <w:rPr>
          <w:rFonts w:ascii="Arial" w:cs="Arial" w:eastAsia="Arial" w:hAnsi="Arial"/>
          <w:sz w:val="17"/>
          <w:szCs w:val="17"/>
          <w:color w:val="494946"/>
        </w:rPr>
        <w:t>limit each occurrence</w:t>
      </w:r>
      <w:r>
        <w:rPr>
          <w:rFonts w:ascii="Arial" w:cs="Arial" w:eastAsia="Arial" w:hAnsi="Arial"/>
          <w:sz w:val="17"/>
          <w:szCs w:val="17"/>
          <w:color w:val="676664"/>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right="560"/>
        <w:spacing w:after="0" w:line="261" w:lineRule="auto"/>
        <w:rPr>
          <w:sz w:val="20"/>
          <w:szCs w:val="20"/>
          <w:color w:val="auto"/>
        </w:rPr>
      </w:pPr>
      <w:r>
        <w:rPr>
          <w:rFonts w:ascii="Arial" w:cs="Arial" w:eastAsia="Arial" w:hAnsi="Arial"/>
          <w:sz w:val="19"/>
          <w:szCs w:val="19"/>
          <w:color w:val="494946"/>
        </w:rPr>
        <w:t xml:space="preserve">FAILURE TO COMPLY </w:t>
      </w:r>
      <w:r>
        <w:rPr>
          <w:rFonts w:ascii="Arial" w:cs="Arial" w:eastAsia="Arial" w:hAnsi="Arial"/>
          <w:sz w:val="19"/>
          <w:szCs w:val="19"/>
          <w:color w:val="383836"/>
        </w:rPr>
        <w:t>WITH</w:t>
      </w:r>
      <w:r>
        <w:rPr>
          <w:rFonts w:ascii="Arial" w:cs="Arial" w:eastAsia="Arial" w:hAnsi="Arial"/>
          <w:sz w:val="19"/>
          <w:szCs w:val="19"/>
          <w:color w:val="494946"/>
        </w:rPr>
        <w:t xml:space="preserve"> THE </w:t>
      </w:r>
      <w:r>
        <w:rPr>
          <w:rFonts w:ascii="Arial" w:cs="Arial" w:eastAsia="Arial" w:hAnsi="Arial"/>
          <w:sz w:val="19"/>
          <w:szCs w:val="19"/>
          <w:color w:val="383836"/>
        </w:rPr>
        <w:t>REQUIRED</w:t>
      </w:r>
      <w:r>
        <w:rPr>
          <w:rFonts w:ascii="Arial" w:cs="Arial" w:eastAsia="Arial" w:hAnsi="Arial"/>
          <w:sz w:val="19"/>
          <w:szCs w:val="19"/>
          <w:color w:val="494946"/>
        </w:rPr>
        <w:t xml:space="preserve"> PRIMARY </w:t>
      </w:r>
      <w:r>
        <w:rPr>
          <w:rFonts w:ascii="Arial" w:cs="Arial" w:eastAsia="Arial" w:hAnsi="Arial"/>
          <w:sz w:val="19"/>
          <w:szCs w:val="19"/>
          <w:color w:val="383836"/>
        </w:rPr>
        <w:t>UNDERLYING INSURANCE WILL RESULT</w:t>
      </w:r>
      <w:r>
        <w:rPr>
          <w:rFonts w:ascii="Arial" w:cs="Arial" w:eastAsia="Arial" w:hAnsi="Arial"/>
          <w:sz w:val="19"/>
          <w:szCs w:val="19"/>
          <w:color w:val="494946"/>
        </w:rPr>
        <w:t xml:space="preserve"> IN </w:t>
      </w:r>
      <w:r>
        <w:rPr>
          <w:rFonts w:ascii="Arial" w:cs="Arial" w:eastAsia="Arial" w:hAnsi="Arial"/>
          <w:sz w:val="19"/>
          <w:szCs w:val="19"/>
          <w:color w:val="383836"/>
        </w:rPr>
        <w:t>A GAP IN</w:t>
      </w:r>
      <w:r>
        <w:rPr>
          <w:rFonts w:ascii="Arial" w:cs="Arial" w:eastAsia="Arial" w:hAnsi="Arial"/>
          <w:sz w:val="19"/>
          <w:szCs w:val="19"/>
          <w:color w:val="494946"/>
        </w:rPr>
        <w:t xml:space="preserve"> </w:t>
      </w:r>
      <w:r>
        <w:rPr>
          <w:rFonts w:ascii="Arial" w:cs="Arial" w:eastAsia="Arial" w:hAnsi="Arial"/>
          <w:sz w:val="19"/>
          <w:szCs w:val="19"/>
          <w:color w:val="383836"/>
        </w:rPr>
        <w:t>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20"/>
        <w:spacing w:after="0"/>
        <w:rPr>
          <w:sz w:val="20"/>
          <w:szCs w:val="20"/>
          <w:color w:val="auto"/>
        </w:rPr>
      </w:pPr>
      <w:r>
        <w:rPr>
          <w:rFonts w:ascii="Arial" w:cs="Arial" w:eastAsia="Arial" w:hAnsi="Arial"/>
          <w:sz w:val="17"/>
          <w:szCs w:val="17"/>
          <w:color w:val="383836"/>
        </w:rPr>
        <w:t>ALL OTHER TERMS AND CONDITIONS REMAIN UNCHANGED</w:t>
      </w:r>
      <w:r>
        <w:rPr>
          <w:rFonts w:ascii="Arial" w:cs="Arial" w:eastAsia="Arial" w:hAnsi="Arial"/>
          <w:sz w:val="17"/>
          <w:szCs w:val="17"/>
          <w:color w:val="605E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179705</wp:posOffset>
            </wp:positionV>
            <wp:extent cx="1405890"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7">
                      <a:extLst>
                        <a:ext uri="{28A0092B-C50C-407E-A947-70E740481C1C}"/>
                      </a:extLst>
                    </a:blip>
                    <a:srcRect/>
                    <a:stretch>
                      <a:fillRect/>
                    </a:stretch>
                  </pic:blipFill>
                  <pic:spPr bwMode="auto">
                    <a:xfrm>
                      <a:off x="0" y="0"/>
                      <a:ext cx="1405890" cy="28257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484846"/>
        </w:rPr>
        <w:t xml:space="preserve">Authorized </w:t>
      </w:r>
      <w:r>
        <w:rPr>
          <w:rFonts w:ascii="Arial" w:cs="Arial" w:eastAsia="Arial" w:hAnsi="Arial"/>
          <w:sz w:val="16"/>
          <w:szCs w:val="16"/>
          <w:i w:val="1"/>
          <w:iCs w:val="1"/>
          <w:color w:val="383836"/>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6523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8">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20"/>
          </w:cols>
          <w:pgMar w:left="340" w:top="36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t>Exhibit 10.58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EQUITY INCENTIVE PLAN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00" w:lineRule="exact"/>
        <w:rPr>
          <w:sz w:val="20"/>
          <w:szCs w:val="20"/>
          <w:color w:val="auto"/>
        </w:rPr>
      </w:pPr>
    </w:p>
    <w:p>
      <w:pPr>
        <w:spacing w:after="0" w:line="242"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Unless otherwise defined herein, the terms defined in the Third Amended and Restated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of Booz Allen Hamilton Holding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same defined meanings in this Restricted Stock Unit Agreement, which includes the terms in this Grant Notice, including Exhibit A (the “</w:t>
      </w:r>
      <w:r>
        <w:rPr>
          <w:rFonts w:ascii="Arial" w:cs="Arial" w:eastAsia="Arial" w:hAnsi="Arial"/>
          <w:sz w:val="22"/>
          <w:szCs w:val="22"/>
          <w:u w:val="single" w:color="auto"/>
          <w:color w:val="auto"/>
        </w:rPr>
        <w:t>Grant Notice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and any special terms and conditions set out in Appendix B attached hereto for your country of employment and/or residence (collectively,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color w:val="auto"/>
        </w:rPr>
        <w:t xml:space="preserve">You have been granted restricted stock units, subject to the terms and conditions of the Plan and this Agreement in an amount and vesting schedule (as set forth on Exhibit A to this Agreement) as delivered and made available to you by the Company, which shall be deemed part of and incorporated by reference into this Grant Notice. 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9"/>
          <w:szCs w:val="19"/>
          <w:b w:val="1"/>
          <w:bCs w:val="1"/>
          <w:color w:val="auto"/>
        </w:rPr>
        <w:t>ACCORDINGLY, PLEASE BE SURE TO READ ALL OF THE PLAN</w:t>
      </w:r>
    </w:p>
    <w:p>
      <w:pPr>
        <w:spacing w:after="0" w:line="3" w:lineRule="exact"/>
        <w:rPr>
          <w:sz w:val="20"/>
          <w:szCs w:val="20"/>
          <w:color w:val="auto"/>
        </w:rPr>
      </w:pPr>
    </w:p>
    <w:p>
      <w:pPr>
        <w:ind w:right="1380"/>
        <w:spacing w:after="0" w:line="246" w:lineRule="auto"/>
        <w:rPr>
          <w:sz w:val="20"/>
          <w:szCs w:val="20"/>
          <w:color w:val="auto"/>
        </w:rPr>
      </w:pPr>
      <w:r>
        <w:rPr>
          <w:rFonts w:ascii="Arial" w:cs="Arial" w:eastAsia="Arial" w:hAnsi="Arial"/>
          <w:sz w:val="22"/>
          <w:szCs w:val="22"/>
          <w:b w:val="1"/>
          <w:bCs w:val="1"/>
          <w:color w:val="auto"/>
        </w:rPr>
        <w:t>AND APPENDIX A, APPENDIX B AND EXHIBIT A, WHICH CONTAIN THE SPECIFIC TERMS AND CONDITIONS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40"/>
          </w:cols>
          <w:pgMar w:left="320" w:top="13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APPENDIX A TO RESTRICTED STOCK UNIT AGREEMENT</w:t>
      </w:r>
    </w:p>
    <w:p>
      <w:pPr>
        <w:spacing w:after="0" w:line="200" w:lineRule="exact"/>
        <w:rPr>
          <w:sz w:val="20"/>
          <w:szCs w:val="20"/>
          <w:color w:val="auto"/>
        </w:rPr>
      </w:pPr>
    </w:p>
    <w:p>
      <w:pPr>
        <w:spacing w:after="0" w:line="242" w:lineRule="exact"/>
        <w:rPr>
          <w:sz w:val="20"/>
          <w:szCs w:val="20"/>
          <w:color w:val="auto"/>
        </w:rPr>
      </w:pPr>
    </w:p>
    <w:p>
      <w:pPr>
        <w:ind w:left="-20" w:right="80" w:firstLine="656"/>
        <w:spacing w:after="0" w:line="262" w:lineRule="auto"/>
        <w:tabs>
          <w:tab w:leader="none" w:pos="97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Subject to the terms, conditions, and restrictions set forth in this Agreement (including the Grant Notice and any special terms and conditions for the Participant’s country set forth in Appendix B to this Agreement) and in the Plan, the Company hereby evidences and confirms its grant to the Participant, effective as of the Grant Date, of the number of restricted stock units specified in the Grant Notice (the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395" w:lineRule="exact"/>
        <w:rPr>
          <w:rFonts w:ascii="Arial" w:cs="Arial" w:eastAsia="Arial" w:hAnsi="Arial"/>
          <w:sz w:val="21"/>
          <w:szCs w:val="21"/>
          <w:color w:val="auto"/>
        </w:rPr>
      </w:pPr>
    </w:p>
    <w:p>
      <w:pPr>
        <w:ind w:left="980" w:hanging="344"/>
        <w:spacing w:after="0"/>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20" w:right="140" w:firstLine="656"/>
        <w:spacing w:after="0" w:line="259" w:lineRule="auto"/>
        <w:tabs>
          <w:tab w:leader="none" w:pos="104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Except as otherwise provided in this Section 2, the Restricted Stock Units shall become vested, in the amount(s), and on the vesting date(s) set forth in Exhibit A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the continued employment of the Participant by the Company or any Subsidiary thereof through such date.</w:t>
      </w:r>
    </w:p>
    <w:p>
      <w:pPr>
        <w:spacing w:after="0" w:line="396" w:lineRule="exact"/>
        <w:rPr>
          <w:rFonts w:ascii="Arial" w:cs="Arial" w:eastAsia="Arial" w:hAnsi="Arial"/>
          <w:sz w:val="22"/>
          <w:szCs w:val="22"/>
          <w:color w:val="auto"/>
        </w:rPr>
      </w:pPr>
    </w:p>
    <w:p>
      <w:pPr>
        <w:ind w:left="1060" w:hanging="424"/>
        <w:spacing w:after="0"/>
        <w:tabs>
          <w:tab w:leader="none" w:pos="106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0" w:right="160" w:firstLine="1304"/>
        <w:spacing w:after="0" w:line="276" w:lineRule="auto"/>
        <w:tabs>
          <w:tab w:leader="none" w:pos="166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Participant’s employment or service terminates due to the Participant’s death, all unvested Restricted Stock Units shall immediately vest.</w:t>
      </w:r>
    </w:p>
    <w:p>
      <w:pPr>
        <w:spacing w:after="0" w:line="376" w:lineRule="exact"/>
        <w:rPr>
          <w:rFonts w:ascii="Arial" w:cs="Arial" w:eastAsia="Arial" w:hAnsi="Arial"/>
          <w:sz w:val="22"/>
          <w:szCs w:val="22"/>
          <w:color w:val="auto"/>
        </w:rPr>
      </w:pPr>
    </w:p>
    <w:p>
      <w:pPr>
        <w:ind w:left="-20" w:right="380" w:firstLine="1304"/>
        <w:spacing w:after="0" w:line="259" w:lineRule="auto"/>
        <w:tabs>
          <w:tab w:leader="none" w:pos="172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a Participant’s employment or service terminates due to Disability, all unvested Restricted Stock Units shall not be forfeited upon such termination and shall continue to vest in accordance with the schedule provided in Section 2(a).</w:t>
      </w:r>
    </w:p>
    <w:p>
      <w:pPr>
        <w:spacing w:after="0" w:line="396" w:lineRule="exact"/>
        <w:rPr>
          <w:rFonts w:ascii="Arial" w:cs="Arial" w:eastAsia="Arial" w:hAnsi="Arial"/>
          <w:sz w:val="22"/>
          <w:szCs w:val="22"/>
          <w:color w:val="auto"/>
        </w:rPr>
      </w:pPr>
    </w:p>
    <w:p>
      <w:pPr>
        <w:ind w:left="-20" w:firstLine="1304"/>
        <w:spacing w:after="0" w:line="297" w:lineRule="auto"/>
        <w:tabs>
          <w:tab w:leader="none" w:pos="1780"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362" w:lineRule="exact"/>
        <w:rPr>
          <w:rFonts w:ascii="Arial" w:cs="Arial" w:eastAsia="Arial" w:hAnsi="Arial"/>
          <w:sz w:val="19"/>
          <w:szCs w:val="19"/>
          <w:color w:val="auto"/>
        </w:rPr>
      </w:pPr>
    </w:p>
    <w:p>
      <w:pPr>
        <w:ind w:left="-20" w:right="360" w:firstLine="1304"/>
        <w:spacing w:after="0" w:line="358" w:lineRule="auto"/>
        <w:tabs>
          <w:tab w:leader="none" w:pos="1768"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w:t>
      </w:r>
      <w:r>
        <w:rPr>
          <w:rFonts w:ascii="Arial" w:cs="Arial" w:eastAsia="Arial" w:hAnsi="Arial"/>
          <w:sz w:val="19"/>
          <w:szCs w:val="19"/>
          <w:color w:val="auto"/>
        </w:rPr>
        <w:t>. If a Participant’s employment is terminated for any reason other than death, Disability or by the Company for Cause, all unvested Restricted Stock Units shall immediately be forfeited.</w:t>
      </w:r>
    </w:p>
    <w:p>
      <w:pPr>
        <w:spacing w:after="0" w:line="306" w:lineRule="exact"/>
        <w:rPr>
          <w:rFonts w:ascii="Arial" w:cs="Arial" w:eastAsia="Arial" w:hAnsi="Arial"/>
          <w:sz w:val="19"/>
          <w:szCs w:val="19"/>
          <w:color w:val="auto"/>
        </w:rPr>
      </w:pPr>
    </w:p>
    <w:p>
      <w:pPr>
        <w:ind w:left="-20" w:right="340" w:firstLine="656"/>
        <w:spacing w:after="0" w:line="276" w:lineRule="auto"/>
        <w:tabs>
          <w:tab w:leader="none" w:pos="104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then the Restricted Stock Units shall vest or continue and shall have such treatment, as set forth in the Plan.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557" w:right="339" w:bottom="1440" w:gutter="0" w:footer="0" w:header="0"/>
        </w:sectPr>
      </w:pPr>
    </w:p>
    <w:bookmarkStart w:id="150" w:name="page151"/>
    <w:bookmarkEnd w:id="150"/>
    <w:p>
      <w:pPr>
        <w:ind w:left="-20" w:right="100" w:firstLine="656"/>
        <w:spacing w:after="0" w:line="249" w:lineRule="auto"/>
        <w:tabs>
          <w:tab w:leader="none" w:pos="106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Other Forfeiture Provisions</w:t>
      </w:r>
      <w:r>
        <w:rPr>
          <w:rFonts w:ascii="Arial" w:cs="Arial" w:eastAsia="Arial" w:hAnsi="Arial"/>
          <w:sz w:val="22"/>
          <w:szCs w:val="22"/>
          <w:color w:val="auto"/>
        </w:rPr>
        <w:t>. The Restricted Stock Units shall also be forfeited and subject to disgorgement and/or repayment to the Company in the event the Participant (</w:t>
      </w:r>
      <w:r>
        <w:rPr>
          <w:rFonts w:ascii="Arial" w:cs="Arial" w:eastAsia="Arial" w:hAnsi="Arial"/>
          <w:sz w:val="22"/>
          <w:szCs w:val="22"/>
          <w:u w:val="single" w:color="auto"/>
          <w:color w:val="auto"/>
        </w:rPr>
        <w:t>i</w:t>
      </w:r>
      <w:r>
        <w:rPr>
          <w:rFonts w:ascii="Arial" w:cs="Arial" w:eastAsia="Arial" w:hAnsi="Arial"/>
          <w:sz w:val="22"/>
          <w:szCs w:val="22"/>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22"/>
          <w:szCs w:val="22"/>
          <w:u w:val="single" w:color="auto"/>
          <w:color w:val="auto"/>
        </w:rPr>
        <w:t>ii</w:t>
      </w:r>
      <w:r>
        <w:rPr>
          <w:rFonts w:ascii="Arial" w:cs="Arial" w:eastAsia="Arial" w:hAnsi="Arial"/>
          <w:sz w:val="22"/>
          <w:szCs w:val="22"/>
          <w:color w:val="auto"/>
        </w:rPr>
        <w:t>) materially violates any restrictive covenant agreement (or any other agreement containing restrictive covenants) that the Participant has entered into with the Company.</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20" w:right="40" w:firstLine="656"/>
        <w:spacing w:after="0" w:line="251" w:lineRule="auto"/>
        <w:tabs>
          <w:tab w:leader="none" w:pos="104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20" w:right="120" w:firstLine="656"/>
        <w:spacing w:after="0" w:line="290" w:lineRule="auto"/>
        <w:tabs>
          <w:tab w:leader="none" w:pos="102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Post-Termination Informational Requirements</w:t>
      </w:r>
      <w:r>
        <w:rPr>
          <w:rFonts w:ascii="Arial" w:cs="Arial" w:eastAsia="Arial" w:hAnsi="Arial"/>
          <w:sz w:val="19"/>
          <w:szCs w:val="19"/>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9"/>
          <w:szCs w:val="19"/>
          <w:u w:val="single" w:color="auto"/>
          <w:color w:val="auto"/>
        </w:rPr>
        <w:t>i</w:t>
      </w:r>
      <w:r>
        <w:rPr>
          <w:rFonts w:ascii="Arial" w:cs="Arial" w:eastAsia="Arial" w:hAnsi="Arial"/>
          <w:sz w:val="19"/>
          <w:szCs w:val="19"/>
          <w:color w:val="auto"/>
        </w:rPr>
        <w:t>) ninety (90) calendar days after the issue of a request from the Company for such information and (</w:t>
      </w:r>
      <w:r>
        <w:rPr>
          <w:rFonts w:ascii="Arial" w:cs="Arial" w:eastAsia="Arial" w:hAnsi="Arial"/>
          <w:sz w:val="19"/>
          <w:szCs w:val="19"/>
          <w:u w:val="single" w:color="auto"/>
          <w:color w:val="auto"/>
        </w:rPr>
        <w:t>ii</w:t>
      </w:r>
      <w:r>
        <w:rPr>
          <w:rFonts w:ascii="Arial" w:cs="Arial" w:eastAsia="Arial" w:hAnsi="Arial"/>
          <w:sz w:val="19"/>
          <w:szCs w:val="19"/>
          <w:color w:val="auto"/>
        </w:rPr>
        <w:t>) December 31 of the calendar year in which the applicable Vesting Date occurs.</w:t>
      </w:r>
    </w:p>
    <w:p>
      <w:pPr>
        <w:spacing w:after="0" w:line="370" w:lineRule="exact"/>
        <w:rPr>
          <w:sz w:val="20"/>
          <w:szCs w:val="20"/>
          <w:color w:val="auto"/>
        </w:rPr>
      </w:pPr>
    </w:p>
    <w:p>
      <w:pPr>
        <w:ind w:left="-20" w:firstLine="656"/>
        <w:spacing w:after="0" w:line="289" w:lineRule="auto"/>
        <w:tabs>
          <w:tab w:leader="none" w:pos="97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Subject to Section 8(d) and Section 2(f), the Company shall deliver to the Participant one (1) share of Company Common Stock (or the value thereof) in settlement of each outstanding Restricted Stock Unit that has vested as provided in Section 2(a) on the first to occur of (</w:t>
      </w:r>
      <w:r>
        <w:rPr>
          <w:rFonts w:ascii="Arial" w:cs="Arial" w:eastAsia="Arial" w:hAnsi="Arial"/>
          <w:sz w:val="19"/>
          <w:szCs w:val="19"/>
          <w:u w:val="single" w:color="auto"/>
          <w:color w:val="auto"/>
        </w:rPr>
        <w:t>i</w:t>
      </w:r>
      <w:r>
        <w:rPr>
          <w:rFonts w:ascii="Arial" w:cs="Arial" w:eastAsia="Arial" w:hAnsi="Arial"/>
          <w:sz w:val="19"/>
          <w:szCs w:val="19"/>
          <w:color w:val="auto"/>
        </w:rPr>
        <w:t>) the Vesting Date (or within 30 days thereafter), (</w:t>
      </w:r>
      <w:r>
        <w:rPr>
          <w:rFonts w:ascii="Arial" w:cs="Arial" w:eastAsia="Arial" w:hAnsi="Arial"/>
          <w:sz w:val="19"/>
          <w:szCs w:val="19"/>
          <w:u w:val="single" w:color="auto"/>
          <w:color w:val="auto"/>
        </w:rPr>
        <w:t>ii</w:t>
      </w:r>
      <w:r>
        <w:rPr>
          <w:rFonts w:ascii="Arial" w:cs="Arial" w:eastAsia="Arial" w:hAnsi="Arial"/>
          <w:sz w:val="19"/>
          <w:szCs w:val="19"/>
          <w:color w:val="auto"/>
        </w:rPr>
        <w:t>) in the event of a termination of employment or service due to death, as soon as practicable following the Participant’s termination of employment or service by reason of death or (i</w:t>
      </w:r>
      <w:r>
        <w:rPr>
          <w:rFonts w:ascii="Arial" w:cs="Arial" w:eastAsia="Arial" w:hAnsi="Arial"/>
          <w:sz w:val="19"/>
          <w:szCs w:val="19"/>
          <w:u w:val="single" w:color="auto"/>
          <w:color w:val="auto"/>
        </w:rPr>
        <w:t>ii</w:t>
      </w:r>
      <w:r>
        <w:rPr>
          <w:rFonts w:ascii="Arial" w:cs="Arial" w:eastAsia="Arial" w:hAnsi="Arial"/>
          <w:sz w:val="19"/>
          <w:szCs w:val="19"/>
          <w:color w:val="auto"/>
        </w:rPr>
        <w:t>) a Change in Control in which the Restricted Stock Units do not continue,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Company Common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Company Common Stock in the name of the Participant through a book entry credit in the records of the Company’s transfer agent,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40" w:top="563" w:right="35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Participant may not vest in more than the number of Restricted Stock Units specified in the Grant Notice.</w:t>
      </w:r>
    </w:p>
    <w:p>
      <w:pPr>
        <w:spacing w:after="0" w:line="200" w:lineRule="exact"/>
        <w:rPr>
          <w:sz w:val="20"/>
          <w:szCs w:val="20"/>
          <w:color w:val="auto"/>
        </w:rPr>
      </w:pPr>
    </w:p>
    <w:p>
      <w:pPr>
        <w:spacing w:after="0" w:line="23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358" w:lineRule="exact"/>
        <w:rPr>
          <w:sz w:val="20"/>
          <w:szCs w:val="20"/>
          <w:color w:val="auto"/>
        </w:rPr>
      </w:pPr>
    </w:p>
    <w:p>
      <w:pPr>
        <w:ind w:right="160" w:firstLine="656"/>
        <w:spacing w:after="0" w:line="297" w:lineRule="auto"/>
        <w:tabs>
          <w:tab w:leader="none" w:pos="99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362" w:lineRule="exact"/>
        <w:rPr>
          <w:rFonts w:ascii="Arial" w:cs="Arial" w:eastAsia="Arial" w:hAnsi="Arial"/>
          <w:sz w:val="19"/>
          <w:szCs w:val="19"/>
          <w:color w:val="auto"/>
        </w:rPr>
      </w:pPr>
    </w:p>
    <w:p>
      <w:pPr>
        <w:ind w:left="1000" w:hanging="344"/>
        <w:spacing w:after="0"/>
        <w:tabs>
          <w:tab w:leader="none" w:pos="10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Participant’s Rights with Respect to the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20" w:firstLine="656"/>
        <w:spacing w:after="0" w:line="248" w:lineRule="auto"/>
        <w:tabs>
          <w:tab w:leader="none" w:pos="1068"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Restrictions on Transferability</w:t>
      </w:r>
      <w:r>
        <w:rPr>
          <w:rFonts w:ascii="Arial" w:cs="Arial" w:eastAsia="Arial" w:hAnsi="Arial"/>
          <w:sz w:val="22"/>
          <w:szCs w:val="22"/>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right="80" w:firstLine="656"/>
        <w:spacing w:after="0" w:line="254" w:lineRule="auto"/>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firstLine="656"/>
        <w:spacing w:after="0" w:line="266" w:lineRule="auto"/>
        <w:tabs>
          <w:tab w:leader="none" w:pos="1068"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390" w:lineRule="exact"/>
        <w:rPr>
          <w:sz w:val="20"/>
          <w:szCs w:val="20"/>
          <w:color w:val="auto"/>
        </w:rPr>
      </w:pPr>
    </w:p>
    <w:p>
      <w:pPr>
        <w:ind w:left="5580" w:right="5300" w:hanging="4924"/>
        <w:spacing w:after="0" w:line="832" w:lineRule="auto"/>
        <w:tabs>
          <w:tab w:leader="none" w:pos="100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Participant’s Representations, Warranties and Covenants</w:t>
      </w:r>
      <w:r>
        <w:rPr>
          <w:rFonts w:ascii="Arial" w:cs="Arial" w:eastAsia="Arial" w:hAnsi="Arial"/>
          <w:sz w:val="19"/>
          <w:szCs w:val="19"/>
          <w:color w:val="auto"/>
        </w:rPr>
        <w:t>. 4</w:t>
      </w:r>
    </w:p>
    <w:p>
      <w:pPr>
        <w:sectPr>
          <w:pgSz w:w="11900" w:h="16838" w:orient="portrait"/>
          <w:cols w:equalWidth="0" w:num="1">
            <w:col w:w="11240"/>
          </w:cols>
          <w:pgMar w:left="320" w:top="563" w:right="339" w:bottom="1440" w:gutter="0" w:footer="0" w:header="0"/>
        </w:sectPr>
      </w:pPr>
    </w:p>
    <w:bookmarkStart w:id="152" w:name="page153"/>
    <w:bookmarkEnd w:id="152"/>
    <w:p>
      <w:pPr>
        <w:ind w:right="240" w:firstLine="656"/>
        <w:spacing w:after="0" w:line="299" w:lineRule="auto"/>
        <w:tabs>
          <w:tab w:leader="none" w:pos="1068"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the Participant of this Agreement, the consummation of the transactions contemplated hereby and the performance of the Participant’s obligations hereunder do not and will not</w:t>
      </w:r>
    </w:p>
    <w:p>
      <w:pPr>
        <w:spacing w:after="0" w:line="292"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the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367" w:lineRule="exact"/>
        <w:rPr>
          <w:rFonts w:ascii="Arial" w:cs="Arial" w:eastAsia="Arial" w:hAnsi="Arial"/>
          <w:sz w:val="19"/>
          <w:szCs w:val="19"/>
          <w:color w:val="auto"/>
        </w:rPr>
      </w:pPr>
    </w:p>
    <w:p>
      <w:pPr>
        <w:ind w:right="60" w:firstLine="656"/>
        <w:spacing w:after="0" w:line="251" w:lineRule="auto"/>
        <w:tabs>
          <w:tab w:leader="none" w:pos="108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Compliance with Rule 144</w:t>
      </w:r>
      <w:r>
        <w:rPr>
          <w:rFonts w:ascii="Arial" w:cs="Arial" w:eastAsia="Arial" w:hAnsi="Arial"/>
          <w:sz w:val="22"/>
          <w:szCs w:val="22"/>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400" w:firstLine="656"/>
        <w:spacing w:after="0" w:line="276" w:lineRule="auto"/>
        <w:tabs>
          <w:tab w:leader="none" w:pos="1068"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377" w:lineRule="exact"/>
        <w:rPr>
          <w:sz w:val="20"/>
          <w:szCs w:val="20"/>
          <w:color w:val="auto"/>
        </w:rPr>
      </w:pPr>
    </w:p>
    <w:p>
      <w:pPr>
        <w:ind w:right="420" w:firstLine="656"/>
        <w:spacing w:after="0" w:line="307" w:lineRule="auto"/>
        <w:tabs>
          <w:tab w:leader="none" w:pos="99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Adjustment in Capitalization</w:t>
      </w:r>
      <w:r>
        <w:rPr>
          <w:rFonts w:ascii="Arial" w:cs="Arial" w:eastAsia="Arial" w:hAnsi="Arial"/>
          <w:sz w:val="19"/>
          <w:szCs w:val="19"/>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53" w:lineRule="exact"/>
        <w:rPr>
          <w:rFonts w:ascii="Arial" w:cs="Arial" w:eastAsia="Arial" w:hAnsi="Arial"/>
          <w:sz w:val="19"/>
          <w:szCs w:val="19"/>
          <w:color w:val="auto"/>
        </w:rPr>
      </w:pPr>
    </w:p>
    <w:p>
      <w:pPr>
        <w:ind w:right="20" w:firstLine="656"/>
        <w:spacing w:after="0" w:line="288" w:lineRule="auto"/>
        <w:tabs>
          <w:tab w:leader="none" w:pos="99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564" w:right="339"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color w:val="auto"/>
        </w:rPr>
        <w:t>employer, as applicable) may be required to withhold or account for Tax-Related Items in more than one jurisdiction.</w:t>
      </w:r>
    </w:p>
    <w:p>
      <w:pPr>
        <w:spacing w:after="0" w:line="200" w:lineRule="exact"/>
        <w:rPr>
          <w:sz w:val="20"/>
          <w:szCs w:val="20"/>
          <w:color w:val="auto"/>
        </w:rPr>
      </w:pPr>
    </w:p>
    <w:p>
      <w:pPr>
        <w:spacing w:after="0" w:line="2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21"/>
          <w:szCs w:val="21"/>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 Participant by the Company and/or the Employer, (b) withholding from proceeds of the sale of shares of Company Common Stock under the Plan, either through a voluntary sale or through a mandatory sale arranged by the 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39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 paying the Tax-Related Items.</w:t>
      </w:r>
    </w:p>
    <w:p>
      <w:pPr>
        <w:spacing w:after="0" w:line="349" w:lineRule="exact"/>
        <w:rPr>
          <w:sz w:val="20"/>
          <w:szCs w:val="20"/>
          <w:color w:val="auto"/>
        </w:rPr>
      </w:pPr>
    </w:p>
    <w:p>
      <w:pPr>
        <w:ind w:right="180" w:firstLine="648"/>
        <w:spacing w:after="0" w:line="271" w:lineRule="auto"/>
        <w:rPr>
          <w:sz w:val="20"/>
          <w:szCs w:val="20"/>
          <w:color w:val="auto"/>
        </w:rPr>
      </w:pPr>
      <w:r>
        <w:rPr>
          <w:rFonts w:ascii="Arial" w:cs="Arial" w:eastAsia="Arial" w:hAnsi="Arial"/>
          <w:sz w:val="21"/>
          <w:szCs w:val="21"/>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38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9"/>
          <w:szCs w:val="19"/>
          <w:u w:val="single" w:color="auto"/>
          <w:color w:val="auto"/>
        </w:rPr>
        <w:t>Nature of Grant</w:t>
      </w:r>
      <w:r>
        <w:rPr>
          <w:rFonts w:ascii="Arial" w:cs="Arial" w:eastAsia="Arial" w:hAnsi="Arial"/>
          <w:sz w:val="19"/>
          <w:szCs w:val="19"/>
          <w:color w:val="auto"/>
        </w:rPr>
        <w:t>. By accepting the Restricted Stock Units, the Participant acknowledges, understands and agrees that:</w:t>
      </w:r>
    </w:p>
    <w:p>
      <w:pPr>
        <w:spacing w:after="0" w:line="200" w:lineRule="exact"/>
        <w:rPr>
          <w:sz w:val="20"/>
          <w:szCs w:val="20"/>
          <w:color w:val="auto"/>
        </w:rPr>
      </w:pPr>
    </w:p>
    <w:p>
      <w:pPr>
        <w:spacing w:after="0" w:line="249" w:lineRule="exact"/>
        <w:rPr>
          <w:sz w:val="20"/>
          <w:szCs w:val="20"/>
          <w:color w:val="auto"/>
        </w:rPr>
      </w:pPr>
    </w:p>
    <w:p>
      <w:pPr>
        <w:ind w:right="140" w:firstLine="656"/>
        <w:spacing w:after="0" w:line="276" w:lineRule="auto"/>
        <w:tabs>
          <w:tab w:leader="none" w:pos="106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terminated, suspended or amended by the Company at any time, to the extent permitted by the Plan;</w:t>
      </w:r>
    </w:p>
    <w:p>
      <w:pPr>
        <w:spacing w:after="0" w:line="376" w:lineRule="exact"/>
        <w:rPr>
          <w:rFonts w:ascii="Arial" w:cs="Arial" w:eastAsia="Arial" w:hAnsi="Arial"/>
          <w:sz w:val="22"/>
          <w:szCs w:val="22"/>
          <w:color w:val="auto"/>
        </w:rPr>
      </w:pPr>
    </w:p>
    <w:p>
      <w:pPr>
        <w:ind w:right="160" w:firstLine="656"/>
        <w:spacing w:after="0" w:line="358" w:lineRule="auto"/>
        <w:tabs>
          <w:tab w:leader="none" w:pos="10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306" w:lineRule="exact"/>
        <w:rPr>
          <w:rFonts w:ascii="Arial" w:cs="Arial" w:eastAsia="Arial" w:hAnsi="Arial"/>
          <w:sz w:val="19"/>
          <w:szCs w:val="19"/>
          <w:color w:val="auto"/>
        </w:rPr>
      </w:pPr>
    </w:p>
    <w:p>
      <w:pPr>
        <w:ind w:left="1080" w:hanging="424"/>
        <w:spacing w:after="0"/>
        <w:tabs>
          <w:tab w:leader="none" w:pos="108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640" w:firstLine="656"/>
        <w:spacing w:after="0" w:line="254" w:lineRule="auto"/>
        <w:tabs>
          <w:tab w:leader="none" w:pos="10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080" w:hanging="424"/>
        <w:spacing w:after="0"/>
        <w:tabs>
          <w:tab w:leader="none" w:pos="10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564" w:right="339" w:bottom="1440" w:gutter="0" w:footer="0" w:header="0"/>
        </w:sectPr>
      </w:pPr>
    </w:p>
    <w:bookmarkStart w:id="154" w:name="page155"/>
    <w:bookmarkEnd w:id="154"/>
    <w:p>
      <w:pPr>
        <w:ind w:right="60" w:firstLine="656"/>
        <w:spacing w:after="0" w:line="276" w:lineRule="auto"/>
        <w:tabs>
          <w:tab w:leader="none" w:pos="10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Restricted Stock Units and any shares of Company Common Stock acquired under the Plan, and the income from and value of the same, are not intended to replace any pension rights or compensation;</w:t>
      </w:r>
    </w:p>
    <w:p>
      <w:pPr>
        <w:spacing w:after="0" w:line="376" w:lineRule="exact"/>
        <w:rPr>
          <w:rFonts w:ascii="Arial" w:cs="Arial" w:eastAsia="Arial" w:hAnsi="Arial"/>
          <w:sz w:val="22"/>
          <w:szCs w:val="22"/>
          <w:color w:val="auto"/>
        </w:rPr>
      </w:pPr>
    </w:p>
    <w:p>
      <w:pPr>
        <w:ind w:right="40" w:firstLine="656"/>
        <w:spacing w:after="0" w:line="254"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40" w:firstLine="656"/>
        <w:spacing w:after="0" w:line="307" w:lineRule="auto"/>
        <w:tabs>
          <w:tab w:leader="none" w:pos="10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353" w:lineRule="exact"/>
        <w:rPr>
          <w:rFonts w:ascii="Arial" w:cs="Arial" w:eastAsia="Arial" w:hAnsi="Arial"/>
          <w:sz w:val="19"/>
          <w:szCs w:val="19"/>
          <w:color w:val="auto"/>
        </w:rPr>
      </w:pPr>
    </w:p>
    <w:p>
      <w:pPr>
        <w:ind w:right="460" w:firstLine="656"/>
        <w:spacing w:after="0" w:line="358" w:lineRule="auto"/>
        <w:tabs>
          <w:tab w:leader="none" w:pos="103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306" w:lineRule="exact"/>
        <w:rPr>
          <w:rFonts w:ascii="Arial" w:cs="Arial" w:eastAsia="Arial" w:hAnsi="Arial"/>
          <w:sz w:val="19"/>
          <w:szCs w:val="19"/>
          <w:color w:val="auto"/>
        </w:rPr>
      </w:pPr>
    </w:p>
    <w:p>
      <w:pPr>
        <w:jc w:val="both"/>
        <w:ind w:right="40" w:firstLine="656"/>
        <w:spacing w:after="0" w:line="254" w:lineRule="auto"/>
        <w:tabs>
          <w:tab w:leader="none" w:pos="103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60" w:firstLine="656"/>
        <w:spacing w:after="0" w:line="254"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200" w:lineRule="exact"/>
        <w:rPr>
          <w:sz w:val="20"/>
          <w:szCs w:val="20"/>
          <w:color w:val="auto"/>
        </w:rPr>
      </w:pPr>
    </w:p>
    <w:p>
      <w:pPr>
        <w:spacing w:after="0" w:line="201" w:lineRule="exact"/>
        <w:rPr>
          <w:sz w:val="20"/>
          <w:szCs w:val="20"/>
          <w:color w:val="auto"/>
        </w:rPr>
      </w:pPr>
    </w:p>
    <w:p>
      <w:pPr>
        <w:ind w:firstLine="656"/>
        <w:spacing w:after="0" w:line="261" w:lineRule="auto"/>
        <w:tabs>
          <w:tab w:leader="none" w:pos="1098"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Employee Data Privacy</w:t>
      </w:r>
      <w:r>
        <w:rPr>
          <w:rFonts w:ascii="Arial" w:cs="Arial" w:eastAsia="Arial" w:hAnsi="Arial"/>
          <w:sz w:val="21"/>
          <w:szCs w:val="21"/>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“Privacy Notice”) that Participant received in the course of his or her relationship with Company. The Participant understands that he or she may review 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396" w:lineRule="exact"/>
        <w:rPr>
          <w:rFonts w:ascii="Arial" w:cs="Arial" w:eastAsia="Arial" w:hAnsi="Arial"/>
          <w:sz w:val="21"/>
          <w:szCs w:val="21"/>
          <w:color w:val="auto"/>
        </w:rPr>
      </w:pPr>
    </w:p>
    <w:p>
      <w:pPr>
        <w:ind w:left="1100" w:hanging="444"/>
        <w:spacing w:after="0"/>
        <w:tabs>
          <w:tab w:leader="none" w:pos="110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564" w:right="339" w:bottom="1440" w:gutter="0" w:footer="0" w:header="0"/>
        </w:sectPr>
      </w:pPr>
    </w:p>
    <w:bookmarkStart w:id="155" w:name="page156"/>
    <w:bookmarkEnd w:id="155"/>
    <w:p>
      <w:pPr>
        <w:ind w:left="-20" w:right="380" w:firstLine="656"/>
        <w:spacing w:after="0" w:line="307" w:lineRule="auto"/>
        <w:tabs>
          <w:tab w:leader="none" w:pos="104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Binding Effect; Benefits</w:t>
      </w:r>
      <w:r>
        <w:rPr>
          <w:rFonts w:ascii="Arial" w:cs="Arial" w:eastAsia="Arial" w:hAnsi="Arial"/>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53" w:lineRule="exact"/>
        <w:rPr>
          <w:rFonts w:ascii="Arial" w:cs="Arial" w:eastAsia="Arial" w:hAnsi="Arial"/>
          <w:sz w:val="19"/>
          <w:szCs w:val="19"/>
          <w:color w:val="auto"/>
        </w:rPr>
      </w:pPr>
    </w:p>
    <w:p>
      <w:pPr>
        <w:ind w:left="-20" w:right="380" w:firstLine="656"/>
        <w:spacing w:after="0" w:line="307" w:lineRule="auto"/>
        <w:tabs>
          <w:tab w:leader="none" w:pos="106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353" w:lineRule="exact"/>
        <w:rPr>
          <w:rFonts w:ascii="Arial" w:cs="Arial" w:eastAsia="Arial" w:hAnsi="Arial"/>
          <w:sz w:val="19"/>
          <w:szCs w:val="19"/>
          <w:color w:val="auto"/>
        </w:rPr>
      </w:pPr>
    </w:p>
    <w:p>
      <w:pPr>
        <w:ind w:left="-20" w:right="20" w:firstLine="656"/>
        <w:spacing w:after="0" w:line="289" w:lineRule="auto"/>
        <w:tabs>
          <w:tab w:leader="none" w:pos="104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 if the Participant is not employed by the Company, “</w:t>
      </w:r>
      <w:r>
        <w:rPr>
          <w:rFonts w:ascii="Arial" w:cs="Arial" w:eastAsia="Arial" w:hAnsi="Arial"/>
          <w:sz w:val="19"/>
          <w:szCs w:val="19"/>
          <w:u w:val="single" w:color="auto"/>
          <w:color w:val="auto"/>
        </w:rPr>
        <w:t>Employer</w:t>
      </w:r>
      <w:r>
        <w:rPr>
          <w:rFonts w:ascii="Arial" w:cs="Arial" w:eastAsia="Arial" w:hAnsi="Arial"/>
          <w:sz w:val="19"/>
          <w:szCs w:val="19"/>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20" w:firstLine="656"/>
        <w:spacing w:after="0" w:line="266" w:lineRule="auto"/>
        <w:tabs>
          <w:tab w:leader="none" w:pos="1060"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Country-Specific Provisions</w:t>
      </w:r>
      <w:r>
        <w:rPr>
          <w:rFonts w:ascii="Arial" w:cs="Arial" w:eastAsia="Arial" w:hAnsi="Arial"/>
          <w:sz w:val="21"/>
          <w:szCs w:val="21"/>
          <w:color w:val="auto"/>
        </w:rPr>
        <w:t xml:space="preserve">. The Participant’s participation in the Plan shall be subject to any special terms and conditions set forth in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attached hereto for the Participant’s country. Moreover, if the Participant relocates to one of the countries included in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constitutes part of this Agreement.</w:t>
      </w:r>
    </w:p>
    <w:p>
      <w:pPr>
        <w:spacing w:after="0" w:line="389" w:lineRule="exact"/>
        <w:rPr>
          <w:rFonts w:ascii="Arial" w:cs="Arial" w:eastAsia="Arial" w:hAnsi="Arial"/>
          <w:sz w:val="21"/>
          <w:szCs w:val="21"/>
          <w:color w:val="auto"/>
        </w:rPr>
      </w:pPr>
    </w:p>
    <w:p>
      <w:pPr>
        <w:ind w:left="-20" w:right="80" w:firstLine="656"/>
        <w:spacing w:after="0" w:line="270" w:lineRule="auto"/>
        <w:tabs>
          <w:tab w:leader="none" w:pos="1048"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Other Requirements</w:t>
      </w:r>
      <w:r>
        <w:rPr>
          <w:rFonts w:ascii="Arial" w:cs="Arial" w:eastAsia="Arial" w:hAnsi="Arial"/>
          <w:sz w:val="21"/>
          <w:szCs w:val="21"/>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384" w:lineRule="exact"/>
        <w:rPr>
          <w:rFonts w:ascii="Arial" w:cs="Arial" w:eastAsia="Arial" w:hAnsi="Arial"/>
          <w:sz w:val="21"/>
          <w:szCs w:val="21"/>
          <w:color w:val="auto"/>
        </w:rPr>
      </w:pPr>
    </w:p>
    <w:p>
      <w:pPr>
        <w:jc w:val="both"/>
        <w:ind w:left="-20" w:right="300" w:firstLine="656"/>
        <w:spacing w:after="0" w:line="254" w:lineRule="auto"/>
        <w:tabs>
          <w:tab w:leader="none" w:pos="102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40" w:top="564" w:right="359" w:bottom="1440" w:gutter="0" w:footer="0" w:header="0"/>
        </w:sectPr>
      </w:pPr>
    </w:p>
    <w:bookmarkStart w:id="156" w:name="page157"/>
    <w:bookmarkEnd w:id="156"/>
    <w:p>
      <w:pPr>
        <w:ind w:left="-80" w:firstLine="656"/>
        <w:spacing w:after="0" w:line="290" w:lineRule="auto"/>
        <w:tabs>
          <w:tab w:leader="none" w:pos="100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Forum Selection</w:t>
      </w:r>
      <w:r>
        <w:rPr>
          <w:rFonts w:ascii="Arial" w:cs="Arial" w:eastAsia="Arial" w:hAnsi="Arial"/>
          <w:sz w:val="19"/>
          <w:szCs w:val="19"/>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80" w:right="820" w:firstLine="656"/>
        <w:spacing w:after="0" w:line="276" w:lineRule="auto"/>
        <w:tabs>
          <w:tab w:leader="none" w:pos="100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376" w:lineRule="exact"/>
        <w:rPr>
          <w:rFonts w:ascii="Arial" w:cs="Arial" w:eastAsia="Arial" w:hAnsi="Arial"/>
          <w:sz w:val="22"/>
          <w:szCs w:val="22"/>
          <w:color w:val="auto"/>
        </w:rPr>
      </w:pPr>
    </w:p>
    <w:p>
      <w:pPr>
        <w:jc w:val="both"/>
        <w:ind w:left="-80" w:right="240" w:firstLine="656"/>
        <w:spacing w:after="0" w:line="254" w:lineRule="auto"/>
        <w:tabs>
          <w:tab w:leader="none" w:pos="95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80" w:right="200" w:firstLine="656"/>
        <w:spacing w:after="0" w:line="259" w:lineRule="auto"/>
        <w:tabs>
          <w:tab w:leader="none" w:pos="95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96" w:lineRule="exact"/>
        <w:rPr>
          <w:rFonts w:ascii="Arial" w:cs="Arial" w:eastAsia="Arial" w:hAnsi="Arial"/>
          <w:sz w:val="22"/>
          <w:szCs w:val="22"/>
          <w:color w:val="auto"/>
        </w:rPr>
      </w:pPr>
    </w:p>
    <w:p>
      <w:pPr>
        <w:ind w:left="-80" w:firstLine="656"/>
        <w:spacing w:after="0" w:line="300" w:lineRule="auto"/>
        <w:tabs>
          <w:tab w:leader="none" w:pos="100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Consent to Electronic Delivery</w:t>
      </w:r>
      <w:r>
        <w:rPr>
          <w:rFonts w:ascii="Arial" w:cs="Arial" w:eastAsia="Arial" w:hAnsi="Arial"/>
          <w:sz w:val="19"/>
          <w:szCs w:val="19"/>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362" w:lineRule="exact"/>
        <w:rPr>
          <w:rFonts w:ascii="Arial" w:cs="Arial" w:eastAsia="Arial" w:hAnsi="Arial"/>
          <w:sz w:val="19"/>
          <w:szCs w:val="19"/>
          <w:color w:val="auto"/>
        </w:rPr>
      </w:pPr>
    </w:p>
    <w:p>
      <w:pPr>
        <w:ind w:left="-80" w:right="100" w:firstLine="656"/>
        <w:spacing w:after="0" w:line="248" w:lineRule="auto"/>
        <w:tabs>
          <w:tab w:leader="none" w:pos="952"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400" w:top="564" w:right="419" w:bottom="1440" w:gutter="0" w:footer="0" w:header="0"/>
        </w:sectPr>
      </w:pPr>
    </w:p>
    <w:bookmarkStart w:id="157" w:name="page158"/>
    <w:bookmarkEnd w:id="157"/>
    <w:p>
      <w:pPr>
        <w:ind w:left="-120" w:firstLine="656"/>
        <w:spacing w:after="0" w:line="260" w:lineRule="auto"/>
        <w:tabs>
          <w:tab w:leader="none" w:pos="102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Specified Employee Delay</w:t>
      </w:r>
      <w:r>
        <w:rPr>
          <w:rFonts w:ascii="Arial" w:cs="Arial" w:eastAsia="Arial" w:hAnsi="Arial"/>
          <w:sz w:val="21"/>
          <w:szCs w:val="21"/>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21"/>
          <w:szCs w:val="21"/>
          <w:u w:val="single" w:color="auto"/>
          <w:color w:val="auto"/>
        </w:rPr>
        <w:t>a</w:t>
      </w:r>
      <w:r>
        <w:rPr>
          <w:rFonts w:ascii="Arial" w:cs="Arial" w:eastAsia="Arial" w:hAnsi="Arial"/>
          <w:sz w:val="21"/>
          <w:szCs w:val="21"/>
          <w:color w:val="auto"/>
        </w:rPr>
        <w:t>) the date that is six months following the Participant’s termination of service and (</w:t>
      </w:r>
      <w:r>
        <w:rPr>
          <w:rFonts w:ascii="Arial" w:cs="Arial" w:eastAsia="Arial" w:hAnsi="Arial"/>
          <w:sz w:val="21"/>
          <w:szCs w:val="21"/>
          <w:u w:val="single" w:color="auto"/>
          <w:color w:val="auto"/>
        </w:rPr>
        <w:t>b</w:t>
      </w:r>
      <w:r>
        <w:rPr>
          <w:rFonts w:ascii="Arial" w:cs="Arial" w:eastAsia="Arial" w:hAnsi="Arial"/>
          <w:sz w:val="21"/>
          <w:szCs w:val="21"/>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94" w:lineRule="exact"/>
        <w:rPr>
          <w:rFonts w:ascii="Arial" w:cs="Arial" w:eastAsia="Arial" w:hAnsi="Arial"/>
          <w:sz w:val="21"/>
          <w:szCs w:val="21"/>
          <w:color w:val="auto"/>
        </w:rPr>
      </w:pPr>
    </w:p>
    <w:p>
      <w:pPr>
        <w:ind w:left="-120" w:firstLine="656"/>
        <w:spacing w:after="0" w:line="276" w:lineRule="auto"/>
        <w:tabs>
          <w:tab w:leader="none" w:pos="9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376" w:lineRule="exact"/>
        <w:rPr>
          <w:rFonts w:ascii="Arial" w:cs="Arial" w:eastAsia="Arial" w:hAnsi="Arial"/>
          <w:sz w:val="22"/>
          <w:szCs w:val="22"/>
          <w:color w:val="auto"/>
        </w:rPr>
      </w:pPr>
    </w:p>
    <w:p>
      <w:pPr>
        <w:ind w:left="-120" w:right="20" w:firstLine="656"/>
        <w:spacing w:after="0" w:line="266" w:lineRule="auto"/>
        <w:tabs>
          <w:tab w:leader="none" w:pos="96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under this Agreement shall be (</w:t>
      </w:r>
      <w:r>
        <w:rPr>
          <w:rFonts w:ascii="Arial" w:cs="Arial" w:eastAsia="Arial" w:hAnsi="Arial"/>
          <w:sz w:val="21"/>
          <w:szCs w:val="21"/>
          <w:u w:val="single" w:color="auto"/>
          <w:color w:val="auto"/>
        </w:rPr>
        <w:t>i</w:t>
      </w:r>
      <w:r>
        <w:rPr>
          <w:rFonts w:ascii="Arial" w:cs="Arial" w:eastAsia="Arial" w:hAnsi="Arial"/>
          <w:sz w:val="21"/>
          <w:szCs w:val="21"/>
          <w:color w:val="auto"/>
        </w:rPr>
        <w:t>) delivered by hand, (</w:t>
      </w:r>
      <w:r>
        <w:rPr>
          <w:rFonts w:ascii="Arial" w:cs="Arial" w:eastAsia="Arial" w:hAnsi="Arial"/>
          <w:sz w:val="21"/>
          <w:szCs w:val="21"/>
          <w:u w:val="single" w:color="auto"/>
          <w:color w:val="auto"/>
        </w:rPr>
        <w:t>ii</w:t>
      </w:r>
      <w:r>
        <w:rPr>
          <w:rFonts w:ascii="Arial" w:cs="Arial" w:eastAsia="Arial" w:hAnsi="Arial"/>
          <w:sz w:val="21"/>
          <w:szCs w:val="21"/>
          <w:color w:val="auto"/>
        </w:rPr>
        <w:t>) sent by commercial overnight courier service, (</w:t>
      </w:r>
      <w:r>
        <w:rPr>
          <w:rFonts w:ascii="Arial" w:cs="Arial" w:eastAsia="Arial" w:hAnsi="Arial"/>
          <w:sz w:val="21"/>
          <w:szCs w:val="21"/>
          <w:u w:val="single" w:color="auto"/>
          <w:color w:val="auto"/>
        </w:rPr>
        <w:t>iii</w:t>
      </w:r>
      <w:r>
        <w:rPr>
          <w:rFonts w:ascii="Arial" w:cs="Arial" w:eastAsia="Arial" w:hAnsi="Arial"/>
          <w:sz w:val="21"/>
          <w:szCs w:val="21"/>
          <w:color w:val="auto"/>
        </w:rPr>
        <w:t>) sent by registered or certified mail, return receipt requested, and first-class postage prepaid, (</w:t>
      </w:r>
      <w:r>
        <w:rPr>
          <w:rFonts w:ascii="Arial" w:cs="Arial" w:eastAsia="Arial" w:hAnsi="Arial"/>
          <w:sz w:val="21"/>
          <w:szCs w:val="21"/>
          <w:u w:val="single" w:color="auto"/>
          <w:color w:val="auto"/>
        </w:rPr>
        <w:t>iv</w:t>
      </w:r>
      <w:r>
        <w:rPr>
          <w:rFonts w:ascii="Arial" w:cs="Arial" w:eastAsia="Arial" w:hAnsi="Arial"/>
          <w:sz w:val="21"/>
          <w:szCs w:val="21"/>
          <w:color w:val="auto"/>
        </w:rPr>
        <w:t>) sent by e-mail or any other form of electronic transfer or delivery approved by the Administrator, or (</w:t>
      </w:r>
      <w:r>
        <w:rPr>
          <w:rFonts w:ascii="Arial" w:cs="Arial" w:eastAsia="Arial" w:hAnsi="Arial"/>
          <w:sz w:val="21"/>
          <w:szCs w:val="21"/>
          <w:u w:val="single" w:color="auto"/>
          <w:color w:val="auto"/>
        </w:rPr>
        <w:t>v</w:t>
      </w:r>
      <w:r>
        <w:rPr>
          <w:rFonts w:ascii="Arial" w:cs="Arial" w:eastAsia="Arial" w:hAnsi="Arial"/>
          <w:sz w:val="21"/>
          <w:szCs w:val="21"/>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389" w:lineRule="exact"/>
        <w:rPr>
          <w:rFonts w:ascii="Arial" w:cs="Arial" w:eastAsia="Arial" w:hAnsi="Arial"/>
          <w:sz w:val="21"/>
          <w:szCs w:val="21"/>
          <w:color w:val="auto"/>
        </w:rPr>
      </w:pPr>
    </w:p>
    <w:p>
      <w:pPr>
        <w:ind w:left="-120" w:firstLine="656"/>
        <w:spacing w:after="0" w:line="276" w:lineRule="auto"/>
        <w:tabs>
          <w:tab w:leader="none" w:pos="9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00"/>
          </w:cols>
          <w:pgMar w:left="440" w:top="564" w:right="45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Exhibit 10.61</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THIRD AMENDED AND RESTATED EQUITY INCENTIVE PLAN OF</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STOCK OPTION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NOTICE</w:t>
      </w:r>
    </w:p>
    <w:p>
      <w:pPr>
        <w:spacing w:after="0" w:line="200" w:lineRule="exact"/>
        <w:rPr>
          <w:sz w:val="20"/>
          <w:szCs w:val="20"/>
          <w:color w:val="auto"/>
        </w:rPr>
      </w:pPr>
    </w:p>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Unless otherwise defined herein, the terms defined in the Third Amended and Restated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of Booz Allen Hamilton Holding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same defined meanings in this Stock Option Agreement, which includes the terms in this Grant Notice, including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Grant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and any special terms and conditions set out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attached hereto for your country of employment and/or residence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37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You (the “</w:t>
      </w:r>
      <w:r>
        <w:rPr>
          <w:rFonts w:ascii="Arial" w:cs="Arial" w:eastAsia="Arial" w:hAnsi="Arial"/>
          <w:sz w:val="20"/>
          <w:szCs w:val="20"/>
          <w:u w:val="single" w:color="auto"/>
          <w:color w:val="auto"/>
        </w:rPr>
        <w:t>Optionee</w:t>
      </w:r>
      <w:r>
        <w:rPr>
          <w:rFonts w:ascii="Arial" w:cs="Arial" w:eastAsia="Arial" w:hAnsi="Arial"/>
          <w:sz w:val="20"/>
          <w:szCs w:val="20"/>
          <w:color w:val="auto"/>
        </w:rPr>
        <w:t>”) have been granted an Option to purchase the number of shares (the “</w:t>
      </w:r>
      <w:r>
        <w:rPr>
          <w:rFonts w:ascii="Arial" w:cs="Arial" w:eastAsia="Arial" w:hAnsi="Arial"/>
          <w:sz w:val="20"/>
          <w:szCs w:val="20"/>
          <w:u w:val="single" w:color="auto"/>
          <w:color w:val="auto"/>
        </w:rPr>
        <w:t>Shares</w:t>
      </w:r>
      <w:r>
        <w:rPr>
          <w:rFonts w:ascii="Arial" w:cs="Arial" w:eastAsia="Arial" w:hAnsi="Arial"/>
          <w:sz w:val="20"/>
          <w:szCs w:val="20"/>
          <w:color w:val="auto"/>
        </w:rPr>
        <w:t>”) of Class A Common Stock, par value $0.01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of the Company, as set forth on the Fidelity NetBenefits system at www.netbenefits.com, subject to the terms and conditions of the Plan and this Agreement, as follows:</w:t>
      </w:r>
    </w:p>
    <w:p>
      <w:pPr>
        <w:sectPr>
          <w:pgSz w:w="11900" w:h="16838" w:orient="portrait"/>
          <w:cols w:equalWidth="0" w:num="1">
            <w:col w:w="11240"/>
          </w:cols>
          <w:pgMar w:left="320" w:top="132" w:right="339" w:bottom="1440" w:gutter="0" w:footer="0" w:header="0"/>
        </w:sect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Type of Option:</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ind w:right="3880"/>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4380" w:space="720"/>
            <w:col w:w="6140"/>
          </w:cols>
          <w:pgMar w:left="320" w:top="132" w:right="339" w:bottom="1440" w:gutter="0" w:footer="0" w:header="0"/>
          <w:type w:val="continuous"/>
        </w:sect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Final Expiration Date: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Ten years from the date of grant</w:t>
      </w:r>
    </w:p>
    <w:p>
      <w:pPr>
        <w:spacing w:after="0" w:line="222" w:lineRule="exact"/>
        <w:rPr>
          <w:sz w:val="20"/>
          <w:szCs w:val="20"/>
          <w:color w:val="auto"/>
        </w:rPr>
      </w:pPr>
    </w:p>
    <w:p>
      <w:pPr>
        <w:sectPr>
          <w:pgSz w:w="11900" w:h="16838" w:orient="portrait"/>
          <w:cols w:equalWidth="0" w:num="2">
            <w:col w:w="4380" w:space="720"/>
            <w:col w:w="6140"/>
          </w:cols>
          <w:pgMar w:left="320" w:top="132" w:right="339" w:bottom="1440" w:gutter="0" w:footer="0" w:header="0"/>
          <w:type w:val="continuous"/>
        </w:sectPr>
      </w:pPr>
    </w:p>
    <w:p>
      <w:pPr>
        <w:spacing w:after="0" w:line="6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 xml:space="preserve">Your acceptance of this Option indicates your agreement and understanding that this Option is subject to all of the terms and conditions contained in the Agreement and the Plan. </w:t>
      </w:r>
      <w:r>
        <w:rPr>
          <w:rFonts w:ascii="Arial" w:cs="Arial" w:eastAsia="Arial" w:hAnsi="Arial"/>
          <w:sz w:val="18"/>
          <w:szCs w:val="18"/>
          <w:b w:val="1"/>
          <w:bCs w:val="1"/>
          <w:color w:val="auto"/>
        </w:rPr>
        <w:t>ACCORDINGLY, PLEASE BE SURE TO READ ALL OF THE PLAN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b w:val="1"/>
          <w:bCs w:val="1"/>
          <w:u w:val="single" w:color="auto"/>
          <w:color w:val="auto"/>
        </w:rPr>
        <w:t>APPENDIX B</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WHICH CONTAIN THE SPECIFIC TERMS AND CONDITIONS OF THIS OPTION. IN PARTICULAR, BY ACCEPTANCE OF THIS OPTION, YOU AGREE TO THE TERMS AND CONDITIONS CONTAINED IN THE AGREEMENT RELATING TO ELECTRONIC DELIVERY OF ANY DOCUMENTS RELATED TO THE OPTION.</w:t>
      </w:r>
    </w:p>
    <w:p>
      <w:pPr>
        <w:sectPr>
          <w:pgSz w:w="11900" w:h="16838" w:orient="portrait"/>
          <w:cols w:equalWidth="0" w:num="1">
            <w:col w:w="11240"/>
          </w:cols>
          <w:pgMar w:left="320" w:top="132" w:right="339" w:bottom="1440" w:gutter="0" w:footer="0" w:header="0"/>
          <w:type w:val="continuous"/>
        </w:sectPr>
      </w:pPr>
    </w:p>
    <w:bookmarkStart w:id="159" w:name="page160"/>
    <w:bookmarkEnd w:id="159"/>
    <w:p>
      <w:pPr>
        <w:jc w:val="center"/>
        <w:ind w:right="-19"/>
        <w:spacing w:after="0"/>
        <w:rPr>
          <w:sz w:val="20"/>
          <w:szCs w:val="20"/>
          <w:color w:val="auto"/>
        </w:rPr>
      </w:pPr>
      <w:r>
        <w:rPr>
          <w:rFonts w:ascii="Arial" w:cs="Arial" w:eastAsia="Arial" w:hAnsi="Arial"/>
          <w:sz w:val="20"/>
          <w:szCs w:val="20"/>
          <w:b w:val="1"/>
          <w:bCs w:val="1"/>
          <w:color w:val="auto"/>
        </w:rPr>
        <w:t>APPENDIX A TO STOCK OPTION AGREEMENT</w:t>
      </w:r>
    </w:p>
    <w:p>
      <w:pPr>
        <w:spacing w:after="0" w:line="200" w:lineRule="exact"/>
        <w:rPr>
          <w:sz w:val="20"/>
          <w:szCs w:val="20"/>
          <w:color w:val="auto"/>
        </w:rPr>
      </w:pPr>
    </w:p>
    <w:p>
      <w:pPr>
        <w:spacing w:after="0" w:line="23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0"/>
          <w:szCs w:val="20"/>
          <w:b w:val="1"/>
          <w:bCs w:val="1"/>
          <w:u w:val="single" w:color="auto"/>
          <w:color w:val="auto"/>
        </w:rPr>
        <w:t>GRANT OF OPTION</w:t>
      </w:r>
    </w:p>
    <w:p>
      <w:pPr>
        <w:spacing w:after="0" w:line="362" w:lineRule="exact"/>
        <w:rPr>
          <w:sz w:val="20"/>
          <w:szCs w:val="20"/>
          <w:color w:val="auto"/>
        </w:rPr>
      </w:pPr>
    </w:p>
    <w:p>
      <w:pPr>
        <w:spacing w:after="0" w:line="244" w:lineRule="auto"/>
        <w:rPr>
          <w:sz w:val="20"/>
          <w:szCs w:val="20"/>
          <w:color w:val="auto"/>
        </w:rPr>
      </w:pPr>
      <w:r>
        <w:rPr>
          <w:rFonts w:ascii="Arial" w:cs="Arial" w:eastAsia="Arial" w:hAnsi="Arial"/>
          <w:sz w:val="20"/>
          <w:szCs w:val="20"/>
          <w:u w:val="single" w:color="auto"/>
          <w:color w:val="auto"/>
        </w:rPr>
        <w:t>Section 1.1 Grant of Option</w:t>
      </w:r>
      <w:r>
        <w:rPr>
          <w:rFonts w:ascii="Arial" w:cs="Arial" w:eastAsia="Arial" w:hAnsi="Arial"/>
          <w:sz w:val="20"/>
          <w:szCs w:val="20"/>
          <w:color w:val="auto"/>
        </w:rPr>
        <w:t xml:space="preserve">. The Company hereby grants to the Optionee the Option to purchase any part or all of the Shares upon the terms and conditions set forth in the Plan and this Agreement (including the Grant Notice and any special terms and conditions for the Optionee’s country set forth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to this Agreement).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200" w:lineRule="exact"/>
        <w:rPr>
          <w:sz w:val="20"/>
          <w:szCs w:val="20"/>
          <w:color w:val="auto"/>
        </w:rPr>
      </w:pPr>
    </w:p>
    <w:p>
      <w:pPr>
        <w:spacing w:after="0" w:line="210"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u w:val="single" w:color="auto"/>
          <w:color w:val="auto"/>
        </w:rPr>
        <w:t>Section 1.2 Option Subject to Plan</w:t>
      </w:r>
      <w:r>
        <w:rPr>
          <w:rFonts w:ascii="Arial" w:cs="Arial" w:eastAsia="Arial" w:hAnsi="Arial"/>
          <w:sz w:val="20"/>
          <w:szCs w:val="20"/>
          <w:color w:val="auto"/>
        </w:rPr>
        <w:t>. The Option granted hereunder is subject to the terms and provisions of the Plan, including, but not limited to, Article V, Article XI, Article XII, Article XIII and Article XIV thereof.</w:t>
      </w:r>
    </w:p>
    <w:p>
      <w:pPr>
        <w:spacing w:after="0" w:line="39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u w:val="single" w:color="auto"/>
          <w:color w:val="auto"/>
        </w:rPr>
        <w:t>Section 1.3 Exercise Price</w:t>
      </w:r>
      <w:r>
        <w:rPr>
          <w:rFonts w:ascii="Arial" w:cs="Arial" w:eastAsia="Arial" w:hAnsi="Arial"/>
          <w:sz w:val="20"/>
          <w:szCs w:val="20"/>
          <w:color w:val="auto"/>
        </w:rPr>
        <w:t>. The Exercise Price of the Shares covered by the Option has been determined in accordance with the provisions set forth in the Plan and does not include any commission or other charges.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VESTING SCHEDULE; EXERCISABILITY</w:t>
      </w:r>
    </w:p>
    <w:p>
      <w:pPr>
        <w:spacing w:after="0" w:line="38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2.1</w:t>
      </w:r>
      <w:r>
        <w:rPr>
          <w:sz w:val="20"/>
          <w:szCs w:val="20"/>
          <w:color w:val="auto"/>
        </w:rPr>
        <w:tab/>
      </w:r>
      <w:r>
        <w:rPr>
          <w:rFonts w:ascii="Arial" w:cs="Arial" w:eastAsia="Arial" w:hAnsi="Arial"/>
          <w:sz w:val="18"/>
          <w:szCs w:val="18"/>
          <w:u w:val="single" w:color="auto"/>
          <w:color w:val="auto"/>
        </w:rPr>
        <w:t>Vesting and Exercisability of the Option</w:t>
      </w:r>
      <w:r>
        <w:rPr>
          <w:rFonts w:ascii="Arial" w:cs="Arial" w:eastAsia="Arial" w:hAnsi="Arial"/>
          <w:sz w:val="18"/>
          <w:szCs w:val="18"/>
          <w:color w:val="auto"/>
        </w:rPr>
        <w:t>.</w:t>
      </w:r>
    </w:p>
    <w:p>
      <w:pPr>
        <w:spacing w:after="0" w:line="378" w:lineRule="exact"/>
        <w:rPr>
          <w:sz w:val="20"/>
          <w:szCs w:val="20"/>
          <w:color w:val="auto"/>
        </w:rPr>
      </w:pPr>
    </w:p>
    <w:p>
      <w:pPr>
        <w:ind w:right="100" w:firstLine="656"/>
        <w:spacing w:after="0" w:line="250" w:lineRule="auto"/>
        <w:tabs>
          <w:tab w:leader="none" w:pos="1048" w:val="left"/>
        </w:tabs>
        <w:numPr>
          <w:ilvl w:val="0"/>
          <w:numId w:val="133"/>
        </w:numPr>
        <w:rPr>
          <w:rFonts w:ascii="Arial" w:cs="Arial" w:eastAsia="Arial" w:hAnsi="Arial"/>
          <w:sz w:val="20"/>
          <w:szCs w:val="20"/>
          <w:color w:val="auto"/>
        </w:rPr>
      </w:pPr>
      <w:r>
        <w:rPr>
          <w:rFonts w:ascii="Arial" w:cs="Arial" w:eastAsia="Arial" w:hAnsi="Arial"/>
          <w:sz w:val="20"/>
          <w:szCs w:val="20"/>
          <w:i w:val="1"/>
          <w:iCs w:val="1"/>
          <w:color w:val="auto"/>
        </w:rPr>
        <w:t>Vesting</w:t>
      </w:r>
      <w:r>
        <w:rPr>
          <w:rFonts w:ascii="Arial" w:cs="Arial" w:eastAsia="Arial" w:hAnsi="Arial"/>
          <w:sz w:val="20"/>
          <w:szCs w:val="20"/>
          <w:color w:val="auto"/>
        </w:rPr>
        <w:t>. Except as provided in this Section 2, the Option shall become vested and exercisable in the amount(s) and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vesting date(s)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Vesting Date</w:t>
      </w:r>
      <w:r>
        <w:rPr>
          <w:rFonts w:ascii="Arial" w:cs="Arial" w:eastAsia="Arial" w:hAnsi="Arial"/>
          <w:sz w:val="20"/>
          <w:szCs w:val="20"/>
          <w:color w:val="auto"/>
        </w:rPr>
        <w:t>”), so long as the Optionee remains continuously in service as a Service Provider through such Vesting Date.</w:t>
      </w: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1060" w:hanging="404"/>
        <w:spacing w:after="0"/>
        <w:tabs>
          <w:tab w:leader="none" w:pos="1060"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Change in Control Vesting</w:t>
      </w:r>
      <w:r>
        <w:rPr>
          <w:rFonts w:ascii="Arial" w:cs="Arial" w:eastAsia="Arial" w:hAnsi="Arial"/>
          <w:sz w:val="19"/>
          <w:szCs w:val="19"/>
          <w:color w:val="auto"/>
        </w:rPr>
        <w:t>. Upon the occurrence of a Change in Control, any Option shall vest as set forth in Section 2.9.</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ind w:right="80" w:firstLine="656"/>
        <w:spacing w:after="0" w:line="260" w:lineRule="auto"/>
        <w:tabs>
          <w:tab w:leader="none" w:pos="1048" w:val="left"/>
        </w:tabs>
        <w:numPr>
          <w:ilvl w:val="0"/>
          <w:numId w:val="133"/>
        </w:numPr>
        <w:rPr>
          <w:rFonts w:ascii="Arial" w:cs="Arial" w:eastAsia="Arial" w:hAnsi="Arial"/>
          <w:sz w:val="20"/>
          <w:szCs w:val="20"/>
          <w:color w:val="auto"/>
        </w:rPr>
      </w:pPr>
      <w:r>
        <w:rPr>
          <w:rFonts w:ascii="Arial" w:cs="Arial" w:eastAsia="Arial" w:hAnsi="Arial"/>
          <w:sz w:val="20"/>
          <w:szCs w:val="20"/>
          <w:i w:val="1"/>
          <w:iCs w:val="1"/>
          <w:color w:val="auto"/>
        </w:rPr>
        <w:t>Discretionary Vesting</w:t>
      </w:r>
      <w:r>
        <w:rPr>
          <w:rFonts w:ascii="Arial" w:cs="Arial" w:eastAsia="Arial" w:hAnsi="Arial"/>
          <w:sz w:val="20"/>
          <w:szCs w:val="20"/>
          <w:color w:val="auto"/>
        </w:rPr>
        <w:t>. The Administrator in its sole discretion may accelerate the vesting of any portion of the Option that does</w:t>
      </w:r>
      <w:r>
        <w:rPr>
          <w:rFonts w:ascii="Arial" w:cs="Arial" w:eastAsia="Arial" w:hAnsi="Arial"/>
          <w:sz w:val="20"/>
          <w:szCs w:val="20"/>
          <w:i w:val="1"/>
          <w:iCs w:val="1"/>
          <w:color w:val="auto"/>
        </w:rPr>
        <w:t xml:space="preserve"> </w:t>
      </w:r>
      <w:r>
        <w:rPr>
          <w:rFonts w:ascii="Arial" w:cs="Arial" w:eastAsia="Arial" w:hAnsi="Arial"/>
          <w:sz w:val="20"/>
          <w:szCs w:val="20"/>
          <w:color w:val="auto"/>
        </w:rPr>
        <w:t>not otherwise vest pursuant to this Section 2.1.</w:t>
      </w:r>
    </w:p>
    <w:p>
      <w:pPr>
        <w:spacing w:after="0" w:line="39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2.2</w:t>
      </w:r>
      <w:r>
        <w:rPr>
          <w:sz w:val="20"/>
          <w:szCs w:val="20"/>
          <w:color w:val="auto"/>
        </w:rPr>
        <w:tab/>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w:t>
      </w:r>
    </w:p>
    <w:p>
      <w:pPr>
        <w:spacing w:after="0" w:line="378" w:lineRule="exact"/>
        <w:rPr>
          <w:sz w:val="20"/>
          <w:szCs w:val="20"/>
          <w:color w:val="auto"/>
        </w:rPr>
      </w:pPr>
    </w:p>
    <w:p>
      <w:pPr>
        <w:ind w:right="360" w:firstLine="656"/>
        <w:spacing w:after="0" w:line="269" w:lineRule="auto"/>
        <w:tabs>
          <w:tab w:leader="none" w:pos="1048"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Termination Due to Death</w:t>
      </w:r>
      <w:r>
        <w:rPr>
          <w:rFonts w:ascii="Arial" w:cs="Arial" w:eastAsia="Arial" w:hAnsi="Arial"/>
          <w:sz w:val="19"/>
          <w:szCs w:val="19"/>
          <w:color w:val="auto"/>
        </w:rPr>
        <w:t>. If an Optionee’s employment or service terminates due to the Optionee’s death, all Options shall</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vest and shall remain outstanding until (</w:t>
      </w:r>
      <w:r>
        <w:rPr>
          <w:rFonts w:ascii="Arial" w:cs="Arial" w:eastAsia="Arial" w:hAnsi="Arial"/>
          <w:sz w:val="19"/>
          <w:szCs w:val="19"/>
          <w:u w:val="single" w:color="auto"/>
          <w:color w:val="auto"/>
        </w:rPr>
        <w:t>i</w:t>
      </w:r>
      <w:r>
        <w:rPr>
          <w:rFonts w:ascii="Arial" w:cs="Arial" w:eastAsia="Arial" w:hAnsi="Arial"/>
          <w:sz w:val="19"/>
          <w:szCs w:val="19"/>
          <w:color w:val="auto"/>
        </w:rPr>
        <w:t>) the first anniversary of the date of the Optionee’s death or (</w:t>
      </w:r>
      <w:r>
        <w:rPr>
          <w:rFonts w:ascii="Arial" w:cs="Arial" w:eastAsia="Arial" w:hAnsi="Arial"/>
          <w:sz w:val="19"/>
          <w:szCs w:val="19"/>
          <w:u w:val="single" w:color="auto"/>
          <w:color w:val="auto"/>
        </w:rPr>
        <w:t>ii</w:t>
      </w:r>
      <w:r>
        <w:rPr>
          <w:rFonts w:ascii="Arial" w:cs="Arial" w:eastAsia="Arial" w:hAnsi="Arial"/>
          <w:sz w:val="19"/>
          <w:szCs w:val="19"/>
          <w:color w:val="auto"/>
        </w:rPr>
        <w:t>) the Option’s Final Expiration Date, whichever is earlier, after which any unexercised Options shall immediately terminate.</w:t>
      </w:r>
    </w:p>
    <w:p>
      <w:pPr>
        <w:spacing w:after="0" w:line="331" w:lineRule="exact"/>
        <w:rPr>
          <w:rFonts w:ascii="Arial" w:cs="Arial" w:eastAsia="Arial" w:hAnsi="Arial"/>
          <w:sz w:val="19"/>
          <w:szCs w:val="19"/>
          <w:color w:val="auto"/>
        </w:rPr>
      </w:pPr>
    </w:p>
    <w:p>
      <w:pPr>
        <w:ind w:right="80" w:firstLine="656"/>
        <w:spacing w:after="0" w:line="282" w:lineRule="auto"/>
        <w:tabs>
          <w:tab w:leader="none" w:pos="1058"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Termination Due to Disability</w:t>
      </w:r>
      <w:r>
        <w:rPr>
          <w:rFonts w:ascii="Arial" w:cs="Arial" w:eastAsia="Arial" w:hAnsi="Arial"/>
          <w:sz w:val="18"/>
          <w:szCs w:val="18"/>
          <w:color w:val="auto"/>
        </w:rPr>
        <w:t>. If an Optionee’s employment or service terminates due to the Optionee’s Disability,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shall not be forfeited and shall continue to vest in accordance with the schedule set forth in this Agreement. All vested Options shall remain outstanding until (</w:t>
      </w:r>
      <w:r>
        <w:rPr>
          <w:rFonts w:ascii="Arial" w:cs="Arial" w:eastAsia="Arial" w:hAnsi="Arial"/>
          <w:sz w:val="18"/>
          <w:szCs w:val="18"/>
          <w:u w:val="single" w:color="auto"/>
          <w:color w:val="auto"/>
        </w:rPr>
        <w:t>i</w:t>
      </w:r>
      <w:r>
        <w:rPr>
          <w:rFonts w:ascii="Arial" w:cs="Arial" w:eastAsia="Arial" w:hAnsi="Arial"/>
          <w:sz w:val="18"/>
          <w:szCs w:val="18"/>
          <w:color w:val="auto"/>
        </w:rPr>
        <w:t>) the later of the first anniversary of either (</w:t>
      </w:r>
      <w:r>
        <w:rPr>
          <w:rFonts w:ascii="Arial" w:cs="Arial" w:eastAsia="Arial" w:hAnsi="Arial"/>
          <w:sz w:val="18"/>
          <w:szCs w:val="18"/>
          <w:u w:val="single" w:color="auto"/>
          <w:color w:val="auto"/>
        </w:rPr>
        <w:t>x</w:t>
      </w:r>
      <w:r>
        <w:rPr>
          <w:rFonts w:ascii="Arial" w:cs="Arial" w:eastAsia="Arial" w:hAnsi="Arial"/>
          <w:sz w:val="18"/>
          <w:szCs w:val="18"/>
          <w:color w:val="auto"/>
        </w:rPr>
        <w:t>) the date of termination due to Disability or (</w:t>
      </w:r>
      <w:r>
        <w:rPr>
          <w:rFonts w:ascii="Arial" w:cs="Arial" w:eastAsia="Arial" w:hAnsi="Arial"/>
          <w:sz w:val="18"/>
          <w:szCs w:val="18"/>
          <w:u w:val="single" w:color="auto"/>
          <w:color w:val="auto"/>
        </w:rPr>
        <w:t>y</w:t>
      </w:r>
      <w:r>
        <w:rPr>
          <w:rFonts w:ascii="Arial" w:cs="Arial" w:eastAsia="Arial" w:hAnsi="Arial"/>
          <w:sz w:val="18"/>
          <w:szCs w:val="18"/>
          <w:color w:val="auto"/>
        </w:rPr>
        <w:t>) the date of vesting or (</w:t>
      </w:r>
      <w:r>
        <w:rPr>
          <w:rFonts w:ascii="Arial" w:cs="Arial" w:eastAsia="Arial" w:hAnsi="Arial"/>
          <w:sz w:val="18"/>
          <w:szCs w:val="18"/>
          <w:u w:val="single" w:color="auto"/>
          <w:color w:val="auto"/>
        </w:rPr>
        <w:t>ii</w:t>
      </w:r>
      <w:r>
        <w:rPr>
          <w:rFonts w:ascii="Arial" w:cs="Arial" w:eastAsia="Arial" w:hAnsi="Arial"/>
          <w:sz w:val="18"/>
          <w:szCs w:val="18"/>
          <w:color w:val="auto"/>
        </w:rPr>
        <w:t>) the Option’s Final Expiration Date, whichever is earlier, after which any unexercised Options shall immediately terminate.</w:t>
      </w:r>
    </w:p>
    <w:p>
      <w:pPr>
        <w:spacing w:after="0" w:line="323" w:lineRule="exact"/>
        <w:rPr>
          <w:rFonts w:ascii="Arial" w:cs="Arial" w:eastAsia="Arial" w:hAnsi="Arial"/>
          <w:sz w:val="18"/>
          <w:szCs w:val="18"/>
          <w:color w:val="auto"/>
        </w:rPr>
      </w:pPr>
    </w:p>
    <w:p>
      <w:pPr>
        <w:ind w:right="140" w:firstLine="656"/>
        <w:spacing w:after="0" w:line="260" w:lineRule="auto"/>
        <w:tabs>
          <w:tab w:leader="none" w:pos="1048" w:val="left"/>
        </w:tabs>
        <w:numPr>
          <w:ilvl w:val="0"/>
          <w:numId w:val="134"/>
        </w:numPr>
        <w:rPr>
          <w:rFonts w:ascii="Arial" w:cs="Arial" w:eastAsia="Arial" w:hAnsi="Arial"/>
          <w:sz w:val="20"/>
          <w:szCs w:val="20"/>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Unless otherwise determined by the Administrator, if the Optionee’s employment or service terminates</w:t>
      </w:r>
      <w:r>
        <w:rPr>
          <w:rFonts w:ascii="Arial" w:cs="Arial" w:eastAsia="Arial" w:hAnsi="Arial"/>
          <w:sz w:val="20"/>
          <w:szCs w:val="20"/>
          <w:i w:val="1"/>
          <w:iCs w:val="1"/>
          <w:color w:val="auto"/>
        </w:rPr>
        <w:t xml:space="preserve"> </w:t>
      </w:r>
      <w:r>
        <w:rPr>
          <w:rFonts w:ascii="Arial" w:cs="Arial" w:eastAsia="Arial" w:hAnsi="Arial"/>
          <w:sz w:val="20"/>
          <w:szCs w:val="20"/>
          <w:color w:val="auto"/>
        </w:rPr>
        <w:t>for Cause, all Options, whether vested or unvested, shall be</w:t>
      </w:r>
    </w:p>
    <w:p>
      <w:pPr>
        <w:sectPr>
          <w:pgSz w:w="11900" w:h="16838" w:orient="portrait"/>
          <w:cols w:equalWidth="0" w:num="1">
            <w:col w:w="11220"/>
          </w:cols>
          <w:pgMar w:left="320" w:top="549" w:right="35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549" w:right="359" w:bottom="1440" w:gutter="0" w:footer="0" w:header="0"/>
          <w:type w:val="continuous"/>
        </w:sectPr>
      </w:pPr>
    </w:p>
    <w:bookmarkStart w:id="160" w:name="page161"/>
    <w:bookmarkEnd w:id="160"/>
    <w:p>
      <w:pPr>
        <w:spacing w:after="0" w:line="260" w:lineRule="auto"/>
        <w:rPr>
          <w:sz w:val="20"/>
          <w:szCs w:val="20"/>
          <w:color w:val="auto"/>
        </w:rPr>
      </w:pPr>
      <w:r>
        <w:rPr>
          <w:rFonts w:ascii="Arial" w:cs="Arial" w:eastAsia="Arial" w:hAnsi="Arial"/>
          <w:sz w:val="19"/>
          <w:szCs w:val="19"/>
          <w:color w:val="auto"/>
        </w:rPr>
        <w:t>immediately forfeited and canceled, effective as of the date of the Optionee’s termination of employment or service. Notwithstanding the foregoing, unless otherwise determined by the Administrator and set forth in writing, any Option that vested during the twelve (12)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396" w:lineRule="exact"/>
        <w:rPr>
          <w:sz w:val="20"/>
          <w:szCs w:val="20"/>
          <w:color w:val="auto"/>
        </w:rPr>
      </w:pPr>
    </w:p>
    <w:p>
      <w:pPr>
        <w:ind w:right="100" w:firstLine="656"/>
        <w:spacing w:after="0" w:line="232" w:lineRule="auto"/>
        <w:tabs>
          <w:tab w:leader="none" w:pos="1058"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Termination for Any Other Reason</w:t>
      </w:r>
      <w:r>
        <w:rPr>
          <w:rFonts w:ascii="Arial" w:cs="Arial" w:eastAsia="Arial" w:hAnsi="Arial"/>
          <w:sz w:val="20"/>
          <w:szCs w:val="20"/>
          <w:color w:val="auto"/>
        </w:rPr>
        <w:t>. Unless otherwise determined by the Administrator and set forth in writing, if an Optionee’s</w:t>
      </w:r>
      <w:r>
        <w:rPr>
          <w:rFonts w:ascii="Arial" w:cs="Arial" w:eastAsia="Arial" w:hAnsi="Arial"/>
          <w:sz w:val="20"/>
          <w:szCs w:val="20"/>
          <w:i w:val="1"/>
          <w:iCs w:val="1"/>
          <w:color w:val="auto"/>
        </w:rPr>
        <w:t xml:space="preserve"> </w:t>
      </w:r>
      <w:r>
        <w:rPr>
          <w:rFonts w:ascii="Arial" w:cs="Arial" w:eastAsia="Arial" w:hAnsi="Arial"/>
          <w:sz w:val="20"/>
          <w:szCs w:val="20"/>
          <w:color w:val="auto"/>
        </w:rPr>
        <w:t>employment or service terminates for any reason other than death, Disability or Cause, all Options that are unvested shall be immediately forfeited and canceled, and all Options that are vested shall remain outstanding until (</w:t>
      </w:r>
      <w:r>
        <w:rPr>
          <w:rFonts w:ascii="Arial" w:cs="Arial" w:eastAsia="Arial" w:hAnsi="Arial"/>
          <w:sz w:val="20"/>
          <w:szCs w:val="20"/>
          <w:u w:val="single" w:color="auto"/>
          <w:color w:val="auto"/>
        </w:rPr>
        <w:t>x</w:t>
      </w:r>
      <w:r>
        <w:rPr>
          <w:rFonts w:ascii="Arial" w:cs="Arial" w:eastAsia="Arial" w:hAnsi="Arial"/>
          <w:sz w:val="20"/>
          <w:szCs w:val="20"/>
          <w:color w:val="auto"/>
        </w:rPr>
        <w:t>)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the date of termination of Optionee’s employment or service or (</w:t>
      </w:r>
      <w:r>
        <w:rPr>
          <w:rFonts w:ascii="Arial" w:cs="Arial" w:eastAsia="Arial" w:hAnsi="Arial"/>
          <w:sz w:val="20"/>
          <w:szCs w:val="20"/>
          <w:u w:val="single" w:color="auto"/>
          <w:color w:val="auto"/>
        </w:rPr>
        <w:t>y</w:t>
      </w:r>
      <w:r>
        <w:rPr>
          <w:rFonts w:ascii="Arial" w:cs="Arial" w:eastAsia="Arial" w:hAnsi="Arial"/>
          <w:sz w:val="20"/>
          <w:szCs w:val="20"/>
          <w:color w:val="auto"/>
        </w:rPr>
        <w:t>) the Final Expiration Date, whichever is earlier, after which any unexercised Options shall immediately terminate.</w:t>
      </w:r>
    </w:p>
    <w:p>
      <w:pPr>
        <w:spacing w:after="0" w:line="200" w:lineRule="exact"/>
        <w:rPr>
          <w:sz w:val="20"/>
          <w:szCs w:val="20"/>
          <w:color w:val="auto"/>
        </w:rPr>
      </w:pPr>
    </w:p>
    <w:p>
      <w:pPr>
        <w:spacing w:after="0" w:line="21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u w:val="single" w:color="auto"/>
          <w:color w:val="auto"/>
        </w:rPr>
        <w:t>Section 2.3 Additional Forfeiture Provisions</w:t>
      </w:r>
      <w:r>
        <w:rPr>
          <w:rFonts w:ascii="Arial" w:cs="Arial" w:eastAsia="Arial" w:hAnsi="Arial"/>
          <w:sz w:val="18"/>
          <w:szCs w:val="18"/>
          <w:color w:val="auto"/>
        </w:rPr>
        <w:t>. The Optionee acknowledges and agrees that the Option shall be immediately forfeited and cease to be exercisable, and the Optionee shall be required to disgorge to the Company all gains earned or accrued due to the exercise of Options or sale of any Shares issued pursuant to such Options upon certain accounting restatements, if the Optionee engages in Competitive Activity (excluding, only if the Optionee is located in California, clause (a) of the definition of Competitive Activity contained in the Plan), as required by applicable law or if the Optionee engages in certain other misconduct as provided in Section 11.4 of the Plan.</w:t>
      </w:r>
    </w:p>
    <w:p>
      <w:pPr>
        <w:spacing w:after="0" w:line="38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u w:val="single" w:color="auto"/>
          <w:color w:val="auto"/>
        </w:rPr>
        <w:t>Section 2.4 Exercisability of the Option</w:t>
      </w:r>
      <w:r>
        <w:rPr>
          <w:rFonts w:ascii="Arial" w:cs="Arial" w:eastAsia="Arial" w:hAnsi="Arial"/>
          <w:sz w:val="20"/>
          <w:szCs w:val="20"/>
          <w:color w:val="auto"/>
        </w:rPr>
        <w:t>. The Optionee shall not have the right to exercise the Option until the date the applicable portion of the Option becomes vested pursuant to Section 2.1 or Section 2.2. The date that the applicable portion of the Option becomes exercisable is referred to herein as the “Exercise Commencement Date.” Subject to Section 14.1 of the Plan, following the Exercise Commencement Date, the applicable portion of the Option shall remain exercisable until it becomes unexercisable under Section 2.5. Once the Option becomes unexercisable, it shall be forfeited immediately.</w:t>
      </w:r>
    </w:p>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2.5</w:t>
      </w:r>
      <w:r>
        <w:rPr>
          <w:sz w:val="20"/>
          <w:szCs w:val="20"/>
          <w:color w:val="auto"/>
        </w:rPr>
        <w:tab/>
      </w:r>
      <w:r>
        <w:rPr>
          <w:rFonts w:ascii="Arial" w:cs="Arial" w:eastAsia="Arial" w:hAnsi="Arial"/>
          <w:sz w:val="18"/>
          <w:szCs w:val="18"/>
          <w:u w:val="single" w:color="auto"/>
          <w:color w:val="auto"/>
        </w:rPr>
        <w:t>Expiration of Option</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060" w:hanging="404"/>
        <w:spacing w:after="0"/>
        <w:tabs>
          <w:tab w:leader="none" w:pos="10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Option may not be exercised to any extent by anyone after the first to occur of the following events:</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680" w:hanging="376"/>
        <w:spacing w:after="0"/>
        <w:tabs>
          <w:tab w:leader="none" w:pos="168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Final Expiration Date;</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660" w:right="160" w:firstLine="644"/>
        <w:spacing w:after="0" w:line="246" w:lineRule="auto"/>
        <w:tabs>
          <w:tab w:leader="none" w:pos="1729" w:val="left"/>
        </w:tabs>
        <w:numPr>
          <w:ilvl w:val="1"/>
          <w:numId w:val="136"/>
        </w:numPr>
        <w:rPr>
          <w:rFonts w:ascii="Arial" w:cs="Arial" w:eastAsia="Arial" w:hAnsi="Arial"/>
          <w:sz w:val="20"/>
          <w:szCs w:val="20"/>
          <w:color w:val="auto"/>
        </w:rPr>
      </w:pPr>
      <w:r>
        <w:rPr>
          <w:rFonts w:ascii="Arial" w:cs="Arial" w:eastAsia="Arial" w:hAnsi="Arial"/>
          <w:sz w:val="20"/>
          <w:szCs w:val="20"/>
          <w:color w:val="auto"/>
        </w:rPr>
        <w:t>except for such longer period of time as the Administrator may otherwise approve, in the event of a termination of the Optionee’s employment or service as a Service Provider for any reason other than Cause, death or Disability, ninety (90) days following the date of the Optionee’s termination of employment or service as a Service Provider for any reason other than Cause, death, or Disability;</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660" w:right="80" w:firstLine="644"/>
        <w:spacing w:after="0" w:line="260" w:lineRule="auto"/>
        <w:tabs>
          <w:tab w:leader="none" w:pos="1785" w:val="left"/>
        </w:tabs>
        <w:numPr>
          <w:ilvl w:val="1"/>
          <w:numId w:val="136"/>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date that the Company terminates the Optionee’s employment or service as a Service Provider for Cause;</w:t>
      </w:r>
    </w:p>
    <w:p>
      <w:pPr>
        <w:spacing w:after="0" w:line="392" w:lineRule="exact"/>
        <w:rPr>
          <w:rFonts w:ascii="Arial" w:cs="Arial" w:eastAsia="Arial" w:hAnsi="Arial"/>
          <w:sz w:val="20"/>
          <w:szCs w:val="20"/>
          <w:color w:val="auto"/>
        </w:rPr>
      </w:pPr>
    </w:p>
    <w:p>
      <w:pPr>
        <w:ind w:left="660" w:right="760" w:firstLine="644"/>
        <w:spacing w:after="0" w:line="287" w:lineRule="auto"/>
        <w:tabs>
          <w:tab w:leader="none" w:pos="177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except for such longer period of time as the Administrator may otherwise approve, the first anniversary of the Optionee’s termination of employment or service as a Service Provider by reason of the Optionee’s death;</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528" w:right="359" w:bottom="1440" w:gutter="0" w:footer="0" w:header="0"/>
        </w:sectPr>
      </w:pPr>
    </w:p>
    <w:bookmarkStart w:id="161" w:name="page162"/>
    <w:bookmarkEnd w:id="161"/>
    <w:p>
      <w:pPr>
        <w:ind w:left="660" w:firstLine="644"/>
        <w:spacing w:after="0" w:line="269" w:lineRule="auto"/>
        <w:tabs>
          <w:tab w:leader="none" w:pos="171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except for such longer period of time as the Administrator may otherwise approve, in the event of the Optionee’s termination of employment or service as a Service Provider by reason of the Optionee’s Disability, the first anniversary of the later of (</w:t>
      </w:r>
      <w:r>
        <w:rPr>
          <w:rFonts w:ascii="Arial" w:cs="Arial" w:eastAsia="Arial" w:hAnsi="Arial"/>
          <w:sz w:val="19"/>
          <w:szCs w:val="19"/>
          <w:u w:val="single" w:color="auto"/>
          <w:color w:val="auto"/>
        </w:rPr>
        <w:t>A</w:t>
      </w:r>
      <w:r>
        <w:rPr>
          <w:rFonts w:ascii="Arial" w:cs="Arial" w:eastAsia="Arial" w:hAnsi="Arial"/>
          <w:sz w:val="19"/>
          <w:szCs w:val="19"/>
          <w:color w:val="auto"/>
        </w:rPr>
        <w:t>) the Optionee’s termination of employment or service or (</w:t>
      </w:r>
      <w:r>
        <w:rPr>
          <w:rFonts w:ascii="Arial" w:cs="Arial" w:eastAsia="Arial" w:hAnsi="Arial"/>
          <w:sz w:val="19"/>
          <w:szCs w:val="19"/>
          <w:u w:val="single" w:color="auto"/>
          <w:color w:val="auto"/>
        </w:rPr>
        <w:t>B</w:t>
      </w:r>
      <w:r>
        <w:rPr>
          <w:rFonts w:ascii="Arial" w:cs="Arial" w:eastAsia="Arial" w:hAnsi="Arial"/>
          <w:sz w:val="19"/>
          <w:szCs w:val="19"/>
          <w:color w:val="auto"/>
        </w:rPr>
        <w:t>) the date of vesting of the applicable Option; or</w:t>
      </w:r>
    </w:p>
    <w:p>
      <w:pPr>
        <w:spacing w:after="0" w:line="304" w:lineRule="exact"/>
        <w:rPr>
          <w:rFonts w:ascii="Arial" w:cs="Arial" w:eastAsia="Arial" w:hAnsi="Arial"/>
          <w:sz w:val="19"/>
          <w:szCs w:val="19"/>
          <w:color w:val="auto"/>
        </w:rPr>
      </w:pPr>
    </w:p>
    <w:p>
      <w:pPr>
        <w:ind w:left="1760" w:hanging="456"/>
        <w:spacing w:after="0"/>
        <w:tabs>
          <w:tab w:leader="none" w:pos="17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upon forfeiture of an Option as provided in Section 11.4 of the Plan.</w:t>
      </w:r>
    </w:p>
    <w:p>
      <w:pPr>
        <w:spacing w:after="0" w:line="364"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u w:val="single" w:color="auto"/>
          <w:color w:val="auto"/>
        </w:rPr>
        <w:t>Section 2.6 Partial Exercise</w:t>
      </w:r>
      <w:r>
        <w:rPr>
          <w:rFonts w:ascii="Arial" w:cs="Arial" w:eastAsia="Arial" w:hAnsi="Arial"/>
          <w:sz w:val="20"/>
          <w:szCs w:val="20"/>
          <w:color w:val="auto"/>
        </w:rPr>
        <w:t>. Any exercisable portion of the Option or the entire Option, if then wholly exercisable, may be exercised in whole or in part at any time prior to the time when the Option or portion thereof becomes unexercisable.</w:t>
      </w:r>
    </w:p>
    <w:p>
      <w:pPr>
        <w:spacing w:after="0" w:line="33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u w:val="single" w:color="auto"/>
          <w:color w:val="auto"/>
        </w:rPr>
        <w:t>Section 2.7 Exercise of Option</w:t>
      </w:r>
      <w:r>
        <w:rPr>
          <w:rFonts w:ascii="Arial" w:cs="Arial" w:eastAsia="Arial" w:hAnsi="Arial"/>
          <w:sz w:val="20"/>
          <w:szCs w:val="20"/>
          <w:color w:val="auto"/>
        </w:rPr>
        <w:t>. The exercise of the Option shall be governed by the terms of this Agreement and the terms of the Plan, including, without limitation, the provisions of Article V of the Plan.</w:t>
      </w:r>
    </w:p>
    <w:p>
      <w:pPr>
        <w:spacing w:after="0" w:line="33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2.8</w:t>
      </w:r>
      <w:r>
        <w:rPr>
          <w:sz w:val="20"/>
          <w:szCs w:val="20"/>
          <w:color w:val="auto"/>
        </w:rPr>
        <w:tab/>
      </w:r>
      <w:r>
        <w:rPr>
          <w:rFonts w:ascii="Arial" w:cs="Arial" w:eastAsia="Arial" w:hAnsi="Arial"/>
          <w:sz w:val="16"/>
          <w:szCs w:val="16"/>
          <w:u w:val="single" w:color="auto"/>
          <w:color w:val="auto"/>
        </w:rPr>
        <w:t>Manner of Exercise</w:t>
      </w:r>
      <w:r>
        <w:rPr>
          <w:rFonts w:ascii="Arial" w:cs="Arial" w:eastAsia="Arial" w:hAnsi="Arial"/>
          <w:sz w:val="16"/>
          <w:szCs w:val="16"/>
          <w:color w:val="auto"/>
        </w:rPr>
        <w:t>.</w:t>
      </w:r>
    </w:p>
    <w:p>
      <w:pPr>
        <w:spacing w:after="0" w:line="378" w:lineRule="exact"/>
        <w:rPr>
          <w:sz w:val="20"/>
          <w:szCs w:val="20"/>
          <w:color w:val="auto"/>
        </w:rPr>
      </w:pPr>
    </w:p>
    <w:p>
      <w:pPr>
        <w:ind w:right="100" w:firstLine="656"/>
        <w:spacing w:after="0" w:line="246" w:lineRule="auto"/>
        <w:tabs>
          <w:tab w:leader="none" w:pos="104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As a condition to the exercise of the Option, the Optionee shall (</w:t>
      </w:r>
      <w:r>
        <w:rPr>
          <w:rFonts w:ascii="Arial" w:cs="Arial" w:eastAsia="Arial" w:hAnsi="Arial"/>
          <w:sz w:val="20"/>
          <w:szCs w:val="20"/>
          <w:u w:val="single" w:color="auto"/>
          <w:color w:val="auto"/>
        </w:rPr>
        <w:t>i</w:t>
      </w:r>
      <w:r>
        <w:rPr>
          <w:rFonts w:ascii="Arial" w:cs="Arial" w:eastAsia="Arial" w:hAnsi="Arial"/>
          <w:sz w:val="20"/>
          <w:szCs w:val="20"/>
          <w:color w:val="auto"/>
        </w:rPr>
        <w:t>) notify the Company at least three (3) days prior to exercise and no earlier than ninety (90) days prior to exercise that the Optionee intends to exercise and (</w:t>
      </w:r>
      <w:r>
        <w:rPr>
          <w:rFonts w:ascii="Arial" w:cs="Arial" w:eastAsia="Arial" w:hAnsi="Arial"/>
          <w:sz w:val="20"/>
          <w:szCs w:val="20"/>
          <w:u w:val="single" w:color="auto"/>
          <w:color w:val="auto"/>
        </w:rPr>
        <w:t>ii</w:t>
      </w:r>
      <w:r>
        <w:rPr>
          <w:rFonts w:ascii="Arial" w:cs="Arial" w:eastAsia="Arial" w:hAnsi="Arial"/>
          <w:sz w:val="20"/>
          <w:szCs w:val="20"/>
          <w:color w:val="auto"/>
        </w:rPr>
        <w:t>) provide the Company with payment of the Exercise Price of the Option, together with any Tax-Related Items (as defined in Section 3.1 below), which shall be payable to the Company in full as set forth in this Section 2.8.</w:t>
      </w:r>
    </w:p>
    <w:p>
      <w:pPr>
        <w:spacing w:after="0" w:line="353" w:lineRule="exact"/>
        <w:rPr>
          <w:rFonts w:ascii="Arial" w:cs="Arial" w:eastAsia="Arial" w:hAnsi="Arial"/>
          <w:sz w:val="20"/>
          <w:szCs w:val="20"/>
          <w:color w:val="auto"/>
        </w:rPr>
      </w:pPr>
    </w:p>
    <w:p>
      <w:pPr>
        <w:ind w:right="80" w:firstLine="656"/>
        <w:spacing w:after="0" w:line="271" w:lineRule="auto"/>
        <w:tabs>
          <w:tab w:leader="none" w:pos="10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permitted by law or the applicable listing rules, if any, the Optionee may pay for the Shares with respect to which such Option or portion of such Option is exercised through (</w:t>
      </w:r>
      <w:r>
        <w:rPr>
          <w:rFonts w:ascii="Arial" w:cs="Arial" w:eastAsia="Arial" w:hAnsi="Arial"/>
          <w:sz w:val="18"/>
          <w:szCs w:val="18"/>
          <w:u w:val="single" w:color="auto"/>
          <w:color w:val="auto"/>
        </w:rPr>
        <w:t>i</w:t>
      </w:r>
      <w:r>
        <w:rPr>
          <w:rFonts w:ascii="Arial" w:cs="Arial" w:eastAsia="Arial" w:hAnsi="Arial"/>
          <w:sz w:val="18"/>
          <w:szCs w:val="18"/>
          <w:color w:val="auto"/>
        </w:rPr>
        <w:t>) payment in cash; (</w:t>
      </w:r>
      <w:r>
        <w:rPr>
          <w:rFonts w:ascii="Arial" w:cs="Arial" w:eastAsia="Arial" w:hAnsi="Arial"/>
          <w:sz w:val="18"/>
          <w:szCs w:val="18"/>
          <w:u w:val="single" w:color="auto"/>
          <w:color w:val="auto"/>
        </w:rPr>
        <w:t>ii</w:t>
      </w:r>
      <w:r>
        <w:rPr>
          <w:rFonts w:ascii="Arial" w:cs="Arial" w:eastAsia="Arial" w:hAnsi="Arial"/>
          <w:sz w:val="18"/>
          <w:szCs w:val="18"/>
          <w:color w:val="auto"/>
        </w:rPr>
        <w:t>) with the consent of the Administrator, the delivery of Shares which are owned by the Optionee, duly endorsed for transfer to the Company with a Fair Market Value on the date of delivery equal to the aggregate Exercise Price of the exercised portion of the Option; (</w:t>
      </w:r>
      <w:r>
        <w:rPr>
          <w:rFonts w:ascii="Arial" w:cs="Arial" w:eastAsia="Arial" w:hAnsi="Arial"/>
          <w:sz w:val="18"/>
          <w:szCs w:val="18"/>
          <w:u w:val="single" w:color="auto"/>
          <w:color w:val="auto"/>
        </w:rPr>
        <w:t>iii</w:t>
      </w:r>
      <w:r>
        <w:rPr>
          <w:rFonts w:ascii="Arial" w:cs="Arial" w:eastAsia="Arial" w:hAnsi="Arial"/>
          <w:sz w:val="18"/>
          <w:szCs w:val="18"/>
          <w:color w:val="auto"/>
        </w:rPr>
        <w:t>) with the consent of the Administrator, through the surrender of Shares then issuable upon exercise of the Option having a Fair Market Value on the date of the exercise of the Option equal to the aggregate Exercise Price of the exercised portion of the Option;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that payment of such proceeds is then made to the Company upon settlement of such sale. Notwithstanding the foregoing, the consent of the Administrator shall not be required with respect to clauses (iii) and (iv) of this Section 2.8(b) if the Optionee exercises such Option on or after the date of the Optionee’s Retirement.</w:t>
      </w:r>
    </w:p>
    <w:p>
      <w:pPr>
        <w:spacing w:after="0" w:line="331" w:lineRule="exact"/>
        <w:rPr>
          <w:rFonts w:ascii="Arial" w:cs="Arial" w:eastAsia="Arial" w:hAnsi="Arial"/>
          <w:sz w:val="18"/>
          <w:szCs w:val="18"/>
          <w:color w:val="auto"/>
        </w:rPr>
      </w:pPr>
    </w:p>
    <w:p>
      <w:pPr>
        <w:ind w:firstLine="656"/>
        <w:spacing w:after="0" w:line="316" w:lineRule="auto"/>
        <w:tabs>
          <w:tab w:leader="none" w:pos="10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Notwithstanding any provision of the Agreement to the contrary, if the Optionee resides and/or works outside of the United States, the Company may require that the Optionee exercise the Option in a method other than specified above, may require the Optionee to exercise the Option only by means of a “same day sale” transaction (either a sell-all transaction or a sell-to-cover transaction) as it determines in its sole discretion, or may require the Optionee to sell any Shares he or she acquires under the Plan immediately or within a specified period following the termination of the Optionee’s employment or service with the Company or any Subsidiary (in which case, the Optionee hereby agrees that the Company shall have the authority to issue sale instructions in relation to such Shares on the Optionee’s behalf).</w:t>
      </w:r>
    </w:p>
    <w:p>
      <w:pPr>
        <w:spacing w:after="0" w:line="30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u w:val="single" w:color="auto"/>
          <w:color w:val="auto"/>
        </w:rPr>
        <w:t>Section 2.9 Change in Control</w:t>
      </w:r>
      <w:r>
        <w:rPr>
          <w:rFonts w:ascii="Arial" w:cs="Arial" w:eastAsia="Arial" w:hAnsi="Arial"/>
          <w:sz w:val="20"/>
          <w:szCs w:val="20"/>
          <w:color w:val="auto"/>
        </w:rPr>
        <w:t>. Upon the occurrence of a Change in Control, the Options shall vest, forfeit or continue as set forth in Article XIII of the Plan. At the discretion of the Administrator (as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528" w:right="359" w:bottom="1440" w:gutter="0" w:footer="0" w:header="0"/>
        </w:sectPr>
      </w:pPr>
    </w:p>
    <w:bookmarkStart w:id="162" w:name="page163"/>
    <w:bookmarkEnd w:id="162"/>
    <w:p>
      <w:pPr>
        <w:ind w:right="120"/>
        <w:spacing w:after="0" w:line="272" w:lineRule="auto"/>
        <w:rPr>
          <w:sz w:val="20"/>
          <w:szCs w:val="20"/>
          <w:color w:val="auto"/>
        </w:rPr>
      </w:pPr>
      <w:r>
        <w:rPr>
          <w:rFonts w:ascii="Arial" w:cs="Arial" w:eastAsia="Arial" w:hAnsi="Arial"/>
          <w:sz w:val="18"/>
          <w:szCs w:val="18"/>
          <w:color w:val="auto"/>
        </w:rPr>
        <w:t>constituted immediately prior to the Change in Control), any or all vested Options may be canceled in exchange for an amount equal to the product of (</w:t>
      </w:r>
      <w:r>
        <w:rPr>
          <w:rFonts w:ascii="Arial" w:cs="Arial" w:eastAsia="Arial" w:hAnsi="Arial"/>
          <w:sz w:val="18"/>
          <w:szCs w:val="18"/>
          <w:u w:val="single" w:color="auto"/>
          <w:color w:val="auto"/>
        </w:rPr>
        <w:t>A</w:t>
      </w:r>
      <w:r>
        <w:rPr>
          <w:rFonts w:ascii="Arial" w:cs="Arial" w:eastAsia="Arial" w:hAnsi="Arial"/>
          <w:sz w:val="18"/>
          <w:szCs w:val="18"/>
          <w:color w:val="auto"/>
        </w:rPr>
        <w:t>) the excess, if any, of the Fair Market Value of the Shares upon the Change in Control over the exercise price for such vested Options, multiplied by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aggregate number of shares of Company Common Stock covered by such vested Options. Payment of any amounts calculated in accordance with this Section 2.9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payments shall in all events be payable to the stockholders generally within five years after the Change in Control.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OTHER PROVISIONS</w:t>
      </w:r>
    </w:p>
    <w:p>
      <w:pPr>
        <w:spacing w:after="0" w:line="200" w:lineRule="exact"/>
        <w:rPr>
          <w:sz w:val="20"/>
          <w:szCs w:val="20"/>
          <w:color w:val="auto"/>
        </w:rPr>
      </w:pP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9"/>
          <w:szCs w:val="19"/>
          <w:u w:val="single" w:color="auto"/>
          <w:color w:val="auto"/>
        </w:rPr>
        <w:t>Section 3.1 Tax Withholding</w:t>
      </w:r>
      <w:r>
        <w:rPr>
          <w:rFonts w:ascii="Arial" w:cs="Arial" w:eastAsia="Arial" w:hAnsi="Arial"/>
          <w:sz w:val="19"/>
          <w:szCs w:val="19"/>
          <w:color w:val="auto"/>
        </w:rPr>
        <w:t>. The Optionee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Optionee’s participation in the Plan and legally applicable to the Optionee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ultimate liability for all Tax-Related Items is and remains the Optionee’s personal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Optionee’s participation in the Plan, including, but not limited to, the grant of Option, the vesting of Option, the exercise of Option, the issuance or sale of Shares, or the receipt of any dividends; and (b) do not commit to and are under no obligation to structure the terms of the Option or any aspect of the Plan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400"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Prior to any relevant taxable or tax withholding event, as applicable, the Optionee agrees to make arrangements satisfactory to the Company and/or the Employer to satisfy all Tax-Related Items. In this regard, the Optionee authorizes the Company and/or the Employer, or their respective agents, at their discretion, to satisfy their withholding obligations with regard to any Tax-Related Items by one or a combination of the following: (a) withholding from the Optionee’s wages or other cash compensation payable to the Optionee by the Company and/or the Employer, (b) withholding from proceeds of the sale of Shares under the Plan, either through a voluntary sale or through a mandatory sale arranged by the Company (on the Optionee’s behalf pursuant to this authorization without further consent) to cover the Tax-Related Items required to be withheld, and (c) withholding in Shares to be issued upon exercise of the Options.</w:t>
      </w:r>
    </w:p>
    <w:p>
      <w:pPr>
        <w:spacing w:after="0" w:line="384"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0"/>
          <w:szCs w:val="20"/>
          <w:color w:val="auto"/>
        </w:rPr>
        <w:t>If the obligation for Tax-Related Items is satisfied by withholding in Shares, for tax purposes, the Optionee will be deemed to have been issued the full number of Shares, notwithstanding that a number of the Shares are held back solely for the purpose of paying the Tax-Related Items.</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3.2</w:t>
      </w:r>
      <w:r>
        <w:rPr>
          <w:sz w:val="20"/>
          <w:szCs w:val="20"/>
          <w:color w:val="auto"/>
        </w:rPr>
        <w:tab/>
      </w:r>
      <w:r>
        <w:rPr>
          <w:rFonts w:ascii="Arial" w:cs="Arial" w:eastAsia="Arial" w:hAnsi="Arial"/>
          <w:sz w:val="16"/>
          <w:szCs w:val="16"/>
          <w:u w:val="single" w:color="auto"/>
          <w:color w:val="auto"/>
        </w:rPr>
        <w:t>Nature of Grant</w:t>
      </w:r>
      <w:r>
        <w:rPr>
          <w:rFonts w:ascii="Arial" w:cs="Arial" w:eastAsia="Arial" w:hAnsi="Arial"/>
          <w:sz w:val="16"/>
          <w:szCs w:val="16"/>
          <w:color w:val="auto"/>
        </w:rPr>
        <w:t>. By accepting the Option, the Optionee acknowledges, understands and agrees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28" w:right="339" w:bottom="1440" w:gutter="0" w:footer="0" w:header="0"/>
        </w:sectPr>
      </w:pPr>
    </w:p>
    <w:bookmarkStart w:id="163" w:name="page164"/>
    <w:bookmarkEnd w:id="163"/>
    <w:p>
      <w:pPr>
        <w:ind w:left="-20" w:right="300" w:firstLine="656"/>
        <w:spacing w:after="0" w:line="246" w:lineRule="auto"/>
        <w:tabs>
          <w:tab w:leader="none" w:pos="149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terminated, suspended or amended by the Company at any time, to the extent permitted by the Plan;</w:t>
      </w:r>
    </w:p>
    <w:p>
      <w:pPr>
        <w:spacing w:after="0" w:line="392" w:lineRule="exact"/>
        <w:rPr>
          <w:rFonts w:ascii="Arial" w:cs="Arial" w:eastAsia="Arial" w:hAnsi="Arial"/>
          <w:sz w:val="20"/>
          <w:szCs w:val="20"/>
          <w:color w:val="auto"/>
        </w:rPr>
      </w:pPr>
    </w:p>
    <w:p>
      <w:pPr>
        <w:ind w:left="-20" w:right="60" w:firstLine="656"/>
        <w:spacing w:after="0" w:line="246" w:lineRule="auto"/>
        <w:tabs>
          <w:tab w:leader="none" w:pos="150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grant of the Option is voluntary and does not create any contractual or other right to receive future Options or benefits in lieu of Options, even if Options have been granted in the past;</w:t>
      </w:r>
    </w:p>
    <w:p>
      <w:pPr>
        <w:spacing w:after="0" w:line="392" w:lineRule="exact"/>
        <w:rPr>
          <w:rFonts w:ascii="Arial" w:cs="Arial" w:eastAsia="Arial" w:hAnsi="Arial"/>
          <w:sz w:val="20"/>
          <w:szCs w:val="20"/>
          <w:color w:val="auto"/>
        </w:rPr>
      </w:pPr>
    </w:p>
    <w:p>
      <w:pPr>
        <w:ind w:left="1500" w:hanging="864"/>
        <w:spacing w:after="0"/>
        <w:tabs>
          <w:tab w:leader="none" w:pos="15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all decisions with respect to future Options or other grants, if any, will be at the sole discretion of the Company;</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20" w:firstLine="656"/>
        <w:spacing w:after="0" w:line="275" w:lineRule="auto"/>
        <w:tabs>
          <w:tab w:leader="none" w:pos="150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grant of the Option and the Optionee’s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Optionee’s employment relationship (if any);</w:t>
      </w:r>
    </w:p>
    <w:p>
      <w:pPr>
        <w:spacing w:after="0" w:line="368" w:lineRule="exact"/>
        <w:rPr>
          <w:rFonts w:ascii="Arial" w:cs="Arial" w:eastAsia="Arial" w:hAnsi="Arial"/>
          <w:sz w:val="18"/>
          <w:szCs w:val="18"/>
          <w:color w:val="auto"/>
        </w:rPr>
      </w:pPr>
    </w:p>
    <w:p>
      <w:pPr>
        <w:ind w:left="1500" w:hanging="864"/>
        <w:spacing w:after="0"/>
        <w:tabs>
          <w:tab w:leader="none" w:pos="15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Optionee is voluntarily participating in the Plan;</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20" w:firstLine="656"/>
        <w:spacing w:after="0" w:line="246" w:lineRule="auto"/>
        <w:tabs>
          <w:tab w:leader="none" w:pos="147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Option and any Shares acquired under the Plan, and the income from and value of the same, are not intended to replace any pension rights or compensation;</w:t>
      </w:r>
    </w:p>
    <w:p>
      <w:pPr>
        <w:spacing w:after="0" w:line="392" w:lineRule="exact"/>
        <w:rPr>
          <w:rFonts w:ascii="Arial" w:cs="Arial" w:eastAsia="Arial" w:hAnsi="Arial"/>
          <w:sz w:val="20"/>
          <w:szCs w:val="20"/>
          <w:color w:val="auto"/>
        </w:rPr>
      </w:pPr>
    </w:p>
    <w:p>
      <w:pPr>
        <w:ind w:left="-20" w:right="20" w:firstLine="656"/>
        <w:spacing w:after="0" w:line="254" w:lineRule="auto"/>
        <w:tabs>
          <w:tab w:leader="none" w:pos="150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and the income from and value of the same, are extraordinary items that do not constitute compensation of any kind for services of any kind rendered to the Company or the Employer, and which are outside the scope of the Optionee’s employment and the Optionee’s employment or service agreement, if any;</w:t>
      </w:r>
    </w:p>
    <w:p>
      <w:pPr>
        <w:spacing w:after="0" w:line="386" w:lineRule="exact"/>
        <w:rPr>
          <w:rFonts w:ascii="Arial" w:cs="Arial" w:eastAsia="Arial" w:hAnsi="Arial"/>
          <w:sz w:val="19"/>
          <w:szCs w:val="19"/>
          <w:color w:val="auto"/>
        </w:rPr>
      </w:pPr>
    </w:p>
    <w:p>
      <w:pPr>
        <w:ind w:left="-20" w:right="40" w:firstLine="656"/>
        <w:spacing w:after="0" w:line="234" w:lineRule="auto"/>
        <w:tabs>
          <w:tab w:leader="none" w:pos="150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Option and any Shares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399" w:lineRule="exact"/>
        <w:rPr>
          <w:rFonts w:ascii="Arial" w:cs="Arial" w:eastAsia="Arial" w:hAnsi="Arial"/>
          <w:sz w:val="20"/>
          <w:szCs w:val="20"/>
          <w:color w:val="auto"/>
        </w:rPr>
      </w:pPr>
    </w:p>
    <w:p>
      <w:pPr>
        <w:ind w:left="-20" w:right="60" w:firstLine="656"/>
        <w:spacing w:after="0" w:line="246" w:lineRule="auto"/>
        <w:tabs>
          <w:tab w:leader="none" w:pos="146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 and the value of such Shares may increase or decrease in the future;</w:t>
      </w:r>
    </w:p>
    <w:p>
      <w:pPr>
        <w:spacing w:after="0" w:line="392" w:lineRule="exact"/>
        <w:rPr>
          <w:rFonts w:ascii="Arial" w:cs="Arial" w:eastAsia="Arial" w:hAnsi="Arial"/>
          <w:sz w:val="20"/>
          <w:szCs w:val="20"/>
          <w:color w:val="auto"/>
        </w:rPr>
      </w:pPr>
    </w:p>
    <w:p>
      <w:pPr>
        <w:ind w:left="1480" w:hanging="844"/>
        <w:spacing w:after="0"/>
        <w:tabs>
          <w:tab w:leader="none" w:pos="14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the underlying Shares do not increase in value, the Option will have no value;</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20" w:firstLine="656"/>
        <w:spacing w:after="0" w:line="246" w:lineRule="auto"/>
        <w:tabs>
          <w:tab w:leader="none" w:pos="150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the Optionee exercises the Option and acquires Shares, the value of such Shares may increase or decrease in value, even below the Exercise Price;</w:t>
      </w:r>
    </w:p>
    <w:p>
      <w:pPr>
        <w:spacing w:after="0" w:line="392" w:lineRule="exact"/>
        <w:rPr>
          <w:rFonts w:ascii="Arial" w:cs="Arial" w:eastAsia="Arial" w:hAnsi="Arial"/>
          <w:sz w:val="20"/>
          <w:szCs w:val="20"/>
          <w:color w:val="auto"/>
        </w:rPr>
      </w:pPr>
    </w:p>
    <w:p>
      <w:pPr>
        <w:ind w:left="-20" w:right="40" w:firstLine="656"/>
        <w:spacing w:after="0" w:line="234" w:lineRule="auto"/>
        <w:tabs>
          <w:tab w:leader="none" w:pos="146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Option resulting from termination of the Optionee’s employment (regardless of the reason for the termination and whether or not the termination is later found to be invalid or in breach of employment laws in the jurisdiction where the Optionee is employed or the terms of the Optionee’s employment or service agreement, if any); and</w:t>
      </w:r>
    </w:p>
    <w:p>
      <w:pPr>
        <w:spacing w:after="0" w:line="399" w:lineRule="exact"/>
        <w:rPr>
          <w:rFonts w:ascii="Arial" w:cs="Arial" w:eastAsia="Arial" w:hAnsi="Arial"/>
          <w:sz w:val="20"/>
          <w:szCs w:val="20"/>
          <w:color w:val="auto"/>
        </w:rPr>
      </w:pPr>
    </w:p>
    <w:p>
      <w:pPr>
        <w:ind w:left="-20" w:right="260" w:firstLine="656"/>
        <w:spacing w:after="0" w:line="237" w:lineRule="auto"/>
        <w:tabs>
          <w:tab w:leader="none" w:pos="156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neither the Company, the Employer nor any other Subsidiary shall be liable for any foreign exchange rate fluctuation between the Optionee’s local currency and the United States Dollar that may affect the value of the Shares or any amounts due pursuant to the issuance of the Shares, or the subsequent sale of any Shares acquired under the Plan.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40" w:top="555" w:right="359" w:bottom="1440" w:gutter="0" w:footer="0" w:header="0"/>
        </w:sectPr>
      </w:pPr>
    </w:p>
    <w:bookmarkStart w:id="164" w:name="page165"/>
    <w:bookmarkEnd w:id="164"/>
    <w:p>
      <w:pPr>
        <w:ind w:right="140"/>
        <w:spacing w:after="0" w:line="250" w:lineRule="auto"/>
        <w:rPr>
          <w:sz w:val="20"/>
          <w:szCs w:val="20"/>
          <w:color w:val="auto"/>
        </w:rPr>
      </w:pPr>
      <w:r>
        <w:rPr>
          <w:rFonts w:ascii="Arial" w:cs="Arial" w:eastAsia="Arial" w:hAnsi="Arial"/>
          <w:sz w:val="20"/>
          <w:szCs w:val="20"/>
          <w:u w:val="single" w:color="auto"/>
          <w:color w:val="auto"/>
        </w:rPr>
        <w:t>Section 3.3 Shares Subject to Plan; Restrictions on the Transfer of Option and Company Common Stock</w:t>
      </w:r>
      <w:r>
        <w:rPr>
          <w:rFonts w:ascii="Arial" w:cs="Arial" w:eastAsia="Arial" w:hAnsi="Arial"/>
          <w:sz w:val="20"/>
          <w:szCs w:val="20"/>
          <w:color w:val="auto"/>
        </w:rPr>
        <w:t>. The Optionee acknowledges that this Option and any Shares acquired upon exercise of the Option are subject to the terms of the Plan, including, without limitation, the restrictions set forth in Sections 5.7 and 5.8 of the Plan.</w:t>
      </w:r>
    </w:p>
    <w:p>
      <w:pPr>
        <w:spacing w:after="0" w:line="200" w:lineRule="exact"/>
        <w:rPr>
          <w:sz w:val="20"/>
          <w:szCs w:val="20"/>
          <w:color w:val="auto"/>
        </w:rPr>
      </w:pP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u w:val="single" w:color="auto"/>
          <w:color w:val="auto"/>
        </w:rPr>
        <w:t>Section 3.4 Registration of Shares</w:t>
      </w:r>
      <w:r>
        <w:rPr>
          <w:rFonts w:ascii="Arial" w:cs="Arial" w:eastAsia="Arial" w:hAnsi="Arial"/>
          <w:sz w:val="19"/>
          <w:szCs w:val="19"/>
          <w:color w:val="auto"/>
        </w:rPr>
        <w:t>.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of 1933, as amended from time to time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are not then so registered, such sale would be exempt from the registration requirements of 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3.5</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administered, interpreted and enforced under the laws of the State of Delaware.</w:t>
      </w:r>
    </w:p>
    <w:p>
      <w:pPr>
        <w:spacing w:after="0" w:line="200" w:lineRule="exact"/>
        <w:rPr>
          <w:sz w:val="20"/>
          <w:szCs w:val="20"/>
          <w:color w:val="auto"/>
        </w:rPr>
      </w:pPr>
    </w:p>
    <w:p>
      <w:pPr>
        <w:spacing w:after="0" w:line="23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Section 3.6 Conformity to Securities Laws</w:t>
      </w:r>
      <w:r>
        <w:rPr>
          <w:rFonts w:ascii="Arial" w:cs="Arial" w:eastAsia="Arial" w:hAnsi="Arial"/>
          <w:sz w:val="20"/>
          <w:szCs w:val="20"/>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200" w:lineRule="exact"/>
        <w:rPr>
          <w:sz w:val="20"/>
          <w:szCs w:val="20"/>
          <w:color w:val="auto"/>
        </w:rPr>
      </w:pPr>
    </w:p>
    <w:p>
      <w:pPr>
        <w:spacing w:after="0" w:line="212"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u w:val="single" w:color="auto"/>
          <w:color w:val="auto"/>
        </w:rPr>
        <w:t>Section 3.7 Amendment, Suspension and Termination</w:t>
      </w:r>
      <w:r>
        <w:rPr>
          <w:rFonts w:ascii="Arial" w:cs="Arial" w:eastAsia="Arial" w:hAnsi="Arial"/>
          <w:sz w:val="19"/>
          <w:szCs w:val="19"/>
          <w:color w:val="auto"/>
        </w:rPr>
        <w:t xml:space="preserve">. The Option may be wholly or partially amended or otherwise modified, suspended or terminated at any time or from time to time by the Administrator or the Board, </w:t>
      </w:r>
      <w:r>
        <w:rPr>
          <w:rFonts w:ascii="Arial" w:cs="Arial" w:eastAsia="Arial" w:hAnsi="Arial"/>
          <w:sz w:val="19"/>
          <w:szCs w:val="19"/>
          <w:i w:val="1"/>
          <w:iCs w:val="1"/>
          <w:color w:val="auto"/>
        </w:rPr>
        <w:t>provided that</w:t>
      </w:r>
      <w:r>
        <w:rPr>
          <w:rFonts w:ascii="Arial" w:cs="Arial" w:eastAsia="Arial" w:hAnsi="Arial"/>
          <w:sz w:val="19"/>
          <w:szCs w:val="19"/>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392" w:lineRule="exact"/>
        <w:rPr>
          <w:sz w:val="20"/>
          <w:szCs w:val="20"/>
          <w:color w:val="auto"/>
        </w:rPr>
      </w:pPr>
    </w:p>
    <w:p>
      <w:pPr>
        <w:spacing w:after="0" w:line="276" w:lineRule="auto"/>
        <w:rPr>
          <w:sz w:val="20"/>
          <w:szCs w:val="20"/>
          <w:color w:val="auto"/>
        </w:rPr>
      </w:pPr>
      <w:r>
        <w:rPr>
          <w:rFonts w:ascii="Arial" w:cs="Arial" w:eastAsia="Arial" w:hAnsi="Arial"/>
          <w:sz w:val="18"/>
          <w:szCs w:val="18"/>
          <w:u w:val="single" w:color="auto"/>
          <w:color w:val="auto"/>
        </w:rPr>
        <w:t>Section 3.8 Employee Data Privacy</w:t>
      </w:r>
      <w:r>
        <w:rPr>
          <w:rFonts w:ascii="Arial" w:cs="Arial" w:eastAsia="Arial" w:hAnsi="Arial"/>
          <w:sz w:val="18"/>
          <w:szCs w:val="18"/>
          <w:color w:val="auto"/>
        </w:rPr>
        <w:t>. The collection, use, disclosure and transfer, in electronic or other form, of personally identifiable information by and among, as applicable, the Company and its Subsidiaries and Affiliates for the purpose of implementing, administering and managing the Optionee’s participation in the Plan is governed by the Employee Privacy Notice (the “</w:t>
      </w:r>
      <w:r>
        <w:rPr>
          <w:rFonts w:ascii="Arial" w:cs="Arial" w:eastAsia="Arial" w:hAnsi="Arial"/>
          <w:sz w:val="18"/>
          <w:szCs w:val="18"/>
          <w:u w:val="single" w:color="auto"/>
          <w:color w:val="auto"/>
        </w:rPr>
        <w:t>Privacy Notice</w:t>
      </w:r>
      <w:r>
        <w:rPr>
          <w:rFonts w:ascii="Arial" w:cs="Arial" w:eastAsia="Arial" w:hAnsi="Arial"/>
          <w:sz w:val="18"/>
          <w:szCs w:val="18"/>
          <w:color w:val="auto"/>
        </w:rPr>
        <w:t>”) that Optionee received in the course of his or her relationship with the Company. The Optionee understands that he or she may review the Privacy Notice or contact his or her local human resources representative to request a copy of the Privacy Notice. Please contact ethics@bah.com if the Optionee has any questions or concerns about how the Company or its Subsidiaries and Affiliates process personally identifiable information.</w:t>
      </w:r>
    </w:p>
    <w:p>
      <w:pPr>
        <w:spacing w:after="0" w:line="38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u w:val="single" w:color="auto"/>
          <w:color w:val="auto"/>
        </w:rPr>
        <w:t>Section 3.9 No Advice Regarding Grant</w:t>
      </w:r>
      <w:r>
        <w:rPr>
          <w:rFonts w:ascii="Arial" w:cs="Arial" w:eastAsia="Arial" w:hAnsi="Arial"/>
          <w:sz w:val="20"/>
          <w:szCs w:val="20"/>
          <w:color w:val="auto"/>
        </w:rPr>
        <w:t>. The Optionee acknowledges that neither the Company nor the Employer are providing any tax, legal or financial advice, nor is the Company or the Employer making any recommendations regarding the Optionee’s participation in the Plan. The Optionee should consult his or her own personal tax, legal and financial advisors regarding the Optionee’s participation in the Plan before taking any action related to the Plan.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55" w:right="339" w:bottom="1440" w:gutter="0" w:footer="0" w:header="0"/>
        </w:sectPr>
      </w:pPr>
    </w:p>
    <w:bookmarkStart w:id="165" w:name="page166"/>
    <w:bookmarkEnd w:id="165"/>
    <w:p>
      <w:pPr>
        <w:ind w:right="120"/>
        <w:spacing w:after="0" w:line="244" w:lineRule="auto"/>
        <w:rPr>
          <w:sz w:val="20"/>
          <w:szCs w:val="20"/>
          <w:color w:val="auto"/>
        </w:rPr>
      </w:pPr>
      <w:r>
        <w:rPr>
          <w:rFonts w:ascii="Arial" w:cs="Arial" w:eastAsia="Arial" w:hAnsi="Arial"/>
          <w:sz w:val="20"/>
          <w:szCs w:val="20"/>
          <w:u w:val="single" w:color="auto"/>
          <w:color w:val="auto"/>
        </w:rPr>
        <w:t>Section 3.10 Country-Specific Provisions</w:t>
      </w:r>
      <w:r>
        <w:rPr>
          <w:rFonts w:ascii="Arial" w:cs="Arial" w:eastAsia="Arial" w:hAnsi="Arial"/>
          <w:sz w:val="20"/>
          <w:szCs w:val="20"/>
          <w:color w:val="auto"/>
        </w:rPr>
        <w:t xml:space="preserve">. The Optionee’s participation in the Plan shall be subject to any special terms and conditions set forth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attached hereto for the Optionee’s country. Moreover, if the Optionee relocates to one of the countries included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the special terms and conditions for such country will apply to the Optionee, to the extent the Company determines that the application of such terms and conditions is necessary or advisable for legal or administrative reasons.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constitutes part of this Agreement.</w:t>
      </w:r>
    </w:p>
    <w:p>
      <w:pPr>
        <w:spacing w:after="0" w:line="329"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u w:val="single" w:color="auto"/>
          <w:color w:val="auto"/>
        </w:rPr>
        <w:t>Section 3.11 Other Requirements</w:t>
      </w:r>
      <w:r>
        <w:rPr>
          <w:rFonts w:ascii="Arial" w:cs="Arial" w:eastAsia="Arial" w:hAnsi="Arial"/>
          <w:sz w:val="18"/>
          <w:szCs w:val="18"/>
          <w:color w:val="auto"/>
        </w:rPr>
        <w:t>. The Company reserves the right to impose other requirements on the Optionee’s participation in the Plan and on any Shares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9"/>
          <w:szCs w:val="19"/>
          <w:u w:val="single" w:color="auto"/>
          <w:color w:val="auto"/>
        </w:rPr>
        <w:t>Section 3.12 Electronic Delivery</w:t>
      </w:r>
      <w:r>
        <w:rPr>
          <w:rFonts w:ascii="Arial" w:cs="Arial" w:eastAsia="Arial" w:hAnsi="Arial"/>
          <w:sz w:val="19"/>
          <w:szCs w:val="19"/>
          <w:color w:val="auto"/>
        </w:rPr>
        <w:t>. The Company may, in its sole discretion, decide to deliver any documents related to any Option granted under the Plan by electronic means or request the Optionee’s consent to participate in the Plan by electronic means. The Optionee hereby explicitly and unambiguously consents to receive such documents (including, without limitation, information required to be delivered to the Optionee pursuant to applicable securities laws) by electronic delivery and, if requested, agrees to participate in the Plan through an on-line or electronic system established and maintained by the Company or another third 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 party administrator with a paper copy of any documents if the attempted electronic delivery of such documents fails.</w:t>
      </w:r>
    </w:p>
    <w:p>
      <w:pPr>
        <w:spacing w:after="0" w:line="32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u w:val="single" w:color="auto"/>
          <w:color w:val="auto"/>
        </w:rPr>
        <w:t>Section 3.13</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351" w:lineRule="exact"/>
        <w:rPr>
          <w:sz w:val="20"/>
          <w:szCs w:val="20"/>
          <w:color w:val="auto"/>
        </w:rPr>
      </w:pPr>
    </w:p>
    <w:p>
      <w:pPr>
        <w:jc w:val="both"/>
        <w:ind w:right="400" w:firstLine="656"/>
        <w:spacing w:after="0" w:line="291" w:lineRule="auto"/>
        <w:tabs>
          <w:tab w:leader="none" w:pos="10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Optionee shall have no rights as a stockholder of the Company with respect to the shares of Company Common Stock subject to this Agreement until such time as the purchase price has been paid and the other requirements of Section 2.8 above have been satisfied, and the shares of Company Common Stock have been issued and delivered to the Optionee.</w:t>
      </w:r>
    </w:p>
    <w:p>
      <w:pPr>
        <w:spacing w:after="0" w:line="286" w:lineRule="exact"/>
        <w:rPr>
          <w:rFonts w:ascii="Arial" w:cs="Arial" w:eastAsia="Arial" w:hAnsi="Arial"/>
          <w:sz w:val="18"/>
          <w:szCs w:val="18"/>
          <w:color w:val="auto"/>
        </w:rPr>
      </w:pPr>
    </w:p>
    <w:p>
      <w:pPr>
        <w:ind w:right="500" w:firstLine="656"/>
        <w:spacing w:after="0" w:line="260" w:lineRule="auto"/>
        <w:tabs>
          <w:tab w:leader="none" w:pos="105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This Agreement shall be subject to all applicable laws, rules, and regulations, and to such approvals by any governmental agencies or United States or foreign securities exchanges as may be required.</w:t>
      </w:r>
    </w:p>
    <w:p>
      <w:pPr>
        <w:spacing w:after="0" w:line="311" w:lineRule="exact"/>
        <w:rPr>
          <w:rFonts w:ascii="Arial" w:cs="Arial" w:eastAsia="Arial" w:hAnsi="Arial"/>
          <w:sz w:val="20"/>
          <w:szCs w:val="20"/>
          <w:color w:val="auto"/>
        </w:rPr>
      </w:pPr>
    </w:p>
    <w:p>
      <w:pPr>
        <w:ind w:right="120" w:firstLine="656"/>
        <w:spacing w:after="0" w:line="269" w:lineRule="auto"/>
        <w:tabs>
          <w:tab w:leader="none" w:pos="104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Optionee acknowledges that the Company is organized under the laws of the State of Delaware, U.S.A. The Optionee and the Company agree that this Agreement shall be construed in accordance with and governed by the laws of the State of Delaware, U.S.A., without reference to principles of conflict of laws that would apply the laws of any other jurisdiction.</w:t>
      </w:r>
    </w:p>
    <w:p>
      <w:pPr>
        <w:spacing w:after="0" w:line="304" w:lineRule="exact"/>
        <w:rPr>
          <w:rFonts w:ascii="Arial" w:cs="Arial" w:eastAsia="Arial" w:hAnsi="Arial"/>
          <w:sz w:val="19"/>
          <w:szCs w:val="19"/>
          <w:color w:val="auto"/>
        </w:rPr>
      </w:pPr>
    </w:p>
    <w:p>
      <w:pPr>
        <w:ind w:right="40" w:firstLine="656"/>
        <w:spacing w:after="0" w:line="244" w:lineRule="auto"/>
        <w:tabs>
          <w:tab w:leader="none" w:pos="105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80"/>
          </w:cols>
          <w:pgMar w:left="320" w:top="528" w:right="399" w:bottom="1440" w:gutter="0" w:footer="0" w:header="0"/>
        </w:sectPr>
      </w:pPr>
    </w:p>
    <w:bookmarkStart w:id="166" w:name="page167"/>
    <w:bookmarkEnd w:id="166"/>
    <w:p>
      <w:pPr>
        <w:ind w:right="40"/>
        <w:spacing w:after="0" w:line="282" w:lineRule="auto"/>
        <w:rPr>
          <w:sz w:val="20"/>
          <w:szCs w:val="20"/>
          <w:color w:val="auto"/>
        </w:rPr>
      </w:pPr>
      <w:r>
        <w:rPr>
          <w:rFonts w:ascii="Arial" w:cs="Arial" w:eastAsia="Arial" w:hAnsi="Arial"/>
          <w:sz w:val="18"/>
          <w:szCs w:val="18"/>
          <w:color w:val="auto"/>
        </w:rPr>
        <w:t>breach, shall be in the appropriate state or federal court located in the Commonwealth of Virginia, U.S.A. The Optionee and the Company hereby consent to the personal jurisdiction of such courts over the parties to this 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310" w:lineRule="exact"/>
        <w:rPr>
          <w:sz w:val="20"/>
          <w:szCs w:val="20"/>
          <w:color w:val="auto"/>
        </w:rPr>
      </w:pPr>
    </w:p>
    <w:p>
      <w:pPr>
        <w:ind w:right="400" w:firstLine="656"/>
        <w:spacing w:after="0" w:line="250" w:lineRule="auto"/>
        <w:tabs>
          <w:tab w:leader="none" w:pos="104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47" w:lineRule="exact"/>
        <w:rPr>
          <w:rFonts w:ascii="Arial" w:cs="Arial" w:eastAsia="Arial" w:hAnsi="Arial"/>
          <w:sz w:val="20"/>
          <w:szCs w:val="20"/>
          <w:color w:val="auto"/>
        </w:rPr>
      </w:pPr>
    </w:p>
    <w:p>
      <w:pPr>
        <w:ind w:right="40" w:firstLine="656"/>
        <w:spacing w:after="0" w:line="250" w:lineRule="auto"/>
        <w:tabs>
          <w:tab w:leader="none" w:pos="102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200" w:lineRule="exact"/>
        <w:rPr>
          <w:sz w:val="20"/>
          <w:szCs w:val="20"/>
          <w:color w:val="auto"/>
        </w:rPr>
      </w:pPr>
    </w:p>
    <w:p>
      <w:pPr>
        <w:spacing w:after="0" w:line="304"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00" w:lineRule="exact"/>
        <w:rPr>
          <w:sz w:val="20"/>
          <w:szCs w:val="20"/>
          <w:color w:val="auto"/>
        </w:rPr>
      </w:pP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 xml:space="preserve">Whenever the following terms are used in this Agreement (including the Grant Notice,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Appendix B</w:t>
      </w:r>
      <w:r>
        <w:rPr>
          <w:rFonts w:ascii="Arial" w:cs="Arial" w:eastAsia="Arial" w:hAnsi="Arial"/>
          <w:sz w:val="18"/>
          <w:szCs w:val="18"/>
          <w:color w:val="auto"/>
        </w:rPr>
        <w: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31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4.1</w:t>
      </w:r>
      <w:r>
        <w:rPr>
          <w:sz w:val="20"/>
          <w:szCs w:val="20"/>
          <w:color w:val="auto"/>
        </w:rPr>
        <w:tab/>
      </w:r>
      <w:r>
        <w:rPr>
          <w:rFonts w:ascii="Arial" w:cs="Arial" w:eastAsia="Arial" w:hAnsi="Arial"/>
          <w:sz w:val="18"/>
          <w:szCs w:val="18"/>
          <w:color w:val="auto"/>
        </w:rPr>
        <w:t>“Company” shall mean Booz Allen Hamilton Holding Corporation, a Delaware corporation.</w:t>
      </w:r>
    </w:p>
    <w:p>
      <w:pPr>
        <w:spacing w:after="0" w:line="378"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“Employer” means the Company, or, if the Optionee is not employed by the Company, the Subsidiary that employs the Optionee.</w:t>
      </w:r>
    </w:p>
    <w:p>
      <w:pPr>
        <w:spacing w:after="0" w:line="33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4.3</w:t>
      </w:r>
      <w:r>
        <w:rPr>
          <w:sz w:val="20"/>
          <w:szCs w:val="20"/>
          <w:color w:val="auto"/>
        </w:rPr>
        <w:tab/>
      </w:r>
      <w:r>
        <w:rPr>
          <w:rFonts w:ascii="Arial" w:cs="Arial" w:eastAsia="Arial" w:hAnsi="Arial"/>
          <w:sz w:val="16"/>
          <w:szCs w:val="16"/>
          <w:color w:val="auto"/>
        </w:rPr>
        <w:t>“Exchange Act” shall mean the Securities and Exchange Act of 1934, as amended.</w:t>
      </w:r>
    </w:p>
    <w:p>
      <w:pPr>
        <w:spacing w:after="0" w:line="37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“Exercise Price” shall mean the Fair Market Value of a share of Common Stock on the grant date of the Option, determined in accordance with the provisions of the Plan, which Exercise Price has been communicated to the Optionee in a communication accompanying the Grant Notice.</w:t>
      </w:r>
    </w:p>
    <w:p>
      <w:pPr>
        <w:spacing w:after="0" w:line="348"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4.5</w:t>
      </w:r>
      <w:r>
        <w:rPr>
          <w:sz w:val="20"/>
          <w:szCs w:val="20"/>
          <w:color w:val="auto"/>
        </w:rPr>
        <w:tab/>
      </w:r>
      <w:r>
        <w:rPr>
          <w:rFonts w:ascii="Arial" w:cs="Arial" w:eastAsia="Arial" w:hAnsi="Arial"/>
          <w:sz w:val="18"/>
          <w:szCs w:val="18"/>
          <w:color w:val="auto"/>
        </w:rPr>
        <w:t>“Final Expiration Date” shall mean the date set forth in the Grant Notice.</w:t>
      </w:r>
    </w:p>
    <w:p>
      <w:pPr>
        <w:spacing w:after="0" w:line="378"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“Grant Notice” shall mean the Grant Notice referred to in Section 1.1 of this Agreement, including </w:t>
      </w:r>
      <w:r>
        <w:rPr>
          <w:rFonts w:ascii="Arial" w:cs="Arial" w:eastAsia="Arial" w:hAnsi="Arial"/>
          <w:sz w:val="20"/>
          <w:szCs w:val="20"/>
          <w:u w:val="single" w:color="auto"/>
          <w:color w:val="auto"/>
        </w:rPr>
        <w:t>Exhibit A</w:t>
      </w:r>
      <w:r>
        <w:rPr>
          <w:rFonts w:ascii="Arial" w:cs="Arial" w:eastAsia="Arial" w:hAnsi="Arial"/>
          <w:sz w:val="20"/>
          <w:szCs w:val="20"/>
          <w:color w:val="auto"/>
        </w:rPr>
        <w:t>, which Grant Notice is for all purposes a part of the Agreement.</w:t>
      </w:r>
    </w:p>
    <w:p>
      <w:pPr>
        <w:spacing w:after="0" w:line="33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4.7</w:t>
      </w:r>
      <w:r>
        <w:rPr>
          <w:sz w:val="20"/>
          <w:szCs w:val="20"/>
          <w:color w:val="auto"/>
        </w:rPr>
        <w:tab/>
      </w:r>
      <w:r>
        <w:rPr>
          <w:rFonts w:ascii="Arial" w:cs="Arial" w:eastAsia="Arial" w:hAnsi="Arial"/>
          <w:sz w:val="16"/>
          <w:szCs w:val="16"/>
          <w:color w:val="auto"/>
        </w:rPr>
        <w:t>“Option” shall mean the option to purchase Company Common Stock granted under this Agreement.</w:t>
      </w:r>
    </w:p>
    <w:p>
      <w:pPr>
        <w:spacing w:after="0" w:line="378"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Section 4.8</w:t>
      </w:r>
      <w:r>
        <w:rPr>
          <w:sz w:val="20"/>
          <w:szCs w:val="20"/>
          <w:color w:val="auto"/>
        </w:rPr>
        <w:tab/>
      </w:r>
      <w:r>
        <w:rPr>
          <w:rFonts w:ascii="Arial" w:cs="Arial" w:eastAsia="Arial" w:hAnsi="Arial"/>
          <w:sz w:val="16"/>
          <w:szCs w:val="16"/>
          <w:color w:val="auto"/>
        </w:rPr>
        <w:t>“Optionee” shall mean the Person designated as such in the Grant Notice.</w:t>
      </w:r>
    </w:p>
    <w:p>
      <w:pPr>
        <w:spacing w:after="0" w:line="378"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“Plan” shall mean the Third Amended and Restated Equity Incentive Plan of Booz Allen Hamilton Holding Corporation, as amended from time to time.</w:t>
      </w:r>
    </w:p>
    <w:p>
      <w:pPr>
        <w:spacing w:after="0" w:line="33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u w:val="single" w:color="auto"/>
          <w:color w:val="auto"/>
        </w:rPr>
        <w:t>Section 4.10</w:t>
      </w:r>
      <w:r>
        <w:rPr>
          <w:sz w:val="20"/>
          <w:szCs w:val="20"/>
          <w:color w:val="auto"/>
        </w:rPr>
        <w:tab/>
      </w:r>
      <w:r>
        <w:rPr>
          <w:rFonts w:ascii="Arial" w:cs="Arial" w:eastAsia="Arial" w:hAnsi="Arial"/>
          <w:sz w:val="18"/>
          <w:szCs w:val="18"/>
          <w:color w:val="auto"/>
        </w:rPr>
        <w:t>“Retirement” shall have the meaning set forth in the Company’s Retirement Policy.</w:t>
      </w:r>
    </w:p>
    <w:p>
      <w:pPr>
        <w:sectPr>
          <w:pgSz w:w="11900" w:h="16838" w:orient="portrait"/>
          <w:cols w:equalWidth="0" w:num="1">
            <w:col w:w="11220"/>
          </w:cols>
          <w:pgMar w:left="320" w:top="514"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514" w:right="359" w:bottom="1440" w:gutter="0" w:footer="0" w:header="0"/>
          <w:type w:val="continuous"/>
        </w:sectPr>
      </w:pPr>
    </w:p>
    <w:bookmarkStart w:id="167" w:name="page168"/>
    <w:bookmarkEnd w:id="167"/>
    <w:p>
      <w:pPr>
        <w:spacing w:after="0"/>
        <w:tabs>
          <w:tab w:leader="none" w:pos="1200" w:val="left"/>
        </w:tabs>
        <w:rPr>
          <w:sz w:val="20"/>
          <w:szCs w:val="20"/>
          <w:color w:val="auto"/>
        </w:rPr>
      </w:pPr>
      <w:r>
        <w:rPr>
          <w:rFonts w:ascii="Arial" w:cs="Arial" w:eastAsia="Arial" w:hAnsi="Arial"/>
          <w:sz w:val="20"/>
          <w:szCs w:val="20"/>
          <w:u w:val="single" w:color="auto"/>
          <w:color w:val="auto"/>
        </w:rPr>
        <w:t>Section 4.11</w:t>
      </w:r>
      <w:r>
        <w:rPr>
          <w:sz w:val="20"/>
          <w:szCs w:val="20"/>
          <w:color w:val="auto"/>
        </w:rPr>
        <w:tab/>
      </w:r>
      <w:r>
        <w:rPr>
          <w:rFonts w:ascii="Arial" w:cs="Arial" w:eastAsia="Arial" w:hAnsi="Arial"/>
          <w:sz w:val="18"/>
          <w:szCs w:val="18"/>
          <w:color w:val="auto"/>
        </w:rPr>
        <w:t>“Shares” shall have the meaning set forth in the Grant Notice.</w:t>
      </w:r>
    </w:p>
    <w:p>
      <w:pPr>
        <w:sectPr>
          <w:pgSz w:w="11900" w:h="16838" w:orient="portrait"/>
          <w:cols w:equalWidth="0" w:num="1">
            <w:col w:w="10139"/>
          </w:cols>
          <w:pgMar w:left="320" w:top="555"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39"/>
          </w:cols>
          <w:pgMar w:left="320" w:top="555" w:right="1440"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List of Subsidiaries of Booz Allen Hamilton Holding Corporation</w:t>
      </w:r>
    </w:p>
    <w:p>
      <w:pPr>
        <w:sectPr>
          <w:pgSz w:w="11900" w:h="16838" w:orient="portrait"/>
          <w:cols w:equalWidth="0" w:num="1">
            <w:col w:w="11240"/>
          </w:cols>
          <w:pgMar w:left="320" w:top="562" w:right="3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171" w:lineRule="exact"/>
        <w:rPr>
          <w:sz w:val="20"/>
          <w:szCs w:val="20"/>
          <w:color w:val="auto"/>
        </w:rPr>
      </w:pPr>
    </w:p>
    <w:p>
      <w:pPr>
        <w:sectPr>
          <w:pgSz w:w="11900" w:h="16838" w:orient="portrait"/>
          <w:cols w:equalWidth="0" w:num="2">
            <w:col w:w="6600" w:space="720"/>
            <w:col w:w="3920"/>
          </w:cols>
          <w:pgMar w:left="320" w:top="562"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Booz Allen Cyber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Consulting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(Dubai)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Egypt,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Holding Co.,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Services,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Lebanon S.a.r.l.</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7"/>
          <w:szCs w:val="17"/>
          <w:color w:val="auto"/>
        </w:rPr>
        <w:t>Booz Allen Hamilton Intellectual Property Holdings, LLC</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(U.K.)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Investor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Netherlands BV</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Philippines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Saudi</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Booz Allen Hamilton Singapore Holding Company Pte. Ltd.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Singapore LLP</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Tanzania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Epidemico,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(Ireland)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PT Booz Allen Hamilton Indonesia</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SDI Technology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Morphick,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eGov Holdings,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Aquilent,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Cloud Solutions Group,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Epic Acquisition Software,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II,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Nextgen-H Integration Services,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Riverside Engineering,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Shore Systems and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Dubai, UAE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20"/>
          </w:cols>
          <w:pgMar w:left="320" w:top="562" w:right="33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83" w:lineRule="exact"/>
        <w:rPr>
          <w:sz w:val="20"/>
          <w:szCs w:val="20"/>
          <w:color w:val="auto"/>
        </w:rPr>
      </w:pPr>
    </w:p>
    <w:p>
      <w:pPr>
        <w:ind w:left="660" w:right="120" w:hanging="328"/>
        <w:spacing w:after="0" w:line="267" w:lineRule="auto"/>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Form S-8 (No 333-205956) pertaining to the Second Amended and Restated Equity Incentive Plan of Booz Allen Hamilton Holding Corporation, as amended</w:t>
      </w:r>
    </w:p>
    <w:p>
      <w:pPr>
        <w:spacing w:after="0" w:line="1" w:lineRule="exact"/>
        <w:rPr>
          <w:rFonts w:ascii="Arial" w:cs="Arial" w:eastAsia="Arial" w:hAnsi="Arial"/>
          <w:sz w:val="20"/>
          <w:szCs w:val="20"/>
          <w:color w:val="auto"/>
        </w:rPr>
      </w:pPr>
    </w:p>
    <w:p>
      <w:pPr>
        <w:ind w:left="660" w:right="560" w:hanging="328"/>
        <w:spacing w:after="0" w:line="278" w:lineRule="auto"/>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Form S-8 (No 333-171288) pertaining to the Amended and Restated Equity Incentive Plan of Booz Allen Hamilton Holding Corporation, as amended, Booz Allen Hamilton Holding Corporation Officers’ Rollover Stock Plan, and Booz Allen Hamilton Holding Corporation Employee Stock Purchase Plan</w:t>
      </w:r>
    </w:p>
    <w:p>
      <w:pPr>
        <w:spacing w:after="0" w:line="227" w:lineRule="exact"/>
        <w:rPr>
          <w:sz w:val="20"/>
          <w:szCs w:val="20"/>
          <w:color w:val="auto"/>
        </w:rPr>
      </w:pPr>
    </w:p>
    <w:p>
      <w:pPr>
        <w:jc w:val="both"/>
        <w:ind w:right="280"/>
        <w:spacing w:after="0" w:line="278" w:lineRule="auto"/>
        <w:rPr>
          <w:sz w:val="20"/>
          <w:szCs w:val="20"/>
          <w:color w:val="auto"/>
        </w:rPr>
      </w:pPr>
      <w:r>
        <w:rPr>
          <w:rFonts w:ascii="Arial" w:cs="Arial" w:eastAsia="Arial" w:hAnsi="Arial"/>
          <w:sz w:val="20"/>
          <w:szCs w:val="20"/>
          <w:color w:val="auto"/>
        </w:rPr>
        <w:t>of our reports dated May 26, 2020,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2020.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Tysons, Virginia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May 26, 2020</w:t>
      </w:r>
    </w:p>
    <w:p>
      <w:pPr>
        <w:sectPr>
          <w:pgSz w:w="11900" w:h="16838" w:orient="portrait"/>
          <w:cols w:equalWidth="0" w:num="1">
            <w:col w:w="11240"/>
          </w:cols>
          <w:pgMar w:left="320" w:top="13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6980" w:val="left"/>
          <w:tab w:leader="none" w:pos="7440" w:val="left"/>
        </w:tabs>
        <w:rPr>
          <w:sz w:val="20"/>
          <w:szCs w:val="20"/>
          <w:color w:val="auto"/>
        </w:rPr>
      </w:pPr>
      <w:r>
        <w:rPr>
          <w:rFonts w:ascii="Arial" w:cs="Arial" w:eastAsia="Arial" w:hAnsi="Arial"/>
          <w:sz w:val="18"/>
          <w:szCs w:val="18"/>
          <w:color w:val="auto"/>
        </w:rPr>
        <w:t>Date: May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8"/>
          <w:szCs w:val="18"/>
          <w:color w:val="auto"/>
        </w:rPr>
        <w:t>Date: May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2020,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60" w:val="left"/>
        </w:tabs>
        <w:rPr>
          <w:sz w:val="20"/>
          <w:szCs w:val="20"/>
          <w:color w:val="auto"/>
        </w:rPr>
      </w:pPr>
      <w:r>
        <w:rPr>
          <w:rFonts w:ascii="Arial" w:cs="Arial" w:eastAsia="Arial" w:hAnsi="Arial"/>
          <w:sz w:val="18"/>
          <w:szCs w:val="18"/>
          <w:color w:val="auto"/>
        </w:rPr>
        <w:t>Date: May 26, 2020</w:t>
      </w:r>
      <w:r>
        <w:rPr>
          <w:sz w:val="20"/>
          <w:szCs w:val="20"/>
          <w:color w:val="auto"/>
        </w:rPr>
        <w:tab/>
      </w:r>
      <w:r>
        <w:rPr>
          <w:rFonts w:ascii="Arial" w:cs="Arial" w:eastAsia="Arial" w:hAnsi="Arial"/>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2020,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18"/>
          <w:szCs w:val="18"/>
          <w:color w:val="auto"/>
        </w:rPr>
        <w:t>Date: May 26, 2020</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1)"/>
      <w:numFmt w:val="lowerLetter"/>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1."/>
      <w:numFmt w:val="decimal"/>
      <w:start w:val="19"/>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lowerLetter"/>
      <w:start w:val="25"/>
    </w:lvl>
  </w:abstractNum>
  <w:abstractNum w:abstractNumId="47">
    <w:nsid w:val="6A5F7029"/>
    <w:multiLevelType w:val="hybridMultilevel"/>
    <w:lvl w:ilvl="0">
      <w:lvlJc w:val="left"/>
      <w:lvlText w:val="(%1)"/>
      <w:numFmt w:val="lowerRoman"/>
      <w:start w:val="5"/>
    </w:lvl>
  </w:abstractNum>
  <w:abstractNum w:abstractNumId="48">
    <w:nsid w:val="7D5E18F8"/>
    <w:multiLevelType w:val="hybridMultilevel"/>
    <w:lvl w:ilvl="0">
      <w:lvlJc w:val="left"/>
      <w:lvlText w:val="(%1)"/>
      <w:numFmt w:val="lowerRoman"/>
      <w:start w:val="11"/>
    </w:lvl>
  </w:abstractNum>
  <w:abstractNum w:abstractNumId="49">
    <w:nsid w:val="5F3534A4"/>
    <w:multiLevelType w:val="hybridMultilevel"/>
    <w:lvl w:ilvl="0">
      <w:lvlJc w:val="left"/>
      <w:lvlText w:val="(%1)"/>
      <w:numFmt w:val="lowerLetter"/>
      <w:start w:val="1"/>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decimal"/>
      <w:start w:val="2"/>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1)"/>
      <w:numFmt w:val="decimal"/>
      <w:start w:val="1"/>
    </w:lvl>
  </w:abstractNum>
  <w:abstractNum w:abstractNumId="54">
    <w:nsid w:val="14FCE74E"/>
    <w:multiLevelType w:val="hybridMultilevel"/>
    <w:lvl w:ilvl="0">
      <w:lvlJc w:val="left"/>
      <w:lvlText w:val="%1."/>
      <w:numFmt w:val="decimal"/>
      <w:start w:val="5"/>
    </w:lvl>
  </w:abstractNum>
  <w:abstractNum w:abstractNumId="55">
    <w:nsid w:val="6A3DD3E8"/>
    <w:multiLevelType w:val="hybridMultilevel"/>
    <w:lvl w:ilvl="0">
      <w:lvlJc w:val="left"/>
      <w:lvlText w:val="%1."/>
      <w:numFmt w:val="decimal"/>
      <w:start w:val="6"/>
    </w:lvl>
  </w:abstractNum>
  <w:abstractNum w:abstractNumId="56">
    <w:nsid w:val="71C91298"/>
    <w:multiLevelType w:val="hybridMultilevel"/>
    <w:lvl w:ilvl="0">
      <w:lvlJc w:val="left"/>
      <w:lvlText w:val="%1."/>
      <w:numFmt w:val="decimal"/>
      <w:start w:val="8"/>
    </w:lvl>
  </w:abstractNum>
  <w:abstractNum w:abstractNumId="57">
    <w:nsid w:val="9DAF632"/>
    <w:multiLevelType w:val="hybridMultilevel"/>
    <w:lvl w:ilvl="0">
      <w:lvlJc w:val="left"/>
      <w:lvlText w:val="(%1)"/>
      <w:numFmt w:val="lowerLetter"/>
      <w:start w:val="25"/>
    </w:lvl>
  </w:abstractNum>
  <w:abstractNum w:abstractNumId="58">
    <w:nsid w:val="53299938"/>
    <w:multiLevelType w:val="hybridMultilevel"/>
    <w:lvl w:ilvl="0">
      <w:lvlJc w:val="left"/>
      <w:lvlText w:val="(%1)"/>
      <w:numFmt w:val="lowerRoman"/>
      <w:start w:val="5"/>
    </w:lvl>
  </w:abstractNum>
  <w:abstractNum w:abstractNumId="59">
    <w:nsid w:val="1FBFE8E0"/>
    <w:multiLevelType w:val="hybridMultilevel"/>
    <w:lvl w:ilvl="0">
      <w:lvlJc w:val="left"/>
      <w:lvlText w:val="(%1)"/>
      <w:numFmt w:val="lowerRoman"/>
      <w:start w:val="11"/>
    </w:lvl>
  </w:abstractNum>
  <w:abstractNum w:abstractNumId="60">
    <w:nsid w:val="5092CA79"/>
    <w:multiLevelType w:val="hybridMultilevel"/>
    <w:lvl w:ilvl="0">
      <w:lvlJc w:val="left"/>
      <w:lvlText w:val="(%1)"/>
      <w:numFmt w:val="decimal"/>
      <w:start w:val="1"/>
    </w:lvl>
  </w:abstractNum>
  <w:abstractNum w:abstractNumId="61">
    <w:nsid w:val="1D545C4D"/>
    <w:multiLevelType w:val="hybridMultilevel"/>
    <w:lvl w:ilvl="0">
      <w:lvlJc w:val="left"/>
      <w:lvlText w:val="(%1)"/>
      <w:numFmt w:val="decimal"/>
      <w:start w:val="1"/>
    </w:lvl>
  </w:abstractNum>
  <w:abstractNum w:abstractNumId="62">
    <w:nsid w:val="59ADEA3D"/>
    <w:multiLevelType w:val="hybridMultilevel"/>
    <w:lvl w:ilvl="0">
      <w:lvlJc w:val="left"/>
      <w:lvlText w:val="(%1)"/>
      <w:numFmt w:val="decimal"/>
      <w:start w:val="1"/>
    </w:lvl>
  </w:abstractNum>
  <w:abstractNum w:abstractNumId="63">
    <w:nsid w:val="288F1A34"/>
    <w:multiLevelType w:val="hybridMultilevel"/>
    <w:lvl w:ilvl="0">
      <w:lvlJc w:val="left"/>
      <w:lvlText w:val="(%1)"/>
      <w:numFmt w:val="decimal"/>
      <w:start w:val="1"/>
    </w:lvl>
  </w:abstractNum>
  <w:abstractNum w:abstractNumId="64">
    <w:nsid w:val="2A155DBC"/>
    <w:multiLevelType w:val="hybridMultilevel"/>
    <w:lvl w:ilvl="0">
      <w:lvlJc w:val="left"/>
      <w:lvlText w:val="(%1)"/>
      <w:numFmt w:val="decimal"/>
      <w:start w:val="2"/>
    </w:lvl>
  </w:abstractNum>
  <w:abstractNum w:abstractNumId="65">
    <w:nsid w:val="1D9F6E5F"/>
    <w:multiLevelType w:val="hybridMultilevel"/>
    <w:lvl w:ilvl="0">
      <w:lvlJc w:val="left"/>
      <w:lvlText w:val="(%1)"/>
      <w:numFmt w:val="decimal"/>
      <w:start w:val="3"/>
    </w:lvl>
  </w:abstractNum>
  <w:abstractNum w:abstractNumId="66">
    <w:nsid w:val="97E1B4E"/>
    <w:multiLevelType w:val="hybridMultilevel"/>
    <w:lvl w:ilvl="0">
      <w:lvlJc w:val="left"/>
      <w:lvlText w:val="(%1)"/>
      <w:numFmt w:val="decimal"/>
      <w:start w:val="1"/>
    </w:lvl>
  </w:abstractNum>
  <w:abstractNum w:abstractNumId="67">
    <w:nsid w:val="51088277"/>
    <w:multiLevelType w:val="hybridMultilevel"/>
    <w:lvl w:ilvl="0">
      <w:lvlJc w:val="left"/>
      <w:lvlText w:val="(%1)"/>
      <w:numFmt w:val="decimal"/>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1)"/>
      <w:numFmt w:val="decimal"/>
      <w:start w:val="1"/>
    </w:lvl>
  </w:abstractNum>
  <w:abstractNum w:abstractNumId="70">
    <w:nsid w:val="415E286C"/>
    <w:multiLevelType w:val="hybridMultilevel"/>
    <w:lvl w:ilvl="0">
      <w:lvlJc w:val="left"/>
      <w:lvlText w:val="(%1)"/>
      <w:numFmt w:val="decimal"/>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1)"/>
      <w:numFmt w:val="lowerLetter"/>
      <w:start w:val="1"/>
    </w:lvl>
    <w:lvl w:ilvl="1">
      <w:lvlJc w:val="left"/>
      <w:lvlText w:val="(%2)"/>
      <w:numFmt w:val="decimal"/>
      <w:start w:val="1"/>
    </w:lvl>
  </w:abstractNum>
  <w:abstractNum w:abstractNumId="73">
    <w:nsid w:val="45E6D486"/>
    <w:multiLevelType w:val="hybridMultilevel"/>
    <w:lvl w:ilvl="0">
      <w:lvlJc w:val="left"/>
      <w:lvlText w:val="(%1)"/>
      <w:numFmt w:val="decimal"/>
      <w:start w:val="2"/>
    </w:lvl>
  </w:abstractNum>
  <w:abstractNum w:abstractNumId="74">
    <w:nsid w:val="5C10FE21"/>
    <w:multiLevelType w:val="hybridMultilevel"/>
    <w:lvl w:ilvl="0">
      <w:lvlJc w:val="left"/>
      <w:lvlText w:val="(%1)"/>
      <w:numFmt w:val="decimal"/>
      <w:start w:val="3"/>
    </w:lvl>
  </w:abstractNum>
  <w:abstractNum w:abstractNumId="75">
    <w:nsid w:val="E7FFA2B"/>
    <w:multiLevelType w:val="hybridMultilevel"/>
    <w:lvl w:ilvl="0">
      <w:lvlJc w:val="left"/>
      <w:lvlText w:val="%1"/>
      <w:numFmt w:val="decimal"/>
      <w:start w:val="21"/>
    </w:lvl>
  </w:abstractNum>
  <w:abstractNum w:abstractNumId="76">
    <w:nsid w:val="3C5991AA"/>
    <w:multiLevelType w:val="hybridMultilevel"/>
    <w:lvl w:ilvl="0">
      <w:lvlJc w:val="left"/>
      <w:lvlText w:val="%1"/>
      <w:numFmt w:val="decimal"/>
      <w:start w:val="23"/>
    </w:lvl>
  </w:abstractNum>
  <w:abstractNum w:abstractNumId="77">
    <w:nsid w:val="4BD8591A"/>
    <w:multiLevelType w:val="hybridMultilevel"/>
    <w:lvl w:ilvl="0">
      <w:lvlJc w:val="left"/>
      <w:lvlText w:val="%1"/>
      <w:numFmt w:val="decimal"/>
      <w:start w:val="10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lvl w:ilvl="1">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lvl w:ilvl="1">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lvl w:ilvl="1">
      <w:lvlJc w:val="left"/>
      <w:lvlText w:val="•"/>
      <w:numFmt w:val="bullet"/>
      <w:start w:val="1"/>
    </w:lvl>
  </w:abstractNum>
  <w:abstractNum w:abstractNumId="99">
    <w:nsid w:val="519E3149"/>
    <w:multiLevelType w:val="hybridMultilevel"/>
    <w:lvl w:ilvl="0">
      <w:lvlJc w:val="left"/>
      <w:lvlText w:val="•"/>
      <w:numFmt w:val="bullet"/>
      <w:start w:val="1"/>
    </w:lvl>
    <w:lvl w:ilvl="1">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1."/>
      <w:numFmt w:val="decimal"/>
      <w:start w:val="1"/>
    </w:lvl>
  </w:abstractNum>
  <w:abstractNum w:abstractNumId="118">
    <w:nsid w:val="E3E47A8"/>
    <w:multiLevelType w:val="hybridMultilevel"/>
    <w:lvl w:ilvl="0">
      <w:lvlJc w:val="left"/>
      <w:lvlText w:val="(%1)"/>
      <w:numFmt w:val="lowerLetter"/>
      <w:start w:val="1"/>
    </w:lvl>
    <w:lvl w:ilvl="1">
      <w:lvlJc w:val="left"/>
      <w:lvlText w:val="(%2)"/>
      <w:numFmt w:val="lowerRoman"/>
      <w:start w:val="1"/>
    </w:lvl>
  </w:abstractNum>
  <w:abstractNum w:abstractNumId="119">
    <w:nsid w:val="2E48F044"/>
    <w:multiLevelType w:val="hybridMultilevel"/>
    <w:lvl w:ilvl="0">
      <w:lvlJc w:val="left"/>
      <w:lvlText w:val="(%1)"/>
      <w:numFmt w:val="lowerLetter"/>
      <w:start w:val="4"/>
    </w:lvl>
  </w:abstractNum>
  <w:abstractNum w:abstractNumId="120">
    <w:nsid w:val="49D0FEAC"/>
    <w:multiLevelType w:val="hybridMultilevel"/>
    <w:lvl w:ilvl="0">
      <w:lvlJc w:val="left"/>
      <w:lvlText w:val="%1."/>
      <w:numFmt w:val="decimal"/>
      <w:start w:val="3"/>
    </w:lvl>
  </w:abstractNum>
  <w:abstractNum w:abstractNumId="121">
    <w:nsid w:val="4BEE5A5B"/>
    <w:multiLevelType w:val="hybridMultilevel"/>
    <w:lvl w:ilvl="0">
      <w:lvlJc w:val="left"/>
      <w:lvlText w:val="%1."/>
      <w:numFmt w:val="decimal"/>
      <w:start w:val="4"/>
    </w:lvl>
  </w:abstractNum>
  <w:abstractNum w:abstractNumId="122">
    <w:nsid w:val="5551B9F3"/>
    <w:multiLevelType w:val="hybridMultilevel"/>
    <w:lvl w:ilvl="0">
      <w:lvlJc w:val="left"/>
      <w:lvlText w:val="(%1)"/>
      <w:numFmt w:val="lowerLetter"/>
      <w:start w:val="1"/>
    </w:lvl>
  </w:abstractNum>
  <w:abstractNum w:abstractNumId="123">
    <w:nsid w:val="24F6AB8E"/>
    <w:multiLevelType w:val="hybridMultilevel"/>
    <w:lvl w:ilvl="0">
      <w:lvlJc w:val="left"/>
      <w:lvlText w:val="%1."/>
      <w:numFmt w:val="decimal"/>
      <w:start w:val="6"/>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decimal"/>
      <w:start w:val="7"/>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lowerLetter"/>
      <w:start w:val="6"/>
    </w:lvl>
  </w:abstractNum>
  <w:abstractNum w:abstractNumId="128">
    <w:nsid w:val="7DFF9D09"/>
    <w:multiLevelType w:val="hybridMultilevel"/>
    <w:lvl w:ilvl="0">
      <w:lvlJc w:val="left"/>
      <w:lvlText w:val="%1."/>
      <w:numFmt w:val="decimal"/>
      <w:start w:val="10"/>
    </w:lvl>
  </w:abstractNum>
  <w:abstractNum w:abstractNumId="129">
    <w:nsid w:val="754342"/>
    <w:multiLevelType w:val="hybridMultilevel"/>
    <w:lvl w:ilvl="0">
      <w:lvlJc w:val="left"/>
      <w:lvlText w:val="(%1)"/>
      <w:numFmt w:val="lowerLetter"/>
      <w:start w:val="1"/>
    </w:lvl>
  </w:abstractNum>
  <w:abstractNum w:abstractNumId="130">
    <w:nsid w:val="69E7F3E5"/>
    <w:multiLevelType w:val="hybridMultilevel"/>
    <w:lvl w:ilvl="0">
      <w:lvlJc w:val="left"/>
      <w:lvlText w:val="(%1)"/>
      <w:numFmt w:val="lowerLetter"/>
      <w:start w:val="7"/>
    </w:lvl>
  </w:abstractNum>
  <w:abstractNum w:abstractNumId="131">
    <w:nsid w:val="2A6DE806"/>
    <w:multiLevelType w:val="hybridMultilevel"/>
    <w:lvl w:ilvl="0">
      <w:lvlJc w:val="left"/>
      <w:lvlText w:val="(%1)"/>
      <w:numFmt w:val="lowerLetter"/>
      <w:start w:val="13"/>
    </w:lvl>
  </w:abstractNum>
  <w:abstractNum w:abstractNumId="132">
    <w:nsid w:val="1816F8C4"/>
    <w:multiLevelType w:val="hybridMultilevel"/>
    <w:lvl w:ilvl="0">
      <w:lvlJc w:val="left"/>
      <w:lvlText w:val="(%1)"/>
      <w:numFmt w:val="lowerLetter"/>
      <w:start w:val="1"/>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1)"/>
      <w:numFmt w:val="lowerLetter"/>
      <w:start w:val="4"/>
    </w:lvl>
  </w:abstractNum>
  <w:abstractNum w:abstractNumId="135">
    <w:nsid w:val="759F82CD"/>
    <w:multiLevelType w:val="hybridMultilevel"/>
    <w:lvl w:ilvl="0">
      <w:lvlJc w:val="left"/>
      <w:lvlText w:val="(%1)"/>
      <w:numFmt w:val="lowerLetter"/>
      <w:start w:val="1"/>
    </w:lvl>
    <w:lvl w:ilvl="1">
      <w:lvlJc w:val="left"/>
      <w:lvlText w:val="(%2)"/>
      <w:numFmt w:val="lowerRoman"/>
      <w:start w:val="1"/>
    </w:lvl>
  </w:abstractNum>
  <w:abstractNum w:abstractNumId="136">
    <w:nsid w:val="61E74EA3"/>
    <w:multiLevelType w:val="hybridMultilevel"/>
    <w:lvl w:ilvl="0">
      <w:lvlJc w:val="left"/>
      <w:lvlText w:val="(%1)"/>
      <w:numFmt w:val="lowerRoman"/>
      <w:start w:val="5"/>
    </w:lvl>
  </w:abstractNum>
  <w:abstractNum w:abstractNumId="137">
    <w:nsid w:val="597B4D84"/>
    <w:multiLevelType w:val="hybridMultilevel"/>
    <w:lvl w:ilvl="0">
      <w:lvlJc w:val="left"/>
      <w:lvlText w:val="(%1)"/>
      <w:numFmt w:val="lowerLetter"/>
      <w:start w:val="1"/>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lowerLetter"/>
      <w:start w:val="5"/>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1."/>
      <w:numFmt w:val="decimal"/>
      <w:start w:val="1"/>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1."/>
      <w:numFmt w:val="decimal"/>
      <w:start w:val="5"/>
    </w:lvl>
  </w:abstractNum>
  <w:abstractNum w:abstractNumId="145">
    <w:nsid w:val="1A0DDE32"/>
    <w:multiLevelType w:val="hybridMultilevel"/>
    <w:lvl w:ilvl="0">
      <w:lvlJc w:val="left"/>
      <w:lvlText w:val="(%1)"/>
      <w:numFmt w:val="lowerLetter"/>
      <w:start w:val="1"/>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1)"/>
      <w:numFmt w:val="lowerLetter"/>
      <w:start w:val="1"/>
    </w:lvl>
  </w:abstractNum>
  <w:abstractNum w:abstractNumId="148">
    <w:nsid w:val="260D8C4A"/>
    <w:multiLevelType w:val="hybridMultilevel"/>
    <w:lvl w:ilvl="0">
      <w:lvlJc w:val="left"/>
      <w:lvlText w:val="%1."/>
      <w:numFmt w:val="decimal"/>
      <w:start w:val="5"/>
    </w:lvl>
  </w:abstractNum>
  <w:abstractNum w:abstractNumId="149">
    <w:nsid w:val="73D4D3C4"/>
    <w:multiLevelType w:val="hybridMultilevel"/>
    <w:lvl w:ilvl="0">
      <w:lvlJc w:val="left"/>
      <w:lvlText w:val="(%1)"/>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96" Type="http://schemas.openxmlformats.org/officeDocument/2006/relationships/image" Target="media/image20.png"/><Relationship Id="rId97" Type="http://schemas.openxmlformats.org/officeDocument/2006/relationships/image" Target="media/image21.jpeg"/><Relationship Id="rId98" Type="http://schemas.openxmlformats.org/officeDocument/2006/relationships/image" Target="media/image22.png"/><Relationship Id="rId99" Type="http://schemas.openxmlformats.org/officeDocument/2006/relationships/image" Target="media/image23.png"/><Relationship Id="rId100" Type="http://schemas.openxmlformats.org/officeDocument/2006/relationships/image" Target="media/image24.png"/><Relationship Id="rId101" Type="http://schemas.openxmlformats.org/officeDocument/2006/relationships/image" Target="media/image25.png"/><Relationship Id="rId102" Type="http://schemas.openxmlformats.org/officeDocument/2006/relationships/image" Target="media/image26.png"/><Relationship Id="rId103" Type="http://schemas.openxmlformats.org/officeDocument/2006/relationships/image" Target="media/image27.png"/><Relationship Id="rId104" Type="http://schemas.openxmlformats.org/officeDocument/2006/relationships/image" Target="media/image28.png"/><Relationship Id="rId105" Type="http://schemas.openxmlformats.org/officeDocument/2006/relationships/image" Target="media/image29.png"/><Relationship Id="rId106" Type="http://schemas.openxmlformats.org/officeDocument/2006/relationships/image" Target="media/image30.jpeg"/><Relationship Id="rId107" Type="http://schemas.openxmlformats.org/officeDocument/2006/relationships/image" Target="media/image31.png"/><Relationship Id="rId108" Type="http://schemas.openxmlformats.org/officeDocument/2006/relationships/image" Target="media/image32.png"/><Relationship Id="rId109" Type="http://schemas.openxmlformats.org/officeDocument/2006/relationships/image" Target="media/image33.jpeg"/><Relationship Id="rId110" Type="http://schemas.openxmlformats.org/officeDocument/2006/relationships/image" Target="media/image34.jpeg"/><Relationship Id="rId111" Type="http://schemas.openxmlformats.org/officeDocument/2006/relationships/image" Target="media/image35.png"/><Relationship Id="rId112" Type="http://schemas.openxmlformats.org/officeDocument/2006/relationships/image" Target="media/image36.jpeg"/><Relationship Id="rId113" Type="http://schemas.openxmlformats.org/officeDocument/2006/relationships/image" Target="media/image37.png"/><Relationship Id="rId114" Type="http://schemas.openxmlformats.org/officeDocument/2006/relationships/image" Target="media/image38.jpeg"/><Relationship Id="rId115" Type="http://schemas.openxmlformats.org/officeDocument/2006/relationships/image" Target="media/image39.jpeg"/><Relationship Id="rId116" Type="http://schemas.openxmlformats.org/officeDocument/2006/relationships/image" Target="media/image40.jpeg"/><Relationship Id="rId117" Type="http://schemas.openxmlformats.org/officeDocument/2006/relationships/image" Target="media/image41.jpeg"/><Relationship Id="rId118" Type="http://schemas.openxmlformats.org/officeDocument/2006/relationships/image" Target="media/image42.jpeg"/><Relationship Id="rId119" Type="http://schemas.openxmlformats.org/officeDocument/2006/relationships/image" Target="media/image43.jpeg"/><Relationship Id="rId120" Type="http://schemas.openxmlformats.org/officeDocument/2006/relationships/image" Target="media/image44.jpeg"/><Relationship Id="rId121" Type="http://schemas.openxmlformats.org/officeDocument/2006/relationships/image" Target="media/image45.jpeg"/><Relationship Id="rId122" Type="http://schemas.openxmlformats.org/officeDocument/2006/relationships/image" Target="media/image46.png"/><Relationship Id="rId123" Type="http://schemas.openxmlformats.org/officeDocument/2006/relationships/image" Target="media/image47.jpeg"/><Relationship Id="rId124" Type="http://schemas.openxmlformats.org/officeDocument/2006/relationships/image" Target="media/image48.png"/><Relationship Id="rId125" Type="http://schemas.openxmlformats.org/officeDocument/2006/relationships/image" Target="media/image49.jpeg"/><Relationship Id="rId126" Type="http://schemas.openxmlformats.org/officeDocument/2006/relationships/image" Target="media/image50.png"/><Relationship Id="rId127" Type="http://schemas.openxmlformats.org/officeDocument/2006/relationships/image" Target="media/image51.jpeg"/><Relationship Id="rId128" Type="http://schemas.openxmlformats.org/officeDocument/2006/relationships/image" Target="media/image52.png"/><Relationship Id="rId129" Type="http://schemas.openxmlformats.org/officeDocument/2006/relationships/image" Target="media/image53.png"/><Relationship Id="rId130" Type="http://schemas.openxmlformats.org/officeDocument/2006/relationships/image" Target="media/image54.png"/><Relationship Id="rId131" Type="http://schemas.openxmlformats.org/officeDocument/2006/relationships/image" Target="media/image55.png"/><Relationship Id="rId132" Type="http://schemas.openxmlformats.org/officeDocument/2006/relationships/image" Target="media/image56.png"/><Relationship Id="rId27" Type="http://schemas.openxmlformats.org/officeDocument/2006/relationships/hyperlink" Target="http://www.sec.gov/Archives/edgar/data/1443646/000095012310059548/w77668exv2w1.htm" TargetMode="External"/><Relationship Id="rId28" Type="http://schemas.openxmlformats.org/officeDocument/2006/relationships/hyperlink" Target="http://www.sec.gov/Archives/edgar/data/1443646/000095012310059548/w77668exv2w2.htm" TargetMode="External"/><Relationship Id="rId29" Type="http://schemas.openxmlformats.org/officeDocument/2006/relationships/hyperlink" Target="http://www.sec.gov/Archives/edgar/data/1443646/000095012310059548/w77668exv2w3.htm" TargetMode="External"/><Relationship Id="rId30" Type="http://schemas.openxmlformats.org/officeDocument/2006/relationships/hyperlink" Target="http://www.sec.gov/Archives/edgar/data/1443646/000144364619000183/bah-20190930xex31.htm" TargetMode="External"/><Relationship Id="rId31" Type="http://schemas.openxmlformats.org/officeDocument/2006/relationships/hyperlink" Target="http://www.sec.gov/Archives/edgar/data/1443646/000144364618000018/bah-20171231xex32.htm" TargetMode="External"/><Relationship Id="rId32" Type="http://schemas.openxmlformats.org/officeDocument/2006/relationships/hyperlink" Target="http://www.sec.gov/Archives/edgar/data/1443646/000095012310090358/w77668a3exv4w5.htm" TargetMode="External"/><Relationship Id="rId33" Type="http://schemas.openxmlformats.org/officeDocument/2006/relationships/hyperlink" Target="http://www.sec.gov/Archives/edgar/data/1443646/000119312517136816/d346355dex41.htm" TargetMode="External"/><Relationship Id="rId34" Type="http://schemas.openxmlformats.org/officeDocument/2006/relationships/hyperlink" Target="http://www.sec.gov/Archives/edgar/data/1443646/000119312517136816/d346355dex42.htm" TargetMode="External"/><Relationship Id="rId35" Type="http://schemas.openxmlformats.org/officeDocument/2006/relationships/hyperlink" Target="http://www.sec.gov/Archives/edgar/data/1443646/000144364619000093/bah-20190331ex45.htm" TargetMode="External"/><Relationship Id="rId36" Type="http://schemas.openxmlformats.org/officeDocument/2006/relationships/hyperlink" Target="http://www.sec.gov/Archives/edgar/data/1443646/000144364620000022/bah-20191231xex102.htm" TargetMode="External"/><Relationship Id="rId37" Type="http://schemas.openxmlformats.org/officeDocument/2006/relationships/hyperlink" Target="http://www.sec.gov/Archives/edgar/data/1443646/000095012310070415/w77668a1exv10w10.htm" TargetMode="External"/><Relationship Id="rId38" Type="http://schemas.openxmlformats.org/officeDocument/2006/relationships/hyperlink" Target="http://www.sec.gov/Archives/edgar/data/1443646/000095012310070415/w77668a1exv10w11.htm" TargetMode="External"/><Relationship Id="rId39" Type="http://schemas.openxmlformats.org/officeDocument/2006/relationships/hyperlink" Target="http://www.sec.gov/Archives/edgar/data/1443646/000095012310082535/w77668a2exv10w12.htm" TargetMode="External"/><Relationship Id="rId40" Type="http://schemas.openxmlformats.org/officeDocument/2006/relationships/hyperlink" Target="http://www.sec.gov/Archives/edgar/data/1443646/000144364620000022/bah-20191231xex103.htm" TargetMode="External"/><Relationship Id="rId41" Type="http://schemas.openxmlformats.org/officeDocument/2006/relationships/hyperlink" Target="http://www.sec.gov/Archives/edgar/data/1443646/000144364618000100/bah-20180331xex106.htm" TargetMode="External"/><Relationship Id="rId42" Type="http://schemas.openxmlformats.org/officeDocument/2006/relationships/hyperlink" Target="http://www.sec.gov/Archives/edgar/data/1443646/000144364618000100/bah-20180331xex107.htm" TargetMode="External"/><Relationship Id="rId43" Type="http://schemas.openxmlformats.org/officeDocument/2006/relationships/hyperlink" Target="http://www.sec.gov/Archives/edgar/data/1443646/000144364618000100/bah-20180331xex108.htm" TargetMode="External"/><Relationship Id="rId44" Type="http://schemas.openxmlformats.org/officeDocument/2006/relationships/hyperlink" Target="http://www.sec.gov/Archives/edgar/data/1443646/000144364615000018/bah-20150331xex1014.htm" TargetMode="External"/><Relationship Id="rId45" Type="http://schemas.openxmlformats.org/officeDocument/2006/relationships/hyperlink" Target="http://www.sec.gov/Archives/edgar/data/1443646/000144364618000100/bah-20180331xex1011.htm" TargetMode="External"/><Relationship Id="rId46" Type="http://schemas.openxmlformats.org/officeDocument/2006/relationships/hyperlink" Target="http://www.sec.gov/Archives/edgar/data/1443646/000095012310090358/w77668a3exv10w23.htm" TargetMode="External"/><Relationship Id="rId47" Type="http://schemas.openxmlformats.org/officeDocument/2006/relationships/hyperlink" Target="http://www.sec.gov/Archives/edgar/data/1443646/000095012311057569/w82973exv10w23.htm" TargetMode="External"/><Relationship Id="rId48" Type="http://schemas.openxmlformats.org/officeDocument/2006/relationships/hyperlink" Target="http://www.sec.gov/Archives/edgar/data/1443646/000144364618000100/bah-20180331xex1014.htm" TargetMode="External"/><Relationship Id="rId49" Type="http://schemas.openxmlformats.org/officeDocument/2006/relationships/hyperlink" Target="http://www.sec.gov/Archives/edgar/data/1443646/000119312512038532/d291187dex1025.htm" TargetMode="External"/><Relationship Id="rId50" Type="http://schemas.openxmlformats.org/officeDocument/2006/relationships/hyperlink" Target="http://www.sec.gov/Archives/edgar/data/1443646/000119312512327096/d388921dex101.htm" TargetMode="External"/><Relationship Id="rId51" Type="http://schemas.openxmlformats.org/officeDocument/2006/relationships/hyperlink" Target="http://www.sec.gov/Archives/edgar/data/1443646/000119312512327096/d388921dex102.htm" TargetMode="External"/><Relationship Id="rId52" Type="http://schemas.openxmlformats.org/officeDocument/2006/relationships/hyperlink" Target="http://www.sec.gov/Archives/edgar/data/1443646/000144364613000030/exhibit101-2013amendmentxf.htm" TargetMode="External"/><Relationship Id="rId53" Type="http://schemas.openxmlformats.org/officeDocument/2006/relationships/hyperlink" Target="http://www.sec.gov/Archives/edgar/data/1443646/000144364614000015/bah-20140331xex1027.htm" TargetMode="External"/><Relationship Id="rId54" Type="http://schemas.openxmlformats.org/officeDocument/2006/relationships/hyperlink" Target="http://www.sec.gov/Archives/edgar/data/1443646/000144364614000011/secondamendment.htm" TargetMode="External"/><Relationship Id="rId55" Type="http://schemas.openxmlformats.org/officeDocument/2006/relationships/hyperlink" Target="http://www.sec.gov/Archives/edgar/data/1443646/000144364616000173/bahamendmentno32016.htm" TargetMode="External"/><Relationship Id="rId56" Type="http://schemas.openxmlformats.org/officeDocument/2006/relationships/hyperlink" Target="http://www.sec.gov/Archives/edgar/data/1443646/000119312517032421/d295747dex101.htm" TargetMode="External"/><Relationship Id="rId57" Type="http://schemas.openxmlformats.org/officeDocument/2006/relationships/hyperlink" Target="http://www.sec.gov/Archives/edgar/data/1443646/000119312518073520/d502770dex101.htm" TargetMode="External"/><Relationship Id="rId58" Type="http://schemas.openxmlformats.org/officeDocument/2006/relationships/hyperlink" Target="http://www.sec.gov/Archives/edgar/data/1443646/000119312518224147/d549733dex101.htm" TargetMode="External"/><Relationship Id="rId59" Type="http://schemas.openxmlformats.org/officeDocument/2006/relationships/hyperlink" Target="http://www.sec.gov/Archives/edgar/data/1443646/000110465919067587/tm1923849d1_ex10-1.htm" TargetMode="External"/><Relationship Id="rId60" Type="http://schemas.openxmlformats.org/officeDocument/2006/relationships/hyperlink" Target="http://www.sec.gov/Archives/edgar/data/1443646/000119312517120098/d361130dex101.htm" TargetMode="External"/><Relationship Id="rId61" Type="http://schemas.openxmlformats.org/officeDocument/2006/relationships/hyperlink" Target="http://www.sec.gov/Archives/edgar/data/1443646/000119312517120098/d361130dex102.htm" TargetMode="External"/><Relationship Id="rId62" Type="http://schemas.openxmlformats.org/officeDocument/2006/relationships/hyperlink" Target="http://www.sec.gov/Archives/edgar/data/1443646/000119312517120098/d361130dex103.htm" TargetMode="External"/><Relationship Id="rId63" Type="http://schemas.openxmlformats.org/officeDocument/2006/relationships/hyperlink" Target="http://www.sec.gov/Archives/edgar/data/1443646/000119312517189227/d506847dex101.htm" TargetMode="External"/><Relationship Id="rId64" Type="http://schemas.openxmlformats.org/officeDocument/2006/relationships/hyperlink" Target="http://www.sec.gov/Archives/edgar/data/1443646/000119312517189227/d506847dex102.htm" TargetMode="External"/><Relationship Id="rId65" Type="http://schemas.openxmlformats.org/officeDocument/2006/relationships/hyperlink" Target="http://www.sec.gov/Archives/edgar/data/1443646/000119312517189227/d506847dex103.htm" TargetMode="External"/><Relationship Id="rId66" Type="http://schemas.openxmlformats.org/officeDocument/2006/relationships/hyperlink" Target="http://www.sec.gov/Archives/edgar/data/1443646/000119312518314673/d645060dex101.htm" TargetMode="External"/><Relationship Id="rId67" Type="http://schemas.openxmlformats.org/officeDocument/2006/relationships/hyperlink" Target="http://www.sec.gov/Archives/edgar/data/1443646/000119312518314673/d645060dex102.htm" TargetMode="External"/><Relationship Id="rId68" Type="http://schemas.openxmlformats.org/officeDocument/2006/relationships/hyperlink" Target="http://www.sec.gov/Archives/edgar/data/1443646/000119312517120098/d361130dex105.htm" TargetMode="External"/><Relationship Id="rId69" Type="http://schemas.openxmlformats.org/officeDocument/2006/relationships/hyperlink" Target="http://www.sec.gov/Archives/edgar/data/1443646/000119312519100694/d733342dex101.htm" TargetMode="External"/><Relationship Id="rId70" Type="http://schemas.openxmlformats.org/officeDocument/2006/relationships/hyperlink" Target="http://www.sec.gov/Archives/edgar/data/1443646/000119312517120098/d361130dex106.htm" TargetMode="External"/><Relationship Id="rId71" Type="http://schemas.openxmlformats.org/officeDocument/2006/relationships/hyperlink" Target="http://www.sec.gov/Archives/edgar/data/1443646/000119312517120098/d361130dex104.htm" TargetMode="External"/><Relationship Id="rId72" Type="http://schemas.openxmlformats.org/officeDocument/2006/relationships/hyperlink" Target="http://www.sec.gov/Archives/edgar/data/1443646/000119312517189227/d506847dex104.htm" TargetMode="External"/><Relationship Id="rId73" Type="http://schemas.openxmlformats.org/officeDocument/2006/relationships/hyperlink" Target="http://www.sec.gov/Archives/edgar/data/1443646/000119312517189227/d506847dex105.htm" TargetMode="External"/><Relationship Id="rId74" Type="http://schemas.openxmlformats.org/officeDocument/2006/relationships/hyperlink" Target="http://www.sec.gov/Archives/edgar/data/1443646/000119312517189227/d506847dex106.htm" TargetMode="External"/><Relationship Id="rId75" Type="http://schemas.openxmlformats.org/officeDocument/2006/relationships/hyperlink" Target="http://www.sec.gov/Archives/edgar/data/1443646/000119312518314673/d645060dex105.htm" TargetMode="External"/><Relationship Id="rId76" Type="http://schemas.openxmlformats.org/officeDocument/2006/relationships/hyperlink" Target="http://www.sec.gov/Archives/edgar/data/1443646/000119312518314673/d645060dex106.htm" TargetMode="External"/><Relationship Id="rId77" Type="http://schemas.openxmlformats.org/officeDocument/2006/relationships/hyperlink" Target="http://www.sec.gov/Archives/edgar/data/1443646/000119312519100694/d733342dex107.htm" TargetMode="External"/><Relationship Id="rId78" Type="http://schemas.openxmlformats.org/officeDocument/2006/relationships/hyperlink" Target="http://www.sec.gov/Archives/edgar/data/1443646/000119312519100694/d733342dex108.htm" TargetMode="External"/><Relationship Id="rId79" Type="http://schemas.openxmlformats.org/officeDocument/2006/relationships/hyperlink" Target="http://www.sec.gov/Archives/edgar/data/1443646/000119312519100694/d733342dex109.htm" TargetMode="External"/><Relationship Id="rId80" Type="http://schemas.openxmlformats.org/officeDocument/2006/relationships/hyperlink" Target="http://www.sec.gov/Archives/edgar/data/1443646/000119312519100694/d733342dex1010.htm" TargetMode="External"/><Relationship Id="rId81" Type="http://schemas.openxmlformats.org/officeDocument/2006/relationships/hyperlink" Target="http://www.sec.gov/Archives/edgar/data/1443646/000119312519100694/d733342dex1011.htm" TargetMode="External"/><Relationship Id="rId82" Type="http://schemas.openxmlformats.org/officeDocument/2006/relationships/hyperlink" Target="http://www.sec.gov/Archives/edgar/data/1443646/000119312519100694/d733342dex1012.htm" TargetMode="External"/><Relationship Id="rId83" Type="http://schemas.openxmlformats.org/officeDocument/2006/relationships/hyperlink" Target="http://www.sec.gov/Archives/edgar/data/1443646/000119312519100694/d733342dex1013.htm" TargetMode="External"/><Relationship Id="rId84" Type="http://schemas.openxmlformats.org/officeDocument/2006/relationships/hyperlink" Target="http://www.sec.gov/Archives/edgar/data/1443646/000119312519100694/d733342dex1014.htm" TargetMode="External"/><Relationship Id="rId85" Type="http://schemas.openxmlformats.org/officeDocument/2006/relationships/hyperlink" Target="http://www.sec.gov/Archives/edgar/data/1443646/000144364617000108/bah-20170630xex1010.htm" TargetMode="External"/><Relationship Id="rId86" Type="http://schemas.openxmlformats.org/officeDocument/2006/relationships/hyperlink" Target="http://www.sec.gov/Archives/edgar/data/1443646/000144364619000017/ex107-deferredcompensation.htm" TargetMode="External"/><Relationship Id="rId87" Type="http://schemas.openxmlformats.org/officeDocument/2006/relationships/hyperlink" Target="http://www.sec.gov/Archives/edgar/data/1443646/000144364619000183/bah-20190930xex101.htm" TargetMode="External"/><Relationship Id="rId88" Type="http://schemas.openxmlformats.org/officeDocument/2006/relationships/hyperlink" Target="http://www.sec.gov/Archives/edgar/data/1443646/000144364617000050/bah-20170331xex1039.htm" TargetMode="External"/><Relationship Id="rId89" Type="http://schemas.openxmlformats.org/officeDocument/2006/relationships/hyperlink" Target="http://www.sec.gov/Archives/edgar/data/1443646/000144364619000093/bah-20190331xex1058.htm" TargetMode="External"/><Relationship Id="rId90" Type="http://schemas.openxmlformats.org/officeDocument/2006/relationships/hyperlink" Target="http://www.sec.gov/Archives/edgar/data/1443646/000144364617000050/bah-20170331xex1036.htm" TargetMode="External"/><Relationship Id="rId91" Type="http://schemas.openxmlformats.org/officeDocument/2006/relationships/hyperlink" Target="http://www.sec.gov/Archives/edgar/data/1443646/000144364619000093/bah-20190331xex1059.htm" TargetMode="External"/><Relationship Id="rId92" Type="http://schemas.openxmlformats.org/officeDocument/2006/relationships/hyperlink" Target="http://www.sec.gov/Archives/edgar/data/1443646/000144364617000050/bah-20170331xex1037.htm" TargetMode="External"/><Relationship Id="rId93" Type="http://schemas.openxmlformats.org/officeDocument/2006/relationships/hyperlink" Target="http://www.sec.gov/Archives/edgar/data/1443646/000144364619000093/bah-20190331xex1060.htm" TargetMode="External"/><Relationship Id="rId94" Type="http://schemas.openxmlformats.org/officeDocument/2006/relationships/hyperlink" Target="http://www.sec.gov/Archives/edgar/data/1443646/000144364618000100/bah-20180331xex1044.htm" TargetMode="External"/><Relationship Id="rId95" Type="http://schemas.openxmlformats.org/officeDocument/2006/relationships/hyperlink" Target="http://www.sec.gov/Archives/edgar/data/1443646/000144364618000100/bah-20180331xex10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2020-05-26T06:04:42Z</dcterms:created>
  <dcterms:modified xsi:type="dcterms:W3CDTF">2020-05-26T06:04:42Z</dcterms:modified>
</cp:coreProperties>
</file>