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312420</wp:posOffset>
            </wp:positionH>
            <wp:positionV relativeFrom="page">
              <wp:posOffset>533400</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312420</wp:posOffset>
            </wp:positionH>
            <wp:positionV relativeFrom="page">
              <wp:posOffset>558165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948" w:right="339" w:bottom="1440" w:gutter="0" w:footer="0" w:header="0"/>
        </w:sectPr>
      </w:pPr>
    </w:p>
    <w:p>
      <w:pPr>
        <w:spacing w:after="0" w:line="200" w:lineRule="exact"/>
        <w:rPr>
          <w:sz w:val="24"/>
          <w:szCs w:val="24"/>
          <w:color w:val="auto"/>
        </w:rPr>
      </w:pPr>
    </w:p>
    <w:p>
      <w:pPr>
        <w:spacing w:after="0" w:line="239"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right="260"/>
        <w:spacing w:after="0" w:line="239" w:lineRule="auto"/>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6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2024</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w:t>
      </w:r>
    </w:p>
    <w:p>
      <w:pPr>
        <w:spacing w:after="0" w:line="5" w:lineRule="exact"/>
        <w:rPr>
          <w:sz w:val="24"/>
          <w:szCs w:val="24"/>
          <w:color w:val="auto"/>
        </w:rPr>
      </w:pPr>
    </w:p>
    <w:p>
      <w:pPr>
        <w:sectPr>
          <w:pgSz w:w="11900" w:h="16838" w:orient="portrait"/>
          <w:cols w:equalWidth="0" w:num="2">
            <w:col w:w="180" w:space="680"/>
            <w:col w:w="10380"/>
          </w:cols>
          <w:pgMar w:left="320" w:top="948" w:right="339" w:bottom="1440" w:gutter="0" w:footer="0" w:header="0"/>
          <w:type w:val="continuous"/>
        </w:sectPr>
      </w:pPr>
    </w:p>
    <w:p>
      <w:pPr>
        <w:ind w:left="860" w:hanging="839"/>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1934</w:t>
      </w:r>
    </w:p>
    <w:p>
      <w:pPr>
        <w:spacing w:after="0" w:line="66" w:lineRule="exact"/>
        <w:rPr>
          <w:sz w:val="24"/>
          <w:szCs w:val="24"/>
          <w:color w:val="auto"/>
        </w:rPr>
      </w:pPr>
    </w:p>
    <w:p>
      <w:pPr>
        <w:ind w:left="388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No. 001-34972</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Booz Allen Hamilton Holding Corporation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113" w:lineRule="exact"/>
        <w:rPr>
          <w:sz w:val="24"/>
          <w:szCs w:val="24"/>
          <w:color w:val="auto"/>
        </w:rPr>
      </w:pPr>
    </w:p>
    <w:p>
      <w:pPr>
        <w:ind w:left="1780"/>
        <w:spacing w:after="0"/>
        <w:tabs>
          <w:tab w:leader="none" w:pos="894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26-2634160</w:t>
      </w:r>
    </w:p>
    <w:p>
      <w:pPr>
        <w:spacing w:after="0" w:line="20" w:lineRule="exact"/>
        <w:rPr>
          <w:sz w:val="24"/>
          <w:szCs w:val="24"/>
          <w:color w:val="auto"/>
        </w:rPr>
      </w:pPr>
    </w:p>
    <w:p>
      <w:pPr>
        <w:ind w:left="1280"/>
        <w:spacing w:after="0"/>
        <w:tabs>
          <w:tab w:leader="none" w:pos="886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3"/>
          <w:szCs w:val="13"/>
          <w:b w:val="1"/>
          <w:bCs w:val="1"/>
          <w:color w:val="auto"/>
        </w:rPr>
        <w:t>(I.R.S. Employer</w:t>
      </w:r>
    </w:p>
    <w:p>
      <w:pPr>
        <w:ind w:left="1240"/>
        <w:spacing w:after="0"/>
        <w:tabs>
          <w:tab w:leader="none" w:pos="882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No.)</w:t>
      </w:r>
    </w:p>
    <w:p>
      <w:pPr>
        <w:spacing w:after="0" w:line="58" w:lineRule="exact"/>
        <w:rPr>
          <w:sz w:val="24"/>
          <w:szCs w:val="24"/>
          <w:color w:val="auto"/>
        </w:rPr>
      </w:pPr>
    </w:p>
    <w:p>
      <w:pPr>
        <w:ind w:left="300"/>
        <w:spacing w:after="0"/>
        <w:tabs>
          <w:tab w:leader="none" w:pos="2500" w:val="left"/>
          <w:tab w:leader="none" w:pos="3480" w:val="left"/>
          <w:tab w:leader="none" w:pos="9140" w:val="left"/>
        </w:tabs>
        <w:rPr>
          <w:sz w:val="20"/>
          <w:szCs w:val="20"/>
          <w:color w:val="auto"/>
        </w:rPr>
      </w:pPr>
      <w:r>
        <w:rPr>
          <w:rFonts w:ascii="Times New Roman" w:cs="Times New Roman" w:eastAsia="Times New Roman" w:hAnsi="Times New Roman"/>
          <w:sz w:val="17"/>
          <w:szCs w:val="17"/>
          <w:b w:val="1"/>
          <w:bCs w:val="1"/>
          <w:color w:val="auto"/>
        </w:rPr>
        <w:t>8283 Greensboro Drive,</w:t>
      </w:r>
      <w:r>
        <w:rPr>
          <w:sz w:val="20"/>
          <w:szCs w:val="20"/>
          <w:color w:val="auto"/>
        </w:rPr>
        <w:tab/>
      </w:r>
      <w:r>
        <w:rPr>
          <w:rFonts w:ascii="Times New Roman" w:cs="Times New Roman" w:eastAsia="Times New Roman" w:hAnsi="Times New Roman"/>
          <w:sz w:val="17"/>
          <w:szCs w:val="17"/>
          <w:b w:val="1"/>
          <w:bCs w:val="1"/>
          <w:color w:val="auto"/>
        </w:rPr>
        <w:t>McLean,</w:t>
      </w:r>
      <w:r>
        <w:rPr>
          <w:sz w:val="20"/>
          <w:szCs w:val="20"/>
          <w:color w:val="auto"/>
        </w:rPr>
        <w:tab/>
      </w:r>
      <w:r>
        <w:rPr>
          <w:rFonts w:ascii="Times New Roman" w:cs="Times New Roman" w:eastAsia="Times New Roman" w:hAnsi="Times New Roman"/>
          <w:sz w:val="17"/>
          <w:szCs w:val="17"/>
          <w:b w:val="1"/>
          <w:bCs w:val="1"/>
          <w:color w:val="auto"/>
        </w:rPr>
        <w:t>Virginia</w:t>
      </w:r>
      <w:r>
        <w:rPr>
          <w:sz w:val="20"/>
          <w:szCs w:val="20"/>
          <w:color w:val="auto"/>
        </w:rPr>
        <w:tab/>
      </w:r>
      <w:r>
        <w:rPr>
          <w:rFonts w:ascii="Times New Roman" w:cs="Times New Roman" w:eastAsia="Times New Roman" w:hAnsi="Times New Roman"/>
          <w:sz w:val="17"/>
          <w:szCs w:val="17"/>
          <w:b w:val="1"/>
          <w:bCs w:val="1"/>
          <w:color w:val="auto"/>
        </w:rPr>
        <w:t>22102</w:t>
      </w:r>
    </w:p>
    <w:p>
      <w:pPr>
        <w:spacing w:after="0" w:line="33" w:lineRule="exact"/>
        <w:rPr>
          <w:sz w:val="24"/>
          <w:szCs w:val="24"/>
          <w:color w:val="auto"/>
        </w:rPr>
      </w:pPr>
    </w:p>
    <w:p>
      <w:pPr>
        <w:ind w:left="1000"/>
        <w:spacing w:after="0"/>
        <w:tabs>
          <w:tab w:leader="none" w:pos="90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3"/>
          <w:szCs w:val="13"/>
          <w:b w:val="1"/>
          <w:bCs w:val="1"/>
          <w:color w:val="auto"/>
        </w:rPr>
        <w:t>(Zip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(703) 902-5000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3" w:lineRule="exact"/>
        <w:rPr>
          <w:sz w:val="24"/>
          <w:szCs w:val="24"/>
          <w:color w:val="auto"/>
        </w:rPr>
      </w:pPr>
    </w:p>
    <w:tbl>
      <w:tblPr>
        <w:tblLayout w:type="fixed"/>
        <w:tblInd w:w="182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94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252"/>
        </w:trPr>
        <w:tc>
          <w:tcPr>
            <w:tcW w:w="322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color w:val="auto"/>
              </w:rPr>
              <w:t>Class A Common Stock</w:t>
            </w: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BAH</w:t>
            </w:r>
          </w:p>
        </w:tc>
        <w:tc>
          <w:tcPr>
            <w:tcW w:w="2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85" w:lineRule="exact"/>
        <w:rPr>
          <w:sz w:val="24"/>
          <w:szCs w:val="24"/>
          <w:color w:val="auto"/>
        </w:rPr>
      </w:pPr>
    </w:p>
    <w:p>
      <w:pPr>
        <w:jc w:val="both"/>
        <w:ind w:right="2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70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55"/>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4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4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2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3" w:lineRule="exact"/>
        <w:rPr>
          <w:sz w:val="24"/>
          <w:szCs w:val="24"/>
          <w:color w:val="auto"/>
        </w:rPr>
      </w:pPr>
    </w:p>
    <w:p>
      <w:pPr>
        <w:ind w:right="420"/>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22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Shares Outstanding</w:t>
            </w:r>
          </w:p>
        </w:tc>
      </w:tr>
      <w:tr>
        <w:trPr>
          <w:trHeight w:val="231"/>
        </w:trPr>
        <w:tc>
          <w:tcPr>
            <w:tcW w:w="8700" w:type="dxa"/>
            <w:vAlign w:val="bottom"/>
          </w:tcPr>
          <w:p>
            <w:pPr>
              <w:spacing w:after="0"/>
              <w:rPr>
                <w:sz w:val="20"/>
                <w:szCs w:val="20"/>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as of 10/21/2024</w:t>
            </w:r>
          </w:p>
        </w:tc>
      </w:tr>
      <w:tr>
        <w:trPr>
          <w:trHeight w:val="216"/>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127,772,744</w:t>
            </w:r>
          </w:p>
        </w:tc>
        <w:tc>
          <w:tcPr>
            <w:tcW w:w="360" w:type="dxa"/>
            <w:vAlign w:val="bottom"/>
          </w:tcPr>
          <w:p>
            <w:pPr>
              <w:spacing w:after="0"/>
              <w:rPr>
                <w:sz w:val="18"/>
                <w:szCs w:val="18"/>
                <w:color w:val="auto"/>
              </w:rPr>
            </w:pPr>
          </w:p>
        </w:tc>
      </w:tr>
      <w:tr>
        <w:trPr>
          <w:trHeight w:val="745"/>
        </w:trPr>
        <w:tc>
          <w:tcPr>
            <w:tcW w:w="8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0500" w:type="dxa"/>
            <w:vAlign w:val="bottom"/>
            <w:gridSpan w:val="16"/>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5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980" w:type="dxa"/>
            <w:vAlign w:val="bottom"/>
            <w:gridSpan w:val="10"/>
            <w:vMerge w:val="restart"/>
          </w:tcPr>
          <w:p>
            <w:pPr>
              <w:spacing w:after="0"/>
              <w:rPr>
                <w:sz w:val="24"/>
                <w:szCs w:val="24"/>
                <w:color w:val="auto"/>
              </w:rPr>
            </w:pPr>
          </w:p>
        </w:tc>
        <w:tc>
          <w:tcPr>
            <w:tcW w:w="74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7980" w:type="dxa"/>
            <w:vAlign w:val="bottom"/>
            <w:gridSpan w:val="10"/>
            <w:vMerge w:val="continue"/>
          </w:tcPr>
          <w:p>
            <w:pPr>
              <w:spacing w:after="0"/>
              <w:rPr>
                <w:sz w:val="14"/>
                <w:szCs w:val="14"/>
                <w:color w:val="auto"/>
              </w:rPr>
            </w:pPr>
          </w:p>
        </w:tc>
        <w:tc>
          <w:tcPr>
            <w:tcW w:w="720" w:type="dxa"/>
            <w:vAlign w:val="bottom"/>
            <w:tcBorders>
              <w:top w:val="single" w:sz="8" w:color="auto"/>
            </w:tcBorders>
            <w:gridSpan w:val="4"/>
          </w:tcPr>
          <w:p>
            <w:pPr>
              <w:jc w:val="right"/>
              <w:ind w:right="20"/>
              <w:spacing w:after="0" w:line="149" w:lineRule="exact"/>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Management's Discussion and Analysis of Financial Condition and Results of Operations</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Quantitative and Qualitative Disclosures About Market Risk</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18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0000FF"/>
              </w:rPr>
              <w:t>Controls and Procedures</w:t>
            </w:r>
          </w:p>
        </w:tc>
        <w:tc>
          <w:tcPr>
            <w:tcW w:w="70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Legal Proceedings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1A</w:t>
            </w:r>
          </w:p>
        </w:tc>
        <w:tc>
          <w:tcPr>
            <w:tcW w:w="9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FF"/>
                <w:w w:val="99"/>
              </w:rPr>
              <w:t>Risk Factors</w:t>
            </w:r>
          </w:p>
        </w:tc>
        <w:tc>
          <w:tcPr>
            <w:tcW w:w="400" w:type="dxa"/>
            <w:vAlign w:val="bottom"/>
          </w:tcPr>
          <w:p>
            <w:pPr>
              <w:spacing w:after="0"/>
              <w:rPr>
                <w:sz w:val="17"/>
                <w:szCs w:val="17"/>
                <w:color w:val="auto"/>
              </w:rPr>
            </w:pPr>
          </w:p>
        </w:tc>
        <w:tc>
          <w:tcPr>
            <w:tcW w:w="75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Unregistered Sales of Equity Securities and Use of Proceeds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4380" w:type="dxa"/>
            <w:vAlign w:val="bottom"/>
            <w:gridSpan w:val="11"/>
          </w:tcPr>
          <w:p>
            <w:pPr>
              <w:spacing w:after="0"/>
              <w:rPr>
                <w:sz w:val="20"/>
                <w:szCs w:val="20"/>
                <w:color w:val="auto"/>
              </w:rPr>
            </w:pPr>
            <w:r>
              <w:rPr>
                <w:rFonts w:ascii="Times New Roman" w:cs="Times New Roman" w:eastAsia="Times New Roman" w:hAnsi="Times New Roman"/>
                <w:sz w:val="17"/>
                <w:szCs w:val="17"/>
                <w:b w:val="1"/>
                <w:bCs w:val="1"/>
                <w:color w:val="0000FF"/>
              </w:rPr>
              <w:t>Defaults Upon Senior Securities</w:t>
            </w:r>
          </w:p>
        </w:tc>
        <w:tc>
          <w:tcPr>
            <w:tcW w:w="45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6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Mine Safety Disclosures</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5</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3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0000FF"/>
              </w:rPr>
              <w:t>Exhibits</w:t>
            </w:r>
          </w:p>
        </w:tc>
        <w:tc>
          <w:tcPr>
            <w:tcW w:w="75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9"/>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910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25"/>
        </w:trPr>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1"/>
        </w:trPr>
        <w:tc>
          <w:tcPr>
            <w:tcW w:w="910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auto"/>
              </w:rPr>
              <w:t>Item 1</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700" w:type="dxa"/>
            <w:vAlign w:val="bottom"/>
            <w:gridSpan w:val="19"/>
          </w:tcPr>
          <w:p>
            <w:pPr>
              <w:ind w:left="200"/>
              <w:spacing w:after="0"/>
              <w:rPr>
                <w:sz w:val="20"/>
                <w:szCs w:val="20"/>
                <w:color w:val="auto"/>
              </w:rPr>
            </w:pPr>
            <w:r>
              <w:rPr>
                <w:rFonts w:ascii="Times New Roman" w:cs="Times New Roman" w:eastAsia="Times New Roman" w:hAnsi="Times New Roman"/>
                <w:sz w:val="17"/>
                <w:szCs w:val="17"/>
                <w:b w:val="1"/>
                <w:bCs w:val="1"/>
                <w:color w:val="auto"/>
              </w:rPr>
              <w:t>INDEX TO THE UNAUDITED CONDENSED CONSOLIDATED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140" w:type="dxa"/>
            <w:vAlign w:val="bottom"/>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4"/>
        </w:trPr>
        <w:tc>
          <w:tcPr>
            <w:tcW w:w="20" w:type="dxa"/>
            <w:vAlign w:val="bottom"/>
          </w:tcPr>
          <w:p>
            <w:pPr>
              <w:spacing w:after="0"/>
              <w:rPr>
                <w:sz w:val="15"/>
                <w:szCs w:val="15"/>
                <w:color w:val="auto"/>
              </w:rPr>
            </w:pPr>
          </w:p>
        </w:tc>
        <w:tc>
          <w:tcPr>
            <w:tcW w:w="2980" w:type="dxa"/>
            <w:vAlign w:val="bottom"/>
            <w:tcBorders>
              <w:bottom w:val="single" w:sz="8" w:color="0000FF"/>
            </w:tcBorders>
            <w:gridSpan w:val="14"/>
          </w:tcPr>
          <w:p>
            <w:pPr>
              <w:spacing w:after="0" w:line="175" w:lineRule="exact"/>
              <w:rPr>
                <w:sz w:val="20"/>
                <w:szCs w:val="20"/>
                <w:color w:val="auto"/>
              </w:rPr>
            </w:pPr>
            <w:r>
              <w:rPr>
                <w:rFonts w:ascii="Times New Roman" w:cs="Times New Roman" w:eastAsia="Times New Roman" w:hAnsi="Times New Roman"/>
                <w:sz w:val="17"/>
                <w:szCs w:val="17"/>
                <w:b w:val="1"/>
                <w:bCs w:val="1"/>
                <w:color w:val="0000FF"/>
              </w:rPr>
              <w:t>Condensed Consolidated Balance Sheets</w:t>
            </w:r>
          </w:p>
        </w:tc>
        <w:tc>
          <w:tcPr>
            <w:tcW w:w="6100" w:type="dxa"/>
            <w:vAlign w:val="bottom"/>
            <w:gridSpan w:val="11"/>
          </w:tcPr>
          <w:p>
            <w:pPr>
              <w:spacing w:after="0"/>
              <w:rPr>
                <w:sz w:val="15"/>
                <w:szCs w:val="15"/>
                <w:color w:val="auto"/>
              </w:rPr>
            </w:pPr>
          </w:p>
        </w:tc>
        <w:tc>
          <w:tcPr>
            <w:tcW w:w="56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7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Operations</w:t>
            </w:r>
          </w:p>
        </w:tc>
        <w:tc>
          <w:tcPr>
            <w:tcW w:w="5320" w:type="dxa"/>
            <w:vAlign w:val="bottom"/>
            <w:gridSpan w:val="6"/>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2</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Comprehensive Income</w:t>
            </w:r>
          </w:p>
        </w:tc>
        <w:tc>
          <w:tcPr>
            <w:tcW w:w="42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Cash Flows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4</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Stockholders' Equity</w:t>
            </w:r>
          </w:p>
        </w:tc>
        <w:tc>
          <w:tcPr>
            <w:tcW w:w="4600" w:type="dxa"/>
            <w:vAlign w:val="bottom"/>
            <w:gridSpan w:val="3"/>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5</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0000FF"/>
              </w:rPr>
              <w:t>Notes to Unaudited Condensed Consolidated Financial Statements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60" w:type="dxa"/>
            <w:vAlign w:val="bottom"/>
            <w:tcBorders>
              <w:top w:val="single" w:sz="8" w:color="0000FF"/>
            </w:tcBorders>
            <w:gridSpan w:val="2"/>
          </w:tcPr>
          <w:p>
            <w:pPr>
              <w:ind w:left="320"/>
              <w:spacing w:after="0"/>
              <w:rPr>
                <w:sz w:val="20"/>
                <w:szCs w:val="20"/>
                <w:color w:val="auto"/>
              </w:rPr>
            </w:pPr>
            <w:r>
              <w:rPr>
                <w:rFonts w:ascii="Times New Roman" w:cs="Times New Roman" w:eastAsia="Times New Roman" w:hAnsi="Times New Roman"/>
                <w:sz w:val="17"/>
                <w:szCs w:val="17"/>
                <w:b w:val="1"/>
                <w:bCs w:val="1"/>
                <w:color w:val="0000FF"/>
                <w:w w:val="93"/>
              </w:rPr>
              <w:t>1.</w:t>
            </w:r>
          </w:p>
        </w:tc>
        <w:tc>
          <w:tcPr>
            <w:tcW w:w="4420" w:type="dxa"/>
            <w:vAlign w:val="bottom"/>
            <w:tcBorders>
              <w:top w:val="single" w:sz="8" w:color="0000FF"/>
            </w:tcBorders>
            <w:gridSpan w:val="22"/>
          </w:tcPr>
          <w:p>
            <w:pPr>
              <w:ind w:left="20"/>
              <w:spacing w:after="0"/>
              <w:rPr>
                <w:sz w:val="20"/>
                <w:szCs w:val="20"/>
                <w:color w:val="auto"/>
              </w:rPr>
            </w:pPr>
            <w:r>
              <w:rPr>
                <w:rFonts w:ascii="Times New Roman" w:cs="Times New Roman" w:eastAsia="Times New Roman" w:hAnsi="Times New Roman"/>
                <w:sz w:val="17"/>
                <w:szCs w:val="17"/>
                <w:b w:val="1"/>
                <w:bCs w:val="1"/>
                <w:color w:val="0000FF"/>
              </w:rPr>
              <w:t>Business Overview</w:t>
            </w:r>
          </w:p>
        </w:tc>
        <w:tc>
          <w:tcPr>
            <w:tcW w:w="42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7</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2.</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Basis of Presentation</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3.</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Revenue</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8</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4.</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Earnings Per Share</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5.</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Acquisition, Goodwill and Intangible Assets</w:t>
            </w:r>
          </w:p>
        </w:tc>
        <w:tc>
          <w:tcPr>
            <w:tcW w:w="680" w:type="dxa"/>
            <w:vAlign w:val="bottom"/>
            <w:gridSpan w:val="4"/>
          </w:tcPr>
          <w:p>
            <w:pPr>
              <w:jc w:val="center"/>
              <w:ind w:left="434"/>
              <w:spacing w:after="0"/>
              <w:rPr>
                <w:sz w:val="20"/>
                <w:szCs w:val="20"/>
                <w:color w:val="auto"/>
              </w:rPr>
            </w:pPr>
            <w:r>
              <w:rPr>
                <w:rFonts w:ascii="Times New Roman" w:cs="Times New Roman" w:eastAsia="Times New Roman" w:hAnsi="Times New Roman"/>
                <w:sz w:val="17"/>
                <w:szCs w:val="17"/>
                <w:b w:val="1"/>
                <w:bCs w:val="1"/>
                <w:color w:val="0000FF"/>
                <w:w w:val="93"/>
              </w:rPr>
              <w:t>11</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6.</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Accounts Payable and Other Accrued Expenses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12</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7.</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Accrued Compensation and Benefits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12</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8.</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Debt</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13</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4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w w:val="93"/>
              </w:rPr>
              <w:t>9.</w:t>
            </w:r>
          </w:p>
        </w:tc>
        <w:tc>
          <w:tcPr>
            <w:tcW w:w="8620" w:type="dxa"/>
            <w:vAlign w:val="bottom"/>
            <w:gridSpan w:val="23"/>
          </w:tcPr>
          <w:p>
            <w:pPr>
              <w:ind w:left="20"/>
              <w:spacing w:after="0"/>
              <w:rPr>
                <w:sz w:val="20"/>
                <w:szCs w:val="20"/>
                <w:color w:val="auto"/>
              </w:rPr>
            </w:pPr>
            <w:r>
              <w:rPr>
                <w:rFonts w:ascii="Times New Roman" w:cs="Times New Roman" w:eastAsia="Times New Roman" w:hAnsi="Times New Roman"/>
                <w:sz w:val="17"/>
                <w:szCs w:val="17"/>
                <w:b w:val="1"/>
                <w:bCs w:val="1"/>
                <w:color w:val="0000FF"/>
              </w:rPr>
              <w:t>Derivatives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15</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w w:val="96"/>
              </w:rPr>
              <w:t>10. Income Taxes</w:t>
            </w:r>
          </w:p>
        </w:tc>
        <w:tc>
          <w:tcPr>
            <w:tcW w:w="7500" w:type="dxa"/>
            <w:vAlign w:val="bottom"/>
            <w:gridSpan w:val="1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16</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rPr>
              <w:t>11. Employee Benefit Plans</w:t>
            </w:r>
          </w:p>
        </w:tc>
        <w:tc>
          <w:tcPr>
            <w:tcW w:w="660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16</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b w:val="1"/>
                <w:bCs w:val="1"/>
                <w:color w:val="0000FF"/>
              </w:rPr>
              <w:t>12. Accumulated Other Comprehensive Income / (Loss)</w:t>
            </w: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b w:val="1"/>
                <w:bCs w:val="1"/>
                <w:color w:val="0000FF"/>
                <w:w w:val="99"/>
              </w:rPr>
              <w:t>13. Stock-Based Compensation</w:t>
            </w:r>
          </w:p>
        </w:tc>
        <w:tc>
          <w:tcPr>
            <w:tcW w:w="648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18</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w w:val="98"/>
              </w:rPr>
              <w:t>14. Fair Value Measurements</w:t>
            </w:r>
          </w:p>
        </w:tc>
        <w:tc>
          <w:tcPr>
            <w:tcW w:w="660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18</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FF"/>
              </w:rPr>
              <w:t>15. Commitments and Contingencies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20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958"/>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6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(Amounts in thousands,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31"/>
        </w:trPr>
        <w:tc>
          <w:tcPr>
            <w:tcW w:w="8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4"/>
        </w:trPr>
        <w:tc>
          <w:tcPr>
            <w:tcW w:w="8200" w:type="dxa"/>
            <w:vAlign w:val="bottom"/>
            <w:vMerge w:val="restart"/>
          </w:tcPr>
          <w:p>
            <w:pPr>
              <w:ind w:left="37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558,724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554,257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2,047,342</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137,310</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2,738,909</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of accumulated depreciation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188,279</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174,345</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 of accumulated amortization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601,043</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2,343,789</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227,171</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290,152</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6,878,374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6,563,688</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shd w:val="clear" w:color="auto" w:fill="CCEEFF"/>
          </w:tcPr>
          <w:p>
            <w:pPr>
              <w:ind w:left="2220"/>
              <w:spacing w:after="0" w:line="18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61,875</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1,050,670</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506,130</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43,187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30,328</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1,874,855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1,692,190</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3,349,941</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182,134</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reserves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120,237</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189,427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172,624</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5,677,605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5,517,126</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20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Common stock, Class A - $0.01 par value - authorized: 600,000,000 shares;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issued: 167,841,004 and 167,402,268 shares at September 30, 2024 and March 31, 2024, respectively;</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127,901,888 and 129,643,123 shares at September 30, 2024 and March 31, 2024, respectively</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Treasury stock, at cost - 39,939,116 and 37,759,145 shares at September 30, 2024 and March 31, 2024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(2,277,546)</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908,837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2,404,065</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9,532</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1,200,769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1,046,562</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6,878,374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6,563,688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140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5520" w:type="dxa"/>
            <w:vAlign w:val="bottom"/>
            <w:gridSpan w:val="7"/>
          </w:tcPr>
          <w:p>
            <w:pPr>
              <w:ind w:left="72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520" w:type="dxa"/>
            <w:vAlign w:val="bottom"/>
            <w:gridSpan w:val="7"/>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140" w:type="dxa"/>
            <w:vAlign w:val="bottom"/>
            <w:gridSpan w:val="2"/>
          </w:tcPr>
          <w:p>
            <w:pPr>
              <w:jc w:val="center"/>
              <w:ind w:left="19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460" w:type="dxa"/>
            <w:vAlign w:val="bottom"/>
            <w:gridSpan w:val="5"/>
          </w:tcPr>
          <w:p>
            <w:pPr>
              <w:jc w:val="center"/>
              <w:ind w:left="614"/>
              <w:spacing w:after="0"/>
              <w:rPr>
                <w:sz w:val="20"/>
                <w:szCs w:val="20"/>
                <w:color w:val="auto"/>
              </w:rPr>
            </w:pPr>
            <w:r>
              <w:rPr>
                <w:rFonts w:ascii="Times New Roman" w:cs="Times New Roman" w:eastAsia="Times New Roman" w:hAnsi="Times New Roman"/>
                <w:sz w:val="17"/>
                <w:szCs w:val="17"/>
                <w:b w:val="1"/>
                <w:bCs w:val="1"/>
                <w:color w:val="auto"/>
              </w:rPr>
              <w:t>(Amounts in thousands, except per share data)</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5"/>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24"/>
                <w:szCs w:val="24"/>
                <w:color w:val="auto"/>
              </w:rPr>
            </w:pPr>
          </w:p>
        </w:tc>
        <w:tc>
          <w:tcPr>
            <w:tcW w:w="238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gridSpan w:val="5"/>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00" w:type="dxa"/>
            <w:vAlign w:val="bottom"/>
          </w:tcPr>
          <w:p>
            <w:pPr>
              <w:spacing w:after="0"/>
              <w:rPr>
                <w:sz w:val="20"/>
                <w:szCs w:val="20"/>
                <w:color w:val="auto"/>
              </w:rPr>
            </w:pPr>
          </w:p>
        </w:tc>
        <w:tc>
          <w:tcPr>
            <w:tcW w:w="2380" w:type="dxa"/>
            <w:vAlign w:val="bottom"/>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3,146,386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2,666,282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6,088,183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5,320,768</w:t>
            </w:r>
          </w:p>
        </w:tc>
        <w:tc>
          <w:tcPr>
            <w:tcW w:w="0" w:type="dxa"/>
            <w:vAlign w:val="bottom"/>
          </w:tcPr>
          <w:p>
            <w:pPr>
              <w:spacing w:after="0"/>
              <w:rPr>
                <w:sz w:val="1"/>
                <w:szCs w:val="1"/>
                <w:color w:val="auto"/>
              </w:rPr>
            </w:pPr>
          </w:p>
        </w:tc>
      </w:tr>
      <w:tr>
        <w:trPr>
          <w:trHeight w:val="22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1,362,282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1,232,712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2,733,516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2,484,628</w:t>
            </w:r>
          </w:p>
        </w:tc>
        <w:tc>
          <w:tcPr>
            <w:tcW w:w="0" w:type="dxa"/>
            <w:vAlign w:val="bottom"/>
          </w:tcPr>
          <w:p>
            <w:pPr>
              <w:spacing w:after="0"/>
              <w:rPr>
                <w:sz w:val="1"/>
                <w:szCs w:val="1"/>
                <w:color w:val="auto"/>
              </w:rPr>
            </w:pPr>
          </w:p>
        </w:tc>
      </w:tr>
      <w:tr>
        <w:trPr>
          <w:trHeight w:val="220"/>
        </w:trPr>
        <w:tc>
          <w:tcPr>
            <w:tcW w:w="30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Billable expenses</w:t>
            </w:r>
          </w:p>
        </w:tc>
        <w:tc>
          <w:tcPr>
            <w:tcW w:w="2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968,022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1,913,003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1,637,092</w:t>
            </w: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614,887</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83,185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82,754</w:t>
            </w:r>
          </w:p>
        </w:tc>
        <w:tc>
          <w:tcPr>
            <w:tcW w:w="0" w:type="dxa"/>
            <w:vAlign w:val="bottom"/>
          </w:tcPr>
          <w:p>
            <w:pPr>
              <w:spacing w:after="0"/>
              <w:rPr>
                <w:sz w:val="1"/>
                <w:szCs w:val="1"/>
                <w:color w:val="auto"/>
              </w:rPr>
            </w:pPr>
          </w:p>
        </w:tc>
      </w:tr>
      <w:tr>
        <w:trPr>
          <w:trHeight w:val="213"/>
        </w:trPr>
        <w:tc>
          <w:tcPr>
            <w:tcW w:w="3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2,597,777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2,399,293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5,284,410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4,819,361</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548,609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803,773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501,407</w:t>
            </w: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(80,230)</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5,480</w:t>
            </w:r>
          </w:p>
        </w:tc>
        <w:tc>
          <w:tcPr>
            <w:tcW w:w="0" w:type="dxa"/>
            <w:vAlign w:val="bottom"/>
          </w:tcPr>
          <w:p>
            <w:pPr>
              <w:spacing w:after="0"/>
              <w:rPr>
                <w:sz w:val="1"/>
                <w:szCs w:val="1"/>
                <w:color w:val="auto"/>
              </w:rPr>
            </w:pPr>
          </w:p>
        </w:tc>
      </w:tr>
      <w:tr>
        <w:trPr>
          <w:trHeight w:val="21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727,713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426,657</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123,240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94,551</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Net income</w:t>
            </w:r>
          </w:p>
        </w:tc>
        <w:tc>
          <w:tcPr>
            <w:tcW w:w="2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390,112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170,718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555,345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332,106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per common share (Note 4):</w:t>
            </w:r>
          </w:p>
        </w:tc>
        <w:tc>
          <w:tcPr>
            <w:tcW w:w="2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40" w:type="dxa"/>
            <w:vAlign w:val="bottom"/>
            <w:gridSpan w:val="2"/>
            <w:vMerge w:val="continue"/>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gridSpan w:val="2"/>
            <w:vMerge w:val="continue"/>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3.01</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4.27</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94"/>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6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77"/>
        </w:trPr>
        <w:tc>
          <w:tcPr>
            <w:tcW w:w="1400" w:type="dxa"/>
            <w:vAlign w:val="bottom"/>
            <w:tcBorders>
              <w:top w:val="single" w:sz="8" w:color="0000FF"/>
            </w:tcBorders>
          </w:tcPr>
          <w:p>
            <w:pPr>
              <w:spacing w:after="0"/>
              <w:rPr>
                <w:sz w:val="24"/>
                <w:szCs w:val="24"/>
                <w:color w:val="auto"/>
              </w:rPr>
            </w:pPr>
          </w:p>
        </w:tc>
        <w:tc>
          <w:tcPr>
            <w:tcW w:w="6560" w:type="dxa"/>
            <w:vAlign w:val="bottom"/>
            <w:gridSpan w:val="6"/>
          </w:tcPr>
          <w:p>
            <w:pPr>
              <w:jc w:val="center"/>
              <w:ind w:left="179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9"/>
        </w:trPr>
        <w:tc>
          <w:tcPr>
            <w:tcW w:w="1400" w:type="dxa"/>
            <w:vAlign w:val="bottom"/>
          </w:tcPr>
          <w:p>
            <w:pPr>
              <w:spacing w:after="0"/>
              <w:rPr>
                <w:sz w:val="22"/>
                <w:szCs w:val="22"/>
                <w:color w:val="auto"/>
              </w:rPr>
            </w:pPr>
          </w:p>
        </w:tc>
        <w:tc>
          <w:tcPr>
            <w:tcW w:w="7520" w:type="dxa"/>
            <w:vAlign w:val="bottom"/>
            <w:gridSpan w:val="8"/>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9"/>
        </w:trPr>
        <w:tc>
          <w:tcPr>
            <w:tcW w:w="1400" w:type="dxa"/>
            <w:vAlign w:val="bottom"/>
          </w:tcPr>
          <w:p>
            <w:pPr>
              <w:spacing w:after="0"/>
              <w:rPr>
                <w:sz w:val="22"/>
                <w:szCs w:val="22"/>
                <w:color w:val="auto"/>
              </w:rPr>
            </w:pPr>
          </w:p>
        </w:tc>
        <w:tc>
          <w:tcPr>
            <w:tcW w:w="5120" w:type="dxa"/>
            <w:vAlign w:val="bottom"/>
            <w:gridSpan w:val="2"/>
          </w:tcPr>
          <w:p>
            <w:pPr>
              <w:jc w:val="center"/>
              <w:ind w:left="32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9"/>
        </w:trPr>
        <w:tc>
          <w:tcPr>
            <w:tcW w:w="1400" w:type="dxa"/>
            <w:vAlign w:val="bottom"/>
          </w:tcPr>
          <w:p>
            <w:pPr>
              <w:spacing w:after="0"/>
              <w:rPr>
                <w:sz w:val="22"/>
                <w:szCs w:val="22"/>
                <w:color w:val="auto"/>
              </w:rPr>
            </w:pPr>
          </w:p>
        </w:tc>
        <w:tc>
          <w:tcPr>
            <w:tcW w:w="5120" w:type="dxa"/>
            <w:vAlign w:val="bottom"/>
            <w:gridSpan w:val="2"/>
          </w:tcPr>
          <w:p>
            <w:pPr>
              <w:jc w:val="center"/>
              <w:ind w:left="323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1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1"/>
        </w:trPr>
        <w:tc>
          <w:tcPr>
            <w:tcW w:w="1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140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555,345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332,106</w:t>
            </w:r>
          </w:p>
        </w:tc>
      </w:tr>
      <w:tr>
        <w:trPr>
          <w:trHeight w:val="220"/>
        </w:trPr>
        <w:tc>
          <w:tcPr>
            <w:tcW w:w="6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6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unrealized (loss) gain on derivatives designated as cash flow hedges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w:t>
            </w:r>
          </w:p>
        </w:tc>
      </w:tr>
      <w:tr>
        <w:trPr>
          <w:trHeight w:val="220"/>
        </w:trPr>
        <w:tc>
          <w:tcPr>
            <w:tcW w:w="65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Change in postretirement plan costs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w:t>
            </w:r>
          </w:p>
        </w:tc>
      </w:tr>
      <w:tr>
        <w:trPr>
          <w:trHeight w:val="213"/>
        </w:trPr>
        <w:tc>
          <w:tcPr>
            <w:tcW w:w="65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comprehensive (loss) income, net of tax</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2,559</w:t>
            </w:r>
          </w:p>
        </w:tc>
      </w:tr>
      <w:tr>
        <w:trPr>
          <w:trHeight w:val="213"/>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382,433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169,919</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545,537</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334,665</w:t>
            </w:r>
          </w:p>
        </w:tc>
      </w:tr>
      <w:tr>
        <w:trPr>
          <w:trHeight w:val="20"/>
        </w:trPr>
        <w:tc>
          <w:tcPr>
            <w:tcW w:w="1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8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682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82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820" w:type="dxa"/>
            <w:vAlign w:val="bottom"/>
          </w:tcPr>
          <w:p>
            <w:pPr>
              <w:jc w:val="center"/>
              <w:ind w:left="15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320" w:type="dxa"/>
            <w:vAlign w:val="bottom"/>
          </w:tcPr>
          <w:p>
            <w:pPr>
              <w:spacing w:after="0"/>
              <w:rPr>
                <w:sz w:val="21"/>
                <w:szCs w:val="21"/>
                <w:color w:val="auto"/>
              </w:rPr>
            </w:pPr>
          </w:p>
        </w:tc>
        <w:tc>
          <w:tcPr>
            <w:tcW w:w="2700" w:type="dxa"/>
            <w:vAlign w:val="bottom"/>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00" w:type="dxa"/>
            <w:vAlign w:val="bottom"/>
            <w:gridSpan w:val="2"/>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555,345</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332,106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83,185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82,754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Noncash lease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45,712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(gains) losses on investments, dispositions, and other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(160,631)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Deferred income taxes and income taxes receivable / payable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(29,993)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(67,978)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 current and long-term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195,332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(260,873)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Other current and long-term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(14,787)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639,219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Purchases of property, equipment, and software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Payments for business acquisitions and dispositions, net of cash acquired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Payments for cost method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(153,272)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Stock option exercises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(348,572)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Cash dividends paid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(132,954)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(125,122)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Proceeds from revolving credit facility</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Repayments on revolving credit facility, term loans, and Senior Notes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(520,625)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Net proceeds from debt issuance</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tcBorders>
              <w:top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(481,480)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152,434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554,257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404,862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equivalents––end of period</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558,724</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20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paid during the period for:</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97,138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189,746</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144,720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disclosures of non-cash investing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Unpaid property, equipment, and software purchases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3,603</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jc w:val="center"/>
        <w:ind w:left="116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in thousands, except share</w:t>
            </w:r>
          </w:p>
        </w:tc>
        <w:tc>
          <w:tcPr>
            <w:tcW w:w="19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040" w:type="dxa"/>
            <w:vAlign w:val="bottom"/>
            <w:gridSpan w:val="4"/>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900" w:type="dxa"/>
            <w:vAlign w:val="bottom"/>
            <w:vMerge w:val="continue"/>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920" w:type="dxa"/>
            <w:vAlign w:val="bottom"/>
            <w:gridSpan w:val="3"/>
            <w:vMerge w:val="restart"/>
          </w:tcPr>
          <w:p>
            <w:pPr>
              <w:ind w:left="40"/>
              <w:spacing w:after="0" w:line="168"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9"/>
                <w:szCs w:val="9"/>
                <w:color w:val="auto"/>
              </w:rPr>
            </w:pPr>
          </w:p>
        </w:tc>
        <w:tc>
          <w:tcPr>
            <w:tcW w:w="440" w:type="dxa"/>
            <w:vAlign w:val="bottom"/>
            <w:vMerge w:val="restart"/>
          </w:tcPr>
          <w:p>
            <w:pPr>
              <w:jc w:val="right"/>
              <w:spacing w:after="0" w:line="168" w:lineRule="exact"/>
              <w:rPr>
                <w:sz w:val="20"/>
                <w:szCs w:val="20"/>
                <w:color w:val="auto"/>
              </w:rPr>
            </w:pPr>
            <w:r>
              <w:rPr>
                <w:rFonts w:ascii="Times New Roman" w:cs="Times New Roman" w:eastAsia="Times New Roman" w:hAnsi="Times New Roman"/>
                <w:sz w:val="17"/>
                <w:szCs w:val="17"/>
                <w:b w:val="1"/>
                <w:bCs w:val="1"/>
                <w:color w:val="auto"/>
              </w:rPr>
              <w:t>Tot</w:t>
            </w:r>
          </w:p>
        </w:tc>
        <w:tc>
          <w:tcPr>
            <w:tcW w:w="0" w:type="dxa"/>
            <w:vAlign w:val="bottom"/>
          </w:tcPr>
          <w:p>
            <w:pPr>
              <w:spacing w:after="0"/>
              <w:rPr>
                <w:sz w:val="1"/>
                <w:szCs w:val="1"/>
                <w:color w:val="auto"/>
              </w:rPr>
            </w:pPr>
          </w:p>
        </w:tc>
      </w:tr>
      <w:tr>
        <w:trPr>
          <w:trHeight w:val="65"/>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data)</w:t>
            </w:r>
          </w:p>
        </w:tc>
        <w:tc>
          <w:tcPr>
            <w:tcW w:w="1860" w:type="dxa"/>
            <w:vAlign w:val="bottom"/>
            <w:gridSpan w:val="4"/>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60" w:type="dxa"/>
            <w:vAlign w:val="bottom"/>
            <w:vMerge w:val="restart"/>
          </w:tcPr>
          <w:p>
            <w:pPr>
              <w:spacing w:after="0"/>
              <w:rPr>
                <w:sz w:val="5"/>
                <w:szCs w:val="5"/>
                <w:color w:val="auto"/>
              </w:rPr>
            </w:pPr>
          </w:p>
        </w:tc>
        <w:tc>
          <w:tcPr>
            <w:tcW w:w="1960" w:type="dxa"/>
            <w:vAlign w:val="bottom"/>
            <w:gridSpan w:val="3"/>
            <w:vMerge w:val="restart"/>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vMerge w:val="restart"/>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900" w:type="dxa"/>
            <w:vAlign w:val="bottom"/>
            <w:vMerge w:val="continue"/>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3"/>
                <w:szCs w:val="13"/>
                <w:color w:val="auto"/>
              </w:rPr>
            </w:pPr>
          </w:p>
        </w:tc>
        <w:tc>
          <w:tcPr>
            <w:tcW w:w="92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28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w w:val="98"/>
              </w:rPr>
              <w:t>Stockho</w:t>
            </w: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Equi</w:t>
            </w:r>
          </w:p>
        </w:tc>
        <w:tc>
          <w:tcPr>
            <w:tcW w:w="0" w:type="dxa"/>
            <w:vAlign w:val="bottom"/>
          </w:tcPr>
          <w:p>
            <w:pPr>
              <w:spacing w:after="0"/>
              <w:rPr>
                <w:sz w:val="1"/>
                <w:szCs w:val="1"/>
                <w:color w:val="auto"/>
              </w:rPr>
            </w:pPr>
          </w:p>
        </w:tc>
      </w:tr>
      <w:tr>
        <w:trPr>
          <w:trHeight w:val="21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167,705,104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(38,354,730)</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(2,367,452)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940,404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2,501,909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3"/>
        </w:trPr>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(1,584,386)</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90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$0.51 per share of</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167,841,004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(39,939,116)</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(2,601,927)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975,216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2,826,078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167,402,268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(37,759,145)</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(2,277,546)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908,837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2,404,065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13"/>
        </w:trPr>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348,772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(2,179,971)</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(324,381)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555,345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0"/>
        </w:trPr>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90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$1.02 per share of</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(133,332)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167,841,004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(39,939,116)</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(2,601,927)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975,216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2,826,078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right="340" w:hanging="150"/>
        <w:spacing w:after="0" w:line="244" w:lineRule="auto"/>
        <w:tabs>
          <w:tab w:leader="none" w:pos="63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three months ended September 30, 2024, the Company purchased 1.6 million shares of the Company’s Class A Common Stock for $230.2 million. Additionally, the Company repurchased shares for $4.2 million during the three months ended September 30, 2024 to cover the minimum statutory taxes on repurchases and restricted stock units that vested on various dates during the period.</w:t>
      </w:r>
    </w:p>
    <w:p>
      <w:pPr>
        <w:spacing w:after="0" w:line="83" w:lineRule="exact"/>
        <w:rPr>
          <w:rFonts w:ascii="Times New Roman" w:cs="Times New Roman" w:eastAsia="Times New Roman" w:hAnsi="Times New Roman"/>
          <w:sz w:val="21"/>
          <w:szCs w:val="21"/>
          <w:color w:val="auto"/>
          <w:vertAlign w:val="superscript"/>
        </w:rPr>
      </w:pPr>
    </w:p>
    <w:p>
      <w:pPr>
        <w:ind w:left="620" w:right="500" w:hanging="150"/>
        <w:spacing w:after="0" w:line="244" w:lineRule="auto"/>
        <w:tabs>
          <w:tab w:leader="none" w:pos="63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six months ended September 30, 2024, the Company purchased 2.1 million shares of the Company’s Class A Common Stock for $308.5 million. Additionally, the Company repurchased shares for $15.9 million during the six months ended September 30, 2024 to cover the minimum statutory taxes on repurchases and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5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jc w:val="center"/>
        <w:ind w:left="116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340"/>
          </w:cols>
          <w:pgMar w:left="320" w:top="354" w:right="239" w:bottom="1440" w:gutter="0" w:footer="0" w:header="0"/>
        </w:sectPr>
      </w:pPr>
    </w:p>
    <w:p>
      <w:pPr>
        <w:spacing w:after="0" w:line="210" w:lineRule="exact"/>
        <w:rPr>
          <w:sz w:val="20"/>
          <w:szCs w:val="20"/>
          <w:color w:val="auto"/>
        </w:rPr>
      </w:pPr>
    </w:p>
    <w:p>
      <w:pPr>
        <w:ind w:left="640" w:right="220"/>
        <w:spacing w:after="0" w:line="246" w:lineRule="auto"/>
        <w:rPr>
          <w:sz w:val="20"/>
          <w:szCs w:val="20"/>
          <w:color w:val="auto"/>
        </w:rPr>
      </w:pPr>
      <w:r>
        <w:rPr>
          <w:rFonts w:ascii="Times New Roman" w:cs="Times New Roman" w:eastAsia="Times New Roman" w:hAnsi="Times New Roman"/>
          <w:sz w:val="17"/>
          <w:szCs w:val="17"/>
          <w:b w:val="1"/>
          <w:bCs w:val="1"/>
          <w:color w:val="auto"/>
        </w:rPr>
        <w:t>(Amounts in thousands, except share data)</w:t>
      </w:r>
    </w:p>
    <w:p>
      <w:pPr>
        <w:spacing w:after="0" w:line="222" w:lineRule="exact"/>
        <w:rPr>
          <w:sz w:val="20"/>
          <w:szCs w:val="20"/>
          <w:color w:val="auto"/>
        </w:rPr>
      </w:pPr>
    </w:p>
    <w:p>
      <w:pPr>
        <w:ind w:left="760" w:right="780" w:hanging="116"/>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Balance at June 30, 2023 </w:t>
      </w:r>
      <w:r>
        <w:rPr>
          <w:rFonts w:ascii="Times New Roman" w:cs="Times New Roman" w:eastAsia="Times New Roman" w:hAnsi="Times New Roman"/>
          <w:sz w:val="17"/>
          <w:szCs w:val="17"/>
          <w:color w:val="auto"/>
        </w:rPr>
        <w:t>Issuance of common stock Stock options exercised Repurchase of common stock Net income</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Other comprehensive loss, net of tax</w:t>
      </w:r>
    </w:p>
    <w:p>
      <w:pPr>
        <w:spacing w:after="0" w:line="25" w:lineRule="exact"/>
        <w:rPr>
          <w:sz w:val="20"/>
          <w:szCs w:val="20"/>
          <w:color w:val="auto"/>
        </w:rPr>
      </w:pPr>
    </w:p>
    <w:p>
      <w:pPr>
        <w:ind w:left="760"/>
        <w:spacing w:after="0" w:line="238" w:lineRule="auto"/>
        <w:rPr>
          <w:sz w:val="20"/>
          <w:szCs w:val="20"/>
          <w:color w:val="auto"/>
        </w:rPr>
      </w:pPr>
      <w:r>
        <w:rPr>
          <w:rFonts w:ascii="Times New Roman" w:cs="Times New Roman" w:eastAsia="Times New Roman" w:hAnsi="Times New Roman"/>
          <w:sz w:val="17"/>
          <w:szCs w:val="17"/>
          <w:color w:val="auto"/>
        </w:rPr>
        <w:t>Dividends declared of $0.47 per share of common stock</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Stock-based compensation expense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720" w:type="dxa"/>
            <w:vAlign w:val="bottom"/>
            <w:gridSpan w:val="4"/>
          </w:tcPr>
          <w:p>
            <w:pPr>
              <w:ind w:left="54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08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Treasury</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w:t>
            </w:r>
          </w:p>
        </w:tc>
        <w:tc>
          <w:tcPr>
            <w:tcW w:w="0" w:type="dxa"/>
            <w:vAlign w:val="bottom"/>
          </w:tcPr>
          <w:p>
            <w:pPr>
              <w:spacing w:after="0"/>
              <w:rPr>
                <w:sz w:val="1"/>
                <w:szCs w:val="1"/>
                <w:color w:val="auto"/>
              </w:rPr>
            </w:pPr>
          </w:p>
        </w:tc>
      </w:tr>
      <w:tr>
        <w:trPr>
          <w:trHeight w:val="169"/>
        </w:trPr>
        <w:tc>
          <w:tcPr>
            <w:tcW w:w="1720" w:type="dxa"/>
            <w:vAlign w:val="bottom"/>
            <w:gridSpan w:val="4"/>
          </w:tcPr>
          <w:p>
            <w:pPr>
              <w:ind w:left="260"/>
              <w:spacing w:after="0" w:line="168"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2080" w:type="dxa"/>
            <w:vAlign w:val="bottom"/>
            <w:gridSpan w:val="4"/>
          </w:tcPr>
          <w:p>
            <w:pPr>
              <w:jc w:val="center"/>
              <w:ind w:right="60"/>
              <w:spacing w:after="0" w:line="168" w:lineRule="exact"/>
              <w:rPr>
                <w:sz w:val="20"/>
                <w:szCs w:val="20"/>
                <w:color w:val="auto"/>
              </w:rPr>
            </w:pPr>
            <w:r>
              <w:rPr>
                <w:rFonts w:ascii="Times New Roman" w:cs="Times New Roman" w:eastAsia="Times New Roman" w:hAnsi="Times New Roman"/>
                <w:sz w:val="17"/>
                <w:szCs w:val="17"/>
                <w:b w:val="1"/>
                <w:bCs w:val="1"/>
                <w:color w:val="auto"/>
              </w:rPr>
              <w:t>Stock</w:t>
            </w:r>
          </w:p>
        </w:tc>
        <w:tc>
          <w:tcPr>
            <w:tcW w:w="9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2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ind w:right="80"/>
              <w:spacing w:after="0" w:line="143"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20" w:type="dxa"/>
            <w:vAlign w:val="bottom"/>
            <w:gridSpan w:val="2"/>
            <w:vMerge w:val="restart"/>
          </w:tcPr>
          <w:p>
            <w:pPr>
              <w:ind w:left="140"/>
              <w:spacing w:after="0" w:line="143"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880" w:type="dxa"/>
            <w:vAlign w:val="bottom"/>
            <w:gridSpan w:val="5"/>
            <w:vMerge w:val="restart"/>
          </w:tcPr>
          <w:p>
            <w:pPr>
              <w:ind w:left="4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  Stockho</w:t>
            </w:r>
          </w:p>
        </w:tc>
        <w:tc>
          <w:tcPr>
            <w:tcW w:w="0" w:type="dxa"/>
            <w:vAlign w:val="bottom"/>
          </w:tcPr>
          <w:p>
            <w:pPr>
              <w:spacing w:after="0"/>
              <w:rPr>
                <w:sz w:val="1"/>
                <w:szCs w:val="1"/>
                <w:color w:val="auto"/>
              </w:rPr>
            </w:pPr>
          </w:p>
        </w:tc>
      </w:tr>
      <w:tr>
        <w:trPr>
          <w:trHeight w:val="58"/>
        </w:trPr>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8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00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Equ</w:t>
            </w:r>
          </w:p>
        </w:tc>
        <w:tc>
          <w:tcPr>
            <w:tcW w:w="0" w:type="dxa"/>
            <w:vAlign w:val="bottom"/>
          </w:tcPr>
          <w:p>
            <w:pPr>
              <w:spacing w:after="0"/>
              <w:rPr>
                <w:sz w:val="1"/>
                <w:szCs w:val="1"/>
                <w:color w:val="auto"/>
              </w:rPr>
            </w:pPr>
          </w:p>
        </w:tc>
      </w:tr>
      <w:tr>
        <w:trPr>
          <w:trHeight w:val="21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166,521,283</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$ 1,665</w:t>
            </w: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(35,404,913)</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(1,972,886)</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$ 805,240</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$ 2,150,361</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32,691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8"/>
        </w:trPr>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107,930</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39,912</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(690,346)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(81,532)</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6"/>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(62,132)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4"/>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19,825</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-1249680</wp:posOffset>
            </wp:positionV>
            <wp:extent cx="6803390" cy="147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3390" cy="147955"/>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-953135</wp:posOffset>
            </wp:positionV>
            <wp:extent cx="6803390"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3390" cy="139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-673100</wp:posOffset>
            </wp:positionV>
            <wp:extent cx="6803390"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3390" cy="13970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-393065</wp:posOffset>
            </wp:positionV>
            <wp:extent cx="6803390" cy="255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3390" cy="2552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80" w:space="140"/>
            <w:col w:w="7620"/>
          </w:cols>
          <w:pgMar w:left="320" w:top="354" w:right="239" w:bottom="1440" w:gutter="0" w:footer="0" w:header="0"/>
          <w:type w:val="continuous"/>
        </w:sectPr>
      </w:pPr>
    </w:p>
    <w:tbl>
      <w:tblPr>
        <w:tblLayout w:type="fixed"/>
        <w:tblInd w:w="620" w:type="dxa"/>
        <w:tblCellMar>
          <w:top w:w="0" w:type="dxa"/>
          <w:left w:w="0" w:type="dxa"/>
          <w:bottom w:w="0" w:type="dxa"/>
          <w:right w:w="0" w:type="dxa"/>
        </w:tblCellMar>
      </w:tblPr>
      <w:tr>
        <w:trPr>
          <w:trHeight w:val="215"/>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166,669,125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(36,095,259)</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(2,054,418)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2,258,947</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39"/>
        </w:trPr>
        <w:tc>
          <w:tcPr>
            <w:tcW w:w="3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r>
      <w:tr>
        <w:trPr>
          <w:trHeight w:val="21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165,872,332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(34,234,744)</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(1,859,905)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769,460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2,051,455</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3"/>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504,499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10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(3)</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(1,860,515)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332,106</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0"/>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69"/>
        </w:trPr>
        <w:tc>
          <w:tcPr>
            <w:tcW w:w="310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declared of $0.94 per share of</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23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(124,614)</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3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166,669,125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(36,095,259)</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(2,054,418)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2,258,947</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bl>
    <w:p>
      <w:pPr>
        <w:spacing w:after="0" w:line="176" w:lineRule="exact"/>
        <w:rPr>
          <w:sz w:val="20"/>
          <w:szCs w:val="20"/>
          <w:color w:val="auto"/>
        </w:rPr>
      </w:pPr>
    </w:p>
    <w:p>
      <w:pPr>
        <w:ind w:left="620" w:right="500" w:hanging="150"/>
        <w:spacing w:after="0" w:line="244" w:lineRule="auto"/>
        <w:tabs>
          <w:tab w:leader="none" w:pos="63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six months ended September 30, 2023, the Company purchased 1.7 million shares of the Company’s Class A Common Stock for $180.1 million. Additionally, the Company repurchased shares for $13.2 million during the six months ended September 30, 2023 to cover the minimum statutory withholding taxes on restricted stock units that vested on various dates during the period.</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54"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2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Overview</w:t>
      </w:r>
    </w:p>
    <w:p>
      <w:pPr>
        <w:spacing w:after="0" w:line="118"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cyber services and artificial intelligence to U.S. and international governments, major corporations, and not-for-profit organizations. The Company reports operating results and financial data in one reportable segment. The Company is headquartered in McLean, Virginia, with approximately 35,800 employees as of September 30,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Basis of Presentation</w:t>
      </w:r>
    </w:p>
    <w:p>
      <w:pPr>
        <w:spacing w:after="0" w:line="118"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the Company and its subsidiaries that are majority-owned or otherwise controlled by the Company, and have been prepared in accordance with accounting principles generally accepted in the United States (“GAAP”) and the rules and regulations of the U.S. Securities and Exchange Commission (the “SEC”) and should be read in conjunction with the information contained in the Company's Annual Report on Form 10-K for the year ended March 31, 2024.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six months ended September 30, 2024 are not necessarily indicative of results to be expected for the full fiscal year.</w:t>
      </w:r>
    </w:p>
    <w:p>
      <w:pPr>
        <w:spacing w:after="0" w:line="283" w:lineRule="exact"/>
        <w:rPr>
          <w:sz w:val="20"/>
          <w:szCs w:val="20"/>
          <w:color w:val="auto"/>
        </w:rPr>
      </w:pPr>
    </w:p>
    <w:p>
      <w:pPr>
        <w:ind w:right="520" w:firstLine="389"/>
        <w:spacing w:after="0" w:line="292" w:lineRule="auto"/>
        <w:rPr>
          <w:sz w:val="20"/>
          <w:szCs w:val="20"/>
          <w:color w:val="auto"/>
        </w:rPr>
      </w:pPr>
      <w:r>
        <w:rPr>
          <w:rFonts w:ascii="Times New Roman" w:cs="Times New Roman" w:eastAsia="Times New Roman" w:hAnsi="Times New Roman"/>
          <w:sz w:val="17"/>
          <w:szCs w:val="17"/>
          <w:color w:val="auto"/>
        </w:rPr>
        <w:t>The condensed consolidated financial statements and notes of the Company include its subsidiaries, and other entities over which the Company has a controlling financial interest or where the Company is a primary beneficiary.</w:t>
      </w:r>
    </w:p>
    <w:p>
      <w:pPr>
        <w:spacing w:after="0" w:line="43" w:lineRule="exact"/>
        <w:rPr>
          <w:sz w:val="20"/>
          <w:szCs w:val="20"/>
          <w:color w:val="auto"/>
        </w:rPr>
      </w:pPr>
    </w:p>
    <w:p>
      <w:pPr>
        <w:ind w:right="240" w:firstLine="389"/>
        <w:spacing w:after="0" w:line="292" w:lineRule="auto"/>
        <w:rPr>
          <w:sz w:val="20"/>
          <w:szCs w:val="20"/>
          <w:color w:val="auto"/>
        </w:rPr>
      </w:pPr>
      <w:r>
        <w:rPr>
          <w:rFonts w:ascii="Times New Roman" w:cs="Times New Roman" w:eastAsia="Times New Roman" w:hAnsi="Times New Roman"/>
          <w:sz w:val="17"/>
          <w:szCs w:val="17"/>
          <w:color w:val="auto"/>
        </w:rPr>
        <w:t>Certain amounts reported in the Company's prior fiscal year condensed consolidated financial statements have been reclassified to conform to the current fiscal year presentation.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Variable Interest Entities and Other Investments</w:t>
      </w:r>
    </w:p>
    <w:p>
      <w:pPr>
        <w:spacing w:after="0" w:line="120" w:lineRule="exact"/>
        <w:rPr>
          <w:sz w:val="20"/>
          <w:szCs w:val="20"/>
          <w:color w:val="auto"/>
        </w:rPr>
      </w:pPr>
    </w:p>
    <w:p>
      <w:pPr>
        <w:ind w:right="80" w:firstLine="389"/>
        <w:spacing w:after="0" w:line="262" w:lineRule="auto"/>
        <w:rPr>
          <w:sz w:val="20"/>
          <w:szCs w:val="20"/>
          <w:color w:val="auto"/>
        </w:rPr>
      </w:pPr>
      <w:r>
        <w:rPr>
          <w:rFonts w:ascii="Times New Roman" w:cs="Times New Roman" w:eastAsia="Times New Roman" w:hAnsi="Times New Roman"/>
          <w:sz w:val="17"/>
          <w:szCs w:val="17"/>
          <w:color w:val="auto"/>
        </w:rPr>
        <w:t>The Company invests in certain companies that advance or develop new technologies applicable to its business. Each investment is evaluated for consolidation under the variable interest entities model and/or the voting interest model.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accounted for under the measurement alternative, where they are subject to fair value adjustments in certain circumstances (e.g., observable price changes or impairment).</w:t>
      </w:r>
    </w:p>
    <w:p>
      <w:pPr>
        <w:spacing w:after="0" w:line="68" w:lineRule="exact"/>
        <w:rPr>
          <w:sz w:val="20"/>
          <w:szCs w:val="20"/>
          <w:color w:val="auto"/>
        </w:rPr>
      </w:pPr>
    </w:p>
    <w:p>
      <w:pPr>
        <w:ind w:right="360" w:firstLine="389"/>
        <w:spacing w:after="0" w:line="273" w:lineRule="auto"/>
        <w:rPr>
          <w:sz w:val="20"/>
          <w:szCs w:val="20"/>
          <w:color w:val="auto"/>
        </w:rPr>
      </w:pPr>
      <w:r>
        <w:rPr>
          <w:rFonts w:ascii="Times New Roman" w:cs="Times New Roman" w:eastAsia="Times New Roman" w:hAnsi="Times New Roman"/>
          <w:sz w:val="17"/>
          <w:szCs w:val="17"/>
          <w:color w:val="auto"/>
        </w:rPr>
        <w:t>The results of our investments are not material to the unaudited condensed and consolidated financial statements for the periods presented. As of September 30, 2024 and March 31, 2024, respectively, the total of equity and other investments related to unconsolidated entities included in other long term assets of the Company’s condensed consolidated balance sheet were $57.1 million and $42.0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Estimates</w:t>
      </w:r>
    </w:p>
    <w:p>
      <w:pPr>
        <w:spacing w:after="0" w:line="120" w:lineRule="exact"/>
        <w:rPr>
          <w:sz w:val="20"/>
          <w:szCs w:val="20"/>
          <w:color w:val="auto"/>
        </w:rPr>
      </w:pPr>
    </w:p>
    <w:p>
      <w:pPr>
        <w:ind w:right="20" w:firstLine="389"/>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revenue and expenses, as well as the disclosure of contingent assets and liabilities at the date of the financial statements or during the relevant reporting periods (as applicable). The Company bases its estimates on assumptions, both historical and forward-looking, that it believes are reasonable and appropriate. Actual results may differ materially from those estimates. Estimates are used for, but not limited to, revenue recognition including the profitability of long-term contracts and indirect costs accruals, the provision for claimed costs, fair value measurements and the valuation and expected lives of intangible assets, incentive compensation, income taxes including reserves for uncertain tax positions, postretirement obligations and contingencies. See Note 2, “Summary of Significant Accounting Policies” to the Company’s consolidated financial statements included in the Annual Report on Form 10-K for the year ended March 31, 2024 for further details on significant estimates and assumptions used.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20" w:lineRule="exact"/>
        <w:rPr>
          <w:sz w:val="20"/>
          <w:szCs w:val="20"/>
          <w:color w:val="auto"/>
        </w:rPr>
      </w:pPr>
    </w:p>
    <w:p>
      <w:pPr>
        <w:ind w:right="40" w:firstLine="389"/>
        <w:spacing w:after="0" w:line="262"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which enhances reportable segment disclosure requirements, including significant segment expenses and interim disclosures (“Topic 280”). The guidance allows for disclosure of multiple measures of a segment’s profit or loss, and it requires that public entities with a single reportable segment provide all disclosures required by the ASU and all existing disclosures in Topic 280. ASU 2023-07 is effective for annual periods beginning after December 15, 2023 and interim periods within fiscal years beginning after December 15, 2024. The amendments are to be applied retrospectively, and early adoption is permitted. The Company is currently assessing the impact of this update and does not expect this update to have a material impact on its present or historical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118" w:lineRule="exact"/>
        <w:rPr>
          <w:sz w:val="20"/>
          <w:szCs w:val="20"/>
          <w:color w:val="auto"/>
        </w:rPr>
      </w:pPr>
    </w:p>
    <w:p>
      <w:pPr>
        <w:ind w:right="160" w:firstLine="389"/>
        <w:spacing w:after="0" w:line="264" w:lineRule="auto"/>
        <w:rPr>
          <w:sz w:val="20"/>
          <w:szCs w:val="20"/>
          <w:color w:val="auto"/>
        </w:rPr>
      </w:pPr>
      <w:r>
        <w:rPr>
          <w:rFonts w:ascii="Times New Roman" w:cs="Times New Roman" w:eastAsia="Times New Roman" w:hAnsi="Times New Roman"/>
          <w:sz w:val="17"/>
          <w:szCs w:val="17"/>
          <w:color w:val="auto"/>
        </w:rPr>
        <w:t>The Company's revenues from contracts with customers (clients) are derived from offerings that include management and technology consulting services, analytics, digital solutions, engineering, mission operations, cyber services and artificial intelligence, substantially all with the U.S. government and its agencies and, to a lesser extent, subcontractors. The Company also serves foreign governments, as well as domestic and international commercial clients. The Company performs and generates revenue under three basic types of contracts, which include cost-reimbursable contracts, time-and-materials contracts, and fixed-price contracts.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Estimates</w:t>
      </w:r>
    </w:p>
    <w:p>
      <w:pPr>
        <w:spacing w:after="0" w:line="120"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We recognize revenue for many of our contracts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six months ended September 30, 2024 and 2023, the aggregate impact of adjustments in contract estimates was not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20" w:lineRule="exact"/>
        <w:rPr>
          <w:sz w:val="20"/>
          <w:szCs w:val="20"/>
          <w:color w:val="auto"/>
        </w:rPr>
      </w:pPr>
    </w:p>
    <w:p>
      <w:pPr>
        <w:ind w:right="80" w:firstLine="389"/>
        <w:spacing w:after="0" w:line="273"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Contract Type:</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performs and generates revenue under the following three basic types of contracts:</w:t>
      </w:r>
    </w:p>
    <w:p>
      <w:pPr>
        <w:spacing w:after="0" w:line="116" w:lineRule="exact"/>
        <w:rPr>
          <w:sz w:val="20"/>
          <w:szCs w:val="20"/>
          <w:color w:val="auto"/>
        </w:rPr>
      </w:pPr>
    </w:p>
    <w:p>
      <w:pPr>
        <w:ind w:left="620" w:right="40" w:hanging="227"/>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42" w:lineRule="exact"/>
        <w:rPr>
          <w:rFonts w:ascii="Times New Roman" w:cs="Times New Roman" w:eastAsia="Times New Roman" w:hAnsi="Times New Roman"/>
          <w:sz w:val="17"/>
          <w:szCs w:val="17"/>
          <w:color w:val="auto"/>
        </w:rPr>
      </w:pPr>
    </w:p>
    <w:p>
      <w:pPr>
        <w:ind w:left="620" w:right="40" w:hanging="227"/>
        <w:spacing w:after="0" w:line="27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58" w:lineRule="exact"/>
        <w:rPr>
          <w:rFonts w:ascii="Times New Roman" w:cs="Times New Roman" w:eastAsia="Times New Roman" w:hAnsi="Times New Roman"/>
          <w:sz w:val="17"/>
          <w:szCs w:val="17"/>
          <w:color w:val="auto"/>
        </w:rPr>
      </w:pPr>
    </w:p>
    <w:p>
      <w:pPr>
        <w:jc w:val="both"/>
        <w:ind w:left="620" w:right="20" w:hanging="227"/>
        <w:spacing w:after="0" w:line="27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table below presents the total revenue for each type of contract: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0" w:type="dxa"/>
            <w:vAlign w:val="bottom"/>
            <w:gridSpan w:val="6"/>
          </w:tcPr>
          <w:p>
            <w:pPr>
              <w:jc w:val="center"/>
              <w:ind w:right="5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0" w:type="dxa"/>
            <w:vAlign w:val="bottom"/>
            <w:gridSpan w:val="4"/>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center"/>
              <w:ind w:left="2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Cost-reimbursable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1,781,044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9"/>
              </w:rPr>
              <w:t>1,463,949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3,440,967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2,914,133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Time-and-materials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722,818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638,607</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1,393,386</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1,274,340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Fixed-price</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642,524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563,726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1,253,830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1,132,295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3,146,386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9"/>
              </w:rPr>
              <w:t>2,666,282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6,088,183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5,320,768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Revenue by Customer Type:</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0" w:type="dxa"/>
            <w:vAlign w:val="bottom"/>
            <w:gridSpan w:val="6"/>
          </w:tcPr>
          <w:p>
            <w:pPr>
              <w:jc w:val="center"/>
              <w:ind w:right="574"/>
              <w:spacing w:after="0" w:line="194"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0" w:type="dxa"/>
            <w:vAlign w:val="bottom"/>
            <w:gridSpan w:val="4"/>
          </w:tcPr>
          <w:p>
            <w:pPr>
              <w:jc w:val="center"/>
              <w:ind w:right="634"/>
              <w:spacing w:after="0" w:line="194"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Defense Clients</w:t>
            </w: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1,544,108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9"/>
              </w:rPr>
              <w:t>1,270,943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2,960,978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2,492,638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Intelligence Clients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496,420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442,924</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957,459</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920,456</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20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7"/>
                <w:szCs w:val="17"/>
                <w:color w:val="auto"/>
              </w:rPr>
              <w:t xml:space="preserve">Civil Clients </w:t>
            </w:r>
            <w:r>
              <w:rPr>
                <w:rFonts w:ascii="Times New Roman" w:cs="Times New Roman" w:eastAsia="Times New Roman" w:hAnsi="Times New Roman"/>
                <w:sz w:val="22"/>
                <w:szCs w:val="22"/>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1,105,858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952,415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2,169,746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1,907,674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3,146,386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gridSpan w:val="2"/>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9"/>
              </w:rPr>
              <w:t>2,666,282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6,088,183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5,320,768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firstLine="4"/>
        <w:spacing w:after="0" w:line="299" w:lineRule="auto"/>
        <w:tabs>
          <w:tab w:leader="none" w:pos="159"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the first quarter of fiscal 2025, Civil Clients includes revenue from Global Commercial Clients, which was previously separately reported. Prior periods’ revenues have been recast to reflect the change.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Whether the Company Acts as a Prime Contractor or a Subcontractor:</w:t>
      </w:r>
    </w:p>
    <w:p>
      <w:pPr>
        <w:spacing w:after="0" w:line="37"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80" w:type="dxa"/>
            <w:vAlign w:val="bottom"/>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80" w:type="dxa"/>
            <w:vAlign w:val="bottom"/>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700" w:type="dxa"/>
            <w:vAlign w:val="bottom"/>
          </w:tcPr>
          <w:p>
            <w:pPr>
              <w:spacing w:after="0"/>
              <w:rPr>
                <w:sz w:val="17"/>
                <w:szCs w:val="17"/>
                <w:color w:val="auto"/>
              </w:rPr>
            </w:pPr>
          </w:p>
        </w:tc>
      </w:tr>
      <w:tr>
        <w:trPr>
          <w:trHeight w:val="228"/>
        </w:trPr>
        <w:tc>
          <w:tcPr>
            <w:tcW w:w="2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3"/>
        </w:trPr>
        <w:tc>
          <w:tcPr>
            <w:tcW w:w="2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1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Prime Contractor</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3,001,344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2,537,085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5,809,029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5,054,643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20"/>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Subcontractor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145,042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129,197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279,154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266,125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38"/>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3,146,386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2,666,282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6,088,183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5,320,768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Obligations</w:t>
      </w:r>
    </w:p>
    <w:p>
      <w:pPr>
        <w:spacing w:after="0" w:line="120" w:lineRule="exact"/>
        <w:rPr>
          <w:sz w:val="20"/>
          <w:szCs w:val="20"/>
          <w:color w:val="auto"/>
        </w:rPr>
      </w:pPr>
    </w:p>
    <w:p>
      <w:pPr>
        <w:ind w:right="340" w:firstLine="389"/>
        <w:spacing w:after="0" w:line="273"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59" w:lineRule="exact"/>
        <w:rPr>
          <w:sz w:val="20"/>
          <w:szCs w:val="20"/>
          <w:color w:val="auto"/>
        </w:rPr>
      </w:pPr>
    </w:p>
    <w:p>
      <w:pPr>
        <w:ind w:right="120" w:firstLine="389"/>
        <w:spacing w:after="0" w:line="273" w:lineRule="auto"/>
        <w:rPr>
          <w:sz w:val="20"/>
          <w:szCs w:val="20"/>
          <w:color w:val="auto"/>
        </w:rPr>
      </w:pPr>
      <w:r>
        <w:rPr>
          <w:rFonts w:ascii="Times New Roman" w:cs="Times New Roman" w:eastAsia="Times New Roman" w:hAnsi="Times New Roman"/>
          <w:sz w:val="17"/>
          <w:szCs w:val="17"/>
          <w:color w:val="auto"/>
        </w:rPr>
        <w:t>As of September 30, 2024 and March 31, 2024, the Company had $11.0 billion and $8.7 billion of remaining performance obligations, respectively. We expect to recognize approximately 70% of the remaining performance obligations at September 30, 2024 as revenue over the next 12 months, and approximately 80% over the next 24 months. The remainder is expected to be recognized thereafter.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20" w:lineRule="exact"/>
        <w:rPr>
          <w:sz w:val="20"/>
          <w:szCs w:val="20"/>
          <w:color w:val="auto"/>
        </w:rPr>
      </w:pPr>
    </w:p>
    <w:p>
      <w:pPr>
        <w:ind w:right="80" w:firstLine="389"/>
        <w:spacing w:after="0" w:line="267" w:lineRule="auto"/>
        <w:rPr>
          <w:sz w:val="20"/>
          <w:szCs w:val="20"/>
          <w:color w:val="auto"/>
        </w:rPr>
      </w:pPr>
      <w:r>
        <w:rPr>
          <w:rFonts w:ascii="Times New Roman" w:cs="Times New Roman" w:eastAsia="Times New Roman" w:hAnsi="Times New Roman"/>
          <w:sz w:val="17"/>
          <w:szCs w:val="17"/>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2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9" w:lineRule="exact"/>
        <w:rPr>
          <w:sz w:val="20"/>
          <w:szCs w:val="20"/>
          <w:color w:val="auto"/>
        </w:rPr>
      </w:pPr>
    </w:p>
    <w:p>
      <w:pPr>
        <w:ind w:right="120" w:firstLine="389"/>
        <w:spacing w:after="0" w:line="260" w:lineRule="auto"/>
        <w:rPr>
          <w:sz w:val="20"/>
          <w:szCs w:val="20"/>
          <w:color w:val="auto"/>
        </w:rPr>
      </w:pPr>
      <w:r>
        <w:rPr>
          <w:rFonts w:ascii="Times New Roman" w:cs="Times New Roman" w:eastAsia="Times New Roman" w:hAnsi="Times New Roman"/>
          <w:sz w:val="17"/>
          <w:szCs w:val="17"/>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each of the three and six months ended September 30, 2024 and 2023.</w:t>
      </w:r>
    </w:p>
    <w:p>
      <w:pPr>
        <w:spacing w:after="0" w:line="69" w:lineRule="exact"/>
        <w:rPr>
          <w:sz w:val="20"/>
          <w:szCs w:val="20"/>
          <w:color w:val="auto"/>
        </w:rPr>
      </w:pPr>
    </w:p>
    <w:p>
      <w:pPr>
        <w:ind w:right="480" w:firstLine="389"/>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77"/>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5"/>
                <w:szCs w:val="15"/>
                <w:color w:val="auto"/>
              </w:rPr>
            </w:pPr>
          </w:p>
        </w:tc>
        <w:tc>
          <w:tcPr>
            <w:tcW w:w="1280" w:type="dxa"/>
            <w:vAlign w:val="bottom"/>
          </w:tcPr>
          <w:p>
            <w:pPr>
              <w:jc w:val="right"/>
              <w:ind w:right="294"/>
              <w:spacing w:after="0" w:line="176"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receivable–billed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696,976</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700,066</w:t>
            </w: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receivable–unbilled (contract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1,529,647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1,347,577</w:t>
            </w:r>
          </w:p>
        </w:tc>
      </w:tr>
      <w:tr>
        <w:trPr>
          <w:trHeight w:val="220"/>
        </w:trPr>
        <w:tc>
          <w:tcPr>
            <w:tcW w:w="7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13"/>
        </w:trPr>
        <w:tc>
          <w:tcPr>
            <w:tcW w:w="7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2,225,358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2,047,342</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receivable–unbilled (contract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57,355</w:t>
            </w:r>
          </w:p>
        </w:tc>
      </w:tr>
      <w:tr>
        <w:trPr>
          <w:trHeight w:val="213"/>
        </w:trPr>
        <w:tc>
          <w:tcPr>
            <w:tcW w:w="79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accounts receivable,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2,283,061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2,104,697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9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Other current liabilities</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6"/>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Advance payments, billings in excess of costs incurred and deferred revenue (contract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17,065</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15,527</w:t>
            </w:r>
          </w:p>
        </w:tc>
      </w:tr>
    </w:tbl>
    <w:p>
      <w:pPr>
        <w:spacing w:after="0" w:line="119" w:lineRule="exact"/>
        <w:rPr>
          <w:sz w:val="20"/>
          <w:szCs w:val="20"/>
          <w:color w:val="auto"/>
        </w:rPr>
      </w:pPr>
    </w:p>
    <w:p>
      <w:pPr>
        <w:ind w:right="80" w:firstLine="389"/>
        <w:spacing w:after="0" w:line="262" w:lineRule="auto"/>
        <w:rPr>
          <w:sz w:val="20"/>
          <w:szCs w:val="20"/>
          <w:color w:val="auto"/>
        </w:rPr>
      </w:pPr>
      <w:r>
        <w:rPr>
          <w:rFonts w:ascii="Times New Roman" w:cs="Times New Roman" w:eastAsia="Times New Roman" w:hAnsi="Times New Roman"/>
          <w:sz w:val="17"/>
          <w:szCs w:val="17"/>
          <w:color w:val="auto"/>
        </w:rPr>
        <w:t>Changes in contract assets and contract liabilities are primarily due to the timing difference between the Company’s performance of services and payments from customers. For the three months ended September 30, 2024 and 2023, we recognized revenue of $1.1 million and $1.7 million, respectively, and for the six months ended September 30, 2024 and 2023, we recognized revenue of $9.5 million and $16.2 million, respectively, related to our contract liabilities on April 1, 2024 and 2023,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Earnings Per Share</w:t>
      </w:r>
    </w:p>
    <w:p>
      <w:pPr>
        <w:spacing w:after="0" w:line="66" w:lineRule="exact"/>
        <w:rPr>
          <w:sz w:val="20"/>
          <w:szCs w:val="20"/>
          <w:color w:val="auto"/>
        </w:rPr>
      </w:pPr>
    </w:p>
    <w:p>
      <w:pPr>
        <w:ind w:right="40" w:firstLine="389"/>
        <w:spacing w:after="0" w:line="273" w:lineRule="auto"/>
        <w:rPr>
          <w:sz w:val="20"/>
          <w:szCs w:val="20"/>
          <w:color w:val="auto"/>
        </w:rPr>
      </w:pPr>
      <w:r>
        <w:rPr>
          <w:rFonts w:ascii="Times New Roman" w:cs="Times New Roman" w:eastAsia="Times New Roman" w:hAnsi="Times New Roman"/>
          <w:sz w:val="17"/>
          <w:szCs w:val="17"/>
          <w:color w:val="auto"/>
        </w:rPr>
        <w:t>The Company computes basic and diluted earnings per share amounts based on net income for the periods presented. The Company uses the weighted average number of shares of common stock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9" w:lineRule="exact"/>
        <w:rPr>
          <w:sz w:val="20"/>
          <w:szCs w:val="20"/>
          <w:color w:val="auto"/>
        </w:rPr>
      </w:pPr>
    </w:p>
    <w:p>
      <w:pPr>
        <w:ind w:firstLine="389"/>
        <w:spacing w:after="0" w:line="264" w:lineRule="auto"/>
        <w:rPr>
          <w:sz w:val="20"/>
          <w:szCs w:val="20"/>
          <w:color w:val="auto"/>
        </w:rPr>
      </w:pPr>
      <w:r>
        <w:rPr>
          <w:rFonts w:ascii="Times New Roman" w:cs="Times New Roman" w:eastAsia="Times New Roman" w:hAnsi="Times New Roman"/>
          <w:sz w:val="17"/>
          <w:szCs w:val="17"/>
          <w:color w:val="auto"/>
        </w:rPr>
        <w:t>The Company currently has outstanding shares of Class A Common Stock. Holders of certain unvested Class A Restricted Common Stock are entitled to participate in non-forfeitable dividends or other distributions (“participating securities”). These unvested restricted shares participated in the Company's dividends declared and paid in the second quarter of fiscal 2025 and 2024.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2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7"/>
                <w:szCs w:val="17"/>
                <w:color w:val="auto"/>
              </w:rPr>
            </w:pPr>
          </w:p>
        </w:tc>
        <w:tc>
          <w:tcPr>
            <w:tcW w:w="246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20"/>
                <w:szCs w:val="20"/>
                <w:color w:val="auto"/>
              </w:rPr>
            </w:pPr>
          </w:p>
        </w:tc>
        <w:tc>
          <w:tcPr>
            <w:tcW w:w="2460" w:type="dxa"/>
            <w:vAlign w:val="bottom"/>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0"/>
        </w:trPr>
        <w:tc>
          <w:tcPr>
            <w:tcW w:w="56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7"/>
                <w:szCs w:val="17"/>
                <w:color w:val="auto"/>
              </w:rPr>
              <w:t xml:space="preserve">Numerator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Earnings for basic computations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387,779</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169,277</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552,345</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329,428</w:t>
            </w: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Earnings for diluted computations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552,353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329,434</w:t>
            </w:r>
          </w:p>
        </w:tc>
        <w:tc>
          <w:tcPr>
            <w:tcW w:w="0" w:type="dxa"/>
            <w:vAlign w:val="bottom"/>
          </w:tcPr>
          <w:p>
            <w:pPr>
              <w:spacing w:after="0"/>
              <w:rPr>
                <w:sz w:val="1"/>
                <w:szCs w:val="1"/>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Weighted-average common stock shares outstanding, basic</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128,391,878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130,792,215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128,893,263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130,913,026</w:t>
            </w:r>
          </w:p>
        </w:tc>
        <w:tc>
          <w:tcPr>
            <w:tcW w:w="0" w:type="dxa"/>
            <w:vAlign w:val="bottom"/>
          </w:tcPr>
          <w:p>
            <w:pPr>
              <w:spacing w:after="0"/>
              <w:rPr>
                <w:sz w:val="1"/>
                <w:szCs w:val="1"/>
                <w:color w:val="auto"/>
              </w:rPr>
            </w:pPr>
          </w:p>
        </w:tc>
      </w:tr>
      <w:tr>
        <w:trPr>
          <w:trHeight w:val="220"/>
        </w:trPr>
        <w:tc>
          <w:tcPr>
            <w:tcW w:w="5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Dilutive stock options and restricted stock</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456,199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340,930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494,459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424,887</w:t>
            </w: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ind w:left="320"/>
              <w:spacing w:after="0" w:line="213" w:lineRule="exact"/>
              <w:rPr>
                <w:sz w:val="20"/>
                <w:szCs w:val="20"/>
                <w:color w:val="auto"/>
              </w:rPr>
            </w:pPr>
            <w:r>
              <w:rPr>
                <w:rFonts w:ascii="Times New Roman" w:cs="Times New Roman" w:eastAsia="Times New Roman" w:hAnsi="Times New Roman"/>
                <w:sz w:val="17"/>
                <w:szCs w:val="17"/>
                <w:color w:val="auto"/>
              </w:rPr>
              <w:t xml:space="preserve">Weighted-average common stock shares outstanding, diluted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128,848,077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131,133,145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129,387,722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131,337,913</w:t>
            </w:r>
          </w:p>
        </w:tc>
        <w:tc>
          <w:tcPr>
            <w:tcW w:w="0" w:type="dxa"/>
            <w:vAlign w:val="bottom"/>
          </w:tcPr>
          <w:p>
            <w:pPr>
              <w:spacing w:after="0"/>
              <w:rPr>
                <w:sz w:val="1"/>
                <w:szCs w:val="1"/>
                <w:color w:val="auto"/>
              </w:rPr>
            </w:pPr>
          </w:p>
        </w:tc>
      </w:tr>
      <w:tr>
        <w:trPr>
          <w:trHeight w:val="22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20"/>
              <w:spacing w:after="0" w:line="23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3.01</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5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4.27</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5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240" w:right="20" w:hanging="158"/>
        <w:spacing w:after="0" w:line="224" w:lineRule="auto"/>
        <w:tabs>
          <w:tab w:leader="none" w:pos="385" w:val="left"/>
        </w:tabs>
        <w:numPr>
          <w:ilvl w:val="1"/>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difference between earnings for basic and diluted computations and net income presented on the condensed consolidated statements of operations is due to undistributed earnings and dividends allocated to the participating securities. There were approximately 0.8 million and 1.1 million of participating securities for the three months ended September 30, 2024 and 2023, respectively, and 0.7 million and 1.1 million shares of participating securities for the six months ended September 30, 2024 and 2023, respectively.</w:t>
      </w:r>
    </w:p>
    <w:p>
      <w:pPr>
        <w:ind w:left="320" w:hanging="238"/>
        <w:spacing w:after="0" w:line="221" w:lineRule="auto"/>
        <w:tabs>
          <w:tab w:leader="none" w:pos="320" w:val="left"/>
        </w:tabs>
        <w:numPr>
          <w:ilvl w:val="1"/>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impact of anti-dilutive options excluded from the calculation of EPS was not material during the periods presented.</w:t>
      </w:r>
    </w:p>
    <w:p>
      <w:pPr>
        <w:spacing w:after="0" w:line="83" w:lineRule="exact"/>
        <w:rPr>
          <w:rFonts w:ascii="Times New Roman" w:cs="Times New Roman" w:eastAsia="Times New Roman" w:hAnsi="Times New Roman"/>
          <w:sz w:val="22"/>
          <w:szCs w:val="22"/>
          <w:color w:val="auto"/>
          <w:vertAlign w:val="superscript"/>
        </w:rPr>
      </w:pPr>
    </w:p>
    <w:p>
      <w:pPr>
        <w:ind w:left="180" w:hanging="176"/>
        <w:spacing w:after="0"/>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 Goodwill and Intangible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w:t>
      </w:r>
    </w:p>
    <w:p>
      <w:pPr>
        <w:spacing w:after="0" w:line="120" w:lineRule="exact"/>
        <w:rPr>
          <w:sz w:val="20"/>
          <w:szCs w:val="20"/>
          <w:color w:val="auto"/>
        </w:rPr>
      </w:pPr>
    </w:p>
    <w:p>
      <w:pPr>
        <w:ind w:right="60" w:firstLine="389"/>
        <w:spacing w:after="0" w:line="264" w:lineRule="auto"/>
        <w:rPr>
          <w:sz w:val="20"/>
          <w:szCs w:val="20"/>
          <w:color w:val="auto"/>
        </w:rPr>
      </w:pPr>
      <w:r>
        <w:rPr>
          <w:rFonts w:ascii="Times New Roman" w:cs="Times New Roman" w:eastAsia="Times New Roman" w:hAnsi="Times New Roman"/>
          <w:sz w:val="17"/>
          <w:szCs w:val="17"/>
          <w:color w:val="auto"/>
        </w:rPr>
        <w:t>On June 7, 2024, the Company completed the acquisition of PAR Government Systems Corporation (“PGSC”), a wholly owned subsidiary of PAR Technology Corporation, for approximately $98.7 million, net of post-closing adjustments and incurred transaction costs as part of the acquisition. PGSC was founded in 1985 and headquartered in Rome, New York, and delivers differentiated services and solutions in strategic mission areas, including the provision of real-time communications and mobile situational awareness to maintain battlespace dominance for a range of government customers. The acquisition was funded with cash on hand. As a result of the transaction, PGSC became a wholly owned subsidiary of Booz Allen Hamilton Inc.</w:t>
      </w:r>
    </w:p>
    <w:p>
      <w:pPr>
        <w:spacing w:after="0" w:line="66" w:lineRule="exact"/>
        <w:rPr>
          <w:sz w:val="20"/>
          <w:szCs w:val="20"/>
          <w:color w:val="auto"/>
        </w:rPr>
      </w:pPr>
    </w:p>
    <w:p>
      <w:pPr>
        <w:ind w:right="600" w:firstLine="389"/>
        <w:spacing w:after="0" w:line="292" w:lineRule="auto"/>
        <w:rPr>
          <w:sz w:val="20"/>
          <w:szCs w:val="20"/>
          <w:color w:val="auto"/>
        </w:rPr>
      </w:pPr>
      <w:r>
        <w:rPr>
          <w:rFonts w:ascii="Times New Roman" w:cs="Times New Roman" w:eastAsia="Times New Roman" w:hAnsi="Times New Roman"/>
          <w:sz w:val="17"/>
          <w:szCs w:val="17"/>
          <w:color w:val="auto"/>
        </w:rPr>
        <w:t>Under the terms of the purchase agreement, the purchase price is subject to post-closing working capital and other customary adjustments. The final purchase price allocations will be completed after the underlying information has been finalized and agreed upon by the seller and the Company.</w:t>
      </w:r>
    </w:p>
    <w:p>
      <w:pPr>
        <w:spacing w:after="0" w:line="30" w:lineRule="exact"/>
        <w:rPr>
          <w:sz w:val="20"/>
          <w:szCs w:val="20"/>
          <w:color w:val="auto"/>
        </w:rPr>
      </w:pPr>
    </w:p>
    <w:p>
      <w:pPr>
        <w:ind w:right="160" w:firstLine="389"/>
        <w:spacing w:after="0" w:line="251" w:lineRule="auto"/>
        <w:rPr>
          <w:sz w:val="20"/>
          <w:szCs w:val="20"/>
          <w:color w:val="auto"/>
        </w:rPr>
      </w:pPr>
      <w:r>
        <w:rPr>
          <w:rFonts w:ascii="Times New Roman" w:cs="Times New Roman" w:eastAsia="Times New Roman" w:hAnsi="Times New Roman"/>
          <w:sz w:val="17"/>
          <w:szCs w:val="17"/>
          <w:color w:val="auto"/>
        </w:rPr>
        <w:t>The acquisition is accounted for under the acquisition method of accounting, which requires the total acquisition consideration to be allocated to the assets acquired and liabilities assumed based on an estimate of the acquisition date fair value, with the difference reflected in goodwill. The preliminary goodwill of $61.1 million is primarily attributable to the expected synergies between the Company and PGSC and PGSC’s specialized workforce and is deductible for tax purposes.</w:t>
      </w:r>
    </w:p>
    <w:p>
      <w:pPr>
        <w:spacing w:after="0" w:line="64" w:lineRule="exact"/>
        <w:rPr>
          <w:sz w:val="20"/>
          <w:szCs w:val="20"/>
          <w:color w:val="auto"/>
        </w:rPr>
      </w:pPr>
    </w:p>
    <w:p>
      <w:pPr>
        <w:ind w:right="460" w:firstLine="389"/>
        <w:spacing w:after="0" w:line="276" w:lineRule="auto"/>
        <w:rPr>
          <w:sz w:val="20"/>
          <w:szCs w:val="20"/>
          <w:color w:val="auto"/>
        </w:rPr>
      </w:pPr>
      <w:r>
        <w:rPr>
          <w:rFonts w:ascii="Times New Roman" w:cs="Times New Roman" w:eastAsia="Times New Roman" w:hAnsi="Times New Roman"/>
          <w:sz w:val="17"/>
          <w:szCs w:val="17"/>
          <w:color w:val="auto"/>
        </w:rPr>
        <w:t>The Company preliminarily recognized $27.0 million of intangible assets which consists primarily of contract assets and are being amortized over the estimated useful life of twelve years.</w:t>
      </w:r>
    </w:p>
    <w:p>
      <w:pPr>
        <w:spacing w:after="0" w:line="56" w:lineRule="exact"/>
        <w:rPr>
          <w:sz w:val="20"/>
          <w:szCs w:val="20"/>
          <w:color w:val="auto"/>
        </w:rPr>
      </w:pPr>
    </w:p>
    <w:p>
      <w:pPr>
        <w:ind w:right="20" w:firstLine="389"/>
        <w:spacing w:after="0" w:line="267" w:lineRule="auto"/>
        <w:rPr>
          <w:sz w:val="20"/>
          <w:szCs w:val="20"/>
          <w:color w:val="auto"/>
        </w:rPr>
      </w:pPr>
      <w:r>
        <w:rPr>
          <w:rFonts w:ascii="Times New Roman" w:cs="Times New Roman" w:eastAsia="Times New Roman" w:hAnsi="Times New Roman"/>
          <w:sz w:val="17"/>
          <w:szCs w:val="17"/>
          <w:color w:val="auto"/>
        </w:rPr>
        <w:t>The valuation of PGSC’s assets acquired and liabilities assumed are preliminary and based on valuation estimates and assumptions. Although the Company does not currently expect material changes to the initial value of net assets acquired, the Company continues to evaluate assumptions related to the valuation of the assets acquired and liabilities assumed. Any adjustments to our estimates of purchase price allocation will be made in the periods in which the adjustments are determined, and the cumulative effect of such adjustments will be calculated as if the adjustments had been completed as of the acquisition dates.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0"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As of September 30, 2024 and March 31, 2024, goodwill was $2,404.9 million and $2,343.8 million, respectively. The $61.1 million increase in the carrying amount of goodwill was attributable the Company's acquisition of PGSC.</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2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9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Intangible assets consisted of the following:</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4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Programs and contract assets, channel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relationships, and other amortizable intangible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618,894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270,552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348,342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591,895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237,764</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354,131</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59,944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146,284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56,712</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amortizable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782,530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374,244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408,286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738,179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327,336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410,843</w:t>
            </w: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Unamortizable intangible assets: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 name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190,200</w:t>
            </w:r>
          </w:p>
        </w:tc>
        <w:tc>
          <w:tcPr>
            <w:tcW w:w="0" w:type="dxa"/>
            <w:vAlign w:val="bottom"/>
          </w:tcPr>
          <w:p>
            <w:pPr>
              <w:spacing w:after="0"/>
              <w:rPr>
                <w:sz w:val="1"/>
                <w:szCs w:val="1"/>
                <w:color w:val="auto"/>
              </w:rPr>
            </w:pPr>
          </w:p>
        </w:tc>
      </w:tr>
      <w:tr>
        <w:trPr>
          <w:trHeight w:val="23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972,730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598,486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928,379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601,043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580" w:firstLine="389"/>
        <w:spacing w:after="0" w:line="292" w:lineRule="auto"/>
        <w:rPr>
          <w:sz w:val="20"/>
          <w:szCs w:val="20"/>
          <w:color w:val="auto"/>
        </w:rPr>
      </w:pPr>
      <w:r>
        <w:rPr>
          <w:rFonts w:ascii="Times New Roman" w:cs="Times New Roman" w:eastAsia="Times New Roman" w:hAnsi="Times New Roman"/>
          <w:sz w:val="17"/>
          <w:szCs w:val="17"/>
          <w:color w:val="auto"/>
        </w:rPr>
        <w:t>The $44.4 million increase in the gross carrying amount of intangible assets was primarily attributable the Company's acquisition of PGSC, with the remainder resulting from increases in the Company’s internally developed software.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6. Accounts Payable and Other Accrued Expenses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11"/>
        </w:trPr>
        <w:tc>
          <w:tcPr>
            <w:tcW w:w="44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other accrued expenses consisted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44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6"/>
                <w:szCs w:val="16"/>
                <w:color w:val="auto"/>
              </w:rPr>
            </w:pPr>
          </w:p>
        </w:tc>
        <w:tc>
          <w:tcPr>
            <w:tcW w:w="1320" w:type="dxa"/>
            <w:vAlign w:val="bottom"/>
          </w:tcPr>
          <w:p>
            <w:pPr>
              <w:jc w:val="right"/>
              <w:ind w:right="314"/>
              <w:spacing w:after="0" w:line="194"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440" w:type="dxa"/>
            <w:vAlign w:val="bottom"/>
          </w:tcPr>
          <w:p>
            <w:pPr>
              <w:spacing w:after="0"/>
              <w:rPr>
                <w:sz w:val="20"/>
                <w:szCs w:val="20"/>
                <w:color w:val="auto"/>
              </w:rPr>
            </w:pPr>
          </w:p>
        </w:tc>
        <w:tc>
          <w:tcPr>
            <w:tcW w:w="73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44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Vendor payables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677,440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653,131</w:t>
            </w:r>
          </w:p>
        </w:tc>
      </w:tr>
      <w:tr>
        <w:trPr>
          <w:trHeight w:val="220"/>
        </w:trPr>
        <w:tc>
          <w:tcPr>
            <w:tcW w:w="44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claimed costs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363,745</w:t>
            </w:r>
          </w:p>
        </w:tc>
      </w:tr>
      <w:tr>
        <w:trPr>
          <w:trHeight w:val="220"/>
        </w:trPr>
        <w:tc>
          <w:tcPr>
            <w:tcW w:w="440" w:type="dxa"/>
            <w:vAlign w:val="bottom"/>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33,794</w:t>
            </w:r>
          </w:p>
        </w:tc>
      </w:tr>
      <w:tr>
        <w:trPr>
          <w:trHeight w:val="213"/>
        </w:trPr>
        <w:tc>
          <w:tcPr>
            <w:tcW w:w="44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accounts payable and other accrued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1,025,043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1,050,670</w:t>
            </w:r>
          </w:p>
        </w:tc>
      </w:tr>
      <w:tr>
        <w:trPr>
          <w:trHeight w:val="20"/>
        </w:trPr>
        <w:tc>
          <w:tcPr>
            <w:tcW w:w="4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80" w:firstLine="428"/>
        <w:spacing w:after="0" w:line="292" w:lineRule="auto"/>
        <w:rPr>
          <w:sz w:val="20"/>
          <w:szCs w:val="20"/>
          <w:color w:val="auto"/>
        </w:rPr>
      </w:pPr>
      <w:r>
        <w:rPr>
          <w:rFonts w:ascii="Times New Roman" w:cs="Times New Roman" w:eastAsia="Times New Roman" w:hAnsi="Times New Roman"/>
          <w:sz w:val="17"/>
          <w:szCs w:val="17"/>
          <w:color w:val="auto"/>
        </w:rPr>
        <w:t>See Note 15, “Commitments and Contingencies,” to the condensed consolidated financial statements for further discussion of the Company’s provision for claimed costs.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7. Accrued Compensation and Benefits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1"/>
        </w:trPr>
        <w:tc>
          <w:tcPr>
            <w:tcW w:w="22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compensation and benefits consisted of the following:</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0"/>
        </w:trPr>
        <w:tc>
          <w:tcPr>
            <w:tcW w:w="2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8"/>
        </w:trPr>
        <w:tc>
          <w:tcPr>
            <w:tcW w:w="220" w:type="dxa"/>
            <w:vAlign w:val="bottom"/>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3"/>
        </w:trPr>
        <w:tc>
          <w:tcPr>
            <w:tcW w:w="220" w:type="dxa"/>
            <w:vAlign w:val="bottom"/>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Bonus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151,063</w:t>
            </w:r>
          </w:p>
        </w:tc>
      </w:tr>
      <w:tr>
        <w:trPr>
          <w:trHeight w:val="220"/>
        </w:trPr>
        <w:tc>
          <w:tcPr>
            <w:tcW w:w="2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Retirement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57,465</w:t>
            </w:r>
          </w:p>
        </w:tc>
      </w:tr>
      <w:tr>
        <w:trPr>
          <w:trHeight w:val="220"/>
        </w:trPr>
        <w:tc>
          <w:tcPr>
            <w:tcW w:w="22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223,385</w:t>
            </w:r>
          </w:p>
        </w:tc>
      </w:tr>
      <w:tr>
        <w:trPr>
          <w:trHeight w:val="220"/>
        </w:trPr>
        <w:tc>
          <w:tcPr>
            <w:tcW w:w="220" w:type="dxa"/>
            <w:vAlign w:val="bottom"/>
          </w:tcPr>
          <w:p>
            <w:pPr>
              <w:spacing w:after="0"/>
              <w:rPr>
                <w:sz w:val="19"/>
                <w:szCs w:val="19"/>
                <w:color w:val="auto"/>
              </w:rPr>
            </w:pPr>
          </w:p>
        </w:tc>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249,276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74,217</w:t>
            </w:r>
          </w:p>
        </w:tc>
      </w:tr>
      <w:tr>
        <w:trPr>
          <w:trHeight w:val="238"/>
        </w:trPr>
        <w:tc>
          <w:tcPr>
            <w:tcW w:w="220" w:type="dxa"/>
            <w:vAlign w:val="bottom"/>
          </w:tcPr>
          <w:p>
            <w:pPr>
              <w:spacing w:after="0"/>
              <w:rPr>
                <w:sz w:val="20"/>
                <w:szCs w:val="20"/>
                <w:color w:val="auto"/>
              </w:rPr>
            </w:pPr>
          </w:p>
        </w:tc>
        <w:tc>
          <w:tcPr>
            <w:tcW w:w="7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accrued compensation and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680,497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506,130</w:t>
            </w:r>
          </w:p>
        </w:tc>
      </w:tr>
      <w:tr>
        <w:trPr>
          <w:trHeight w:val="20"/>
        </w:trPr>
        <w:tc>
          <w:tcPr>
            <w:tcW w:w="220" w:type="dxa"/>
            <w:vAlign w:val="bottom"/>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160" w:firstLine="622"/>
        <w:spacing w:after="0" w:line="273" w:lineRule="auto"/>
        <w:rPr>
          <w:sz w:val="20"/>
          <w:szCs w:val="20"/>
          <w:color w:val="auto"/>
        </w:rPr>
      </w:pPr>
      <w:r>
        <w:rPr>
          <w:rFonts w:ascii="Times New Roman" w:cs="Times New Roman" w:eastAsia="Times New Roman" w:hAnsi="Times New Roman"/>
          <w:sz w:val="17"/>
          <w:szCs w:val="17"/>
          <w:color w:val="auto"/>
        </w:rPr>
        <w:t>Other accrued compensation and benefits as of September 30, 2024 and March 31, 2024, respectively, includes $240.0 million and $41.7 million of the Company’s accrued payroll related liabilities. The Company changed its payroll cadence during the second quarter of fiscal 2025, resulting in the increased liability at period end.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2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 Debt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11"/>
        </w:trPr>
        <w:tc>
          <w:tcPr>
            <w:tcW w:w="54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Debt consisted of the following on the dates below:</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9"/>
        </w:trPr>
        <w:tc>
          <w:tcPr>
            <w:tcW w:w="5460" w:type="dxa"/>
            <w:vAlign w:val="bottom"/>
          </w:tcPr>
          <w:p>
            <w:pPr>
              <w:spacing w:after="0"/>
              <w:rPr>
                <w:sz w:val="22"/>
                <w:szCs w:val="22"/>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00" w:type="dxa"/>
            <w:vAlign w:val="bottom"/>
          </w:tcPr>
          <w:p>
            <w:pPr>
              <w:spacing w:after="0"/>
              <w:rPr>
                <w:sz w:val="22"/>
                <w:szCs w:val="22"/>
                <w:color w:val="auto"/>
              </w:rPr>
            </w:pPr>
          </w:p>
        </w:tc>
        <w:tc>
          <w:tcPr>
            <w:tcW w:w="276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March 31, 2024</w:t>
            </w:r>
          </w:p>
        </w:tc>
      </w:tr>
      <w:tr>
        <w:trPr>
          <w:trHeight w:val="162"/>
        </w:trPr>
        <w:tc>
          <w:tcPr>
            <w:tcW w:w="5460" w:type="dxa"/>
            <w:vAlign w:val="bottom"/>
          </w:tcPr>
          <w:p>
            <w:pPr>
              <w:spacing w:after="0"/>
              <w:rPr>
                <w:sz w:val="14"/>
                <w:szCs w:val="14"/>
                <w:color w:val="auto"/>
              </w:rPr>
            </w:pPr>
          </w:p>
        </w:tc>
        <w:tc>
          <w:tcPr>
            <w:tcW w:w="14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7"/>
                <w:szCs w:val="17"/>
                <w:b w:val="1"/>
                <w:bCs w:val="1"/>
                <w:color w:val="auto"/>
              </w:rPr>
              <w:t>Interest</w:t>
            </w:r>
          </w:p>
        </w:tc>
        <w:tc>
          <w:tcPr>
            <w:tcW w:w="160" w:type="dxa"/>
            <w:vAlign w:val="bottom"/>
          </w:tcPr>
          <w:p>
            <w:pPr>
              <w:spacing w:after="0"/>
              <w:rPr>
                <w:sz w:val="14"/>
                <w:szCs w:val="14"/>
                <w:color w:val="auto"/>
              </w:rPr>
            </w:pPr>
          </w:p>
        </w:tc>
        <w:tc>
          <w:tcPr>
            <w:tcW w:w="1200" w:type="dxa"/>
            <w:vAlign w:val="bottom"/>
          </w:tcPr>
          <w:p>
            <w:pPr>
              <w:jc w:val="right"/>
              <w:ind w:right="134"/>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4"/>
                <w:szCs w:val="14"/>
                <w:color w:val="auto"/>
              </w:rPr>
            </w:pPr>
          </w:p>
        </w:tc>
        <w:tc>
          <w:tcPr>
            <w:tcW w:w="1560" w:type="dxa"/>
            <w:vAlign w:val="bottom"/>
            <w:gridSpan w:val="3"/>
          </w:tcPr>
          <w:p>
            <w:pPr>
              <w:jc w:val="right"/>
              <w:ind w:right="534"/>
              <w:spacing w:after="0" w:line="162" w:lineRule="exact"/>
              <w:rPr>
                <w:sz w:val="20"/>
                <w:szCs w:val="20"/>
                <w:color w:val="auto"/>
              </w:rPr>
            </w:pPr>
            <w:r>
              <w:rPr>
                <w:rFonts w:ascii="Times New Roman" w:cs="Times New Roman" w:eastAsia="Times New Roman" w:hAnsi="Times New Roman"/>
                <w:sz w:val="17"/>
                <w:szCs w:val="17"/>
                <w:b w:val="1"/>
                <w:bCs w:val="1"/>
                <w:color w:val="auto"/>
              </w:rPr>
              <w:t>Interest</w:t>
            </w:r>
          </w:p>
        </w:tc>
        <w:tc>
          <w:tcPr>
            <w:tcW w:w="1200" w:type="dxa"/>
            <w:vAlign w:val="bottom"/>
          </w:tcPr>
          <w:p>
            <w:pPr>
              <w:jc w:val="right"/>
              <w:ind w:right="134"/>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r>
      <w:tr>
        <w:trPr>
          <w:trHeight w:val="231"/>
        </w:trPr>
        <w:tc>
          <w:tcPr>
            <w:tcW w:w="546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60" w:type="dxa"/>
            <w:vAlign w:val="bottom"/>
          </w:tcPr>
          <w:p>
            <w:pPr>
              <w:spacing w:after="0"/>
              <w:rPr>
                <w:sz w:val="20"/>
                <w:szCs w:val="20"/>
                <w:color w:val="auto"/>
              </w:rPr>
            </w:pPr>
          </w:p>
        </w:tc>
        <w:tc>
          <w:tcPr>
            <w:tcW w:w="12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00" w:type="dxa"/>
            <w:vAlign w:val="bottom"/>
          </w:tcPr>
          <w:p>
            <w:pPr>
              <w:spacing w:after="0"/>
              <w:rPr>
                <w:sz w:val="20"/>
                <w:szCs w:val="20"/>
                <w:color w:val="auto"/>
              </w:rPr>
            </w:pPr>
          </w:p>
        </w:tc>
        <w:tc>
          <w:tcPr>
            <w:tcW w:w="1560" w:type="dxa"/>
            <w:vAlign w:val="bottom"/>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Rate</w:t>
            </w: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6"/>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1,567,500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1,588,125</w:t>
            </w:r>
          </w:p>
        </w:tc>
      </w:tr>
      <w:tr>
        <w:trPr>
          <w:trHeight w:val="22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2028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2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20"/>
        </w:trPr>
        <w:tc>
          <w:tcPr>
            <w:tcW w:w="5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Senior Notes due 2033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r>
      <w:tr>
        <w:trPr>
          <w:trHeight w:val="22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Unamortized debt issuance costs and discount on debt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(26,309)</w:t>
            </w:r>
          </w:p>
        </w:tc>
      </w:tr>
      <w:tr>
        <w:trPr>
          <w:trHeight w:val="213"/>
        </w:trPr>
        <w:tc>
          <w:tcPr>
            <w:tcW w:w="5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3,393,275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3,411,816</w:t>
            </w:r>
          </w:p>
        </w:tc>
      </w:tr>
      <w:tr>
        <w:trPr>
          <w:trHeight w:val="220"/>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(61,875)</w:t>
            </w:r>
          </w:p>
        </w:tc>
      </w:tr>
      <w:tr>
        <w:trPr>
          <w:trHeight w:val="213"/>
        </w:trPr>
        <w:tc>
          <w:tcPr>
            <w:tcW w:w="54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3,310,775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3,349,941</w:t>
            </w:r>
          </w:p>
        </w:tc>
      </w:tr>
      <w:tr>
        <w:trPr>
          <w:trHeight w:val="20"/>
        </w:trPr>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0" w:lineRule="exact"/>
        <w:rPr>
          <w:sz w:val="20"/>
          <w:szCs w:val="20"/>
          <w:color w:val="auto"/>
        </w:rPr>
      </w:pPr>
    </w:p>
    <w:p>
      <w:pPr>
        <w:ind w:firstLine="389"/>
        <w:spacing w:after="0" w:line="258" w:lineRule="auto"/>
        <w:rPr>
          <w:sz w:val="20"/>
          <w:szCs w:val="20"/>
          <w:color w:val="auto"/>
        </w:rPr>
      </w:pPr>
      <w:r>
        <w:rPr>
          <w:rFonts w:ascii="Times New Roman" w:cs="Times New Roman" w:eastAsia="Times New Roman" w:hAnsi="Times New Roman"/>
          <w:sz w:val="17"/>
          <w:szCs w:val="17"/>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September 30, 2024, the Credit Agreement provided Booz Allen Hamilton with a $1,567.5 million Term Loan A (“Term Loan A”) and a $1.0 billion revolving credit facility (the “Revolving Credit Facility”), with a sub-limit for letters of credit of $200.0 million. As of September 30, 2024, the maturity date of Term Loan A and the Revolving Commitments is September 7, 2027. Voluntary prepayments of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77" w:lineRule="exact"/>
        <w:rPr>
          <w:sz w:val="20"/>
          <w:szCs w:val="20"/>
          <w:color w:val="auto"/>
        </w:rPr>
      </w:pPr>
    </w:p>
    <w:p>
      <w:pPr>
        <w:ind w:right="20" w:firstLine="389"/>
        <w:spacing w:after="0" w:line="259" w:lineRule="auto"/>
        <w:rPr>
          <w:sz w:val="20"/>
          <w:szCs w:val="20"/>
          <w:color w:val="auto"/>
        </w:rPr>
      </w:pPr>
      <w:r>
        <w:rPr>
          <w:rFonts w:ascii="Times New Roman" w:cs="Times New Roman" w:eastAsia="Times New Roman" w:hAnsi="Times New Roman"/>
          <w:sz w:val="17"/>
          <w:szCs w:val="17"/>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279" w:lineRule="exact"/>
        <w:rPr>
          <w:sz w:val="20"/>
          <w:szCs w:val="20"/>
          <w:color w:val="auto"/>
        </w:rPr>
      </w:pPr>
    </w:p>
    <w:p>
      <w:pPr>
        <w:ind w:right="80" w:firstLine="389"/>
        <w:spacing w:after="0" w:line="267" w:lineRule="auto"/>
        <w:rPr>
          <w:sz w:val="20"/>
          <w:szCs w:val="20"/>
          <w:color w:val="auto"/>
        </w:rPr>
      </w:pPr>
      <w:r>
        <w:rPr>
          <w:rFonts w:ascii="Times New Roman" w:cs="Times New Roman" w:eastAsia="Times New Roman" w:hAnsi="Times New Roman"/>
          <w:sz w:val="17"/>
          <w:szCs w:val="17"/>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64" w:lineRule="exact"/>
        <w:rPr>
          <w:sz w:val="20"/>
          <w:szCs w:val="20"/>
          <w:color w:val="auto"/>
        </w:rPr>
      </w:pPr>
    </w:p>
    <w:p>
      <w:pPr>
        <w:ind w:firstLine="389"/>
        <w:spacing w:after="0" w:line="264" w:lineRule="auto"/>
        <w:rPr>
          <w:sz w:val="20"/>
          <w:szCs w:val="20"/>
          <w:color w:val="auto"/>
        </w:rPr>
      </w:pPr>
      <w:r>
        <w:rPr>
          <w:rFonts w:ascii="Times New Roman" w:cs="Times New Roman" w:eastAsia="Times New Roman" w:hAnsi="Times New Roman"/>
          <w:sz w:val="17"/>
          <w:szCs w:val="17"/>
          <w:color w:val="auto"/>
        </w:rPr>
        <w:t>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Term Loan A and (ii) on the last business day of each full fiscal quarter that begins after the two year anniversary of the Ninth Amendment Effective Date but before the five year anniversary of the Ninth Amendment Effective Date, 1.25% of the stated principal amount of Term Loan A. The remaining balance of Term Loan A will be payable upon maturity.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9"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The rate at which Term Loan A and the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72" w:lineRule="exact"/>
        <w:rPr>
          <w:sz w:val="20"/>
          <w:szCs w:val="20"/>
          <w:color w:val="auto"/>
        </w:rPr>
      </w:pPr>
    </w:p>
    <w:p>
      <w:pPr>
        <w:ind w:right="280" w:firstLine="389"/>
        <w:spacing w:after="0" w:line="292" w:lineRule="auto"/>
        <w:rPr>
          <w:sz w:val="20"/>
          <w:szCs w:val="20"/>
          <w:color w:val="auto"/>
        </w:rPr>
      </w:pPr>
      <w:r>
        <w:rPr>
          <w:rFonts w:ascii="Times New Roman" w:cs="Times New Roman" w:eastAsia="Times New Roman" w:hAnsi="Times New Roman"/>
          <w:sz w:val="17"/>
          <w:szCs w:val="17"/>
          <w:color w:val="auto"/>
        </w:rPr>
        <w:t>The Company occasionally borrows under the Revolving Credit Facility for our working capital needs. There were no borrowings during the first half of fiscal 2025 and as of September 30, 2024 and March 31, 2024, respectively, there was no outstanding balance on the Revolving Credit Facility.</w:t>
      </w:r>
    </w:p>
    <w:p>
      <w:pPr>
        <w:spacing w:after="0" w:line="43" w:lineRule="exact"/>
        <w:rPr>
          <w:sz w:val="20"/>
          <w:szCs w:val="20"/>
          <w:color w:val="auto"/>
        </w:rPr>
      </w:pPr>
    </w:p>
    <w:p>
      <w:pPr>
        <w:ind w:right="140" w:firstLine="389"/>
        <w:spacing w:after="0" w:line="267" w:lineRule="auto"/>
        <w:rPr>
          <w:sz w:val="20"/>
          <w:szCs w:val="20"/>
          <w:color w:val="auto"/>
        </w:rPr>
      </w:pPr>
      <w:r>
        <w:rPr>
          <w:rFonts w:ascii="Times New Roman" w:cs="Times New Roman" w:eastAsia="Times New Roman" w:hAnsi="Times New Roman"/>
          <w:sz w:val="17"/>
          <w:szCs w:val="17"/>
          <w:color w:val="auto"/>
        </w:rPr>
        <w:t>Borrowings under Term Loan A, and if used, the Revolving Credit Facility, incur interest at a variable rate. As of September 30, 2024, the Company had interest rate swaps with an aggregate notional amount of $550.0 million. These instruments hedge the variability of cash outflows for interest payments on a portion of the Company’s floating rate borrowings under the Credit Agreement. The Company's objectives in using cash flow hedges are to reduce volatility due to interest rate movements and to add stability to interest expense (See Note 9, “Derivatives,” to our condensed consolidated financial statements).</w:t>
      </w:r>
    </w:p>
    <w:p>
      <w:pPr>
        <w:spacing w:after="0" w:line="64" w:lineRule="exact"/>
        <w:rPr>
          <w:sz w:val="20"/>
          <w:szCs w:val="20"/>
          <w:color w:val="auto"/>
        </w:rPr>
      </w:pPr>
    </w:p>
    <w:p>
      <w:pPr>
        <w:ind w:right="40" w:firstLine="389"/>
        <w:spacing w:after="0" w:line="264"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In addition, Booz Allen Hamilton is required to meet certain financial covenants at each quarter end, specifically the consolidated net total leverage ratio. As of September 30, 2024 and March 31, 2024, Booz Allen Hamilton was in compliance with all financial covenants associated with its debt and debt-like instruments.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material terms of the Company’s Senior Notes as of September 30, 2024:</w:t>
      </w:r>
    </w:p>
    <w:p>
      <w:pPr>
        <w:spacing w:after="0" w:line="100"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4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8"/>
        </w:trPr>
        <w:tc>
          <w:tcPr>
            <w:tcW w:w="1760" w:type="dxa"/>
            <w:vAlign w:val="bottom"/>
          </w:tcPr>
          <w:p>
            <w:pPr>
              <w:spacing w:after="0"/>
              <w:rPr>
                <w:sz w:val="19"/>
                <w:szCs w:val="19"/>
                <w:color w:val="auto"/>
              </w:rPr>
            </w:pPr>
          </w:p>
        </w:tc>
        <w:tc>
          <w:tcPr>
            <w:tcW w:w="18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Indenture Date</w:t>
            </w:r>
          </w:p>
        </w:tc>
        <w:tc>
          <w:tcPr>
            <w:tcW w:w="20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21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Interest Payable</w:t>
            </w: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Issuance Costs</w:t>
            </w:r>
          </w:p>
        </w:tc>
      </w:tr>
      <w:tr>
        <w:trPr>
          <w:trHeight w:val="26"/>
        </w:trPr>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1"/>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2033</w:t>
            </w:r>
          </w:p>
        </w:tc>
        <w:tc>
          <w:tcPr>
            <w:tcW w:w="1800" w:type="dxa"/>
            <w:vAlign w:val="bottom"/>
            <w:tcBorders>
              <w:bottom w:val="single" w:sz="8" w:color="CCEEFF"/>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w w:val="99"/>
              </w:rPr>
              <w:t>8/4/2023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5.950%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8/4/2033</w:t>
            </w:r>
          </w:p>
        </w:tc>
        <w:tc>
          <w:tcPr>
            <w:tcW w:w="214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February and August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12,400</w:t>
            </w:r>
          </w:p>
        </w:tc>
      </w:t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Senior Notes due 2029</w:t>
            </w:r>
          </w:p>
        </w:tc>
        <w:tc>
          <w:tcPr>
            <w:tcW w:w="1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6/17/2021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7/1/2029</w:t>
            </w:r>
          </w:p>
        </w:tc>
        <w:tc>
          <w:tcPr>
            <w:tcW w:w="21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July and January 1</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26"/>
        </w:trPr>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8"/>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2028</w:t>
            </w:r>
          </w:p>
        </w:tc>
        <w:tc>
          <w:tcPr>
            <w:tcW w:w="1800" w:type="dxa"/>
            <w:vAlign w:val="bottom"/>
            <w:tcBorders>
              <w:bottom w:val="single" w:sz="8" w:color="CCEEFF"/>
            </w:tcBorders>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8/24/2020</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3.875%</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9/1/2028</w:t>
            </w:r>
          </w:p>
        </w:tc>
        <w:tc>
          <w:tcPr>
            <w:tcW w:w="214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March and September 1</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w:t>
            </w:r>
          </w:p>
        </w:tc>
      </w:tr>
      <w:tr>
        <w:trPr>
          <w:trHeight w:val="219"/>
        </w:trPr>
        <w:tc>
          <w:tcPr>
            <w:tcW w:w="1760" w:type="dxa"/>
            <w:vAlign w:val="bottom"/>
          </w:tcPr>
          <w:p>
            <w:pPr>
              <w:spacing w:after="0"/>
              <w:rPr>
                <w:sz w:val="19"/>
                <w:szCs w:val="19"/>
                <w:color w:val="auto"/>
              </w:rPr>
            </w:pPr>
          </w:p>
        </w:tc>
        <w:tc>
          <w:tcPr>
            <w:tcW w:w="1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1,850,000</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28,100</w:t>
            </w:r>
          </w:p>
        </w:tc>
      </w:tr>
      <w:tr>
        <w:trPr>
          <w:trHeight w:val="20"/>
        </w:trPr>
        <w:tc>
          <w:tcPr>
            <w:tcW w:w="1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160" w:firstLine="389"/>
        <w:spacing w:after="0" w:line="267" w:lineRule="auto"/>
        <w:rPr>
          <w:sz w:val="20"/>
          <w:szCs w:val="20"/>
          <w:color w:val="auto"/>
        </w:rPr>
      </w:pPr>
      <w:r>
        <w:rPr>
          <w:rFonts w:ascii="Times New Roman" w:cs="Times New Roman" w:eastAsia="Times New Roman" w:hAnsi="Times New Roman"/>
          <w:sz w:val="17"/>
          <w:szCs w:val="17"/>
          <w:color w:val="auto"/>
        </w:rPr>
        <w:t>Interest is payable semi-annually in cash in arrears, with the principal due at maturity. Issuance Costs were recorded as an offset against the carrying value of respective debt and are being amortized to interest expense over the term of the respective debt. For further information on the Senior Notes, including terms, conditions, restrictions and redemption options, see Note 10, “Debt,” of the Company’s consolidated financial statements included in the fiscal 2024 Annual Report on Form 10-K.</w:t>
      </w:r>
    </w:p>
    <w:p>
      <w:pPr>
        <w:spacing w:after="0" w:line="64" w:lineRule="exact"/>
        <w:rPr>
          <w:sz w:val="20"/>
          <w:szCs w:val="20"/>
          <w:color w:val="auto"/>
        </w:rPr>
      </w:pPr>
    </w:p>
    <w:p>
      <w:pPr>
        <w:ind w:right="40" w:firstLine="389"/>
        <w:spacing w:after="0" w:line="267" w:lineRule="auto"/>
        <w:rPr>
          <w:sz w:val="20"/>
          <w:szCs w:val="20"/>
          <w:color w:val="auto"/>
        </w:rPr>
      </w:pPr>
      <w:r>
        <w:rPr>
          <w:rFonts w:ascii="Times New Roman" w:cs="Times New Roman" w:eastAsia="Times New Roman" w:hAnsi="Times New Roman"/>
          <w:sz w:val="17"/>
          <w:szCs w:val="17"/>
          <w:color w:val="auto"/>
        </w:rPr>
        <w:t>All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 and the related guarantees were released. The Senior Notes due 2033 are fully and unconditionally guaranteed on an unsecured and unsubordinated basis by Booz Allen Hamilton Holding Corporation, pursuant to the relevant indenture.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11"/>
        </w:trPr>
        <w:tc>
          <w:tcPr>
            <w:tcW w:w="58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expense consisted of the following: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5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60"/>
              <w:spacing w:after="0" w:line="194"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6"/>
                <w:szCs w:val="16"/>
                <w:color w:val="auto"/>
              </w:rPr>
            </w:pPr>
          </w:p>
        </w:tc>
        <w:tc>
          <w:tcPr>
            <w:tcW w:w="2300" w:type="dxa"/>
            <w:vAlign w:val="bottom"/>
            <w:gridSpan w:val="4"/>
          </w:tcPr>
          <w:p>
            <w:pPr>
              <w:jc w:val="center"/>
              <w:ind w:right="214"/>
              <w:spacing w:after="0" w:line="194" w:lineRule="exact"/>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1"/>
        </w:trPr>
        <w:tc>
          <w:tcPr>
            <w:tcW w:w="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0" w:type="dxa"/>
            <w:vAlign w:val="bottom"/>
          </w:tcPr>
          <w:p>
            <w:pPr>
              <w:spacing w:after="0"/>
              <w:rPr>
                <w:sz w:val="20"/>
                <w:szCs w:val="20"/>
                <w:color w:val="auto"/>
              </w:rPr>
            </w:pPr>
          </w:p>
        </w:tc>
        <w:tc>
          <w:tcPr>
            <w:tcW w:w="2300" w:type="dxa"/>
            <w:vAlign w:val="bottom"/>
            <w:gridSpan w:val="4"/>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20" w:type="dxa"/>
            <w:vAlign w:val="bottom"/>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87"/>
        </w:trPr>
        <w:tc>
          <w:tcPr>
            <w:tcW w:w="520" w:type="dxa"/>
            <w:vAlign w:val="bottom"/>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40" w:type="dxa"/>
            <w:vAlign w:val="bottom"/>
            <w:shd w:val="clear" w:color="auto" w:fill="CCEEFF"/>
          </w:tcPr>
          <w:p>
            <w:pPr>
              <w:spacing w:after="0"/>
              <w:rPr>
                <w:sz w:val="16"/>
                <w:szCs w:val="16"/>
                <w:color w:val="auto"/>
              </w:rPr>
            </w:pPr>
          </w:p>
        </w:tc>
      </w:tr>
      <w:tr>
        <w:trPr>
          <w:trHeight w:val="220"/>
        </w:trPr>
        <w:tc>
          <w:tcPr>
            <w:tcW w:w="5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53,415</w:t>
            </w:r>
          </w:p>
        </w:tc>
      </w:tr>
      <w:tr>
        <w:trPr>
          <w:trHeight w:val="220"/>
        </w:trPr>
        <w:tc>
          <w:tcPr>
            <w:tcW w:w="52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r>
      <w:tr>
        <w:trPr>
          <w:trHeight w:val="220"/>
        </w:trPr>
        <w:tc>
          <w:tcPr>
            <w:tcW w:w="5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29,793</w:t>
            </w:r>
          </w:p>
        </w:tc>
      </w:tr>
      <w:tr>
        <w:trPr>
          <w:trHeight w:val="169"/>
        </w:trPr>
        <w:tc>
          <w:tcPr>
            <w:tcW w:w="520" w:type="dxa"/>
            <w:vAlign w:val="bottom"/>
          </w:tcPr>
          <w:p>
            <w:pPr>
              <w:spacing w:after="0"/>
              <w:rPr>
                <w:sz w:val="14"/>
                <w:szCs w:val="14"/>
                <w:color w:val="auto"/>
              </w:rPr>
            </w:pPr>
          </w:p>
        </w:tc>
        <w:tc>
          <w:tcPr>
            <w:tcW w:w="5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Amortization of Debt Issuance Cost (DIC) and Original Issue Discount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3"/>
        </w:trPr>
        <w:tc>
          <w:tcPr>
            <w:tcW w:w="520" w:type="dxa"/>
            <w:vAlign w:val="bottom"/>
          </w:tcPr>
          <w:p>
            <w:pPr>
              <w:spacing w:after="0"/>
              <w:rPr>
                <w:sz w:val="20"/>
                <w:szCs w:val="20"/>
                <w:color w:val="auto"/>
              </w:rPr>
            </w:pPr>
          </w:p>
        </w:tc>
        <w:tc>
          <w:tcPr>
            <w:tcW w:w="53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 xml:space="preserve">(OID)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r>
      <w:tr>
        <w:trPr>
          <w:trHeight w:val="220"/>
        </w:trPr>
        <w:tc>
          <w:tcPr>
            <w:tcW w:w="5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Swaps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(7,271)</w:t>
            </w:r>
          </w:p>
        </w:tc>
      </w:tr>
      <w:tr>
        <w:trPr>
          <w:trHeight w:val="220"/>
        </w:trPr>
        <w:tc>
          <w:tcPr>
            <w:tcW w:w="52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13"/>
        </w:trPr>
        <w:tc>
          <w:tcPr>
            <w:tcW w:w="52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47,045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92,976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80,230</w:t>
            </w:r>
          </w:p>
        </w:tc>
      </w:tr>
      <w:tr>
        <w:trPr>
          <w:trHeight w:val="20"/>
        </w:trPr>
        <w:tc>
          <w:tcPr>
            <w:tcW w:w="5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780" w:right="140" w:hanging="154"/>
        <w:spacing w:after="0" w:line="264" w:lineRule="auto"/>
        <w:tabs>
          <w:tab w:leader="none" w:pos="783" w:val="left"/>
        </w:tabs>
        <w:numPr>
          <w:ilvl w:val="1"/>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DIC and OID on the Term Loans and Senior Notes are recorded as a reduction of long-term debt in the condensed consolidated balance sheet and are amortized ratably over the life of the related debt using the effective rate method. DIC on the Company’s Revolving Credit Facility is recorded as a long-term asset on the condensed consolidated balance sheet and amortized ratably over the term of the Revolving Credit Facility.</w:t>
      </w:r>
    </w:p>
    <w:p>
      <w:pPr>
        <w:spacing w:after="0" w:line="66" w:lineRule="exact"/>
        <w:rPr>
          <w:rFonts w:ascii="Times New Roman" w:cs="Times New Roman" w:eastAsia="Times New Roman" w:hAnsi="Times New Roman"/>
          <w:sz w:val="20"/>
          <w:szCs w:val="20"/>
          <w:color w:val="auto"/>
          <w:vertAlign w:val="superscript"/>
        </w:rPr>
      </w:pPr>
    </w:p>
    <w:p>
      <w:pPr>
        <w:ind w:left="180" w:hanging="176"/>
        <w:spacing w:after="0"/>
        <w:tabs>
          <w:tab w:leader="none" w:pos="1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Derivatives</w:t>
      </w:r>
    </w:p>
    <w:p>
      <w:pPr>
        <w:spacing w:after="0" w:line="118" w:lineRule="exact"/>
        <w:rPr>
          <w:sz w:val="20"/>
          <w:szCs w:val="20"/>
          <w:color w:val="auto"/>
        </w:rPr>
      </w:pPr>
    </w:p>
    <w:p>
      <w:pPr>
        <w:ind w:right="120" w:firstLine="389"/>
        <w:spacing w:after="0" w:line="273" w:lineRule="auto"/>
        <w:rPr>
          <w:sz w:val="20"/>
          <w:szCs w:val="20"/>
          <w:color w:val="auto"/>
        </w:rPr>
      </w:pPr>
      <w:r>
        <w:rPr>
          <w:rFonts w:ascii="Times New Roman" w:cs="Times New Roman" w:eastAsia="Times New Roman" w:hAnsi="Times New Roman"/>
          <w:sz w:val="17"/>
          <w:szCs w:val="17"/>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material terms of the Company’s outstanding interest rate swap derivative contracts as of September 30, 2024:</w:t>
      </w:r>
    </w:p>
    <w:p>
      <w:pPr>
        <w:spacing w:after="0" w:line="49" w:lineRule="exact"/>
        <w:rPr>
          <w:sz w:val="20"/>
          <w:szCs w:val="20"/>
          <w:color w:val="auto"/>
        </w:rPr>
      </w:pPr>
    </w:p>
    <w:tbl>
      <w:tblPr>
        <w:tblLayout w:type="fixed"/>
        <w:tblInd w:w="2400" w:type="dxa"/>
        <w:tblCellMar>
          <w:top w:w="0" w:type="dxa"/>
          <w:left w:w="0" w:type="dxa"/>
          <w:bottom w:w="0" w:type="dxa"/>
          <w:right w:w="0" w:type="dxa"/>
        </w:tblCellMar>
      </w:tblPr>
      <w:tr>
        <w:trPr>
          <w:trHeight w:val="228"/>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16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154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w w:val="97"/>
              </w:rPr>
              <w:t>Terms</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Notional Amount</w:t>
            </w:r>
          </w:p>
        </w:tc>
      </w:tr>
      <w:tr>
        <w:trPr>
          <w:trHeight w:val="213"/>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28, 2023</w:t>
            </w:r>
          </w:p>
        </w:tc>
        <w:tc>
          <w:tcPr>
            <w:tcW w:w="16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June 30, 2025</w:t>
            </w:r>
          </w:p>
        </w:tc>
        <w:tc>
          <w:tcPr>
            <w:tcW w:w="154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w w:val="99"/>
              </w:rPr>
              <w:t>Variable to Fixed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20"/>
        </w:trPr>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30, 2023</w:t>
            </w:r>
          </w:p>
        </w:tc>
        <w:tc>
          <w:tcPr>
            <w:tcW w:w="166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June 30, 2026</w:t>
            </w:r>
          </w:p>
        </w:tc>
        <w:tc>
          <w:tcPr>
            <w:tcW w:w="154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9"/>
              </w:rPr>
              <w:t>Variable to Fixed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r>
      <w:tr>
        <w:trPr>
          <w:trHeight w:val="220"/>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28, 2024</w:t>
            </w:r>
          </w:p>
        </w:tc>
        <w:tc>
          <w:tcPr>
            <w:tcW w:w="16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June 30, 2027</w:t>
            </w:r>
          </w:p>
        </w:tc>
        <w:tc>
          <w:tcPr>
            <w:tcW w:w="154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w w:val="99"/>
              </w:rPr>
              <w:t>Variable to Fixed</w:t>
            </w:r>
          </w:p>
        </w:tc>
        <w:tc>
          <w:tcPr>
            <w:tcW w:w="4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19"/>
        </w:trPr>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550,000</w:t>
            </w:r>
          </w:p>
        </w:tc>
      </w:tr>
    </w:tbl>
    <w:p>
      <w:pPr>
        <w:spacing w:after="0" w:line="106" w:lineRule="exact"/>
        <w:rPr>
          <w:sz w:val="20"/>
          <w:szCs w:val="20"/>
          <w:color w:val="auto"/>
        </w:rPr>
      </w:pPr>
    </w:p>
    <w:p>
      <w:pPr>
        <w:jc w:val="both"/>
        <w:ind w:right="60" w:firstLine="389"/>
        <w:spacing w:after="0" w:line="273" w:lineRule="auto"/>
        <w:rPr>
          <w:sz w:val="20"/>
          <w:szCs w:val="20"/>
          <w:color w:val="auto"/>
        </w:rPr>
      </w:pPr>
      <w:r>
        <w:rPr>
          <w:rFonts w:ascii="Times New Roman" w:cs="Times New Roman" w:eastAsia="Times New Roman" w:hAnsi="Times New Roman"/>
          <w:sz w:val="17"/>
          <w:szCs w:val="17"/>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7" w:lineRule="exact"/>
        <w:rPr>
          <w:sz w:val="20"/>
          <w:szCs w:val="20"/>
          <w:color w:val="auto"/>
        </w:rPr>
      </w:pPr>
    </w:p>
    <w:p>
      <w:pPr>
        <w:ind w:right="20" w:firstLine="389"/>
        <w:spacing w:after="0" w:line="267" w:lineRule="auto"/>
        <w:rPr>
          <w:sz w:val="20"/>
          <w:szCs w:val="20"/>
          <w:color w:val="auto"/>
        </w:rPr>
      </w:pPr>
      <w:r>
        <w:rPr>
          <w:rFonts w:ascii="Times New Roman" w:cs="Times New Roman" w:eastAsia="Times New Roman" w:hAnsi="Times New Roman"/>
          <w:sz w:val="17"/>
          <w:szCs w:val="17"/>
          <w:color w:val="auto"/>
        </w:rPr>
        <w:t>Derivative instruments are recorded in the condensed consolidated balance sheet on a gross basis at estimated fair value. As of September 30, 2024, $2.9 million, $1.1 million and $5.0 million were classified as other current assets, other current liabilities and other long-term liabilities, respectively, on the condensed consolidated balance sheet. As of March 31, 2024, $8.7 million and $1.6 million were classified as other current assets and other long-term assets, respectively, on the condensed consolidated balance sheet.</w:t>
      </w:r>
    </w:p>
    <w:p>
      <w:pPr>
        <w:spacing w:after="0" w:line="12"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For interest rate swaps designated as cash flow hedges, the changes in the fair value of derivatives are recorded in Accumulated Other Comprehensive Income (“AOCI”), net of taxes, and are subsequently reclassified into interest expense, net in the period that the hedged forecasted interest payments are made on the Company's variable-rate debt. The effect of derivative instruments on the accompanying condensed consolidated financial statements for the periods presented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Pre-Tax (Loss) Gain Recognized in</w:t>
            </w:r>
          </w:p>
        </w:tc>
        <w:tc>
          <w:tcPr>
            <w:tcW w:w="332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Pre-Tax Gain Reclassified from AOCI</w:t>
            </w:r>
          </w:p>
        </w:tc>
      </w:tr>
      <w:tr>
        <w:trPr>
          <w:trHeight w:val="228"/>
        </w:trPr>
        <w:tc>
          <w:tcPr>
            <w:tcW w:w="4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AOCI on Derivatives</w:t>
            </w:r>
          </w:p>
        </w:tc>
        <w:tc>
          <w:tcPr>
            <w:tcW w:w="900" w:type="dxa"/>
            <w:vAlign w:val="bottom"/>
          </w:tcPr>
          <w:p>
            <w:pPr>
              <w:spacing w:after="0"/>
              <w:rPr>
                <w:sz w:val="19"/>
                <w:szCs w:val="19"/>
                <w:color w:val="auto"/>
              </w:rPr>
            </w:pPr>
          </w:p>
        </w:tc>
        <w:tc>
          <w:tcPr>
            <w:tcW w:w="150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into Income</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67"/>
        </w:trPr>
        <w:tc>
          <w:tcPr>
            <w:tcW w:w="4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gridSpan w:val="2"/>
          </w:tcPr>
          <w:p>
            <w:pPr>
              <w:jc w:val="center"/>
              <w:ind w:right="54"/>
              <w:spacing w:after="0" w:line="167"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4"/>
                <w:szCs w:val="14"/>
                <w:color w:val="auto"/>
              </w:rPr>
            </w:pPr>
          </w:p>
        </w:tc>
        <w:tc>
          <w:tcPr>
            <w:tcW w:w="2400" w:type="dxa"/>
            <w:vAlign w:val="bottom"/>
            <w:tcBorders>
              <w:top w:val="single" w:sz="8" w:color="auto"/>
            </w:tcBorders>
            <w:gridSpan w:val="2"/>
          </w:tcPr>
          <w:p>
            <w:pPr>
              <w:jc w:val="center"/>
              <w:ind w:left="414"/>
              <w:spacing w:after="0" w:line="167"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228"/>
        </w:trPr>
        <w:tc>
          <w:tcPr>
            <w:tcW w:w="4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26"/>
        </w:trPr>
        <w:tc>
          <w:tcPr>
            <w:tcW w:w="420" w:type="dxa"/>
            <w:vAlign w:val="bottom"/>
          </w:tcPr>
          <w:p>
            <w:pPr>
              <w:spacing w:after="0"/>
              <w:rPr>
                <w:sz w:val="19"/>
                <w:szCs w:val="19"/>
                <w:color w:val="auto"/>
              </w:rPr>
            </w:pPr>
          </w:p>
        </w:tc>
        <w:tc>
          <w:tcPr>
            <w:tcW w:w="4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Derivatives in Cash Flow Hedging Relationships</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13"/>
        </w:trPr>
        <w:tc>
          <w:tcPr>
            <w:tcW w:w="420" w:type="dxa"/>
            <w:vAlign w:val="bottom"/>
          </w:tcPr>
          <w:p>
            <w:pPr>
              <w:spacing w:after="0"/>
              <w:rPr>
                <w:sz w:val="18"/>
                <w:szCs w:val="18"/>
                <w:color w:val="auto"/>
              </w:rPr>
            </w:pPr>
          </w:p>
        </w:tc>
        <w:tc>
          <w:tcPr>
            <w:tcW w:w="44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rate swaps </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(7,806)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2,702 $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w:t>
            </w:r>
          </w:p>
        </w:tc>
        <w:tc>
          <w:tcPr>
            <w:tcW w:w="400" w:type="dxa"/>
            <w:vAlign w:val="bottom"/>
          </w:tcPr>
          <w:p>
            <w:pPr>
              <w:spacing w:after="0"/>
              <w:rPr>
                <w:sz w:val="18"/>
                <w:szCs w:val="18"/>
                <w:color w:val="auto"/>
              </w:rPr>
            </w:pPr>
          </w:p>
        </w:tc>
      </w:tr>
      <w:tr>
        <w:trPr>
          <w:trHeight w:val="830"/>
        </w:trPr>
        <w:tc>
          <w:tcPr>
            <w:tcW w:w="4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rPr>
              <w:t>15</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0"/>
        </w:trPr>
        <w:tc>
          <w:tcPr>
            <w:tcW w:w="42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480" w:type="dxa"/>
            <w:vAlign w:val="bottom"/>
          </w:tcPr>
          <w:p>
            <w:pPr>
              <w:spacing w:after="0"/>
              <w:rPr>
                <w:sz w:val="17"/>
                <w:szCs w:val="17"/>
                <w:color w:val="auto"/>
              </w:rPr>
            </w:pPr>
          </w:p>
        </w:tc>
        <w:tc>
          <w:tcPr>
            <w:tcW w:w="302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Pre-Tax (Loss) Gain Recognized in</w:t>
            </w:r>
          </w:p>
        </w:tc>
        <w:tc>
          <w:tcPr>
            <w:tcW w:w="29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Pre-Tax Gain Reclassified from AOCI</w:t>
            </w:r>
          </w:p>
        </w:tc>
      </w:tr>
      <w:tr>
        <w:trPr>
          <w:trHeight w:val="231"/>
        </w:trPr>
        <w:tc>
          <w:tcPr>
            <w:tcW w:w="4480" w:type="dxa"/>
            <w:vAlign w:val="bottom"/>
          </w:tcPr>
          <w:p>
            <w:pPr>
              <w:spacing w:after="0"/>
              <w:rPr>
                <w:sz w:val="20"/>
                <w:szCs w:val="20"/>
                <w:color w:val="auto"/>
              </w:rPr>
            </w:pPr>
          </w:p>
        </w:tc>
        <w:tc>
          <w:tcPr>
            <w:tcW w:w="236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AOCI on Derivatives</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into Income</w:t>
            </w:r>
          </w:p>
        </w:tc>
        <w:tc>
          <w:tcPr>
            <w:tcW w:w="520" w:type="dxa"/>
            <w:vAlign w:val="bottom"/>
            <w:tcBorders>
              <w:bottom w:val="single" w:sz="8" w:color="auto"/>
            </w:tcBorders>
          </w:tcPr>
          <w:p>
            <w:pPr>
              <w:spacing w:after="0"/>
              <w:rPr>
                <w:sz w:val="20"/>
                <w:szCs w:val="20"/>
                <w:color w:val="auto"/>
              </w:rPr>
            </w:pPr>
          </w:p>
        </w:tc>
      </w:tr>
      <w:tr>
        <w:trPr>
          <w:trHeight w:val="164"/>
        </w:trPr>
        <w:tc>
          <w:tcPr>
            <w:tcW w:w="4480" w:type="dxa"/>
            <w:vAlign w:val="bottom"/>
          </w:tcPr>
          <w:p>
            <w:pPr>
              <w:spacing w:after="0"/>
              <w:rPr>
                <w:sz w:val="14"/>
                <w:szCs w:val="14"/>
                <w:color w:val="auto"/>
              </w:rPr>
            </w:pPr>
          </w:p>
        </w:tc>
        <w:tc>
          <w:tcPr>
            <w:tcW w:w="2360" w:type="dxa"/>
            <w:vAlign w:val="bottom"/>
            <w:gridSpan w:val="2"/>
          </w:tcPr>
          <w:p>
            <w:pPr>
              <w:jc w:val="center"/>
              <w:ind w:left="454"/>
              <w:spacing w:after="0" w:line="164"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center"/>
              <w:ind w:left="414"/>
              <w:spacing w:after="0" w:line="164"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520" w:type="dxa"/>
            <w:vAlign w:val="bottom"/>
          </w:tcPr>
          <w:p>
            <w:pPr>
              <w:spacing w:after="0"/>
              <w:rPr>
                <w:sz w:val="14"/>
                <w:szCs w:val="14"/>
                <w:color w:val="auto"/>
              </w:rPr>
            </w:pPr>
          </w:p>
        </w:tc>
      </w:tr>
      <w:tr>
        <w:trPr>
          <w:trHeight w:val="231"/>
        </w:trPr>
        <w:tc>
          <w:tcPr>
            <w:tcW w:w="44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20" w:type="dxa"/>
            <w:vAlign w:val="bottom"/>
            <w:tcBorders>
              <w:bottom w:val="single" w:sz="8" w:color="auto"/>
            </w:tcBorders>
          </w:tcPr>
          <w:p>
            <w:pPr>
              <w:spacing w:after="0"/>
              <w:rPr>
                <w:sz w:val="20"/>
                <w:szCs w:val="20"/>
                <w:color w:val="auto"/>
              </w:rPr>
            </w:pPr>
          </w:p>
        </w:tc>
      </w:tr>
      <w:tr>
        <w:trPr>
          <w:trHeight w:val="242"/>
        </w:trPr>
        <w:tc>
          <w:tcPr>
            <w:tcW w:w="4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Derivatives in Cash Flow Hedging Relationships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bottom w:val="single" w:sz="8" w:color="auto"/>
            </w:tcBorders>
          </w:tcPr>
          <w:p>
            <w:pPr>
              <w:spacing w:after="0"/>
              <w:rPr>
                <w:sz w:val="21"/>
                <w:szCs w:val="21"/>
                <w:color w:val="auto"/>
              </w:rPr>
            </w:pPr>
          </w:p>
        </w:tc>
      </w:tr>
      <w:tr>
        <w:trPr>
          <w:trHeight w:val="213"/>
        </w:trPr>
        <w:tc>
          <w:tcPr>
            <w:tcW w:w="44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7"/>
                <w:szCs w:val="17"/>
                <w:color w:val="auto"/>
              </w:rPr>
              <w:t xml:space="preserve">Interest rate swaps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(7,067)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11,772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6,461 $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7,271</w:t>
            </w:r>
          </w:p>
        </w:tc>
      </w:tr>
    </w:tbl>
    <w:p>
      <w:pPr>
        <w:spacing w:after="0" w:line="124" w:lineRule="exact"/>
        <w:rPr>
          <w:sz w:val="20"/>
          <w:szCs w:val="20"/>
          <w:color w:val="auto"/>
        </w:rPr>
      </w:pPr>
    </w:p>
    <w:p>
      <w:pPr>
        <w:ind w:left="480" w:right="580" w:hanging="165"/>
        <w:spacing w:after="0" w:line="231" w:lineRule="auto"/>
        <w:tabs>
          <w:tab w:leader="none" w:pos="49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reclassifications from accumulated other comprehensive income to net income are included in interest expense in the Condensed Consolidated Statement of Operations.</w:t>
      </w:r>
    </w:p>
    <w:p>
      <w:pPr>
        <w:spacing w:after="0" w:line="87" w:lineRule="exact"/>
        <w:rPr>
          <w:sz w:val="20"/>
          <w:szCs w:val="20"/>
          <w:color w:val="auto"/>
        </w:rPr>
      </w:pPr>
    </w:p>
    <w:p>
      <w:pPr>
        <w:ind w:right="60" w:firstLine="389"/>
        <w:spacing w:after="0" w:line="292" w:lineRule="auto"/>
        <w:rPr>
          <w:sz w:val="20"/>
          <w:szCs w:val="20"/>
          <w:color w:val="auto"/>
        </w:rPr>
      </w:pPr>
      <w:r>
        <w:rPr>
          <w:rFonts w:ascii="Times New Roman" w:cs="Times New Roman" w:eastAsia="Times New Roman" w:hAnsi="Times New Roman"/>
          <w:sz w:val="17"/>
          <w:szCs w:val="17"/>
          <w:color w:val="auto"/>
        </w:rPr>
        <w:t>Over the next 12 months, the Company estimates that $1.7 million will be reclassified as a decrease to interest expense. Cash flows associated with periodic settlements of interest rate swaps will be classified as operating activities in the condensed consolidated statement of cash flows.</w:t>
      </w:r>
    </w:p>
    <w:p>
      <w:pPr>
        <w:spacing w:after="0" w:line="43" w:lineRule="exact"/>
        <w:rPr>
          <w:sz w:val="20"/>
          <w:szCs w:val="20"/>
          <w:color w:val="auto"/>
        </w:rPr>
      </w:pPr>
    </w:p>
    <w:p>
      <w:pPr>
        <w:ind w:right="300" w:firstLine="389"/>
        <w:spacing w:after="0" w:line="267" w:lineRule="auto"/>
        <w:rPr>
          <w:sz w:val="20"/>
          <w:szCs w:val="20"/>
          <w:color w:val="auto"/>
        </w:rPr>
      </w:pPr>
      <w:r>
        <w:rPr>
          <w:rFonts w:ascii="Times New Roman" w:cs="Times New Roman" w:eastAsia="Times New Roman" w:hAnsi="Times New Roman"/>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diversifying across multiple counterparties, and regularly reviewing credit exposure and the creditworthiness of each counterparty.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240" w:firstLine="389"/>
        <w:spacing w:after="0" w:line="266" w:lineRule="auto"/>
        <w:rPr>
          <w:sz w:val="20"/>
          <w:szCs w:val="20"/>
          <w:color w:val="auto"/>
        </w:rPr>
      </w:pPr>
      <w:r>
        <w:rPr>
          <w:rFonts w:ascii="Times New Roman" w:cs="Times New Roman" w:eastAsia="Times New Roman" w:hAnsi="Times New Roman"/>
          <w:sz w:val="17"/>
          <w:szCs w:val="17"/>
          <w:color w:val="auto"/>
        </w:rPr>
        <w:t>The Company’s effective income tax rates were 24.0% and 24.4% for the three months ended September 30, 2024 and 2023, respectively, and 23.7% and 22.2% for the six months ended September 30, 2024 and 2023, respectively. Our effective tax rates for these periods differ from the federal statutory rate of</w:t>
      </w:r>
    </w:p>
    <w:p>
      <w:pPr>
        <w:ind w:right="40"/>
        <w:spacing w:after="0" w:line="262" w:lineRule="auto"/>
        <w:rPr>
          <w:sz w:val="20"/>
          <w:szCs w:val="20"/>
          <w:color w:val="auto"/>
        </w:rPr>
      </w:pPr>
      <w:r>
        <w:rPr>
          <w:rFonts w:ascii="Times New Roman" w:cs="Times New Roman" w:eastAsia="Times New Roman" w:hAnsi="Times New Roman"/>
          <w:sz w:val="17"/>
          <w:szCs w:val="17"/>
          <w:color w:val="auto"/>
        </w:rPr>
        <w:t>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15" w:lineRule="exact"/>
        <w:rPr>
          <w:sz w:val="20"/>
          <w:szCs w:val="20"/>
          <w:color w:val="auto"/>
        </w:rPr>
      </w:pPr>
    </w:p>
    <w:p>
      <w:pPr>
        <w:ind w:firstLine="389"/>
        <w:spacing w:after="0" w:line="286" w:lineRule="auto"/>
        <w:rPr>
          <w:sz w:val="20"/>
          <w:szCs w:val="20"/>
          <w:color w:val="auto"/>
        </w:rPr>
      </w:pPr>
      <w:r>
        <w:rPr>
          <w:rFonts w:ascii="Times New Roman" w:cs="Times New Roman" w:eastAsia="Times New Roman" w:hAnsi="Times New Roman"/>
          <w:sz w:val="17"/>
          <w:szCs w:val="17"/>
          <w:color w:val="auto"/>
        </w:rPr>
        <w:t>As of September 30, 2024 and March 31, 2024 the Company recorded $126.9 million and $115.4 million, respectively, of reserves for uncertain tax positions primarily related to research and development tax credits.</w:t>
      </w:r>
    </w:p>
    <w:p>
      <w:pPr>
        <w:spacing w:after="0" w:line="1" w:lineRule="exact"/>
        <w:rPr>
          <w:sz w:val="20"/>
          <w:szCs w:val="20"/>
          <w:color w:val="auto"/>
        </w:rPr>
      </w:pPr>
    </w:p>
    <w:p>
      <w:pPr>
        <w:ind w:right="140" w:firstLine="389"/>
        <w:spacing w:after="0" w:line="278" w:lineRule="auto"/>
        <w:rPr>
          <w:sz w:val="20"/>
          <w:szCs w:val="20"/>
          <w:color w:val="auto"/>
        </w:rPr>
      </w:pPr>
      <w:r>
        <w:rPr>
          <w:rFonts w:ascii="Times New Roman" w:cs="Times New Roman" w:eastAsia="Times New Roman" w:hAnsi="Times New Roman"/>
          <w:sz w:val="17"/>
          <w:szCs w:val="17"/>
          <w:color w:val="auto"/>
        </w:rPr>
        <w:t>As of September 30, 2024 and March 31, 2024, the Company has recorded both a current income tax receivable (classified as prepaid expenses and other current assets) and a current income tax payable (classified as other current liabilities) on its condensed consolidated balance sheet. These amounts are reflective</w:t>
      </w:r>
    </w:p>
    <w:p>
      <w:pPr>
        <w:spacing w:after="0" w:line="1"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of fiscal 2025 and 2024 tax accruals in each U.S. Federal, state, and foreign jurisdiction, as adjusted for estimated payments made to date. In addition, as of September 30, 2024 and March 31, 2024, the Company has recorded a long-term income tax receivable of $152.5 million, which represents the amended U.S. federal return refund claims for research and development tax credits and the carryback claim for the fiscal 2021 net operating loss which is classified as other long-term assets on the condensed consolidated balance sheet. The Company is currently under federal audit by the IRS for fiscal years 2016, 2017, and 2019-2021 and the receipt of our U.S federal return refund claims is contingent upon the completion of the ongoing IRS audits.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Employee Benefit Plans</w:t>
      </w:r>
    </w:p>
    <w:p>
      <w:pPr>
        <w:spacing w:after="0" w:line="118" w:lineRule="exact"/>
        <w:rPr>
          <w:sz w:val="20"/>
          <w:szCs w:val="20"/>
          <w:color w:val="auto"/>
        </w:rPr>
      </w:pPr>
    </w:p>
    <w:p>
      <w:pPr>
        <w:ind w:firstLine="389"/>
        <w:spacing w:after="0" w:line="264" w:lineRule="auto"/>
        <w:rPr>
          <w:sz w:val="20"/>
          <w:szCs w:val="20"/>
          <w:color w:val="auto"/>
        </w:rPr>
      </w:pPr>
      <w:r>
        <w:rPr>
          <w:rFonts w:ascii="Times New Roman" w:cs="Times New Roman" w:eastAsia="Times New Roman" w:hAnsi="Times New Roman"/>
          <w:sz w:val="17"/>
          <w:szCs w:val="17"/>
          <w:color w:val="auto"/>
        </w:rPr>
        <w:t>The Company sponsors the Employees’ Capital Accumulation Plan (the “ECAP”) which is a qualified defined contribution plan that covers eligible U.S. and certain international employees. The ECAP provides for distributions to participants by reason of retirement, death, disability, or termination of employment. The Company provides an annual matching contribution of up to 6% of eligible annual compensation. Total expense recognized for matching contributions under the ECAP were $61.1 million and $53.6 million for the three months ended September 30, 2024 and 2023, respectively, and $123.0 million and $108.1 million for the six months ended September 30, 2024 and 2023, respectively.</w:t>
      </w:r>
    </w:p>
    <w:p>
      <w:pPr>
        <w:spacing w:after="0" w:line="66" w:lineRule="exact"/>
        <w:rPr>
          <w:sz w:val="20"/>
          <w:szCs w:val="20"/>
          <w:color w:val="auto"/>
        </w:rPr>
      </w:pPr>
    </w:p>
    <w:p>
      <w:pPr>
        <w:ind w:right="320" w:firstLine="389"/>
        <w:spacing w:after="0" w:line="267" w:lineRule="auto"/>
        <w:rPr>
          <w:sz w:val="20"/>
          <w:szCs w:val="20"/>
          <w:color w:val="auto"/>
        </w:rPr>
      </w:pPr>
      <w:r>
        <w:rPr>
          <w:rFonts w:ascii="Times New Roman" w:cs="Times New Roman" w:eastAsia="Times New Roman" w:hAnsi="Times New Roman"/>
          <w:sz w:val="17"/>
          <w:szCs w:val="17"/>
          <w:color w:val="auto"/>
        </w:rPr>
        <w:t>The Company also provides post-retirement healthcare benefits to former officers under a medical indemnity insurance plan, with premiums paid by the Company. As of September 30, 2024 and March 31, 2024, the unfunded status of the post-retirement medical plan was $129.2 million and $127.0 million, respectively, which is included in other long-term liabilities in the accompanying condensed consolidated balance sheets. Balance sheet and income statement impacts of any remaining benefit plans are immaterial for all periods presented in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Accumulated Other Comprehensive Income /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amounts recorded in other comprehensive income are related to the Company's post-retirement plans and interest rate swaps designated as cash flow hedges.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accumulated other comprehensive income, net of tax:</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w:t>
            </w:r>
          </w:p>
        </w:tc>
        <w:tc>
          <w:tcPr>
            <w:tcW w:w="140" w:type="dxa"/>
            <w:vAlign w:val="bottom"/>
          </w:tcPr>
          <w:p>
            <w:pPr>
              <w:spacing w:after="0"/>
              <w:rPr>
                <w:sz w:val="14"/>
                <w:szCs w:val="14"/>
                <w:color w:val="auto"/>
              </w:rPr>
            </w:pPr>
          </w:p>
        </w:tc>
        <w:tc>
          <w:tcPr>
            <w:tcW w:w="11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Derivatives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7"/>
              </w:rPr>
              <w:t>Post-</w:t>
            </w:r>
          </w:p>
        </w:tc>
        <w:tc>
          <w:tcPr>
            <w:tcW w:w="140" w:type="dxa"/>
            <w:vAlign w:val="bottom"/>
          </w:tcPr>
          <w:p>
            <w:pPr>
              <w:spacing w:after="0"/>
              <w:rPr>
                <w:sz w:val="14"/>
                <w:szCs w:val="14"/>
                <w:color w:val="auto"/>
              </w:rPr>
            </w:pPr>
          </w:p>
        </w:tc>
        <w:tc>
          <w:tcPr>
            <w:tcW w:w="1160" w:type="dxa"/>
            <w:vAlign w:val="bottom"/>
          </w:tcPr>
          <w:p>
            <w:pPr>
              <w:jc w:val="center"/>
              <w:ind w:right="34"/>
              <w:spacing w:after="0" w:line="164" w:lineRule="exact"/>
              <w:rPr>
                <w:sz w:val="20"/>
                <w:szCs w:val="20"/>
                <w:color w:val="auto"/>
              </w:rPr>
            </w:pPr>
            <w:r>
              <w:rPr>
                <w:rFonts w:ascii="Times New Roman" w:cs="Times New Roman" w:eastAsia="Times New Roman" w:hAnsi="Times New Roman"/>
                <w:sz w:val="17"/>
                <w:szCs w:val="17"/>
                <w:b w:val="1"/>
                <w:bCs w:val="1"/>
                <w:color w:val="auto"/>
              </w:rPr>
              <w:t>Derivatives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40" w:type="dxa"/>
            <w:vAlign w:val="bottom"/>
          </w:tcPr>
          <w:p>
            <w:pPr>
              <w:spacing w:after="0"/>
              <w:rPr>
                <w:sz w:val="15"/>
                <w:szCs w:val="15"/>
                <w:color w:val="auto"/>
              </w:rPr>
            </w:pPr>
          </w:p>
        </w:tc>
        <w:tc>
          <w:tcPr>
            <w:tcW w:w="114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20" w:type="dxa"/>
            <w:vAlign w:val="bottom"/>
          </w:tcPr>
          <w:p>
            <w:pPr>
              <w:spacing w:after="0"/>
              <w:rPr>
                <w:sz w:val="15"/>
                <w:szCs w:val="15"/>
                <w:color w:val="auto"/>
              </w:rPr>
            </w:pPr>
          </w:p>
        </w:tc>
        <w:tc>
          <w:tcPr>
            <w:tcW w:w="88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60" w:type="dxa"/>
            <w:vAlign w:val="bottom"/>
          </w:tcPr>
          <w:p>
            <w:pPr>
              <w:spacing w:after="0"/>
              <w:rPr>
                <w:sz w:val="15"/>
                <w:szCs w:val="15"/>
                <w:color w:val="auto"/>
              </w:rPr>
            </w:pPr>
          </w:p>
        </w:tc>
        <w:tc>
          <w:tcPr>
            <w:tcW w:w="100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40" w:type="dxa"/>
            <w:vAlign w:val="bottom"/>
          </w:tcPr>
          <w:p>
            <w:pPr>
              <w:spacing w:after="0"/>
              <w:rPr>
                <w:sz w:val="15"/>
                <w:szCs w:val="15"/>
                <w:color w:val="auto"/>
              </w:rPr>
            </w:pPr>
          </w:p>
        </w:tc>
        <w:tc>
          <w:tcPr>
            <w:tcW w:w="116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b w:val="1"/>
                <w:bCs w:val="1"/>
                <w:color w:val="auto"/>
              </w:rPr>
              <w:t>cash flow</w:t>
            </w:r>
          </w:p>
        </w:tc>
        <w:tc>
          <w:tcPr>
            <w:tcW w:w="200" w:type="dxa"/>
            <w:vAlign w:val="bottom"/>
          </w:tcPr>
          <w:p>
            <w:pPr>
              <w:spacing w:after="0"/>
              <w:rPr>
                <w:sz w:val="15"/>
                <w:szCs w:val="15"/>
                <w:color w:val="auto"/>
              </w:rPr>
            </w:pPr>
          </w:p>
        </w:tc>
        <w:tc>
          <w:tcPr>
            <w:tcW w:w="9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cash flow hedges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plans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7,556</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9,532</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Other comprehensive loss before reclassifications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(5,788)</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(5,788)</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 xml:space="preserve">comprehensive income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(4,568)</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(7,679)</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480" w:right="140" w:hanging="165"/>
        <w:spacing w:after="0" w:line="238" w:lineRule="auto"/>
        <w:tabs>
          <w:tab w:leader="none" w:pos="49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Changes in other comprehensive income / (loss) before reclassification for derivatives designated as cash flow hedges are recorded net of tax benefit of $2.0 million and $1.8 million for the three and six months ended September 30, 2024, respectively. The tax impact of other comprehensive income before reclassification for post-retirement plans for the three and six months ended September 30, 2024 was immaterial.</w:t>
      </w:r>
    </w:p>
    <w:p>
      <w:pPr>
        <w:spacing w:after="0" w:line="35" w:lineRule="exact"/>
        <w:rPr>
          <w:rFonts w:ascii="Times New Roman" w:cs="Times New Roman" w:eastAsia="Times New Roman" w:hAnsi="Times New Roman"/>
          <w:sz w:val="22"/>
          <w:szCs w:val="22"/>
          <w:color w:val="auto"/>
          <w:vertAlign w:val="superscript"/>
        </w:rPr>
      </w:pPr>
    </w:p>
    <w:p>
      <w:pPr>
        <w:ind w:left="480" w:right="180" w:hanging="165"/>
        <w:spacing w:after="0" w:line="244" w:lineRule="auto"/>
        <w:tabs>
          <w:tab w:leader="none" w:pos="48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reclassifications from accumulated other comprehensive income to net income for derivatives designated as cash flow hedges are recorded net of tax expense of $0.7 million and $1.7 million for the three and six months ended September 30, 2024, respectively. The tax impact of reclassifications from accumulated other comprehensive loss to net income for post-retirement plans for the three and six months ended September 30, 2024 was immaterial.</w:t>
      </w: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54"/>
              <w:spacing w:after="0" w:line="192"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Post-</w:t>
            </w:r>
          </w:p>
        </w:tc>
        <w:tc>
          <w:tcPr>
            <w:tcW w:w="120" w:type="dxa"/>
            <w:vAlign w:val="bottom"/>
          </w:tcPr>
          <w:p>
            <w:pPr>
              <w:spacing w:after="0"/>
              <w:rPr>
                <w:sz w:val="14"/>
                <w:szCs w:val="14"/>
                <w:color w:val="auto"/>
              </w:rPr>
            </w:pPr>
          </w:p>
        </w:tc>
        <w:tc>
          <w:tcPr>
            <w:tcW w:w="118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Derivatives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w:t>
            </w:r>
          </w:p>
        </w:tc>
        <w:tc>
          <w:tcPr>
            <w:tcW w:w="120" w:type="dxa"/>
            <w:vAlign w:val="bottom"/>
          </w:tcPr>
          <w:p>
            <w:pPr>
              <w:spacing w:after="0"/>
              <w:rPr>
                <w:sz w:val="14"/>
                <w:szCs w:val="14"/>
                <w:color w:val="auto"/>
              </w:rPr>
            </w:pPr>
          </w:p>
        </w:tc>
        <w:tc>
          <w:tcPr>
            <w:tcW w:w="1120" w:type="dxa"/>
            <w:vAlign w:val="bottom"/>
          </w:tcPr>
          <w:p>
            <w:pPr>
              <w:jc w:val="center"/>
              <w:ind w:right="34"/>
              <w:spacing w:after="0" w:line="164" w:lineRule="exact"/>
              <w:rPr>
                <w:sz w:val="20"/>
                <w:szCs w:val="20"/>
                <w:color w:val="auto"/>
              </w:rPr>
            </w:pPr>
            <w:r>
              <w:rPr>
                <w:rFonts w:ascii="Times New Roman" w:cs="Times New Roman" w:eastAsia="Times New Roman" w:hAnsi="Times New Roman"/>
                <w:sz w:val="17"/>
                <w:szCs w:val="17"/>
                <w:b w:val="1"/>
                <w:bCs w:val="1"/>
                <w:color w:val="auto"/>
              </w:rPr>
              <w:t>Derivatives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20" w:type="dxa"/>
            <w:vAlign w:val="bottom"/>
          </w:tcPr>
          <w:p>
            <w:pPr>
              <w:spacing w:after="0"/>
              <w:rPr>
                <w:sz w:val="14"/>
                <w:szCs w:val="14"/>
                <w:color w:val="auto"/>
              </w:rPr>
            </w:pPr>
          </w:p>
        </w:tc>
        <w:tc>
          <w:tcPr>
            <w:tcW w:w="1180" w:type="dxa"/>
            <w:vAlign w:val="bottom"/>
          </w:tcPr>
          <w:p>
            <w:pPr>
              <w:jc w:val="right"/>
              <w:ind w:right="7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20" w:type="dxa"/>
            <w:vAlign w:val="bottom"/>
          </w:tcPr>
          <w:p>
            <w:pPr>
              <w:spacing w:after="0"/>
              <w:rPr>
                <w:sz w:val="14"/>
                <w:szCs w:val="14"/>
                <w:color w:val="auto"/>
              </w:rPr>
            </w:pPr>
          </w:p>
        </w:tc>
        <w:tc>
          <w:tcPr>
            <w:tcW w:w="8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140" w:type="dxa"/>
            <w:vAlign w:val="bottom"/>
          </w:tcPr>
          <w:p>
            <w:pPr>
              <w:spacing w:after="0"/>
              <w:rPr>
                <w:sz w:val="14"/>
                <w:szCs w:val="14"/>
                <w:color w:val="auto"/>
              </w:rPr>
            </w:pPr>
          </w:p>
        </w:tc>
        <w:tc>
          <w:tcPr>
            <w:tcW w:w="1040" w:type="dxa"/>
            <w:vAlign w:val="bottom"/>
          </w:tcPr>
          <w:p>
            <w:pPr>
              <w:jc w:val="center"/>
              <w:ind w:right="54"/>
              <w:spacing w:after="0" w:line="168"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20" w:type="dxa"/>
            <w:vAlign w:val="bottom"/>
          </w:tcPr>
          <w:p>
            <w:pPr>
              <w:spacing w:after="0"/>
              <w:rPr>
                <w:sz w:val="14"/>
                <w:szCs w:val="14"/>
                <w:color w:val="auto"/>
              </w:rPr>
            </w:pPr>
          </w:p>
        </w:tc>
        <w:tc>
          <w:tcPr>
            <w:tcW w:w="112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cash flow</w:t>
            </w:r>
          </w:p>
        </w:tc>
        <w:tc>
          <w:tcPr>
            <w:tcW w:w="200" w:type="dxa"/>
            <w:vAlign w:val="bottom"/>
          </w:tcPr>
          <w:p>
            <w:pPr>
              <w:spacing w:after="0"/>
              <w:rPr>
                <w:sz w:val="14"/>
                <w:szCs w:val="14"/>
                <w:color w:val="auto"/>
              </w:rPr>
            </w:pPr>
          </w:p>
        </w:tc>
        <w:tc>
          <w:tcPr>
            <w:tcW w:w="9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0" w:type="dxa"/>
            <w:vAlign w:val="bottom"/>
          </w:tcPr>
          <w:p>
            <w:pPr>
              <w:spacing w:after="0"/>
              <w:rPr>
                <w:sz w:val="1"/>
                <w:szCs w:val="1"/>
                <w:color w:val="auto"/>
              </w:rPr>
            </w:pPr>
          </w:p>
        </w:tc>
      </w:tr>
      <w:tr>
        <w:trPr>
          <w:trHeight w:val="233"/>
        </w:trPr>
        <w:tc>
          <w:tcPr>
            <w:tcW w:w="4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cash flow hedges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19,067</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13,624</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29,333</w:t>
            </w:r>
          </w:p>
        </w:tc>
        <w:tc>
          <w:tcPr>
            <w:tcW w:w="0" w:type="dxa"/>
            <w:vAlign w:val="bottom"/>
          </w:tcPr>
          <w:p>
            <w:pPr>
              <w:spacing w:after="0"/>
              <w:rPr>
                <w:sz w:val="1"/>
                <w:szCs w:val="1"/>
                <w:color w:val="auto"/>
              </w:rPr>
            </w:pPr>
          </w:p>
        </w:tc>
      </w:tr>
      <w:tr>
        <w:trPr>
          <w:trHeight w:val="220"/>
        </w:trPr>
        <w:tc>
          <w:tcPr>
            <w:tcW w:w="41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Other comprehensive income before reclassifications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8,700</w:t>
            </w: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comprehensive income</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(3,143)</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(5,375)</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current-period other comprehensive (loss) income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2,559</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18,684</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13,208</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13,208</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620" w:right="240" w:hanging="150"/>
        <w:spacing w:after="0" w:line="286" w:lineRule="auto"/>
        <w:tabs>
          <w:tab w:leader="none" w:pos="623"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Changes in other comprehensive income before reclassification for derivatives designated as cash flow hedges are recorded net of tax expense of $0.8 million and $3.1 million for the three and six months ended September 30, 2023, respectively.</w:t>
      </w:r>
    </w:p>
    <w:p>
      <w:pPr>
        <w:ind w:left="620" w:right="20" w:hanging="150"/>
        <w:spacing w:after="0" w:line="414" w:lineRule="auto"/>
        <w:tabs>
          <w:tab w:leader="none" w:pos="623"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reclassifications from accumulated other comprehensive income to net income for derivatives designated as cash flow hedges are recorded net of tax expense of $1.0 million and $1.9 million for the three and six months ended September 30, 2023, respectively. The tax impact of reclassifications from accumulated other comprehensive income to net income for post-retirement plans for the three and six months ended September 30, 2023 was immaterial.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Stock-Based Compensation</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recognized in the condensed consolidated statements of operations:</w:t>
      </w: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1"/>
        </w:trPr>
        <w:tc>
          <w:tcPr>
            <w:tcW w:w="4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16"/>
        </w:trPr>
        <w:tc>
          <w:tcPr>
            <w:tcW w:w="4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16,952</w:t>
            </w:r>
          </w:p>
        </w:tc>
      </w:tr>
      <w:tr>
        <w:trPr>
          <w:trHeight w:val="22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28,889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20,558</w:t>
            </w:r>
          </w:p>
        </w:tc>
      </w:tr>
      <w:tr>
        <w:trPr>
          <w:trHeight w:val="238"/>
        </w:trPr>
        <w:tc>
          <w:tcPr>
            <w:tcW w:w="4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220" w:firstLine="389"/>
        <w:spacing w:after="0" w:line="267" w:lineRule="auto"/>
        <w:rPr>
          <w:sz w:val="20"/>
          <w:szCs w:val="20"/>
          <w:color w:val="auto"/>
        </w:rPr>
      </w:pPr>
      <w:r>
        <w:rPr>
          <w:rFonts w:ascii="Times New Roman" w:cs="Times New Roman" w:eastAsia="Times New Roman" w:hAnsi="Times New Roman"/>
          <w:sz w:val="17"/>
          <w:szCs w:val="17"/>
          <w:color w:val="auto"/>
        </w:rPr>
        <w:t>The following table summarizes the total stock-based compensation expense recognized in the condensed consolidated statements of operations by the following types of equity awards, including stock options, time-based and performance-based restricted stock awards. Compensation expense for performance-based awards is estimated at each reporting date using management's expectation of the probable achievement of the specified performance criteria of each tranche during the respective performance periods:</w:t>
      </w:r>
    </w:p>
    <w:p>
      <w:pPr>
        <w:spacing w:after="0" w:line="29"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1"/>
        </w:trPr>
        <w:tc>
          <w:tcPr>
            <w:tcW w:w="4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16"/>
        </w:trPr>
        <w:tc>
          <w:tcPr>
            <w:tcW w:w="4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Equity Incentive Plan Options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r>
      <w:tr>
        <w:trPr>
          <w:trHeight w:val="220"/>
        </w:trPr>
        <w:tc>
          <w:tcPr>
            <w:tcW w:w="4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Restricted Stock and other awards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36,816</w:t>
            </w:r>
          </w:p>
        </w:tc>
      </w:tr>
      <w:tr>
        <w:trPr>
          <w:trHeight w:val="238"/>
        </w:trPr>
        <w:tc>
          <w:tcPr>
            <w:tcW w:w="4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320" w:firstLine="389"/>
        <w:spacing w:after="0" w:line="269" w:lineRule="auto"/>
        <w:rPr>
          <w:sz w:val="20"/>
          <w:szCs w:val="20"/>
          <w:color w:val="auto"/>
        </w:rPr>
      </w:pPr>
      <w:r>
        <w:rPr>
          <w:rFonts w:ascii="Times New Roman" w:cs="Times New Roman" w:eastAsia="Times New Roman" w:hAnsi="Times New Roman"/>
          <w:sz w:val="17"/>
          <w:szCs w:val="17"/>
          <w:color w:val="auto"/>
        </w:rPr>
        <w:t>As of September 30, 2024, there was $114.5 million of total unrecognized compensation cost related to unvested stock-based compensation agreements. Absent the effect of forfeiture or acceleration of stock compensation cost for any departures of employees, the following table summarizes the unrecognized compensation cost and the weighted-average period the cost is expected to be amortized (excludes any future award):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restart"/>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00" w:type="dxa"/>
            <w:vAlign w:val="bottom"/>
          </w:tcPr>
          <w:p>
            <w:pPr>
              <w:spacing w:after="0"/>
              <w:rPr>
                <w:sz w:val="12"/>
                <w:szCs w:val="12"/>
                <w:color w:val="auto"/>
              </w:rPr>
            </w:pPr>
          </w:p>
        </w:tc>
        <w:tc>
          <w:tcPr>
            <w:tcW w:w="216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6"/>
              </w:rPr>
              <w:t>Weighted Average Remaining</w:t>
            </w: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Period to be Recognized (in</w:t>
            </w:r>
          </w:p>
        </w:tc>
        <w:tc>
          <w:tcPr>
            <w:tcW w:w="0" w:type="dxa"/>
            <w:vAlign w:val="bottom"/>
          </w:tcPr>
          <w:p>
            <w:pPr>
              <w:spacing w:after="0"/>
              <w:rPr>
                <w:sz w:val="1"/>
                <w:szCs w:val="1"/>
                <w:color w:val="auto"/>
              </w:rPr>
            </w:pPr>
          </w:p>
        </w:tc>
      </w:tr>
      <w:tr>
        <w:trPr>
          <w:trHeight w:val="206"/>
        </w:trPr>
        <w:tc>
          <w:tcPr>
            <w:tcW w:w="7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w w:val="98"/>
              </w:rPr>
              <w:t>Compensation Cost</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years)</w:t>
            </w:r>
          </w:p>
        </w:tc>
        <w:tc>
          <w:tcPr>
            <w:tcW w:w="0" w:type="dxa"/>
            <w:vAlign w:val="bottom"/>
          </w:tcPr>
          <w:p>
            <w:pPr>
              <w:spacing w:after="0"/>
              <w:rPr>
                <w:sz w:val="1"/>
                <w:szCs w:val="1"/>
                <w:color w:val="auto"/>
              </w:rPr>
            </w:pPr>
          </w:p>
        </w:tc>
      </w:tr>
      <w:tr>
        <w:trPr>
          <w:trHeight w:val="21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Incentive Plan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20"/>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Awards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112,572</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38"/>
        </w:trPr>
        <w:tc>
          <w:tcPr>
            <w:tcW w:w="7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w:t>
      </w:r>
    </w:p>
    <w:p>
      <w:pPr>
        <w:spacing w:after="0" w:line="120" w:lineRule="exact"/>
        <w:rPr>
          <w:sz w:val="20"/>
          <w:szCs w:val="20"/>
          <w:color w:val="auto"/>
        </w:rPr>
      </w:pPr>
    </w:p>
    <w:p>
      <w:pPr>
        <w:ind w:right="100" w:firstLine="389"/>
        <w:spacing w:after="0" w:line="264" w:lineRule="auto"/>
        <w:rPr>
          <w:sz w:val="20"/>
          <w:szCs w:val="20"/>
          <w:color w:val="auto"/>
        </w:rPr>
      </w:pPr>
      <w:r>
        <w:rPr>
          <w:rFonts w:ascii="Times New Roman" w:cs="Times New Roman" w:eastAsia="Times New Roman" w:hAnsi="Times New Roman"/>
          <w:sz w:val="17"/>
          <w:szCs w:val="17"/>
          <w:color w:val="auto"/>
        </w:rPr>
        <w:t>During the three and six months ended September 30, 2024, the Board of Directors granted 0.1 million and 0.6 million, respectively, time-based and performance-based restricted stock units to certain employees of the Company. The aggregate value of these awards was $9.5 million and $92.0 million for each respective period based on the grant date fair value. The performance-based awards granted during the six months ended September 30, 2024 included additional market conditions related to the Company’s total shareholder return relative to its peer group over the three-year performance period. The Company recognizes compensation expense for these performance-based awards with market conditions based on the grant-date fair value calculated using a Monte Carlo model.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Fair Value Measurements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0" w:lineRule="exact"/>
        <w:rPr>
          <w:sz w:val="20"/>
          <w:szCs w:val="20"/>
          <w:color w:val="auto"/>
        </w:rPr>
      </w:pPr>
    </w:p>
    <w:p>
      <w:pPr>
        <w:ind w:firstLine="389"/>
        <w:spacing w:after="0" w:line="273" w:lineRule="auto"/>
        <w:rPr>
          <w:sz w:val="20"/>
          <w:szCs w:val="20"/>
          <w:color w:val="auto"/>
        </w:rPr>
      </w:pPr>
      <w:r>
        <w:rPr>
          <w:rFonts w:ascii="Times New Roman" w:cs="Times New Roman" w:eastAsia="Times New Roman" w:hAnsi="Times New Roman"/>
          <w:sz w:val="17"/>
          <w:szCs w:val="17"/>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59" w:lineRule="exact"/>
        <w:rPr>
          <w:sz w:val="20"/>
          <w:szCs w:val="20"/>
          <w:color w:val="auto"/>
        </w:rPr>
      </w:pPr>
    </w:p>
    <w:p>
      <w:pPr>
        <w:ind w:right="480" w:firstLine="389"/>
        <w:spacing w:after="0" w:line="292" w:lineRule="auto"/>
        <w:rPr>
          <w:sz w:val="20"/>
          <w:szCs w:val="20"/>
          <w:color w:val="auto"/>
        </w:rPr>
      </w:pPr>
      <w:r>
        <w:rPr>
          <w:rFonts w:ascii="Times New Roman" w:cs="Times New Roman" w:eastAsia="Times New Roman" w:hAnsi="Times New Roman"/>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9"/>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tc>
        <w:tc>
          <w:tcPr>
            <w:tcW w:w="920" w:type="dxa"/>
            <w:vAlign w:val="bottom"/>
          </w:tcPr>
          <w:p>
            <w:pPr>
              <w:spacing w:after="0"/>
              <w:rPr>
                <w:sz w:val="17"/>
                <w:szCs w:val="17"/>
                <w:color w:val="auto"/>
              </w:rPr>
            </w:pPr>
          </w:p>
        </w:tc>
      </w:tr>
      <w:tr>
        <w:trPr>
          <w:trHeight w:val="231"/>
        </w:trPr>
        <w:tc>
          <w:tcPr>
            <w:tcW w:w="6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as of September 30, 2024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6"/>
        </w:trPr>
        <w:tc>
          <w:tcPr>
            <w:tcW w:w="6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20"/>
        </w:trPr>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Current derivative instruments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r>
      <w:tr>
        <w:trPr>
          <w:trHeight w:val="220"/>
        </w:trPr>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deferred compensation plan asset </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38,761</w:t>
            </w:r>
          </w:p>
        </w:tc>
      </w:tr>
      <w:tr>
        <w:trPr>
          <w:trHeight w:val="21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41,630</w:t>
            </w:r>
          </w:p>
        </w:tc>
      </w:tr>
      <w:tr>
        <w:trPr>
          <w:trHeight w:val="200"/>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Current derivative instruments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r>
      <w:tr>
        <w:trPr>
          <w:trHeight w:val="220"/>
        </w:trPr>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derivative instruments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4,988</w:t>
            </w:r>
          </w:p>
        </w:tc>
      </w:tr>
      <w:tr>
        <w:trPr>
          <w:trHeight w:val="220"/>
        </w:trPr>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deferred compensation plan liability </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38,761</w:t>
            </w: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44,890</w:t>
            </w:r>
          </w:p>
        </w:tc>
      </w:tr>
    </w:tbl>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40" w:type="dxa"/>
            <w:vAlign w:val="bottom"/>
            <w:gridSpan w:val="9"/>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tc>
        <w:tc>
          <w:tcPr>
            <w:tcW w:w="920" w:type="dxa"/>
            <w:vAlign w:val="bottom"/>
          </w:tcPr>
          <w:p>
            <w:pPr>
              <w:spacing w:after="0"/>
              <w:rPr>
                <w:sz w:val="17"/>
                <w:szCs w:val="17"/>
                <w:color w:val="auto"/>
              </w:rPr>
            </w:pPr>
          </w:p>
        </w:tc>
      </w:tr>
      <w:tr>
        <w:trPr>
          <w:trHeight w:val="231"/>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as of March 31, 2024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6"/>
        </w:trPr>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60" w:type="dxa"/>
            <w:vAlign w:val="bottom"/>
          </w:tcPr>
          <w:p>
            <w:pPr>
              <w:spacing w:after="0"/>
              <w:rPr>
                <w:sz w:val="18"/>
                <w:szCs w:val="18"/>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Current derivative instruments </w:t>
            </w:r>
            <w:r>
              <w:rPr>
                <w:rFonts w:ascii="Times New Roman" w:cs="Times New Roman" w:eastAsia="Times New Roman" w:hAnsi="Times New Roman"/>
                <w:sz w:val="22"/>
                <w:szCs w:val="22"/>
                <w:color w:val="auto"/>
                <w:vertAlign w:val="superscript"/>
              </w:rPr>
              <w:t>(1)</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w:t>
            </w:r>
          </w:p>
        </w:tc>
      </w:tr>
      <w:tr>
        <w:trPr>
          <w:trHeight w:val="220"/>
        </w:trPr>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derivative instruments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r>
      <w:tr>
        <w:trPr>
          <w:trHeight w:val="220"/>
        </w:trPr>
        <w:tc>
          <w:tcPr>
            <w:tcW w:w="62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deferred compensation plan asset </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28,957</w:t>
            </w:r>
          </w:p>
        </w:tc>
      </w:tr>
      <w:tr>
        <w:trPr>
          <w:trHeight w:val="21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39,226</w:t>
            </w:r>
          </w:p>
        </w:tc>
      </w:tr>
      <w:tr>
        <w:trPr>
          <w:trHeight w:val="200"/>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62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Long-term deferred compensation plan liability </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28,957</w:t>
            </w: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28,957</w:t>
            </w:r>
          </w:p>
        </w:tc>
      </w:tr>
    </w:tbl>
    <w:p>
      <w:pPr>
        <w:spacing w:after="0" w:line="111" w:lineRule="exact"/>
        <w:rPr>
          <w:sz w:val="20"/>
          <w:szCs w:val="20"/>
          <w:color w:val="auto"/>
        </w:rPr>
      </w:pPr>
    </w:p>
    <w:p>
      <w:pPr>
        <w:ind w:left="620" w:right="80" w:hanging="227"/>
        <w:spacing w:after="0" w:line="287" w:lineRule="auto"/>
        <w:tabs>
          <w:tab w:leader="none" w:pos="545"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“Derivatives,” to the condensed consolidated financial statements for further discussion on the Company’s derivative instruments designated as cash flow hedges.</w:t>
      </w:r>
    </w:p>
    <w:p>
      <w:pPr>
        <w:ind w:left="620" w:right="80" w:hanging="227"/>
        <w:spacing w:after="0" w:line="247" w:lineRule="auto"/>
        <w:tabs>
          <w:tab w:leader="none" w:pos="56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Marketable Securities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fair value of the Company's cash and cash equivalents, which are Level 1 inputs, approximated its carrying value at September 30, 2024 and March 31,</w:t>
      </w:r>
    </w:p>
    <w:p>
      <w:pPr>
        <w:spacing w:after="0" w:line="31"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7"/>
          <w:szCs w:val="17"/>
          <w:color w:val="auto"/>
        </w:rPr>
        <w:t>2024. The Company’s cash and cash equivalent balances presented on the accompanying condensed consolidated balance sheets include $284.5 million and $192.7 million of marketable securities in money market funds as of September 30, 2024 and March 31, 2024,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w:t>
      </w:r>
    </w:p>
    <w:p>
      <w:pPr>
        <w:spacing w:after="0" w:line="120" w:lineRule="exact"/>
        <w:rPr>
          <w:sz w:val="20"/>
          <w:szCs w:val="20"/>
          <w:color w:val="auto"/>
        </w:rPr>
      </w:pPr>
    </w:p>
    <w:p>
      <w:pPr>
        <w:ind w:right="60" w:firstLine="622"/>
        <w:spacing w:after="0" w:line="264" w:lineRule="auto"/>
        <w:rPr>
          <w:sz w:val="20"/>
          <w:szCs w:val="20"/>
          <w:color w:val="auto"/>
        </w:rPr>
      </w:pPr>
      <w:r>
        <w:rPr>
          <w:rFonts w:ascii="Times New Roman" w:cs="Times New Roman" w:eastAsia="Times New Roman" w:hAnsi="Times New Roman"/>
          <w:sz w:val="17"/>
          <w:szCs w:val="17"/>
          <w:color w:val="auto"/>
        </w:rPr>
        <w:t>The Company's long-term debt is carried at amortized cost and is measured at fair value quarterly for disclosure purposes. The estimated fair values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carrying amount and estimated fair value of long-term debt consists of the following: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32"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5"/>
          </w:tcPr>
          <w:p>
            <w:pPr>
              <w:ind w:left="4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20" w:type="dxa"/>
            <w:vAlign w:val="bottom"/>
          </w:tcPr>
          <w:p>
            <w:pPr>
              <w:spacing w:after="0"/>
              <w:rPr>
                <w:sz w:val="19"/>
                <w:szCs w:val="19"/>
                <w:color w:val="auto"/>
              </w:rPr>
            </w:pPr>
          </w:p>
        </w:tc>
        <w:tc>
          <w:tcPr>
            <w:tcW w:w="2520" w:type="dxa"/>
            <w:vAlign w:val="bottom"/>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March 31, 2024</w:t>
            </w:r>
          </w:p>
        </w:tc>
      </w:tr>
      <w:tr>
        <w:trPr>
          <w:trHeight w:val="162"/>
        </w:trPr>
        <w:tc>
          <w:tcPr>
            <w:tcW w:w="5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40"/>
              <w:spacing w:after="0" w:line="162"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34"/>
              <w:spacing w:after="0" w:line="162" w:lineRule="exact"/>
              <w:rPr>
                <w:sz w:val="20"/>
                <w:szCs w:val="20"/>
                <w:color w:val="auto"/>
              </w:rPr>
            </w:pPr>
            <w:r>
              <w:rPr>
                <w:rFonts w:ascii="Times New Roman" w:cs="Times New Roman" w:eastAsia="Times New Roman" w:hAnsi="Times New Roman"/>
                <w:sz w:val="17"/>
                <w:szCs w:val="17"/>
                <w:b w:val="1"/>
                <w:bCs w:val="1"/>
                <w:color w:val="auto"/>
              </w:rPr>
              <w:t>Estimated Fair</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2"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4"/>
              <w:spacing w:after="0" w:line="162" w:lineRule="exact"/>
              <w:rPr>
                <w:sz w:val="20"/>
                <w:szCs w:val="20"/>
                <w:color w:val="auto"/>
              </w:rPr>
            </w:pPr>
            <w:r>
              <w:rPr>
                <w:rFonts w:ascii="Times New Roman" w:cs="Times New Roman" w:eastAsia="Times New Roman" w:hAnsi="Times New Roman"/>
                <w:sz w:val="17"/>
                <w:szCs w:val="17"/>
                <w:b w:val="1"/>
                <w:bCs w:val="1"/>
                <w:color w:val="auto"/>
                <w:w w:val="98"/>
              </w:rPr>
              <w:t>Estimated Fair</w:t>
            </w:r>
          </w:p>
        </w:tc>
      </w:tr>
      <w:tr>
        <w:trPr>
          <w:trHeight w:val="231"/>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20"/>
                <w:szCs w:val="20"/>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Loan A</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1,565,541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1,588,125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1,582,170</w:t>
            </w:r>
          </w:p>
        </w:tc>
      </w:tr>
      <w:tr>
        <w:trPr>
          <w:trHeight w:val="220"/>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3.875% Senior Notes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656,677</w:t>
            </w:r>
          </w:p>
        </w:tc>
      </w:tr>
      <w:tr>
        <w:trPr>
          <w:trHeight w:val="22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4.000% Senior Notes due 2029</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465,470</w:t>
            </w:r>
          </w:p>
        </w:tc>
      </w:tr>
      <w:tr>
        <w:trPr>
          <w:trHeight w:val="226"/>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5.950% Senior Notes due 2033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695,065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672,815</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0"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As of September 30, 2024 and March 31, 2024, the total of our investments that are accounted for at fair value on a non-recurring basis under the measurement alternative were $52.5 million and $37.4 million, respectively. While these assets are not measured at fair value on an ongoing basis, they are subject to fair value adjustments in certain circumstances (e.g., observable price changes or impairment). We did not have any material measurement adjustments during the six months ended September 30, 2024, with the exception of the assets and liabilities acquired through our acquisitions (see Note 5, “Acquisition, Goodwill and Intangible Assets,” to the condensed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Letters of Credit and Third-Party Guarantees</w:t>
      </w:r>
    </w:p>
    <w:p>
      <w:pPr>
        <w:spacing w:after="0" w:line="120" w:lineRule="exact"/>
        <w:rPr>
          <w:sz w:val="20"/>
          <w:szCs w:val="20"/>
          <w:color w:val="auto"/>
        </w:rPr>
      </w:pPr>
    </w:p>
    <w:p>
      <w:pPr>
        <w:ind w:right="40" w:firstLine="389"/>
        <w:spacing w:after="0" w:line="264" w:lineRule="auto"/>
        <w:rPr>
          <w:sz w:val="20"/>
          <w:szCs w:val="20"/>
          <w:color w:val="auto"/>
        </w:rPr>
      </w:pPr>
      <w:r>
        <w:rPr>
          <w:rFonts w:ascii="Times New Roman" w:cs="Times New Roman" w:eastAsia="Times New Roman" w:hAnsi="Times New Roman"/>
          <w:sz w:val="17"/>
          <w:szCs w:val="17"/>
          <w:color w:val="auto"/>
        </w:rPr>
        <w:t>As of September 30, 2024 and March 31, 2024, the Company was contingently liable under open standby letters of credit and bank guarantees issued by our banks in favor of third parties that totaled $4.5 million and $4.4 million, respectively. These letters of credit and bank guarantees primarily support insurance and bid and performance obligations. At September 30, 2024 and March 31, 2024, respectively, approximately $1.4 million and $1.3 million of these instruments reduced the available borrowings under the Revolving Credit Facility. The remainder is guaranteed under a separate $7.5 million facility of which $4.5 million and $4.4 million was available to the Company at September 30, 2024 and March 31, 2024,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Contracting Matters - Provision for Claimed Costs</w:t>
      </w:r>
    </w:p>
    <w:p>
      <w:pPr>
        <w:spacing w:after="0" w:line="120" w:lineRule="exact"/>
        <w:rPr>
          <w:sz w:val="20"/>
          <w:szCs w:val="20"/>
          <w:color w:val="auto"/>
        </w:rPr>
      </w:pPr>
    </w:p>
    <w:p>
      <w:pPr>
        <w:ind w:right="20" w:firstLine="389"/>
        <w:spacing w:after="0" w:line="260" w:lineRule="auto"/>
        <w:rPr>
          <w:sz w:val="20"/>
          <w:szCs w:val="20"/>
          <w:color w:val="auto"/>
        </w:rPr>
      </w:pPr>
      <w:r>
        <w:rPr>
          <w:rFonts w:ascii="Times New Roman" w:cs="Times New Roman" w:eastAsia="Times New Roman" w:hAnsi="Times New Roman"/>
          <w:sz w:val="17"/>
          <w:szCs w:val="17"/>
          <w:color w:val="auto"/>
        </w:rPr>
        <w:t>For the three months ended September 30, 2024 and 2023, approximately 99% and 98%,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both the six months ended September 30, 2024 and 2023, approximately 98% of the Company's revenue was generated from such contracts. As noted in the Company's Annual Report on Form 10-K for the fiscal year ended March 31, 2024,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w:t>
      </w:r>
    </w:p>
    <w:p>
      <w:pPr>
        <w:spacing w:after="0" w:line="73"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Based upon information obtained from DCAA’s audit findings over four historical rate years, the Company changed its estimate and reduced a portion of its provision for claimed costs during the second quarter of fiscal 2025, which resulted in a $121.7 million increase to revenue, to reflect our best estimate of the final cost rates for the outstanding audit years. Operating income for the three and six months ended September 30, 2024 was accordingly increased by $121.7 million and net income was increased by $90.1 million (or $0.70 of basic and $0.70 diluted earnings per common share for the three and six months ended September 30, 2024). Our final cost rates for the recently audited years remain subject to negotiation with the Defense Contract Management Agency (“DCMA”) Administrative Contracting Officer. Management believes it has recorded the appropriate provision for claimed costs for any audit, inquiry, or investigation of which it is aware that may be subject to any reductions and/or penalties. As of September 30, 2024 and March 31, 2024, the Company had recorded liabilities of approximately $245.9 million and $363.7 million, respectively, for estimated adjustments to claimed costs based on its historical DCAA audit results, including the final resolution of such audits with DCMA, for claimed costs incurred subsequent to fiscal 2011.</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both"/>
        <w:ind w:left="2240" w:right="2240" w:firstLine="10"/>
        <w:spacing w:after="0" w:line="269" w:lineRule="auto"/>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(Amounts in tables in thousands, except share and per share data or unless otherwise noted)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ind w:firstLine="389"/>
        <w:spacing w:after="0" w:line="257" w:lineRule="auto"/>
        <w:rPr>
          <w:sz w:val="20"/>
          <w:szCs w:val="20"/>
          <w:color w:val="auto"/>
        </w:rPr>
      </w:pPr>
      <w:r>
        <w:rPr>
          <w:rFonts w:ascii="Times New Roman" w:cs="Times New Roman" w:eastAsia="Times New Roman" w:hAnsi="Times New Roman"/>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both September 30, 2024 and March 31, 2024, there were no material amounts accrued in the condensed consolidated financial statements related to these proceedings as either the amounts are immaterial or the Company is not able to reasonably estimate the expected amount or range of cost or any loss associated with these matters.</w:t>
      </w:r>
    </w:p>
    <w:p>
      <w:pPr>
        <w:spacing w:after="0" w:line="288" w:lineRule="exact"/>
        <w:rPr>
          <w:sz w:val="20"/>
          <w:szCs w:val="20"/>
          <w:color w:val="auto"/>
        </w:rPr>
      </w:pPr>
    </w:p>
    <w:p>
      <w:pPr>
        <w:ind w:right="120" w:firstLine="389"/>
        <w:spacing w:after="0" w:line="267"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secured insurance recoveries of $115.3 million from claims related to the Company’s settlement described in Note 20, “Commitments and Contingencies,” to the consolidated financial statements contained within our Annual Report on Form 10-K for the fiscal year ended March 31, 2024. The insurance recoveries offset our general and administrative expenses in our Condensed Consolidated Statement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6"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2024 filed with the Securities and Exchange Commission on May 24, 2024,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66" w:lineRule="exact"/>
        <w:rPr>
          <w:sz w:val="20"/>
          <w:szCs w:val="20"/>
          <w:color w:val="auto"/>
        </w:rPr>
      </w:pPr>
    </w:p>
    <w:p>
      <w:pPr>
        <w:ind w:right="360"/>
        <w:spacing w:after="0" w:line="383" w:lineRule="auto"/>
        <w:rPr>
          <w:sz w:val="20"/>
          <w:szCs w:val="20"/>
          <w:color w:val="auto"/>
        </w:rPr>
      </w:pPr>
      <w:r>
        <w:rPr>
          <w:rFonts w:ascii="Times New Roman" w:cs="Times New Roman" w:eastAsia="Times New Roman" w:hAnsi="Times New Roman"/>
          <w:sz w:val="17"/>
          <w:szCs w:val="17"/>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7"/>
          <w:szCs w:val="17"/>
          <w:b w:val="1"/>
          <w:bCs w:val="1"/>
          <w:color w:val="auto"/>
        </w:rPr>
        <w:t>Overview</w:t>
      </w:r>
    </w:p>
    <w:p>
      <w:pPr>
        <w:ind w:firstLine="428"/>
        <w:spacing w:after="0" w:line="264" w:lineRule="auto"/>
        <w:rPr>
          <w:sz w:val="20"/>
          <w:szCs w:val="20"/>
          <w:color w:val="auto"/>
        </w:rPr>
      </w:pPr>
      <w:r>
        <w:rPr>
          <w:rFonts w:ascii="Times New Roman" w:cs="Times New Roman" w:eastAsia="Times New Roman" w:hAnsi="Times New Roman"/>
          <w:sz w:val="17"/>
          <w:szCs w:val="17"/>
          <w:color w:val="auto"/>
        </w:rPr>
        <w:t>Trusted to transform missions with the power of tomorrow’s technologies, Booz Allen advances the nation’s most critical civil, defense, and national security priorities. Our ability to deliver value to our clients has always been, and continues to be, a product of the strong character, expertise and tremendous passion of our people. Our approximately 35,800 employees work to solve hard problems by making clients' missions their own, combining decades of consulting and domain expertise with functional expertise in areas such as analytics, digital solutions, engineering, cyber and artificial intelligence, all fostered by a culture of innovation that extends to all reaches of the Company.</w:t>
      </w:r>
    </w:p>
    <w:p>
      <w:pPr>
        <w:spacing w:after="0" w:line="66" w:lineRule="exact"/>
        <w:rPr>
          <w:sz w:val="20"/>
          <w:szCs w:val="20"/>
          <w:color w:val="auto"/>
        </w:rPr>
      </w:pPr>
    </w:p>
    <w:p>
      <w:pPr>
        <w:ind w:right="20" w:firstLine="428"/>
        <w:spacing w:after="0" w:line="262" w:lineRule="auto"/>
        <w:rPr>
          <w:sz w:val="20"/>
          <w:szCs w:val="20"/>
          <w:color w:val="auto"/>
        </w:rPr>
      </w:pPr>
      <w:r>
        <w:rPr>
          <w:rFonts w:ascii="Times New Roman" w:cs="Times New Roman" w:eastAsia="Times New Roman" w:hAnsi="Times New Roman"/>
          <w:sz w:val="17"/>
          <w:szCs w:val="17"/>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and Other Highlights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second quarter of fiscal 2025, the Company generated year over year revenue growth and increased client staff headcount.</w:t>
      </w:r>
    </w:p>
    <w:p>
      <w:pPr>
        <w:spacing w:after="0" w:line="116" w:lineRule="exact"/>
        <w:rPr>
          <w:sz w:val="20"/>
          <w:szCs w:val="20"/>
          <w:color w:val="auto"/>
        </w:rPr>
      </w:pPr>
    </w:p>
    <w:p>
      <w:pPr>
        <w:ind w:right="200" w:firstLine="389"/>
        <w:spacing w:after="0" w:line="264" w:lineRule="auto"/>
        <w:rPr>
          <w:sz w:val="20"/>
          <w:szCs w:val="20"/>
          <w:color w:val="auto"/>
        </w:rPr>
      </w:pPr>
      <w:r>
        <w:rPr>
          <w:rFonts w:ascii="Times New Roman" w:cs="Times New Roman" w:eastAsia="Times New Roman" w:hAnsi="Times New Roman"/>
          <w:sz w:val="17"/>
          <w:szCs w:val="17"/>
          <w:color w:val="auto"/>
        </w:rPr>
        <w:t>Revenue increased 18.0% to $3,146.4 million in the three months ended September 30, 2024 from $2,666.3 million in the three months ended September 30, 2023, and increased 14.4% to $6,088.2 million in the six months ended September 30, 2024 from $5,320.8 million in the six months ended September 30, 2023. The increase was primarily driven by strong demand for our services and solutions as well as continued headcount growth and higher billable expenses. In addition, revenue was positively impacted by $121.7 million representing the reduction to our provision for claimed costs recorded during the second quarter of fiscal 2025. See Note 15, “Commitments and Contingencies,” to the condensed consolidated financial statements for further information.</w:t>
      </w:r>
    </w:p>
    <w:p>
      <w:pPr>
        <w:spacing w:after="0" w:line="66" w:lineRule="exact"/>
        <w:rPr>
          <w:sz w:val="20"/>
          <w:szCs w:val="20"/>
          <w:color w:val="auto"/>
        </w:rPr>
      </w:pPr>
    </w:p>
    <w:p>
      <w:pPr>
        <w:ind w:right="40" w:firstLine="389"/>
        <w:spacing w:after="0" w:line="262" w:lineRule="auto"/>
        <w:rPr>
          <w:sz w:val="20"/>
          <w:szCs w:val="20"/>
          <w:color w:val="auto"/>
        </w:rPr>
      </w:pPr>
      <w:r>
        <w:rPr>
          <w:rFonts w:ascii="Times New Roman" w:cs="Times New Roman" w:eastAsia="Times New Roman" w:hAnsi="Times New Roman"/>
          <w:sz w:val="17"/>
          <w:szCs w:val="17"/>
          <w:color w:val="auto"/>
        </w:rPr>
        <w:t>Operating income increased 105.5% to $548.6 million in the three months ended September 30, 2024 from $267.0 million in the three months ended September 30, 2023, which reflects an increase in operating margin from 10.0% to 17.4%. Operating income increased 60.3% to $803.8 million in the six months ended September 30, 2024 from $501.4 million in the six months ended September 30, 2023, which reflects an increase in operating margin from 9.4% to 13.2%. The increase in operating income and operating margin was primarily driven by revenue growth and a decrease in general and administrative expenses resulting from $115.3 million in insurance recoveries from claims related to the Company’s fiscal 2024 settlement as described in Note 20, “Commitments and Contingencies,” to the consolidated financial statements contained within the Annual Report on Form 10-K for the fiscal year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Measures</w:t>
      </w:r>
    </w:p>
    <w:p>
      <w:pPr>
        <w:spacing w:after="0" w:line="118" w:lineRule="exact"/>
        <w:rPr>
          <w:sz w:val="20"/>
          <w:szCs w:val="20"/>
          <w:color w:val="auto"/>
        </w:rPr>
      </w:pPr>
    </w:p>
    <w:p>
      <w:pPr>
        <w:ind w:firstLine="389"/>
        <w:spacing w:after="0" w:line="256" w:lineRule="auto"/>
        <w:rPr>
          <w:sz w:val="20"/>
          <w:szCs w:val="20"/>
          <w:color w:val="auto"/>
        </w:rPr>
      </w:pPr>
      <w:r>
        <w:rPr>
          <w:rFonts w:ascii="Times New Roman" w:cs="Times New Roman" w:eastAsia="Times New Roman" w:hAnsi="Times New Roman"/>
          <w:sz w:val="17"/>
          <w:szCs w:val="17"/>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7" w:lineRule="exact"/>
        <w:rPr>
          <w:sz w:val="20"/>
          <w:szCs w:val="20"/>
          <w:color w:val="auto"/>
        </w:rPr>
      </w:pPr>
    </w:p>
    <w:p>
      <w:pPr>
        <w:ind w:left="620" w:right="40" w:hanging="305"/>
        <w:spacing w:after="0" w:line="266" w:lineRule="auto"/>
        <w:tabs>
          <w:tab w:leader="none" w:pos="6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14" w:lineRule="exact"/>
        <w:rPr>
          <w:rFonts w:ascii="Arial" w:cs="Arial" w:eastAsia="Arial" w:hAnsi="Arial"/>
          <w:sz w:val="17"/>
          <w:szCs w:val="17"/>
          <w:color w:val="auto"/>
        </w:rPr>
      </w:pPr>
    </w:p>
    <w:p>
      <w:pPr>
        <w:ind w:left="620" w:right="20" w:hanging="305"/>
        <w:spacing w:after="0" w:line="26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Operating Income” represents operating income before change in provision for claimed costs for historical rate years, acquisition and divestiture costs, financing transaction costs, significant acquisition amortization, the reserve associated with the U.S. Department of Justice investigation disclosed in Note 20, “Commitments and Contingencies,” in the Annual Report on Form 10-K for the fiscal year ended March 31, 2024, and insurance recoveries related to the Company’s fiscal 2024 settlement disclosed in Note 20, “Commitments and Contingencies,” in the Annual Report on Form 10-K for the fiscal year ended March 31, 2024.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28" w:lineRule="exact"/>
        <w:rPr>
          <w:rFonts w:ascii="Times New Roman" w:cs="Times New Roman" w:eastAsia="Times New Roman" w:hAnsi="Times New Roman"/>
          <w:sz w:val="17"/>
          <w:szCs w:val="17"/>
          <w:color w:val="auto"/>
        </w:rPr>
      </w:pPr>
    </w:p>
    <w:p>
      <w:pPr>
        <w:ind w:left="620" w:hanging="305"/>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represents net income before income taxes, net interest and other expense and depreciation and amortization and before certain other items, including change in provision for claimed costs for historical rate years, acquisition and divestiture costs, financing transaction costs, the reserve associated with the U.S. Department of Justice investigation disclosed in Note 20, “Commitments and Contingencies,” in the Annual Report on Form 10-K for the fiscal year ended March 31, 2024, and insurance recoveries related to the Company’s fiscal 2024 settlement disclosed in Note 20, “Commitments and Contingencies,” in the Annual Report on Form 10-K for the fiscal year ended March 31, 2024.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hanging="305"/>
        <w:spacing w:after="0" w:line="259"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Income” represents net income before: (i) change in provision for claimed costs for historical rate years, (ii) acquisition and divestiture costs, (iii) financing transaction costs, (iv) significant acquisition amortization, (v) the reserve associated with the U.S. Department of Justice investigation disclosed in Note 20, “Commitments and Contingencies,” in the Annual Report on Form 10-K for the fiscal year ended March 31, 2024, (vi), insurance recoveries related to the Company’s fiscal 2024 settlement disclosed in Note 20, “Commitments and Contingencies,” in the Annual Report on Form 10-K for the fiscal year ended March 31, 2024, and (vii) amortization or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20" w:lineRule="exact"/>
        <w:rPr>
          <w:rFonts w:ascii="Times New Roman" w:cs="Times New Roman" w:eastAsia="Times New Roman" w:hAnsi="Times New Roman"/>
          <w:sz w:val="17"/>
          <w:szCs w:val="17"/>
          <w:color w:val="auto"/>
        </w:rPr>
      </w:pPr>
    </w:p>
    <w:p>
      <w:pPr>
        <w:ind w:left="620" w:right="140" w:hanging="305"/>
        <w:spacing w:after="0" w:line="272" w:lineRule="auto"/>
        <w:tabs>
          <w:tab w:leader="none" w:pos="61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8" w:lineRule="exact"/>
        <w:rPr>
          <w:rFonts w:ascii="Arial" w:cs="Arial" w:eastAsia="Arial" w:hAnsi="Arial"/>
          <w:sz w:val="17"/>
          <w:szCs w:val="17"/>
          <w:color w:val="auto"/>
        </w:rPr>
      </w:pPr>
    </w:p>
    <w:p>
      <w:pPr>
        <w:ind w:left="620" w:right="280" w:hanging="305"/>
        <w:spacing w:after="0" w:line="292" w:lineRule="auto"/>
        <w:tabs>
          <w:tab w:leader="none" w:pos="615" w:val="left"/>
        </w:tabs>
        <w:numPr>
          <w:ilvl w:val="0"/>
          <w:numId w:val="15"/>
        </w:numPr>
        <w:rPr>
          <w:rFonts w:ascii="Calibri" w:cs="Calibri" w:eastAsia="Calibri" w:hAnsi="Calibri"/>
          <w:sz w:val="12"/>
          <w:szCs w:val="12"/>
          <w:color w:val="auto"/>
        </w:rPr>
      </w:pPr>
      <w:r>
        <w:rPr>
          <w:rFonts w:ascii="Times New Roman" w:cs="Times New Roman" w:eastAsia="Times New Roman" w:hAnsi="Times New Roman"/>
          <w:sz w:val="17"/>
          <w:szCs w:val="17"/>
          <w:color w:val="auto"/>
        </w:rPr>
        <w:t>“Free Cash Flow” represents the net cash generated from operating activities less the impact of purchases of property, equipment, and software. "Free Cash Flow Conversion" is calculated as Free Cash Flow divided by Adjusted Net Income.</w:t>
      </w:r>
    </w:p>
    <w:p>
      <w:pPr>
        <w:spacing w:after="0" w:line="43" w:lineRule="exact"/>
        <w:rPr>
          <w:sz w:val="20"/>
          <w:szCs w:val="20"/>
          <w:color w:val="auto"/>
        </w:rPr>
      </w:pPr>
    </w:p>
    <w:p>
      <w:pPr>
        <w:ind w:right="280" w:firstLine="622"/>
        <w:spacing w:after="0" w:line="273" w:lineRule="auto"/>
        <w:rPr>
          <w:sz w:val="20"/>
          <w:szCs w:val="20"/>
          <w:color w:val="auto"/>
        </w:rPr>
      </w:pPr>
      <w:r>
        <w:rPr>
          <w:rFonts w:ascii="Times New Roman" w:cs="Times New Roman" w:eastAsia="Times New Roman" w:hAnsi="Times New Roman"/>
          <w:sz w:val="17"/>
          <w:szCs w:val="17"/>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5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9"/>
        </w:trPr>
        <w:tc>
          <w:tcPr>
            <w:tcW w:w="12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24"/>
                <w:szCs w:val="24"/>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3"/>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Revenue, Excluding Billable Expenses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3,146,386</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2,666,282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6,088,183</w:t>
            </w:r>
          </w:p>
        </w:tc>
        <w:tc>
          <w:tcPr>
            <w:tcW w:w="8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9"/>
              </w:rPr>
              <w:t>5,320,768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Billable expenses</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968,022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824,788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1,913,003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9"/>
              </w:rPr>
              <w:t>1,637,092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Revenue, Excluding Billable Expenses*</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2,178,364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1,841,494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4,175,180</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9"/>
              </w:rPr>
              <w:t>3,683,676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0" w:type="dxa"/>
            <w:vAlign w:val="bottom"/>
          </w:tcPr>
          <w:p>
            <w:pPr>
              <w:spacing w:after="0"/>
              <w:rPr>
                <w:sz w:val="16"/>
                <w:szCs w:val="16"/>
                <w:color w:val="auto"/>
              </w:rPr>
            </w:pPr>
          </w:p>
        </w:tc>
        <w:tc>
          <w:tcPr>
            <w:tcW w:w="532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i w:val="1"/>
                <w:iCs w:val="1"/>
                <w:color w:val="auto"/>
              </w:rPr>
              <w:t>Adjusted Operating Income</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548,609</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266,989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803,773</w:t>
            </w:r>
          </w:p>
        </w:tc>
        <w:tc>
          <w:tcPr>
            <w:tcW w:w="8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501,407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provision for claimed costs (a)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Acquisition and divestiture costs (b)</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7,387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Financing transaction costs (c)</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Significant acquisition amortization (d)</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26,010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Legal matter reserve (e)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Insurance recoveries (f)</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Operating Income</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335,220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263,320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608,738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541,567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10180" w:type="dxa"/>
            <w:vAlign w:val="bottom"/>
            <w:gridSpan w:val="13"/>
          </w:tcPr>
          <w:p>
            <w:pPr>
              <w:ind w:left="20"/>
              <w:spacing w:after="0" w:line="167" w:lineRule="exact"/>
              <w:rPr>
                <w:sz w:val="20"/>
                <w:szCs w:val="20"/>
                <w:color w:val="auto"/>
              </w:rPr>
            </w:pPr>
            <w:r>
              <w:rPr>
                <w:rFonts w:ascii="Times New Roman" w:cs="Times New Roman" w:eastAsia="Times New Roman" w:hAnsi="Times New Roman"/>
                <w:sz w:val="17"/>
                <w:szCs w:val="17"/>
                <w:b w:val="1"/>
                <w:bCs w:val="1"/>
                <w:i w:val="1"/>
                <w:iCs w:val="1"/>
                <w:color w:val="auto"/>
              </w:rPr>
              <w:t>EBITDA, Adjusted EBITDA, Adjusted EBITDA Margin on Revenue &amp; Adjusted EBITDA Margin on Revenue, Excluding Billable Expenses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390,112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170,718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555,345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332,106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123,240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55,071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172,368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and other, net (g)</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35,257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76,060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42,056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40,907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83,185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82,754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EBITDA</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590,665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307,896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886,958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584,161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Change in provision for claimed costs (a)</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and divestiture costs (b)</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7,387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Financing transaction costs (c)</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Legal matter reserve (e)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Insurance recoveries (f)</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363,950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290,631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665,913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597,617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Net income margin</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EBITDA Margin on Revenue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Adjusted EBITDA Margin on Revenue, Excluding Billable Expenses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4"/>
        </w:trPr>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5"/>
        </w:trPr>
        <w:tc>
          <w:tcPr>
            <w:tcW w:w="5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5"/>
        </w:trPr>
        <w:tc>
          <w:tcPr>
            <w:tcW w:w="12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4"/>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4"/>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5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390,112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170,718</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555,345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332,106</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provision for claimed costs (a)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(18,345)</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Acquisition and divestiture costs (b)</w:t>
            </w: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3,528</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 transaction costs (c)</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820</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Significant acquisition amortization (d)</w:t>
            </w: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26,704</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Legal matter reserve (e)</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27,453</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Insurance recoveries (f)</w:t>
            </w: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and write-off of debt issuance costs and debt discount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1,888</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Adjustments for tax effect (h)</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55,198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50,146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(11,954)</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5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Adjusted Net Income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233,010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169,143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412,621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362,200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Adjusted Diluted 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Weighted-average number of diluted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128,848,077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131,133,145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129,387,722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131,337,913</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5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Adjusted Net Income Per Diluted Share (i)</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587,091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(47,385)</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639,219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(118,917)</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Purchases of property, equipment and software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(23,805)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(16,948)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(56,247)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(27,436)</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5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Free cash flow</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563,286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(64,333)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582,972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(146,353)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Operating cash flow conversion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5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Free cash flow conversion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00" w:right="280" w:hanging="241"/>
        <w:spacing w:after="0" w:line="286" w:lineRule="auto"/>
        <w:tabs>
          <w:tab w:leader="none" w:pos="2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Excluding Billable Expenses includes $113.1 million and $18.3 million of revenue for the three and six months ending September 30, 2024 and 2023 respectively, resulting from the reduction to our provision for claimed costs as noted below.</w:t>
      </w:r>
    </w:p>
    <w:p>
      <w:pPr>
        <w:spacing w:after="0" w:line="1" w:lineRule="exact"/>
        <w:rPr>
          <w:sz w:val="20"/>
          <w:szCs w:val="20"/>
          <w:color w:val="auto"/>
        </w:rPr>
      </w:pPr>
    </w:p>
    <w:p>
      <w:pPr>
        <w:ind w:left="400" w:hanging="318"/>
        <w:spacing w:after="0" w:line="273" w:lineRule="auto"/>
        <w:tabs>
          <w:tab w:leader="none" w:pos="39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reduction to our provision for claimed costs for years prior to fiscal 2025 recorded during the second quarters of fiscal 2025 and 2024, which resulted in a corresponding increase to revenue, as a result of the Defense Contract Audit Agency's findings related to its audits of our claimed costs for multiple fiscal years. See Note 15, “Commitments and Contingencies,”to the condensed consolidated financial statements for further information.</w:t>
      </w:r>
    </w:p>
    <w:p>
      <w:pPr>
        <w:spacing w:after="0" w:line="7" w:lineRule="exact"/>
        <w:rPr>
          <w:rFonts w:ascii="Times New Roman" w:cs="Times New Roman" w:eastAsia="Times New Roman" w:hAnsi="Times New Roman"/>
          <w:sz w:val="17"/>
          <w:szCs w:val="17"/>
          <w:color w:val="auto"/>
        </w:rPr>
      </w:pPr>
    </w:p>
    <w:p>
      <w:pPr>
        <w:ind w:left="400" w:right="60" w:hanging="318"/>
        <w:spacing w:after="0" w:line="267" w:lineRule="auto"/>
        <w:tabs>
          <w:tab w:leader="none" w:pos="39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associated with the acquisition efforts of the Company related to transactions for which the Company has entered into a letter of intent to acquire a controlling financial interest in the target entity. Transactions primarily include the acquisitions of EverWatch Corp. (“EverWatch”) in fiscal 2023 and PAR Government Systems Corporation (“PGSC”) in fiscal 2025. See Note 5, “Acquisition, Goodwill, and Intangible Assets,”to the condensed consolidated financial statements for further information.</w:t>
      </w:r>
    </w:p>
    <w:p>
      <w:pPr>
        <w:spacing w:after="0" w:line="11" w:lineRule="exact"/>
        <w:rPr>
          <w:rFonts w:ascii="Times New Roman" w:cs="Times New Roman" w:eastAsia="Times New Roman" w:hAnsi="Times New Roman"/>
          <w:sz w:val="17"/>
          <w:szCs w:val="17"/>
          <w:color w:val="auto"/>
        </w:rPr>
      </w:pPr>
    </w:p>
    <w:p>
      <w:pPr>
        <w:ind w:left="380" w:hanging="298"/>
        <w:spacing w:after="0"/>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expenses associated with debt financing activities incurred during the second quarter of fiscal 2024.</w:t>
      </w:r>
    </w:p>
    <w:p>
      <w:pPr>
        <w:spacing w:after="0" w:line="63" w:lineRule="exact"/>
        <w:rPr>
          <w:rFonts w:ascii="Times New Roman" w:cs="Times New Roman" w:eastAsia="Times New Roman" w:hAnsi="Times New Roman"/>
          <w:sz w:val="17"/>
          <w:szCs w:val="17"/>
          <w:color w:val="auto"/>
        </w:rPr>
      </w:pPr>
    </w:p>
    <w:p>
      <w:pPr>
        <w:ind w:left="380" w:hanging="298"/>
        <w:spacing w:after="0"/>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 associated with acquired intangibles from significant acquisitions.</w:t>
      </w:r>
    </w:p>
    <w:p>
      <w:pPr>
        <w:spacing w:after="0" w:line="63" w:lineRule="exact"/>
        <w:rPr>
          <w:rFonts w:ascii="Times New Roman" w:cs="Times New Roman" w:eastAsia="Times New Roman" w:hAnsi="Times New Roman"/>
          <w:sz w:val="17"/>
          <w:szCs w:val="17"/>
          <w:color w:val="auto"/>
        </w:rPr>
      </w:pPr>
    </w:p>
    <w:p>
      <w:pPr>
        <w:ind w:left="400" w:right="420" w:hanging="318"/>
        <w:spacing w:after="0" w:line="286" w:lineRule="auto"/>
        <w:tabs>
          <w:tab w:leader="none" w:pos="39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 associated with the U.S. Department of Justice's investigation of the Company. See Note 20, “Commitments and Contingencies,” to the consolidated financial statements contained within the Annual Report on Form 10-K for the fiscal year ended March 31, 2024 for further information.</w:t>
      </w:r>
    </w:p>
    <w:p>
      <w:pPr>
        <w:ind w:left="400" w:right="140" w:hanging="318"/>
        <w:spacing w:after="0" w:line="270" w:lineRule="auto"/>
        <w:tabs>
          <w:tab w:leader="none" w:pos="39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insurance recoveries from claims related to the Company’s fiscal 2024 settlement as described in Note 20, “Commitments and Contingencies,” to the consolidated financial statements contained within the Annual Report on Form 10-K for the fiscal year ended March 31, 2024.</w:t>
      </w:r>
    </w:p>
    <w:p>
      <w:pPr>
        <w:ind w:left="380" w:hanging="298"/>
        <w:spacing w:after="0"/>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combination of Interest expense and Other income, net from the condensed consolidated statement of operations.</w:t>
      </w:r>
    </w:p>
    <w:p>
      <w:pPr>
        <w:spacing w:after="0" w:line="50" w:lineRule="exact"/>
        <w:rPr>
          <w:rFonts w:ascii="Times New Roman" w:cs="Times New Roman" w:eastAsia="Times New Roman" w:hAnsi="Times New Roman"/>
          <w:sz w:val="17"/>
          <w:szCs w:val="17"/>
          <w:color w:val="auto"/>
        </w:rPr>
      </w:pPr>
    </w:p>
    <w:p>
      <w:pPr>
        <w:ind w:left="400" w:right="80" w:hanging="318"/>
        <w:spacing w:after="0" w:line="273" w:lineRule="auto"/>
        <w:tabs>
          <w:tab w:leader="none" w:pos="39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400" w:right="120" w:hanging="318"/>
        <w:spacing w:after="0" w:line="273" w:lineRule="auto"/>
        <w:tabs>
          <w:tab w:leader="none" w:pos="3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adjustments of approximately $2.3 million and $3.0 million of net earnings for the three and six months ended September 30, 2024, respectively, and approximately $1.4 million and $2.7 million of net earnings for the three and six months ended September 30, 2023, respectively, associated with the application of the two-class method for computing diluted earnings per share.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and Trends Affecting Our Results of Operations</w:t>
      </w:r>
    </w:p>
    <w:p>
      <w:pPr>
        <w:spacing w:after="0" w:line="118" w:lineRule="exact"/>
        <w:rPr>
          <w:sz w:val="20"/>
          <w:szCs w:val="20"/>
          <w:color w:val="auto"/>
        </w:rPr>
      </w:pPr>
    </w:p>
    <w:p>
      <w:pPr>
        <w:ind w:right="660" w:firstLine="389"/>
        <w:spacing w:after="0" w:line="292" w:lineRule="auto"/>
        <w:rPr>
          <w:sz w:val="20"/>
          <w:szCs w:val="20"/>
          <w:color w:val="auto"/>
        </w:rPr>
      </w:pPr>
      <w:r>
        <w:rPr>
          <w:rFonts w:ascii="Times New Roman" w:cs="Times New Roman" w:eastAsia="Times New Roman" w:hAnsi="Times New Roman"/>
          <w:sz w:val="17"/>
          <w:szCs w:val="17"/>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Environment and Key Trends in Our Markets</w:t>
      </w:r>
    </w:p>
    <w:p>
      <w:pPr>
        <w:spacing w:after="0" w:line="120" w:lineRule="exact"/>
        <w:rPr>
          <w:sz w:val="20"/>
          <w:szCs w:val="20"/>
          <w:color w:val="auto"/>
        </w:rPr>
      </w:pPr>
    </w:p>
    <w:p>
      <w:pPr>
        <w:ind w:right="520" w:firstLine="428"/>
        <w:spacing w:after="0" w:line="292" w:lineRule="auto"/>
        <w:rPr>
          <w:sz w:val="20"/>
          <w:szCs w:val="20"/>
          <w:color w:val="auto"/>
        </w:rPr>
      </w:pPr>
      <w:r>
        <w:rPr>
          <w:rFonts w:ascii="Times New Roman" w:cs="Times New Roman" w:eastAsia="Times New Roman" w:hAnsi="Times New Roman"/>
          <w:sz w:val="17"/>
          <w:szCs w:val="17"/>
          <w:color w:val="auto"/>
        </w:rPr>
        <w:t>We believe that the following trends and developments in the U.S. government services industry and our markets may influence our future results of operations:</w:t>
      </w:r>
    </w:p>
    <w:p>
      <w:pPr>
        <w:spacing w:after="0" w:line="43" w:lineRule="exact"/>
        <w:rPr>
          <w:sz w:val="20"/>
          <w:szCs w:val="20"/>
          <w:color w:val="auto"/>
        </w:rPr>
      </w:pPr>
    </w:p>
    <w:p>
      <w:pPr>
        <w:ind w:left="620" w:right="60" w:hanging="150"/>
        <w:spacing w:after="0" w:line="26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73" w:lineRule="exact"/>
        <w:rPr>
          <w:rFonts w:ascii="Times New Roman" w:cs="Times New Roman" w:eastAsia="Times New Roman" w:hAnsi="Times New Roman"/>
          <w:sz w:val="17"/>
          <w:szCs w:val="17"/>
          <w:color w:val="auto"/>
        </w:rPr>
      </w:pPr>
    </w:p>
    <w:p>
      <w:pPr>
        <w:ind w:left="620" w:right="32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42" w:lineRule="exact"/>
        <w:rPr>
          <w:rFonts w:ascii="Times New Roman" w:cs="Times New Roman" w:eastAsia="Times New Roman" w:hAnsi="Times New Roman"/>
          <w:sz w:val="17"/>
          <w:szCs w:val="17"/>
          <w:color w:val="auto"/>
        </w:rPr>
      </w:pPr>
    </w:p>
    <w:p>
      <w:pPr>
        <w:ind w:left="620" w:right="20" w:hanging="150"/>
        <w:spacing w:after="0" w:line="26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69" w:lineRule="exact"/>
        <w:rPr>
          <w:rFonts w:ascii="Times New Roman" w:cs="Times New Roman" w:eastAsia="Times New Roman" w:hAnsi="Times New Roman"/>
          <w:sz w:val="17"/>
          <w:szCs w:val="17"/>
          <w:color w:val="auto"/>
        </w:rPr>
      </w:pPr>
    </w:p>
    <w:p>
      <w:pPr>
        <w:ind w:left="62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completion of future U.S. government’s budget processes, which have in the past and could in the future delay procurement of the products, services, and solutions we provide;</w:t>
      </w:r>
    </w:p>
    <w:p>
      <w:pPr>
        <w:spacing w:after="0" w:line="42" w:lineRule="exact"/>
        <w:rPr>
          <w:rFonts w:ascii="Times New Roman" w:cs="Times New Roman" w:eastAsia="Times New Roman" w:hAnsi="Times New Roman"/>
          <w:sz w:val="17"/>
          <w:szCs w:val="17"/>
          <w:color w:val="auto"/>
        </w:rPr>
      </w:pPr>
    </w:p>
    <w:p>
      <w:pPr>
        <w:jc w:val="both"/>
        <w:ind w:left="620" w:right="60" w:hanging="150"/>
        <w:spacing w:after="0" w:line="26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63" w:lineRule="exact"/>
        <w:rPr>
          <w:rFonts w:ascii="Times New Roman" w:cs="Times New Roman" w:eastAsia="Times New Roman" w:hAnsi="Times New Roman"/>
          <w:sz w:val="17"/>
          <w:szCs w:val="17"/>
          <w:color w:val="auto"/>
        </w:rPr>
      </w:pPr>
    </w:p>
    <w:p>
      <w:pPr>
        <w:ind w:left="620" w:right="200" w:hanging="150"/>
        <w:spacing w:after="0" w:line="27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nature and effect of disease outbreaks, pandemics and widespread health epidemics, such as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58" w:lineRule="exact"/>
        <w:rPr>
          <w:rFonts w:ascii="Times New Roman" w:cs="Times New Roman" w:eastAsia="Times New Roman" w:hAnsi="Times New Roman"/>
          <w:sz w:val="17"/>
          <w:szCs w:val="17"/>
          <w:color w:val="auto"/>
        </w:rPr>
      </w:pPr>
    </w:p>
    <w:p>
      <w:pPr>
        <w:ind w:left="620" w:hanging="15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inflationary pressure that could impact the cost of doing business and/or reduce customer buying power;</w:t>
      </w:r>
    </w:p>
    <w:p>
      <w:pPr>
        <w:spacing w:after="0" w:line="115" w:lineRule="exact"/>
        <w:rPr>
          <w:rFonts w:ascii="Times New Roman" w:cs="Times New Roman" w:eastAsia="Times New Roman" w:hAnsi="Times New Roman"/>
          <w:sz w:val="17"/>
          <w:szCs w:val="17"/>
          <w:color w:val="auto"/>
        </w:rPr>
      </w:pPr>
    </w:p>
    <w:p>
      <w:pPr>
        <w:ind w:left="620" w:right="580" w:hanging="150"/>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possible recession and volatility or instability of the global financial system, including bank failures and the resulting impact on counterparties and business conditions generally;</w:t>
      </w:r>
    </w:p>
    <w:p>
      <w:pPr>
        <w:spacing w:after="0" w:line="42" w:lineRule="exact"/>
        <w:rPr>
          <w:rFonts w:ascii="Times New Roman" w:cs="Times New Roman" w:eastAsia="Times New Roman" w:hAnsi="Times New Roman"/>
          <w:sz w:val="17"/>
          <w:szCs w:val="17"/>
          <w:color w:val="auto"/>
        </w:rPr>
      </w:pPr>
    </w:p>
    <w:p>
      <w:pPr>
        <w:ind w:left="620" w:right="20" w:hanging="150"/>
        <w:spacing w:after="0" w:line="26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and regulatory changes, or shifts in regulatory priorities as a result of U.S. administration transitions, including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15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by the U.S. government to address organizational conflicts of interest and related issues and the impact of those efforts on us and our competitors;</w:t>
      </w:r>
    </w:p>
    <w:p>
      <w:pPr>
        <w:spacing w:after="0" w:line="115" w:lineRule="exact"/>
        <w:rPr>
          <w:rFonts w:ascii="Times New Roman" w:cs="Times New Roman" w:eastAsia="Times New Roman" w:hAnsi="Times New Roman"/>
          <w:sz w:val="17"/>
          <w:szCs w:val="17"/>
          <w:color w:val="auto"/>
        </w:rPr>
      </w:pPr>
    </w:p>
    <w:p>
      <w:pPr>
        <w:ind w:left="620" w:right="20" w:hanging="150"/>
        <w:spacing w:after="0" w:line="292"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42" w:lineRule="exact"/>
        <w:rPr>
          <w:rFonts w:ascii="Times New Roman" w:cs="Times New Roman" w:eastAsia="Times New Roman" w:hAnsi="Times New Roman"/>
          <w:sz w:val="17"/>
          <w:szCs w:val="17"/>
          <w:color w:val="auto"/>
        </w:rPr>
      </w:pPr>
    </w:p>
    <w:p>
      <w:pPr>
        <w:ind w:left="620" w:right="280" w:hanging="150"/>
        <w:spacing w:after="0" w:line="292"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42" w:lineRule="exact"/>
        <w:rPr>
          <w:rFonts w:ascii="Times New Roman" w:cs="Times New Roman" w:eastAsia="Times New Roman" w:hAnsi="Times New Roman"/>
          <w:sz w:val="17"/>
          <w:szCs w:val="17"/>
          <w:color w:val="auto"/>
        </w:rPr>
      </w:pPr>
    </w:p>
    <w:p>
      <w:pPr>
        <w:ind w:left="620" w:right="340" w:hanging="150"/>
        <w:spacing w:after="0" w:line="292"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42" w:lineRule="exact"/>
        <w:rPr>
          <w:rFonts w:ascii="Times New Roman" w:cs="Times New Roman" w:eastAsia="Times New Roman" w:hAnsi="Times New Roman"/>
          <w:sz w:val="17"/>
          <w:szCs w:val="17"/>
          <w:color w:val="auto"/>
        </w:rPr>
      </w:pPr>
    </w:p>
    <w:p>
      <w:pPr>
        <w:ind w:left="620" w:right="320" w:hanging="150"/>
        <w:spacing w:after="0" w:line="292"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agencies awarding contracts on a technically acceptable/lowest cost basis, which could have a negative impact on our ability to win certain contracts;</w:t>
      </w:r>
    </w:p>
    <w:p>
      <w:pPr>
        <w:spacing w:after="0" w:line="42" w:lineRule="exact"/>
        <w:rPr>
          <w:rFonts w:ascii="Times New Roman" w:cs="Times New Roman" w:eastAsia="Times New Roman" w:hAnsi="Times New Roman"/>
          <w:sz w:val="17"/>
          <w:szCs w:val="17"/>
          <w:color w:val="auto"/>
        </w:rPr>
      </w:pPr>
    </w:p>
    <w:p>
      <w:pPr>
        <w:ind w:left="620" w:right="100" w:hanging="150"/>
        <w:spacing w:after="0" w:line="292"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42" w:lineRule="exact"/>
        <w:rPr>
          <w:rFonts w:ascii="Times New Roman" w:cs="Times New Roman" w:eastAsia="Times New Roman" w:hAnsi="Times New Roman"/>
          <w:sz w:val="17"/>
          <w:szCs w:val="17"/>
          <w:color w:val="auto"/>
        </w:rPr>
      </w:pPr>
    </w:p>
    <w:p>
      <w:pPr>
        <w:ind w:left="620" w:right="140" w:hanging="150"/>
        <w:spacing w:after="0" w:line="27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8" w:lineRule="exact"/>
        <w:rPr>
          <w:rFonts w:ascii="Times New Roman" w:cs="Times New Roman" w:eastAsia="Times New Roman" w:hAnsi="Times New Roman"/>
          <w:sz w:val="17"/>
          <w:szCs w:val="17"/>
          <w:color w:val="auto"/>
        </w:rPr>
      </w:pPr>
    </w:p>
    <w:p>
      <w:pPr>
        <w:ind w:left="620" w:right="460" w:hanging="150"/>
        <w:spacing w:after="0" w:line="292"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42" w:lineRule="exact"/>
        <w:rPr>
          <w:rFonts w:ascii="Times New Roman" w:cs="Times New Roman" w:eastAsia="Times New Roman" w:hAnsi="Times New Roman"/>
          <w:sz w:val="17"/>
          <w:szCs w:val="17"/>
          <w:color w:val="auto"/>
        </w:rPr>
      </w:pPr>
    </w:p>
    <w:p>
      <w:pPr>
        <w:jc w:val="both"/>
        <w:ind w:left="620" w:right="500" w:hanging="150"/>
        <w:spacing w:after="0" w:line="27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58" w:lineRule="exact"/>
        <w:rPr>
          <w:rFonts w:ascii="Times New Roman" w:cs="Times New Roman" w:eastAsia="Times New Roman" w:hAnsi="Times New Roman"/>
          <w:sz w:val="17"/>
          <w:szCs w:val="17"/>
          <w:color w:val="auto"/>
        </w:rPr>
      </w:pPr>
    </w:p>
    <w:p>
      <w:pPr>
        <w:ind w:left="620" w:right="320" w:hanging="150"/>
        <w:spacing w:after="0" w:line="27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Revenue</w:t>
      </w:r>
    </w:p>
    <w:p>
      <w:pPr>
        <w:spacing w:after="0" w:line="120" w:lineRule="exact"/>
        <w:rPr>
          <w:sz w:val="20"/>
          <w:szCs w:val="20"/>
          <w:color w:val="auto"/>
        </w:rPr>
      </w:pPr>
    </w:p>
    <w:p>
      <w:pPr>
        <w:ind w:firstLine="428"/>
        <w:spacing w:after="0" w:line="257" w:lineRule="auto"/>
        <w:rPr>
          <w:sz w:val="20"/>
          <w:szCs w:val="20"/>
          <w:color w:val="auto"/>
        </w:rPr>
      </w:pPr>
      <w:r>
        <w:rPr>
          <w:rFonts w:ascii="Times New Roman" w:cs="Times New Roman" w:eastAsia="Times New Roman" w:hAnsi="Times New Roman"/>
          <w:sz w:val="17"/>
          <w:szCs w:val="17"/>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Acts of 2013, 2015, 2018 and 2019, the Military Retired Pay Restoration Act, the CARES Act and the Infrastructure Investment and Jobs Act. The extension of the mandatory sequestration applies an 8.3% reduction in defense spending in each year from 2021 through 2031.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Types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generate revenue under the following three basic types of contracts: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right="20" w:hanging="150"/>
        <w:spacing w:after="0" w:line="26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Cost-Reimbursable Contracts. </w:t>
      </w:r>
      <w:r>
        <w:rPr>
          <w:rFonts w:ascii="Times New Roman" w:cs="Times New Roman" w:eastAsia="Times New Roman" w:hAnsi="Times New Roman"/>
          <w:sz w:val="17"/>
          <w:szCs w:val="17"/>
          <w:color w:val="auto"/>
        </w:rPr>
        <w:t>Cost-reimbursable contracts provide for the payment of allowable costs incurred during performance of the contract, up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69" w:lineRule="exact"/>
        <w:rPr>
          <w:rFonts w:ascii="Times New Roman" w:cs="Times New Roman" w:eastAsia="Times New Roman" w:hAnsi="Times New Roman"/>
          <w:sz w:val="17"/>
          <w:szCs w:val="17"/>
          <w:color w:val="auto"/>
        </w:rPr>
      </w:pPr>
    </w:p>
    <w:p>
      <w:pPr>
        <w:ind w:left="620" w:right="40" w:hanging="150"/>
        <w:spacing w:after="0" w:line="264" w:lineRule="auto"/>
        <w:tabs>
          <w:tab w:leader="none" w:pos="616"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Time-and-Materials Contracts. </w:t>
      </w:r>
      <w:r>
        <w:rPr>
          <w:rFonts w:ascii="Times New Roman" w:cs="Times New Roman" w:eastAsia="Times New Roman" w:hAnsi="Times New Roman"/>
          <w:sz w:val="17"/>
          <w:szCs w:val="17"/>
          <w:color w:val="auto"/>
        </w:rPr>
        <w:t>Under contracts in this category, we are paid a fixed hourly rate for each direct labor hour expended, and we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65" w:lineRule="exact"/>
        <w:rPr>
          <w:rFonts w:ascii="Times New Roman" w:cs="Times New Roman" w:eastAsia="Times New Roman" w:hAnsi="Times New Roman"/>
          <w:sz w:val="17"/>
          <w:szCs w:val="17"/>
          <w:i w:val="1"/>
          <w:iCs w:val="1"/>
          <w:color w:val="auto"/>
        </w:rPr>
      </w:pPr>
    </w:p>
    <w:p>
      <w:pPr>
        <w:ind w:left="620" w:right="120" w:hanging="150"/>
        <w:spacing w:after="0" w:line="264" w:lineRule="auto"/>
        <w:tabs>
          <w:tab w:leader="none" w:pos="616"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Fixed-Price Contracts. </w:t>
      </w:r>
      <w:r>
        <w:rPr>
          <w:rFonts w:ascii="Times New Roman" w:cs="Times New Roman" w:eastAsia="Times New Roman" w:hAnsi="Times New Roman"/>
          <w:sz w:val="17"/>
          <w:szCs w:val="17"/>
          <w:color w:val="auto"/>
        </w:rPr>
        <w:t>Under a fixed-price contract, we agree to perform the specified work for a predetermined price. To the extent our actual 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68"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table below presents the percentage of total revenue for each type of contract as of the respective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06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1"/>
        </w:trPr>
        <w:tc>
          <w:tcPr>
            <w:tcW w:w="5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40" w:type="dxa"/>
            <w:vAlign w:val="bottom"/>
            <w:gridSpan w:val="4"/>
          </w:tcPr>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20" w:type="dxa"/>
            <w:vAlign w:val="bottom"/>
          </w:tcPr>
          <w:p>
            <w:pPr>
              <w:spacing w:after="0"/>
              <w:rPr>
                <w:sz w:val="20"/>
                <w:szCs w:val="20"/>
                <w:color w:val="auto"/>
              </w:rPr>
            </w:pPr>
          </w:p>
        </w:tc>
        <w:tc>
          <w:tcPr>
            <w:tcW w:w="2040" w:type="dxa"/>
            <w:vAlign w:val="bottom"/>
            <w:gridSpan w:val="3"/>
          </w:tcPr>
          <w:p>
            <w:pPr>
              <w:jc w:val="center"/>
              <w:ind w:right="81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220" w:type="dxa"/>
            <w:vAlign w:val="bottom"/>
          </w:tcPr>
          <w:p>
            <w:pPr>
              <w:spacing w:after="0"/>
              <w:rPr>
                <w:sz w:val="18"/>
                <w:szCs w:val="18"/>
                <w:color w:val="auto"/>
              </w:rPr>
            </w:pPr>
          </w:p>
        </w:tc>
        <w:tc>
          <w:tcPr>
            <w:tcW w:w="920" w:type="dxa"/>
            <w:vAlign w:val="bottom"/>
            <w:tcBorders>
              <w:top w:val="single" w:sz="8" w:color="auto"/>
            </w:tcBorders>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40" w:type="dxa"/>
            <w:vAlign w:val="bottom"/>
            <w:tcBorders>
              <w:top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40" w:type="dxa"/>
            <w:vAlign w:val="bottom"/>
            <w:tcBorders>
              <w:top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Cost-reimbursable</w:t>
            </w:r>
          </w:p>
        </w:tc>
        <w:tc>
          <w:tcPr>
            <w:tcW w:w="920" w:type="dxa"/>
            <w:vAlign w:val="bottom"/>
            <w:tcBorders>
              <w:top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7"/>
                <w:szCs w:val="17"/>
                <w:color w:val="auto"/>
              </w:rPr>
              <w:t>57%</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7"/>
                <w:szCs w:val="17"/>
                <w:color w:val="auto"/>
              </w:rPr>
              <w:t>56%</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55%</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Time-and-materials</w:t>
            </w:r>
          </w:p>
        </w:tc>
        <w:tc>
          <w:tcPr>
            <w:tcW w:w="92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rPr>
              <w:t>23%</w:t>
            </w:r>
          </w:p>
        </w:tc>
        <w:tc>
          <w:tcPr>
            <w:tcW w:w="2040" w:type="dxa"/>
            <w:vAlign w:val="bottom"/>
            <w:gridSpan w:val="3"/>
          </w:tcPr>
          <w:p>
            <w:pPr>
              <w:jc w:val="center"/>
              <w:ind w:left="534"/>
              <w:spacing w:after="0"/>
              <w:rPr>
                <w:sz w:val="20"/>
                <w:szCs w:val="20"/>
                <w:color w:val="auto"/>
              </w:rPr>
            </w:pPr>
            <w:r>
              <w:rPr>
                <w:rFonts w:ascii="Times New Roman" w:cs="Times New Roman" w:eastAsia="Times New Roman" w:hAnsi="Times New Roman"/>
                <w:sz w:val="17"/>
                <w:szCs w:val="17"/>
                <w:color w:val="auto"/>
                <w:w w:val="96"/>
              </w:rPr>
              <w:t>24%</w:t>
            </w:r>
          </w:p>
        </w:tc>
        <w:tc>
          <w:tcPr>
            <w:tcW w:w="100" w:type="dxa"/>
            <w:vAlign w:val="bottom"/>
          </w:tcPr>
          <w:p>
            <w:pPr>
              <w:spacing w:after="0"/>
              <w:rPr>
                <w:sz w:val="19"/>
                <w:szCs w:val="19"/>
                <w:color w:val="auto"/>
              </w:rPr>
            </w:pPr>
          </w:p>
        </w:tc>
        <w:tc>
          <w:tcPr>
            <w:tcW w:w="92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rPr>
              <w:t>23%</w:t>
            </w:r>
          </w:p>
        </w:tc>
        <w:tc>
          <w:tcPr>
            <w:tcW w:w="2040" w:type="dxa"/>
            <w:vAlign w:val="bottom"/>
            <w:gridSpan w:val="3"/>
          </w:tcPr>
          <w:p>
            <w:pPr>
              <w:jc w:val="center"/>
              <w:ind w:left="534"/>
              <w:spacing w:after="0"/>
              <w:rPr>
                <w:sz w:val="20"/>
                <w:szCs w:val="20"/>
                <w:color w:val="auto"/>
              </w:rPr>
            </w:pPr>
            <w:r>
              <w:rPr>
                <w:rFonts w:ascii="Times New Roman" w:cs="Times New Roman" w:eastAsia="Times New Roman" w:hAnsi="Times New Roman"/>
                <w:sz w:val="17"/>
                <w:szCs w:val="17"/>
                <w:color w:val="auto"/>
                <w:w w:val="96"/>
              </w:rPr>
              <w:t>24%</w:t>
            </w:r>
          </w:p>
        </w:tc>
      </w:tr>
      <w:tr>
        <w:trPr>
          <w:trHeight w:val="22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Fixed-price</w:t>
            </w:r>
          </w:p>
        </w:tc>
        <w:tc>
          <w:tcPr>
            <w:tcW w:w="92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7"/>
                <w:szCs w:val="17"/>
                <w:color w:val="auto"/>
              </w:rPr>
              <w:t>20%</w:t>
            </w:r>
          </w:p>
        </w:tc>
        <w:tc>
          <w:tcPr>
            <w:tcW w:w="2040" w:type="dxa"/>
            <w:vAlign w:val="bottom"/>
            <w:gridSpan w:val="3"/>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w w:val="96"/>
              </w:rPr>
              <w:t>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7"/>
                <w:szCs w:val="17"/>
                <w:color w:val="auto"/>
              </w:rPr>
              <w:t>21%</w:t>
            </w:r>
          </w:p>
        </w:tc>
        <w:tc>
          <w:tcPr>
            <w:tcW w:w="2040" w:type="dxa"/>
            <w:vAlign w:val="bottom"/>
            <w:gridSpan w:val="3"/>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w w:val="96"/>
              </w:rPr>
              <w:t>21%</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Diversity and Revenue Mix</w:t>
      </w:r>
    </w:p>
    <w:p>
      <w:pPr>
        <w:spacing w:after="0" w:line="118" w:lineRule="exact"/>
        <w:rPr>
          <w:sz w:val="20"/>
          <w:szCs w:val="20"/>
          <w:color w:val="auto"/>
        </w:rPr>
      </w:pPr>
    </w:p>
    <w:p>
      <w:pPr>
        <w:ind w:right="40" w:firstLine="389"/>
        <w:spacing w:after="0" w:line="262" w:lineRule="auto"/>
        <w:rPr>
          <w:sz w:val="20"/>
          <w:szCs w:val="20"/>
          <w:color w:val="auto"/>
        </w:rPr>
      </w:pPr>
      <w:r>
        <w:rPr>
          <w:rFonts w:ascii="Times New Roman" w:cs="Times New Roman" w:eastAsia="Times New Roman" w:hAnsi="Times New Roman"/>
          <w:sz w:val="17"/>
          <w:szCs w:val="17"/>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389"/>
        <w:spacing w:after="0" w:line="264" w:lineRule="auto"/>
        <w:rPr>
          <w:sz w:val="20"/>
          <w:szCs w:val="20"/>
          <w:color w:val="auto"/>
        </w:rPr>
      </w:pPr>
      <w:r>
        <w:rPr>
          <w:rFonts w:ascii="Times New Roman" w:cs="Times New Roman" w:eastAsia="Times New Roman" w:hAnsi="Times New Roman"/>
          <w:sz w:val="17"/>
          <w:szCs w:val="17"/>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People</w:t>
      </w:r>
    </w:p>
    <w:p>
      <w:pPr>
        <w:spacing w:after="0" w:line="118" w:lineRule="exact"/>
        <w:rPr>
          <w:sz w:val="20"/>
          <w:szCs w:val="20"/>
          <w:color w:val="auto"/>
        </w:rPr>
      </w:pPr>
    </w:p>
    <w:p>
      <w:pPr>
        <w:jc w:val="both"/>
        <w:ind w:firstLine="389"/>
        <w:spacing w:after="0" w:line="264" w:lineRule="auto"/>
        <w:rPr>
          <w:sz w:val="20"/>
          <w:szCs w:val="20"/>
          <w:color w:val="auto"/>
        </w:rPr>
      </w:pPr>
      <w:r>
        <w:rPr>
          <w:rFonts w:ascii="Times New Roman" w:cs="Times New Roman" w:eastAsia="Times New Roman" w:hAnsi="Times New Roman"/>
          <w:sz w:val="17"/>
          <w:szCs w:val="17"/>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2024 and 2023, we employed approximately 35,800 and 33,100 people, respectively, of which approximately 32,700 and 30,200, respectively, were client staff.</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Backlog</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define backlog to include the following three components:</w:t>
      </w:r>
    </w:p>
    <w:p>
      <w:pPr>
        <w:spacing w:after="0" w:line="114" w:lineRule="exact"/>
        <w:rPr>
          <w:sz w:val="20"/>
          <w:szCs w:val="20"/>
          <w:color w:val="auto"/>
        </w:rPr>
      </w:pPr>
    </w:p>
    <w:p>
      <w:pPr>
        <w:ind w:left="620" w:right="480" w:hanging="305"/>
        <w:spacing w:after="0" w:line="294" w:lineRule="auto"/>
        <w:tabs>
          <w:tab w:leader="none" w:pos="616"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Funded Backlog. </w:t>
      </w:r>
      <w:r>
        <w:rPr>
          <w:rFonts w:ascii="Times New Roman" w:cs="Times New Roman" w:eastAsia="Times New Roman" w:hAnsi="Times New Roman"/>
          <w:sz w:val="17"/>
          <w:szCs w:val="17"/>
          <w:color w:val="auto"/>
        </w:rPr>
        <w:t>Funded backlog represents the revenue value of orders for services under existing contracts for which funding is appropriated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authorized less revenue previously recognized on these contracts.</w:t>
      </w:r>
    </w:p>
    <w:p>
      <w:pPr>
        <w:spacing w:after="0" w:line="39" w:lineRule="exact"/>
        <w:rPr>
          <w:rFonts w:ascii="Times New Roman" w:cs="Times New Roman" w:eastAsia="Times New Roman" w:hAnsi="Times New Roman"/>
          <w:sz w:val="17"/>
          <w:szCs w:val="17"/>
          <w:i w:val="1"/>
          <w:iCs w:val="1"/>
          <w:color w:val="auto"/>
        </w:rPr>
      </w:pPr>
    </w:p>
    <w:p>
      <w:pPr>
        <w:ind w:left="620" w:right="100" w:hanging="305"/>
        <w:spacing w:after="0" w:line="29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Unfunded Backlog. </w:t>
      </w:r>
      <w:r>
        <w:rPr>
          <w:rFonts w:ascii="Times New Roman" w:cs="Times New Roman" w:eastAsia="Times New Roman" w:hAnsi="Times New Roman"/>
          <w:sz w:val="17"/>
          <w:szCs w:val="17"/>
          <w:color w:val="auto"/>
        </w:rPr>
        <w:t>Unfunded backlog represents the revenue value of orders (including optional orders) for services under existing contracts for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funding has not been appropriated or otherwise authorized.</w:t>
      </w:r>
    </w:p>
    <w:p>
      <w:pPr>
        <w:spacing w:after="0" w:line="39" w:lineRule="exact"/>
        <w:rPr>
          <w:rFonts w:ascii="Times New Roman" w:cs="Times New Roman" w:eastAsia="Times New Roman" w:hAnsi="Times New Roman"/>
          <w:sz w:val="17"/>
          <w:szCs w:val="17"/>
          <w:color w:val="auto"/>
        </w:rPr>
      </w:pPr>
    </w:p>
    <w:p>
      <w:pPr>
        <w:ind w:left="620" w:right="240" w:hanging="305"/>
        <w:spacing w:after="0" w:line="29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Priced Options. </w:t>
      </w:r>
      <w:r>
        <w:rPr>
          <w:rFonts w:ascii="Times New Roman" w:cs="Times New Roman" w:eastAsia="Times New Roman" w:hAnsi="Times New Roman"/>
          <w:sz w:val="17"/>
          <w:szCs w:val="17"/>
          <w:color w:val="auto"/>
        </w:rPr>
        <w:t>Priced contract options represent 100% of the revenue value of all future contract option periods under existing contracts that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at our clients’ option and for which funding has not been appropriated or otherwise authorized.</w:t>
      </w:r>
    </w:p>
    <w:p>
      <w:pPr>
        <w:spacing w:after="0" w:line="42" w:lineRule="exact"/>
        <w:rPr>
          <w:sz w:val="20"/>
          <w:szCs w:val="20"/>
          <w:color w:val="auto"/>
        </w:rPr>
      </w:pPr>
    </w:p>
    <w:p>
      <w:pPr>
        <w:ind w:right="580" w:firstLine="389"/>
        <w:spacing w:after="0" w:line="292" w:lineRule="auto"/>
        <w:rPr>
          <w:sz w:val="20"/>
          <w:szCs w:val="20"/>
          <w:color w:val="auto"/>
        </w:rPr>
      </w:pPr>
      <w:r>
        <w:rPr>
          <w:rFonts w:ascii="Times New Roman" w:cs="Times New Roman" w:eastAsia="Times New Roman" w:hAnsi="Times New Roman"/>
          <w:sz w:val="17"/>
          <w:szCs w:val="17"/>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3" w:lineRule="exact"/>
        <w:rPr>
          <w:sz w:val="20"/>
          <w:szCs w:val="20"/>
          <w:color w:val="auto"/>
        </w:rPr>
      </w:pPr>
    </w:p>
    <w:tbl>
      <w:tblPr>
        <w:tblLayout w:type="fixed"/>
        <w:tblInd w:w="180" w:type="dxa"/>
        <w:tblCellMar>
          <w:top w:w="0" w:type="dxa"/>
          <w:left w:w="0" w:type="dxa"/>
          <w:bottom w:w="0" w:type="dxa"/>
          <w:right w:w="0" w:type="dxa"/>
        </w:tblCellMar>
      </w:tblPr>
      <w:tr>
        <w:trPr>
          <w:trHeight w:val="226"/>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following table summarizes the value of our contract backlog as of the respective periods presented:</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6"/>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21"/>
                <w:szCs w:val="21"/>
                <w:color w:val="auto"/>
              </w:rPr>
            </w:pP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1"/>
        </w:trPr>
        <w:tc>
          <w:tcPr>
            <w:tcW w:w="7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4"/>
          </w:tcPr>
          <w:p>
            <w:pPr>
              <w:jc w:val="right"/>
              <w:ind w:right="1094"/>
              <w:spacing w:after="0"/>
              <w:rPr>
                <w:sz w:val="20"/>
                <w:szCs w:val="20"/>
                <w:color w:val="auto"/>
              </w:rPr>
            </w:pPr>
            <w:r>
              <w:rPr>
                <w:rFonts w:ascii="Times New Roman" w:cs="Times New Roman" w:eastAsia="Times New Roman" w:hAnsi="Times New Roman"/>
                <w:sz w:val="17"/>
                <w:szCs w:val="17"/>
                <w:b w:val="1"/>
                <w:bCs w:val="1"/>
                <w:color w:val="auto"/>
              </w:rPr>
              <w:t>(In millions)</w:t>
            </w:r>
          </w:p>
        </w:tc>
      </w:tr>
      <w:tr>
        <w:trPr>
          <w:trHeight w:val="22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Backlog (1):</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0"/>
        </w:trPr>
        <w:tc>
          <w:tcPr>
            <w:tcW w:w="7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Funded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6,282</w:t>
            </w:r>
          </w:p>
        </w:tc>
      </w:tr>
      <w:tr>
        <w:trPr>
          <w:trHeight w:val="220"/>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Unfunded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10,128</w:t>
            </w:r>
          </w:p>
        </w:tc>
      </w:tr>
      <w:tr>
        <w:trPr>
          <w:trHeight w:val="220"/>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Priced options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18,630</w:t>
            </w:r>
          </w:p>
        </w:tc>
      </w:tr>
      <w:tr>
        <w:trPr>
          <w:trHeight w:val="238"/>
        </w:trPr>
        <w:tc>
          <w:tcPr>
            <w:tcW w:w="76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backlog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500" w:right="180" w:hanging="233"/>
        <w:spacing w:after="0" w:line="244" w:lineRule="auto"/>
        <w:tabs>
          <w:tab w:leader="none" w:pos="51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presented includes backlog acquired from the Company’s acquisition of PGSC during the six months ended September 30, 2024. Total backlog acquired from PGSC was approximately $230.5 million at the date of acquisition.</w:t>
      </w:r>
    </w:p>
    <w:p>
      <w:pPr>
        <w:spacing w:after="0" w:line="186" w:lineRule="exact"/>
        <w:rPr>
          <w:sz w:val="20"/>
          <w:szCs w:val="20"/>
          <w:color w:val="auto"/>
        </w:rPr>
      </w:pPr>
    </w:p>
    <w:p>
      <w:pPr>
        <w:ind w:right="60" w:firstLine="389"/>
        <w:spacing w:after="0" w:line="258" w:lineRule="auto"/>
        <w:rPr>
          <w:sz w:val="20"/>
          <w:szCs w:val="20"/>
          <w:color w:val="auto"/>
        </w:rPr>
      </w:pPr>
      <w:r>
        <w:rPr>
          <w:rFonts w:ascii="Times New Roman" w:cs="Times New Roman" w:eastAsia="Times New Roman" w:hAnsi="Times New Roman"/>
          <w:sz w:val="17"/>
          <w:szCs w:val="17"/>
          <w:color w:val="auto"/>
        </w:rPr>
        <w:t>Our total backlog consists of remaining performance obligations, certain orders under contracts for which the period of performance has expired, and unexercised option period and other unexercised optional orders. As of September 30, 2024 and March 31, 2024, the Company had $11.0 billion and $8.7 billion of remaining performance obligations, respectively. We expect to recognize approximately 70% of the remaining performance obligations as of September 30, 2024 as revenue over the next 12 months, and approximately 80% over the next 24 months. The remainder is expected to be recognized thereafter. However, given the uncertainties discussed below, as well as the risks described in “Item 1A. Risk Factors” of our Annual Report on Form 10-K for the fiscal year ended March 31, 2024,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389"/>
        <w:spacing w:after="0" w:line="260" w:lineRule="auto"/>
        <w:rPr>
          <w:sz w:val="20"/>
          <w:szCs w:val="20"/>
          <w:color w:val="auto"/>
        </w:rPr>
      </w:pPr>
      <w:r>
        <w:rPr>
          <w:rFonts w:ascii="Times New Roman" w:cs="Times New Roman" w:eastAsia="Times New Roman" w:hAnsi="Times New Roman"/>
          <w:sz w:val="17"/>
          <w:szCs w:val="17"/>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17.7% from September 30, 2023 to September 30, 2024. Additions to funded backlog during the twelve months ended September 30, 2024 and 2023 totaled $11.8 billion and $10.8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3" w:lineRule="exact"/>
        <w:rPr>
          <w:sz w:val="20"/>
          <w:szCs w:val="20"/>
          <w:color w:val="auto"/>
        </w:rPr>
      </w:pPr>
    </w:p>
    <w:p>
      <w:pPr>
        <w:ind w:right="20" w:firstLine="389"/>
        <w:spacing w:after="0" w:line="258" w:lineRule="auto"/>
        <w:rPr>
          <w:sz w:val="20"/>
          <w:szCs w:val="20"/>
          <w:color w:val="auto"/>
        </w:rPr>
      </w:pPr>
      <w:r>
        <w:rPr>
          <w:rFonts w:ascii="Times New Roman" w:cs="Times New Roman" w:eastAsia="Times New Roman" w:hAnsi="Times New Roman"/>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81" w:lineRule="exact"/>
        <w:rPr>
          <w:sz w:val="20"/>
          <w:szCs w:val="20"/>
          <w:color w:val="auto"/>
        </w:rPr>
      </w:pPr>
    </w:p>
    <w:p>
      <w:pPr>
        <w:ind w:right="220" w:firstLine="389"/>
        <w:spacing w:after="0" w:line="264" w:lineRule="auto"/>
        <w:rPr>
          <w:sz w:val="20"/>
          <w:szCs w:val="20"/>
          <w:color w:val="auto"/>
        </w:rPr>
      </w:pPr>
      <w:r>
        <w:rPr>
          <w:rFonts w:ascii="Times New Roman" w:cs="Times New Roman" w:eastAsia="Times New Roman" w:hAnsi="Times New Roman"/>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4.5% of total backlog as of September 30, 2024 or during any of the three preceding fiscal quarters.</w:t>
      </w:r>
    </w:p>
    <w:p>
      <w:pPr>
        <w:spacing w:after="0" w:line="66" w:lineRule="exact"/>
        <w:rPr>
          <w:sz w:val="20"/>
          <w:szCs w:val="20"/>
          <w:color w:val="auto"/>
        </w:rPr>
      </w:pPr>
    </w:p>
    <w:p>
      <w:pPr>
        <w:jc w:val="both"/>
        <w:ind w:right="140" w:firstLine="389"/>
        <w:spacing w:after="0" w:line="273" w:lineRule="auto"/>
        <w:rPr>
          <w:sz w:val="20"/>
          <w:szCs w:val="20"/>
          <w:color w:val="auto"/>
        </w:rPr>
      </w:pPr>
      <w:r>
        <w:rPr>
          <w:rFonts w:ascii="Times New Roman" w:cs="Times New Roman" w:eastAsia="Times New Roman" w:hAnsi="Times New Roman"/>
          <w:sz w:val="17"/>
          <w:szCs w:val="17"/>
          <w:color w:val="auto"/>
        </w:rPr>
        <w:t>We expect to recognize revenue from a substantial portion of funded backlog as of September 30, 2024 within the next twelve months. However, given the uncertainties discussed above, as well as the risks described in “Part I, Item 1A. Risk Factors,” of our fiscal 2024 Annual Report on Form 10-K, we can give no assurance that we will be able to convert our backlog into revenue in any particular period, if at all.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Government Audit Impact on Operating Income</w:t>
      </w:r>
    </w:p>
    <w:p>
      <w:pPr>
        <w:spacing w:after="0" w:line="118" w:lineRule="exact"/>
        <w:rPr>
          <w:sz w:val="20"/>
          <w:szCs w:val="20"/>
          <w:color w:val="auto"/>
        </w:rPr>
      </w:pPr>
    </w:p>
    <w:p>
      <w:pPr>
        <w:ind w:right="100" w:firstLine="428"/>
        <w:spacing w:after="0" w:line="264" w:lineRule="auto"/>
        <w:rPr>
          <w:sz w:val="20"/>
          <w:szCs w:val="20"/>
          <w:color w:val="auto"/>
        </w:rPr>
      </w:pPr>
      <w:r>
        <w:rPr>
          <w:rFonts w:ascii="Times New Roman" w:cs="Times New Roman" w:eastAsia="Times New Roman" w:hAnsi="Times New Roman"/>
          <w:sz w:val="17"/>
          <w:szCs w:val="17"/>
          <w:color w:val="auto"/>
        </w:rPr>
        <w:t>As noted in the Company's Annual Report on Form 10-K for the fiscal year ended March 31, 2024, in the ordinary course of business, agencies of the U.S. government for which the Company is engaged as a prime contractor or a subcontractor, including the Defense Contract Audit Agency, audit the Company’s claimed costs and conduct inquiries and investigations of our business practices with respect to government contracts. Such audits may result in, and have historically resulted in, the Company’s inability to retain certain claimed costs, including executive and employee compensation, due to differing views of the allowability and reasonableness of such costs.</w:t>
      </w:r>
    </w:p>
    <w:p>
      <w:pPr>
        <w:spacing w:after="0" w:line="66" w:lineRule="exact"/>
        <w:rPr>
          <w:sz w:val="20"/>
          <w:szCs w:val="20"/>
          <w:color w:val="auto"/>
        </w:rPr>
      </w:pPr>
    </w:p>
    <w:p>
      <w:pPr>
        <w:ind w:right="20" w:firstLine="428"/>
        <w:spacing w:after="0" w:line="262" w:lineRule="auto"/>
        <w:rPr>
          <w:sz w:val="20"/>
          <w:szCs w:val="20"/>
          <w:color w:val="auto"/>
        </w:rPr>
      </w:pPr>
      <w:r>
        <w:rPr>
          <w:rFonts w:ascii="Times New Roman" w:cs="Times New Roman" w:eastAsia="Times New Roman" w:hAnsi="Times New Roman"/>
          <w:sz w:val="17"/>
          <w:szCs w:val="17"/>
          <w:color w:val="auto"/>
        </w:rPr>
        <w:t>Following the settlement of the civil and criminal investigation of the Company by the U.S. Department of Justice (“DOJ”) previously disclosed in Note 20, “Commitments and Contingencies,” to the Company’s Annual Report on Form 10-K for the fiscal year ended March 31, 2024, audits for years subsequent to the Company’s fiscal year 2011 have resumed and remain subject to final resolution. As discussed in Note 15, “Commitments and Contingencies,” to the condensed consolidated financial statements, the Company recognized a reserve for estimated adjustments to historical claimed costs in respect of the years subsequent to fiscal 2011. As audits of the periods subsequent to 2011 are completed, our estimates of adjustment to claimed costs for these periods could change. Any such change could materially impact our reported revenue, operating income, net income and basic and diluted earnings per common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Costs and Expenses</w:t>
      </w:r>
    </w:p>
    <w:p>
      <w:pPr>
        <w:spacing w:after="0" w:line="120" w:lineRule="exact"/>
        <w:rPr>
          <w:sz w:val="20"/>
          <w:szCs w:val="20"/>
          <w:color w:val="auto"/>
        </w:rPr>
      </w:pPr>
    </w:p>
    <w:p>
      <w:pPr>
        <w:ind w:right="300" w:firstLine="389"/>
        <w:spacing w:after="0" w:line="273" w:lineRule="auto"/>
        <w:rPr>
          <w:sz w:val="20"/>
          <w:szCs w:val="20"/>
          <w:color w:val="auto"/>
        </w:rPr>
      </w:pPr>
      <w:r>
        <w:rPr>
          <w:rFonts w:ascii="Times New Roman" w:cs="Times New Roman" w:eastAsia="Times New Roman" w:hAnsi="Times New Roman"/>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most significant operating costs and expenses are described below.</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right="160" w:hanging="305"/>
        <w:spacing w:after="0" w:line="29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Cost of revenue includes direct labor, related employee benefits, and overhead. Overhead consists of indirect costs, including indirect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labor relating to infrastructure, management and administration, and other expenses.</w:t>
      </w:r>
    </w:p>
    <w:p>
      <w:pPr>
        <w:spacing w:after="0" w:line="39"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Billable Expenses. </w:t>
      </w:r>
      <w:r>
        <w:rPr>
          <w:rFonts w:ascii="Times New Roman" w:cs="Times New Roman" w:eastAsia="Times New Roman" w:hAnsi="Times New Roman"/>
          <w:sz w:val="17"/>
          <w:szCs w:val="17"/>
          <w:color w:val="auto"/>
        </w:rPr>
        <w:t>Billable expenses include direct subcontractor expenses, travel expenses, and other expenses incurred to perform on contracts.</w:t>
      </w:r>
    </w:p>
    <w:p>
      <w:pPr>
        <w:spacing w:after="0" w:line="115" w:lineRule="exact"/>
        <w:rPr>
          <w:rFonts w:ascii="Times New Roman" w:cs="Times New Roman" w:eastAsia="Times New Roman" w:hAnsi="Times New Roman"/>
          <w:sz w:val="17"/>
          <w:szCs w:val="17"/>
          <w:color w:val="auto"/>
        </w:rPr>
      </w:pPr>
    </w:p>
    <w:p>
      <w:pPr>
        <w:ind w:left="620" w:hanging="305"/>
        <w:spacing w:after="0" w:line="286"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include indirect labor of executive management and corporate administrative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functions, marketing and bid and proposal costs, legal costs, and other discretionary spending.</w:t>
      </w:r>
    </w:p>
    <w:p>
      <w:pPr>
        <w:ind w:left="620" w:right="280" w:hanging="305"/>
        <w:spacing w:after="0" w:line="27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includes the depreciation of computers, leasehold improvements, furniture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and the amortization of internally developed software, as well as third-party software that we use internally, and of identifiable long-lived intangible assets over their estimated useful lives.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0" w:lineRule="exact"/>
        <w:rPr>
          <w:sz w:val="20"/>
          <w:szCs w:val="20"/>
          <w:color w:val="auto"/>
        </w:rPr>
      </w:pPr>
    </w:p>
    <w:p>
      <w:pPr>
        <w:ind w:right="160" w:firstLine="389"/>
        <w:spacing w:after="0" w:line="260" w:lineRule="auto"/>
        <w:rPr>
          <w:sz w:val="20"/>
          <w:szCs w:val="20"/>
          <w:color w:val="auto"/>
        </w:rPr>
      </w:pPr>
      <w:r>
        <w:rPr>
          <w:rFonts w:ascii="Times New Roman" w:cs="Times New Roman" w:eastAsia="Times New Roman" w:hAnsi="Times New Roman"/>
          <w:sz w:val="17"/>
          <w:szCs w:val="17"/>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Seasonality is just one of a number of factors, many of which are outside of our control, which may affect our results in any period. See “Part I, Item 1A.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 of our fiscal 2024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 and Policies</w:t>
      </w:r>
    </w:p>
    <w:p>
      <w:pPr>
        <w:spacing w:after="0" w:line="118" w:lineRule="exact"/>
        <w:rPr>
          <w:sz w:val="20"/>
          <w:szCs w:val="20"/>
          <w:color w:val="auto"/>
        </w:rPr>
      </w:pPr>
    </w:p>
    <w:p>
      <w:pPr>
        <w:ind w:right="160" w:firstLine="389"/>
        <w:spacing w:after="0" w:line="264" w:lineRule="auto"/>
        <w:rPr>
          <w:sz w:val="20"/>
          <w:szCs w:val="20"/>
          <w:color w:val="auto"/>
        </w:rPr>
      </w:pPr>
      <w:r>
        <w:rPr>
          <w:rFonts w:ascii="Times New Roman" w:cs="Times New Roman" w:eastAsia="Times New Roman" w:hAnsi="Times New Roman"/>
          <w:sz w:val="17"/>
          <w:szCs w:val="17"/>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2024. Other than the change in estimate resulting in a reduction to our provision for claimed costs, there were no other material changes to our critical accounting policies, estimates or judgments that occurred during the periods covered by this report. See Note 15, “Commitments and Contingencies,” to our condensed consolidated financial statements for additional information related to the aforementioned change in estimate.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items from our condensed consolidated statements of operations for the six months ended September 30, 2024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1"/>
        </w:trPr>
        <w:tc>
          <w:tcPr>
            <w:tcW w:w="3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3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6"/>
        </w:trPr>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4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7"/>
                <w:szCs w:val="17"/>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Percent</w:t>
            </w:r>
          </w:p>
        </w:tc>
      </w:tr>
      <w:tr>
        <w:trPr>
          <w:trHeight w:val="228"/>
        </w:trPr>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4"/>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20" w:type="dxa"/>
            <w:vAlign w:val="bottom"/>
          </w:tcPr>
          <w:p>
            <w:pPr>
              <w:spacing w:after="0"/>
              <w:rPr>
                <w:sz w:val="19"/>
                <w:szCs w:val="19"/>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19"/>
                <w:szCs w:val="19"/>
                <w:color w:val="auto"/>
              </w:rPr>
            </w:pPr>
          </w:p>
        </w:tc>
        <w:tc>
          <w:tcPr>
            <w:tcW w:w="2520" w:type="dxa"/>
            <w:vAlign w:val="bottom"/>
            <w:gridSpan w:val="4"/>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9"/>
                <w:szCs w:val="19"/>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3,146,386</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2,666,282</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6,088,183</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5,320,768</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14.4 %</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1,232,712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2,484,628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0"/>
        </w:trPr>
        <w:tc>
          <w:tcPr>
            <w:tcW w:w="3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Billable expenses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824,788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1,637,092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16.9 %</w:t>
            </w:r>
          </w:p>
        </w:tc>
      </w:tr>
      <w:tr>
        <w:trPr>
          <w:trHeight w:val="220"/>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300,886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614,887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20"/>
        </w:trPr>
        <w:tc>
          <w:tcPr>
            <w:tcW w:w="3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40,907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13"/>
        </w:trPr>
        <w:tc>
          <w:tcPr>
            <w:tcW w:w="35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2,597,777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2,399,293</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5,284,410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4,819,361</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266,989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803,773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501,407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60.3 %</w:t>
            </w: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(80,230)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15.9 %</w:t>
            </w: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231.5 %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208.7 %</w:t>
            </w:r>
          </w:p>
        </w:tc>
      </w:tr>
      <w:tr>
        <w:trPr>
          <w:trHeight w:val="21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225,789</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727,713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426,657</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70.6 %</w:t>
            </w:r>
          </w:p>
        </w:tc>
      </w:tr>
      <w:tr>
        <w:trPr>
          <w:trHeight w:val="220"/>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123,240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55,071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94,551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82.3 %</w:t>
            </w:r>
          </w:p>
        </w:tc>
      </w:tr>
      <w:tr>
        <w:trPr>
          <w:trHeight w:val="23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555,345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332,106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67.2 %</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1" w:lineRule="exact"/>
        <w:rPr>
          <w:sz w:val="20"/>
          <w:szCs w:val="20"/>
          <w:color w:val="auto"/>
        </w:rPr>
      </w:pPr>
    </w:p>
    <w:p>
      <w:pPr>
        <w:ind w:right="20" w:firstLine="389"/>
        <w:spacing w:after="0" w:line="238" w:lineRule="auto"/>
        <w:rPr>
          <w:sz w:val="20"/>
          <w:szCs w:val="20"/>
          <w:color w:val="auto"/>
        </w:rPr>
      </w:pPr>
      <w:r>
        <w:rPr>
          <w:rFonts w:ascii="Times New Roman" w:cs="Times New Roman" w:eastAsia="Times New Roman" w:hAnsi="Times New Roman"/>
          <w:sz w:val="17"/>
          <w:szCs w:val="17"/>
          <w:color w:val="auto"/>
        </w:rPr>
        <w:t>Revenue increased 18.0% to $3.1 billion, and 14.4% to $6.1 billion, respectively for the three and six months ended September 30, 2024 as compared to the prior year period. The increase was primarily driven by strong demand for our services and solutions as well as continued headcount growth and higher billable expenses. In addition, revenue was positively impacted by $121.7 million representing the reduction to our provision for claimed costs recorded during the second quarter of fiscal 2025. See Note 15, “Commitments and Contingencies,” to the condensed consolidated financial statements for further information. Total headcount as of September 30, 2024 increased by approximately 2,700 as compared to September 30,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18"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Cost of revenue as a percentage of revenue was 43.3% and 46.2% for the three months ended September 30, 2024 and 2023, respectively, and 44.9% and 46.7% for the six months ended September 30, 2024 and 2023, respectively. Cost of revenue increased 10.5% and 10.0% for the three and six months ended September 30, 2024, respectively, as compared to the three and six months ended September 30, 2023. The increases were primarily due to increases in salaries and salary-related benefits of $149.2 million and $284.5 million, respectively, driven by increased headcount and salary increases, partially offset by decreases in other business expenses and professional fees of $10.6 million and $29.9 million, respectively, as compared to the prior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Billable Expenses</w:t>
      </w:r>
    </w:p>
    <w:p>
      <w:pPr>
        <w:spacing w:after="0" w:line="118" w:lineRule="exact"/>
        <w:rPr>
          <w:sz w:val="20"/>
          <w:szCs w:val="20"/>
          <w:color w:val="auto"/>
        </w:rPr>
      </w:pPr>
    </w:p>
    <w:p>
      <w:pPr>
        <w:ind w:right="20" w:firstLine="389"/>
        <w:spacing w:after="0" w:line="264" w:lineRule="auto"/>
        <w:rPr>
          <w:sz w:val="20"/>
          <w:szCs w:val="20"/>
          <w:color w:val="auto"/>
        </w:rPr>
      </w:pPr>
      <w:r>
        <w:rPr>
          <w:rFonts w:ascii="Times New Roman" w:cs="Times New Roman" w:eastAsia="Times New Roman" w:hAnsi="Times New Roman"/>
          <w:sz w:val="17"/>
          <w:szCs w:val="17"/>
          <w:color w:val="auto"/>
        </w:rPr>
        <w:t>Billable expenses as a percentage of revenue were 30.8% and 30.9% for the three months ended September 30, 2024 and 2023, respectively, and 31.4% and 30.8% for the six months ended September 30, 2024 and 2023, respectively. Billable expenses increased 17.4% and 16.9% for the three and six months ended September 30, 2024, respectively, as compared to the three and six months ended September 30, 2023. The increases were primarily attributable to increases in the use of subcontractors driven by client demand and timing of client needs, as well as increases in expenses from contracts requiring the Company to incur other direct expenses and travel on behalf of clients as compared to the prior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8" w:lineRule="exact"/>
        <w:rPr>
          <w:sz w:val="20"/>
          <w:szCs w:val="20"/>
          <w:color w:val="auto"/>
        </w:rPr>
      </w:pPr>
    </w:p>
    <w:p>
      <w:pPr>
        <w:ind w:right="280" w:firstLine="389"/>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as a percentage of revenue were 7.2% and 11.3% for the three months ended September 30, 2024 and 2023, respectively, and 9.1% and 11.6% for the six months ended September 30, 2024 and 2023, respectively. General and administrative expenses decreased 25.1% and 9.8% for the three and six months ended September 30, 2024, respectively, as compared to the three and six months ended September 30, 2023.</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0" w:firstLine="389"/>
        <w:spacing w:after="0" w:line="267" w:lineRule="auto"/>
        <w:rPr>
          <w:sz w:val="20"/>
          <w:szCs w:val="20"/>
          <w:color w:val="auto"/>
        </w:rPr>
      </w:pPr>
      <w:r>
        <w:rPr>
          <w:rFonts w:ascii="Times New Roman" w:cs="Times New Roman" w:eastAsia="Times New Roman" w:hAnsi="Times New Roman"/>
          <w:sz w:val="17"/>
          <w:szCs w:val="17"/>
          <w:color w:val="auto"/>
        </w:rPr>
        <w:t>Fiscal 2025 reflects $115.3 million in insurance recoveries from claims related to the Company’s fiscal 2024 settlement as described in Note 20, “Commitments and Contingencies,” to the consolidated financial statements contained within the Annual Report on Form 10-K for the fiscal year ended March 31, 2024. Partially offsetting the above were increases in salary and salary related benefits of $22.0 million and other business expenses of $8.8 million for the three months ended September 30, 2024 as compared to the prior year.</w:t>
      </w:r>
    </w:p>
    <w:p>
      <w:pPr>
        <w:spacing w:after="0" w:line="64" w:lineRule="exact"/>
        <w:rPr>
          <w:sz w:val="20"/>
          <w:szCs w:val="20"/>
          <w:color w:val="auto"/>
        </w:rPr>
      </w:pPr>
    </w:p>
    <w:p>
      <w:pPr>
        <w:ind w:right="120" w:firstLine="389"/>
        <w:spacing w:after="0" w:line="273" w:lineRule="auto"/>
        <w:rPr>
          <w:sz w:val="20"/>
          <w:szCs w:val="20"/>
          <w:color w:val="auto"/>
        </w:rPr>
      </w:pPr>
      <w:r>
        <w:rPr>
          <w:rFonts w:ascii="Times New Roman" w:cs="Times New Roman" w:eastAsia="Times New Roman" w:hAnsi="Times New Roman"/>
          <w:sz w:val="17"/>
          <w:szCs w:val="17"/>
          <w:color w:val="auto"/>
        </w:rPr>
        <w:t>In addition to the insurance recoveries noted above, the year-to date period was also impacted by a $27.5 million reserve from fiscal 2024 associated with the U.S. Department of Justice's investigation of the Company, not present in the current year, partially offset by increases in salary and salary related benefits of $41.1 million and increases in other business expenses and professional fees of $27.7 million as compared to the prior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18" w:lineRule="exact"/>
        <w:rPr>
          <w:sz w:val="20"/>
          <w:szCs w:val="20"/>
          <w:color w:val="auto"/>
        </w:rPr>
      </w:pPr>
    </w:p>
    <w:p>
      <w:pPr>
        <w:jc w:val="both"/>
        <w:ind w:right="200" w:firstLine="389"/>
        <w:spacing w:after="0" w:line="292" w:lineRule="auto"/>
        <w:rPr>
          <w:sz w:val="20"/>
          <w:szCs w:val="20"/>
          <w:color w:val="auto"/>
        </w:rPr>
      </w:pPr>
      <w:r>
        <w:rPr>
          <w:rFonts w:ascii="Times New Roman" w:cs="Times New Roman" w:eastAsia="Times New Roman" w:hAnsi="Times New Roman"/>
          <w:sz w:val="17"/>
          <w:szCs w:val="17"/>
          <w:color w:val="auto"/>
        </w:rPr>
        <w:t>Depreciation and amortization expense increased 2.8% and 0.5% for the three and six months ended September 30, 2024, respectively, as compared to the three and six months ended September 30, 2023, primarily driven by intangible amortization related to acquisitions and asset purchases to support the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18" w:lineRule="exact"/>
        <w:rPr>
          <w:sz w:val="20"/>
          <w:szCs w:val="20"/>
          <w:color w:val="auto"/>
        </w:rPr>
      </w:pPr>
    </w:p>
    <w:p>
      <w:pPr>
        <w:ind w:firstLine="389"/>
        <w:spacing w:after="0" w:line="273" w:lineRule="auto"/>
        <w:rPr>
          <w:sz w:val="20"/>
          <w:szCs w:val="20"/>
          <w:color w:val="auto"/>
        </w:rPr>
      </w:pPr>
      <w:r>
        <w:rPr>
          <w:rFonts w:ascii="Times New Roman" w:cs="Times New Roman" w:eastAsia="Times New Roman" w:hAnsi="Times New Roman"/>
          <w:sz w:val="17"/>
          <w:szCs w:val="17"/>
          <w:color w:val="auto"/>
        </w:rPr>
        <w:t>Interest expense increased 5.1% and 15.9% for the three and six months ended September 30, 2024, respectively, as compared to the three and six months ended September 30, 2023, primarily due to increases of approximately $3.4 million and $13.1 million, respectively, in bond interest expense related to the $650.0 million Senior Notes due 2033, issued by the Company in August of fiscal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118" w:lineRule="exact"/>
        <w:rPr>
          <w:sz w:val="20"/>
          <w:szCs w:val="20"/>
          <w:color w:val="auto"/>
        </w:rPr>
      </w:pPr>
    </w:p>
    <w:p>
      <w:pPr>
        <w:ind w:right="340" w:firstLine="389"/>
        <w:spacing w:after="0" w:line="267" w:lineRule="auto"/>
        <w:rPr>
          <w:sz w:val="20"/>
          <w:szCs w:val="20"/>
          <w:color w:val="auto"/>
        </w:rPr>
      </w:pPr>
      <w:r>
        <w:rPr>
          <w:rFonts w:ascii="Times New Roman" w:cs="Times New Roman" w:eastAsia="Times New Roman" w:hAnsi="Times New Roman"/>
          <w:sz w:val="17"/>
          <w:szCs w:val="17"/>
          <w:color w:val="auto"/>
        </w:rPr>
        <w:t>Other income (expense), net increased to $11.8 million for the three months ended September 30, 2024 from $3.6 million for the three months ended September 30, 2023, and increased to $16.9 million for the six months ended September 30, 2024 from $5.5 million for the six months ended September 30, 2023. The increases in other income, net were primarily driven by an increase of $11.2 million in the fair value of the Company’s investments reflected in the second quarter of fiscal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Income tax expense increased to $123.2 million for the three months ended September 30, 2024 from $55.1 million for the three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2023, an increase of 123.8%, and increased to $172.4 million for the six months ended September 30, 2024 from $94.6 million for the six months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September 30, 2023, an increase of 82.3%. The effective tax rate decreased to 24.0% from 24.4%, primarily due to excess tax benefits from stock based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and a reduction in non-deductible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80" w:firstLine="389"/>
        <w:spacing w:after="0" w:line="267" w:lineRule="auto"/>
        <w:rPr>
          <w:sz w:val="20"/>
          <w:szCs w:val="20"/>
          <w:color w:val="auto"/>
        </w:rPr>
      </w:pPr>
      <w:r>
        <w:rPr>
          <w:rFonts w:ascii="Times New Roman" w:cs="Times New Roman" w:eastAsia="Times New Roman" w:hAnsi="Times New Roman"/>
          <w:sz w:val="17"/>
          <w:szCs w:val="17"/>
          <w:color w:val="auto"/>
        </w:rPr>
        <w:t>As of September 30, 2024, our total liquidity was $1.6 billion, consisting of $558.7 million of cash and cash equivalents and $998.6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64" w:lineRule="exact"/>
        <w:rPr>
          <w:sz w:val="20"/>
          <w:szCs w:val="20"/>
          <w:color w:val="auto"/>
        </w:rPr>
      </w:pPr>
    </w:p>
    <w:p>
      <w:pPr>
        <w:ind w:right="340" w:firstLine="389"/>
        <w:spacing w:after="0" w:line="277" w:lineRule="auto"/>
        <w:rPr>
          <w:sz w:val="20"/>
          <w:szCs w:val="20"/>
          <w:color w:val="auto"/>
        </w:rPr>
      </w:pPr>
      <w:r>
        <w:rPr>
          <w:rFonts w:ascii="Times New Roman" w:cs="Times New Roman" w:eastAsia="Times New Roman" w:hAnsi="Times New Roman"/>
          <w:sz w:val="17"/>
          <w:szCs w:val="17"/>
          <w:color w:val="auto"/>
        </w:rPr>
        <w:t>The following table presents selected financial information as of September 30, 2024 and March 31, 2024 and for the first six months of fiscal 2025 and 2024:</w:t>
      </w:r>
    </w:p>
    <w:tbl>
      <w:tblPr>
        <w:tblLayout w:type="fixed"/>
        <w:tblInd w:w="0" w:type="dxa"/>
        <w:tblCellMar>
          <w:top w:w="0" w:type="dxa"/>
          <w:left w:w="0" w:type="dxa"/>
          <w:bottom w:w="0" w:type="dxa"/>
          <w:right w:w="0" w:type="dxa"/>
        </w:tblCellMar>
      </w:tblPr>
      <w:tr>
        <w:trPr>
          <w:trHeight w:val="177"/>
        </w:trPr>
        <w:tc>
          <w:tcPr>
            <w:tcW w:w="36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460" w:type="dxa"/>
            <w:vAlign w:val="bottom"/>
          </w:tcPr>
          <w:p>
            <w:pPr>
              <w:spacing w:after="0"/>
              <w:rPr>
                <w:sz w:val="15"/>
                <w:szCs w:val="15"/>
                <w:color w:val="auto"/>
              </w:rPr>
            </w:pPr>
          </w:p>
        </w:tc>
        <w:tc>
          <w:tcPr>
            <w:tcW w:w="16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36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20"/>
                <w:szCs w:val="20"/>
                <w:color w:val="auto"/>
              </w:rPr>
            </w:pPr>
          </w:p>
        </w:tc>
      </w:tr>
      <w:tr>
        <w:trPr>
          <w:trHeight w:val="179"/>
        </w:trPr>
        <w:tc>
          <w:tcPr>
            <w:tcW w:w="36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36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3"/>
        </w:trPr>
        <w:tc>
          <w:tcPr>
            <w:tcW w:w="3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554,257</w:t>
            </w:r>
          </w:p>
        </w:tc>
        <w:tc>
          <w:tcPr>
            <w:tcW w:w="260" w:type="dxa"/>
            <w:vAlign w:val="bottom"/>
          </w:tcPr>
          <w:p>
            <w:pPr>
              <w:spacing w:after="0"/>
              <w:rPr>
                <w:sz w:val="19"/>
                <w:szCs w:val="19"/>
                <w:color w:val="auto"/>
              </w:rPr>
            </w:pPr>
          </w:p>
        </w:tc>
      </w:tr>
      <w:tr>
        <w:trPr>
          <w:trHeight w:val="226"/>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3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3,393,275</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3,411,816</w:t>
            </w:r>
          </w:p>
        </w:tc>
        <w:tc>
          <w:tcPr>
            <w:tcW w:w="260" w:type="dxa"/>
            <w:vAlign w:val="bottom"/>
          </w:tcPr>
          <w:p>
            <w:pPr>
              <w:spacing w:after="0"/>
              <w:rPr>
                <w:sz w:val="19"/>
                <w:szCs w:val="19"/>
                <w:color w:val="auto"/>
              </w:rPr>
            </w:pPr>
          </w:p>
        </w:tc>
      </w:tr>
      <w:tr>
        <w:trPr>
          <w:trHeight w:val="824"/>
        </w:trPr>
        <w:tc>
          <w:tcPr>
            <w:tcW w:w="3680" w:type="dxa"/>
            <w:vAlign w:val="bottom"/>
          </w:tcPr>
          <w:p>
            <w:pPr>
              <w:spacing w:after="0"/>
              <w:rPr>
                <w:sz w:val="24"/>
                <w:szCs w:val="24"/>
                <w:color w:val="auto"/>
              </w:rPr>
            </w:pPr>
          </w:p>
        </w:tc>
        <w:tc>
          <w:tcPr>
            <w:tcW w:w="3520" w:type="dxa"/>
            <w:vAlign w:val="bottom"/>
          </w:tcPr>
          <w:p>
            <w:pPr>
              <w:jc w:val="right"/>
              <w:ind w:right="1394"/>
              <w:spacing w:after="0"/>
              <w:rPr>
                <w:sz w:val="20"/>
                <w:szCs w:val="20"/>
                <w:color w:val="auto"/>
              </w:rPr>
            </w:pPr>
            <w:r>
              <w:rPr>
                <w:rFonts w:ascii="Times New Roman" w:cs="Times New Roman" w:eastAsia="Times New Roman" w:hAnsi="Times New Roman"/>
                <w:sz w:val="17"/>
                <w:szCs w:val="17"/>
                <w:color w:val="auto"/>
              </w:rPr>
              <w:t>34</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0"/>
        </w:trPr>
        <w:tc>
          <w:tcPr>
            <w:tcW w:w="368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7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797"/>
        </w:trPr>
        <w:tc>
          <w:tcPr>
            <w:tcW w:w="2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gridSpan w:val="4"/>
          </w:tcPr>
          <w:p>
            <w:pPr>
              <w:jc w:val="center"/>
              <w:ind w:right="256"/>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1"/>
        </w:trPr>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917"/>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320" w:type="dxa"/>
            <w:vAlign w:val="bottom"/>
            <w:tcBorders>
              <w:bottom w:val="single" w:sz="8" w:color="auto"/>
            </w:tcBorders>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76"/>
        </w:trPr>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83"/>
        </w:trPr>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320" w:type="dxa"/>
            <w:vAlign w:val="bottom"/>
          </w:tcPr>
          <w:p>
            <w:pPr>
              <w:spacing w:after="0"/>
              <w:rPr>
                <w:sz w:val="15"/>
                <w:szCs w:val="15"/>
                <w:color w:val="auto"/>
              </w:rPr>
            </w:pPr>
          </w:p>
        </w:tc>
      </w:tr>
      <w:tr>
        <w:trPr>
          <w:trHeight w:val="23"/>
        </w:trPr>
        <w:tc>
          <w:tcPr>
            <w:tcW w:w="22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639,219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(118,917)</w:t>
            </w:r>
          </w:p>
        </w:tc>
      </w:tr>
      <w:tr>
        <w:trPr>
          <w:trHeight w:val="220"/>
        </w:trPr>
        <w:tc>
          <w:tcPr>
            <w:tcW w:w="2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(37,002)</w:t>
            </w:r>
          </w:p>
        </w:tc>
      </w:tr>
      <w:tr>
        <w:trPr>
          <w:trHeight w:val="220"/>
        </w:trPr>
        <w:tc>
          <w:tcPr>
            <w:tcW w:w="2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(481,480)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308,353</w:t>
            </w:r>
          </w:p>
        </w:tc>
      </w:tr>
      <w:tr>
        <w:trPr>
          <w:trHeight w:val="213"/>
        </w:trPr>
        <w:tc>
          <w:tcPr>
            <w:tcW w:w="2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152,434</w:t>
            </w:r>
          </w:p>
        </w:tc>
      </w:tr>
      <w:tr>
        <w:trPr>
          <w:trHeight w:val="20"/>
        </w:trPr>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right="240" w:firstLine="389"/>
        <w:spacing w:after="0" w:line="273" w:lineRule="auto"/>
        <w:rPr>
          <w:sz w:val="20"/>
          <w:szCs w:val="20"/>
          <w:color w:val="auto"/>
        </w:rPr>
      </w:pPr>
      <w:r>
        <w:rPr>
          <w:rFonts w:ascii="Times New Roman" w:cs="Times New Roman" w:eastAsia="Times New Roman" w:hAnsi="Times New Roman"/>
          <w:sz w:val="17"/>
          <w:szCs w:val="17"/>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w:t>
      </w:r>
    </w:p>
    <w:p>
      <w:pPr>
        <w:spacing w:after="0" w:line="59" w:lineRule="exact"/>
        <w:rPr>
          <w:sz w:val="20"/>
          <w:szCs w:val="20"/>
          <w:color w:val="auto"/>
        </w:rPr>
      </w:pPr>
    </w:p>
    <w:p>
      <w:pPr>
        <w:ind w:right="140" w:firstLine="389"/>
        <w:spacing w:after="0" w:line="260" w:lineRule="auto"/>
        <w:rPr>
          <w:sz w:val="20"/>
          <w:szCs w:val="20"/>
          <w:color w:val="auto"/>
        </w:rPr>
      </w:pPr>
      <w:r>
        <w:rPr>
          <w:rFonts w:ascii="Times New Roman" w:cs="Times New Roman" w:eastAsia="Times New Roman" w:hAnsi="Times New Roman"/>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Credit Agreement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7" w:lineRule="exact"/>
        <w:rPr>
          <w:sz w:val="20"/>
          <w:szCs w:val="20"/>
          <w:color w:val="auto"/>
        </w:rPr>
      </w:pPr>
    </w:p>
    <w:p>
      <w:pPr>
        <w:ind w:left="620" w:hanging="305"/>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expenses, including salaries;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requirements to fund both organic and inorganic growth of our business;</w:t>
      </w:r>
    </w:p>
    <w:p>
      <w:pPr>
        <w:spacing w:after="0" w:line="63" w:lineRule="exact"/>
        <w:rPr>
          <w:rFonts w:ascii="Times New Roman" w:cs="Times New Roman" w:eastAsia="Times New Roman" w:hAnsi="Times New Roman"/>
          <w:sz w:val="17"/>
          <w:szCs w:val="17"/>
          <w:color w:val="auto"/>
        </w:rPr>
      </w:pPr>
    </w:p>
    <w:p>
      <w:pPr>
        <w:ind w:left="620" w:right="560" w:hanging="305"/>
        <w:spacing w:after="0" w:line="286"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primarily relate to the purchase of computers, business systems, furniture and leasehold improvements to support our operations;</w:t>
      </w:r>
    </w:p>
    <w:p>
      <w:pPr>
        <w:ind w:left="620" w:hanging="305"/>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maintenance around all financial management systems;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commitments and other discretionary investments;</w:t>
      </w:r>
    </w:p>
    <w:p>
      <w:pPr>
        <w:spacing w:after="0" w:line="63" w:lineRule="exact"/>
        <w:rPr>
          <w:rFonts w:ascii="Times New Roman" w:cs="Times New Roman" w:eastAsia="Times New Roman" w:hAnsi="Times New Roman"/>
          <w:sz w:val="17"/>
          <w:szCs w:val="17"/>
          <w:color w:val="auto"/>
        </w:rPr>
      </w:pPr>
    </w:p>
    <w:p>
      <w:pPr>
        <w:ind w:left="620" w:right="80" w:hanging="305"/>
        <w:spacing w:after="0" w:line="286"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requirements for borrowings under our Credit Agreement and interest payments for the Senior Notes due 2028, Senior Notes due 2029 and Senior Notes due 2033; and</w:t>
      </w:r>
    </w:p>
    <w:p>
      <w:pPr>
        <w:ind w:left="620" w:hanging="305"/>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taxes to be paid.</w:t>
      </w:r>
    </w:p>
    <w:p>
      <w:pPr>
        <w:spacing w:after="0" w:line="116" w:lineRule="exact"/>
        <w:rPr>
          <w:sz w:val="20"/>
          <w:szCs w:val="20"/>
          <w:color w:val="auto"/>
        </w:rPr>
      </w:pPr>
    </w:p>
    <w:p>
      <w:pPr>
        <w:ind w:firstLine="389"/>
        <w:spacing w:after="0" w:line="273" w:lineRule="auto"/>
        <w:rPr>
          <w:sz w:val="20"/>
          <w:szCs w:val="20"/>
          <w:color w:val="auto"/>
        </w:rPr>
      </w:pPr>
      <w:r>
        <w:rPr>
          <w:rFonts w:ascii="Times New Roman" w:cs="Times New Roman" w:eastAsia="Times New Roman" w:hAnsi="Times New Roman"/>
          <w:sz w:val="17"/>
          <w:szCs w:val="17"/>
          <w:color w:val="auto"/>
        </w:rPr>
        <w:t>Our ability to fund our operating needs depends, in part, on our ability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59" w:lineRule="exact"/>
        <w:rPr>
          <w:sz w:val="20"/>
          <w:szCs w:val="20"/>
          <w:color w:val="auto"/>
        </w:rPr>
      </w:pPr>
    </w:p>
    <w:p>
      <w:pPr>
        <w:ind w:right="60" w:firstLine="389"/>
        <w:spacing w:after="0" w:line="273" w:lineRule="auto"/>
        <w:rPr>
          <w:sz w:val="20"/>
          <w:szCs w:val="20"/>
          <w:color w:val="auto"/>
        </w:rPr>
      </w:pPr>
      <w:r>
        <w:rPr>
          <w:rFonts w:ascii="Times New Roman" w:cs="Times New Roman" w:eastAsia="Times New Roman" w:hAnsi="Times New Roman"/>
          <w:sz w:val="17"/>
          <w:szCs w:val="17"/>
          <w:color w:val="auto"/>
        </w:rPr>
        <w:t>On June 7, 2024, the Company completed the acquisition of PAR Government Systems Corporation (“PGSC”), a wholly owned subsidiary of PAR Technology Corporation, for approximately $98.7 million, net of post-closing adjustments and incurred transaction costs as part of the acquisition. See Note 5, “Acquisition, Goodwill and Intangible Assets,” to our condensed consolidated financial statements for additional information related to the acquisition of PGSC.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0" w:lineRule="exact"/>
        <w:rPr>
          <w:sz w:val="20"/>
          <w:szCs w:val="20"/>
          <w:color w:val="auto"/>
        </w:rPr>
      </w:pPr>
    </w:p>
    <w:p>
      <w:pPr>
        <w:ind w:right="40" w:firstLine="389"/>
        <w:spacing w:after="0" w:line="262" w:lineRule="auto"/>
        <w:rPr>
          <w:sz w:val="20"/>
          <w:szCs w:val="20"/>
          <w:color w:val="auto"/>
        </w:rPr>
      </w:pPr>
      <w:r>
        <w:rPr>
          <w:rFonts w:ascii="Times New Roman" w:cs="Times New Roman" w:eastAsia="Times New Roman" w:hAnsi="Times New Roman"/>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20" w:firstLine="389"/>
        <w:spacing w:after="0" w:line="260" w:lineRule="auto"/>
        <w:rPr>
          <w:sz w:val="20"/>
          <w:szCs w:val="20"/>
          <w:color w:val="auto"/>
        </w:rPr>
      </w:pPr>
      <w:r>
        <w:rPr>
          <w:rFonts w:ascii="Times New Roman" w:cs="Times New Roman" w:eastAsia="Times New Roman" w:hAnsi="Times New Roman"/>
          <w:sz w:val="17"/>
          <w:szCs w:val="17"/>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Cash Flow</w:t>
      </w:r>
    </w:p>
    <w:p>
      <w:pPr>
        <w:spacing w:after="0" w:line="118" w:lineRule="exact"/>
        <w:rPr>
          <w:sz w:val="20"/>
          <w:szCs w:val="20"/>
          <w:color w:val="auto"/>
        </w:rPr>
      </w:pPr>
    </w:p>
    <w:p>
      <w:pPr>
        <w:ind w:right="60" w:firstLine="389"/>
        <w:spacing w:after="0" w:line="259" w:lineRule="auto"/>
        <w:rPr>
          <w:sz w:val="20"/>
          <w:szCs w:val="20"/>
          <w:color w:val="auto"/>
        </w:rPr>
      </w:pPr>
      <w:r>
        <w:rPr>
          <w:rFonts w:ascii="Times New Roman" w:cs="Times New Roman" w:eastAsia="Times New Roman" w:hAnsi="Times New Roman"/>
          <w:sz w:val="17"/>
          <w:szCs w:val="17"/>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including any potential impact of the U.S. government’s failure to raise the debt ceiling, may also affect our business as customers and suppliers may decide to downsize, defer, or cancel contracts, which could negatively affect our operating cash flows. Net cash provided by operations was $639.2 million for the six months ended September 30, 2024 compared to $118.9 million of net cash used in operations in the prior year period. Operating cash was primarily driven by strong collections and overall revenue growth. In addition, fiscal 2025 reflects $115.3 million in insurance recoveries from claims related to the Company’s fiscal 2024 settlement as described in Note 20, “Commitments and Contingencies,” to the consolidated financial statements contained within the Annual Report on Form 10-K for the fiscal year ended March 31, 2024. The Company also changed its payroll cadence during the second quarter of fiscal 2025, resulting in a positive operating cash flow impact at period end.</w:t>
      </w:r>
    </w:p>
    <w:p>
      <w:pPr>
        <w:spacing w:after="0" w:line="72" w:lineRule="exact"/>
        <w:rPr>
          <w:sz w:val="20"/>
          <w:szCs w:val="20"/>
          <w:color w:val="auto"/>
        </w:rPr>
      </w:pPr>
    </w:p>
    <w:p>
      <w:pPr>
        <w:ind w:right="80" w:firstLine="428"/>
        <w:spacing w:after="0" w:line="260" w:lineRule="auto"/>
        <w:rPr>
          <w:sz w:val="20"/>
          <w:szCs w:val="20"/>
          <w:color w:val="auto"/>
        </w:rPr>
      </w:pPr>
      <w:r>
        <w:rPr>
          <w:rFonts w:ascii="Times New Roman" w:cs="Times New Roman" w:eastAsia="Times New Roman" w:hAnsi="Times New Roman"/>
          <w:sz w:val="17"/>
          <w:szCs w:val="17"/>
          <w:color w:val="auto"/>
        </w:rPr>
        <w:t>Beginning in fiscal 2023, the Tax Cuts and Jobs Act of 2017 eliminated the option to deduct research and development expenditures immediately in the year incurred and requires taxpayers to amortize such expenditures over five years for U.S. based research and development. This provision negatively impacted our fiscal 2024 cash from operations, but had an offsetting impact on the deferred tax asset. The Company expects a similar impact in fiscal 2025, although the impact to cash and deferred taxes is expected to be smaller than in fiscal 2024. Prospectively, the future impact of this provision will depend on if and when this provision is deferred, modified, or repealed by Congress, including if retroactively, any guidance issued by the Treasury Department regarding the identification of appropriate costs for capitalization, and the amount of future research and development expenses paid or incurred (among other factors). While the largest impact was to fiscal 2023 cash from operations, the impact will continue over the five year amortization period, but will decrease over the period and is expected to be less significant in year six.</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Cash Flow</w:t>
      </w:r>
    </w:p>
    <w:p>
      <w:pPr>
        <w:spacing w:after="0" w:line="11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Net cash used in investing activities was $153.3 million in the six months ended September 30, 2024 compared to $37.0 million in the prior year period. The increase in investing cash used over the prior year was primarily due to the Company's acquisition of PGSC.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Cash Flow</w:t>
      </w:r>
    </w:p>
    <w:p>
      <w:pPr>
        <w:spacing w:after="0" w:line="118" w:lineRule="exact"/>
        <w:rPr>
          <w:sz w:val="20"/>
          <w:szCs w:val="20"/>
          <w:color w:val="auto"/>
        </w:rPr>
      </w:pPr>
    </w:p>
    <w:p>
      <w:pPr>
        <w:ind w:right="100" w:firstLine="389"/>
        <w:spacing w:after="0" w:line="273" w:lineRule="auto"/>
        <w:rPr>
          <w:sz w:val="20"/>
          <w:szCs w:val="20"/>
          <w:color w:val="auto"/>
        </w:rPr>
      </w:pPr>
      <w:r>
        <w:rPr>
          <w:rFonts w:ascii="Times New Roman" w:cs="Times New Roman" w:eastAsia="Times New Roman" w:hAnsi="Times New Roman"/>
          <w:sz w:val="17"/>
          <w:szCs w:val="17"/>
          <w:color w:val="auto"/>
        </w:rPr>
        <w:t>Net cash used in financing activities was $481.5 million in the six months ended September 30, 2024 compared to net cash provided by financing activities of $308.4 million in the prior year period. The increase in financing cash used year over year was primarily due to a $500.0 million draw on the Company’s revolving credit facility in the prior year, not present this year, partially offset by an increase of $139.4 million in share repurchases year over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 and Share Repurchases</w:t>
      </w:r>
    </w:p>
    <w:p>
      <w:pPr>
        <w:spacing w:after="0" w:line="120" w:lineRule="exact"/>
        <w:rPr>
          <w:sz w:val="20"/>
          <w:szCs w:val="20"/>
          <w:color w:val="auto"/>
        </w:rPr>
      </w:pPr>
    </w:p>
    <w:p>
      <w:pPr>
        <w:ind w:right="340" w:firstLine="389"/>
        <w:spacing w:after="0" w:line="292" w:lineRule="auto"/>
        <w:rPr>
          <w:sz w:val="20"/>
          <w:szCs w:val="20"/>
          <w:color w:val="auto"/>
        </w:rPr>
      </w:pPr>
      <w:r>
        <w:rPr>
          <w:rFonts w:ascii="Times New Roman" w:cs="Times New Roman" w:eastAsia="Times New Roman" w:hAnsi="Times New Roman"/>
          <w:sz w:val="17"/>
          <w:szCs w:val="17"/>
          <w:color w:val="auto"/>
        </w:rPr>
        <w:t>On October 25, 2024, the Company announced a regular quarterly cash dividend in the amount of $0.51 per share. The quarterly dividend is payable on December 4, 2024 to stockholders of record on November 15, 2024.</w:t>
      </w:r>
    </w:p>
    <w:p>
      <w:pPr>
        <w:spacing w:after="0" w:line="43" w:lineRule="exact"/>
        <w:rPr>
          <w:sz w:val="20"/>
          <w:szCs w:val="20"/>
          <w:color w:val="auto"/>
        </w:rPr>
      </w:pPr>
    </w:p>
    <w:p>
      <w:pPr>
        <w:ind w:right="140" w:firstLine="389"/>
        <w:spacing w:after="0" w:line="273" w:lineRule="auto"/>
        <w:rPr>
          <w:sz w:val="20"/>
          <w:szCs w:val="20"/>
          <w:color w:val="auto"/>
        </w:rPr>
      </w:pPr>
      <w:r>
        <w:rPr>
          <w:rFonts w:ascii="Times New Roman" w:cs="Times New Roman" w:eastAsia="Times New Roman" w:hAnsi="Times New Roman"/>
          <w:sz w:val="17"/>
          <w:szCs w:val="17"/>
          <w:color w:val="auto"/>
        </w:rPr>
        <w:t>During the three and six months ended September 30, 2024, quarterly cash dividends of $0.51 and $1.02 per share, respectively, were declared and paid totaling $65.8 million and $133.0 million, respectively. During the three and six months ended September 30, 2023, quarterly cash dividends of $0.47 and $0.94 per share, respectively, were declared and paid totaling $62.1 million and $125.1 million, respectively.</w:t>
      </w:r>
    </w:p>
    <w:p>
      <w:pPr>
        <w:spacing w:after="0" w:line="59" w:lineRule="exact"/>
        <w:rPr>
          <w:sz w:val="20"/>
          <w:szCs w:val="20"/>
          <w:color w:val="auto"/>
        </w:rPr>
      </w:pPr>
    </w:p>
    <w:p>
      <w:pPr>
        <w:ind w:right="40" w:firstLine="389"/>
        <w:spacing w:after="0" w:line="252" w:lineRule="auto"/>
        <w:rPr>
          <w:sz w:val="20"/>
          <w:szCs w:val="20"/>
          <w:color w:val="auto"/>
        </w:rPr>
      </w:pPr>
      <w:r>
        <w:rPr>
          <w:rFonts w:ascii="Times New Roman" w:cs="Times New Roman" w:eastAsia="Times New Roman" w:hAnsi="Times New Roman"/>
          <w:sz w:val="17"/>
          <w:szCs w:val="17"/>
          <w:color w:val="auto"/>
        </w:rPr>
        <w:t>On December 12, 2011, the Board of Directors approved a share repurchase program, which was most recently increased by $525.0 million to $3,085.0 million on May 22, 2024. The Company may repurchase shares pursuant to the program by means of open market repurchases, directly negotiated repurchases or through agents acting pursuant to negotiated repurchase agreements. During the first six months of fiscal 2025, the Company purchased 2.1 million shares of the Company's Class A Common Stock for an aggregate of $308.5 million. As of September 30, 2024, the Company had approximately $699.7 million remaining under the repurchase program.</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firstLine="389"/>
        <w:spacing w:after="0" w:line="273" w:lineRule="auto"/>
        <w:rPr>
          <w:sz w:val="20"/>
          <w:szCs w:val="20"/>
          <w:color w:val="auto"/>
        </w:rPr>
      </w:pPr>
      <w:r>
        <w:rPr>
          <w:rFonts w:ascii="Times New Roman" w:cs="Times New Roman" w:eastAsia="Times New Roman" w:hAnsi="Times New Roman"/>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0" w:lineRule="exact"/>
        <w:rPr>
          <w:sz w:val="20"/>
          <w:szCs w:val="20"/>
          <w:color w:val="auto"/>
        </w:rPr>
      </w:pPr>
    </w:p>
    <w:p>
      <w:pPr>
        <w:ind w:right="20" w:firstLine="389"/>
        <w:spacing w:after="0" w:line="248" w:lineRule="auto"/>
        <w:rPr>
          <w:sz w:val="20"/>
          <w:szCs w:val="20"/>
          <w:color w:val="auto"/>
        </w:rPr>
      </w:pPr>
      <w:r>
        <w:rPr>
          <w:rFonts w:ascii="Times New Roman" w:cs="Times New Roman" w:eastAsia="Times New Roman" w:hAnsi="Times New Roman"/>
          <w:sz w:val="17"/>
          <w:szCs w:val="17"/>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September 30, 2024, the Credit Agreement provided Booz Allen Hamilton with a $1,567.5 million Term Loan A (“Term Loan A”) and a $1.0 billion revolving credit facility (the “Revolving Credit Facility”), with a sub-limit for letters of credit of $200.0 million. As of September 30, 2024, the maturity date of Term Loan A and the Revolving Commitments is September 7, 2027. Voluntary prepayments of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67" w:lineRule="exact"/>
        <w:rPr>
          <w:sz w:val="20"/>
          <w:szCs w:val="20"/>
          <w:color w:val="auto"/>
        </w:rPr>
      </w:pPr>
    </w:p>
    <w:p>
      <w:pPr>
        <w:ind w:right="60" w:firstLine="389"/>
        <w:spacing w:after="0" w:line="248" w:lineRule="auto"/>
        <w:rPr>
          <w:sz w:val="20"/>
          <w:szCs w:val="20"/>
          <w:color w:val="auto"/>
        </w:rPr>
      </w:pPr>
      <w:r>
        <w:rPr>
          <w:rFonts w:ascii="Times New Roman" w:cs="Times New Roman" w:eastAsia="Times New Roman" w:hAnsi="Times New Roman"/>
          <w:sz w:val="17"/>
          <w:szCs w:val="17"/>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282" w:lineRule="exact"/>
        <w:rPr>
          <w:sz w:val="20"/>
          <w:szCs w:val="20"/>
          <w:color w:val="auto"/>
        </w:rPr>
      </w:pPr>
    </w:p>
    <w:p>
      <w:pPr>
        <w:ind w:right="100" w:firstLine="389"/>
        <w:spacing w:after="0" w:line="256" w:lineRule="auto"/>
        <w:rPr>
          <w:sz w:val="20"/>
          <w:szCs w:val="20"/>
          <w:color w:val="auto"/>
        </w:rPr>
      </w:pPr>
      <w:r>
        <w:rPr>
          <w:rFonts w:ascii="Times New Roman" w:cs="Times New Roman" w:eastAsia="Times New Roman" w:hAnsi="Times New Roman"/>
          <w:sz w:val="17"/>
          <w:szCs w:val="17"/>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61" w:lineRule="exact"/>
        <w:rPr>
          <w:sz w:val="20"/>
          <w:szCs w:val="20"/>
          <w:color w:val="auto"/>
        </w:rPr>
      </w:pPr>
    </w:p>
    <w:p>
      <w:pPr>
        <w:ind w:right="20" w:firstLine="389"/>
        <w:spacing w:after="0" w:line="252" w:lineRule="auto"/>
        <w:rPr>
          <w:sz w:val="20"/>
          <w:szCs w:val="20"/>
          <w:color w:val="auto"/>
        </w:rPr>
      </w:pPr>
      <w:r>
        <w:rPr>
          <w:rFonts w:ascii="Times New Roman" w:cs="Times New Roman" w:eastAsia="Times New Roman" w:hAnsi="Times New Roman"/>
          <w:sz w:val="17"/>
          <w:szCs w:val="17"/>
          <w:color w:val="auto"/>
        </w:rPr>
        <w:t>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Term Loan A and (ii) on the last business day of each full fiscal quarter that begins after the two year anniversary of the Ninth Amendment Effective Date but before the five year anniversary of the Ninth Amendment Effective Date, 1.25% of the stated principal amount of Term Loan A. The remaining balance of Term Loan A will be payable upon maturity.</w:t>
      </w:r>
    </w:p>
    <w:p>
      <w:pPr>
        <w:spacing w:after="0" w:line="76"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The rate at which Term Loan A and the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72" w:lineRule="exact"/>
        <w:rPr>
          <w:sz w:val="20"/>
          <w:szCs w:val="20"/>
          <w:color w:val="auto"/>
        </w:rPr>
      </w:pPr>
    </w:p>
    <w:p>
      <w:pPr>
        <w:ind w:right="60" w:firstLine="389"/>
        <w:spacing w:after="0" w:line="292" w:lineRule="auto"/>
        <w:rPr>
          <w:sz w:val="20"/>
          <w:szCs w:val="20"/>
          <w:color w:val="auto"/>
        </w:rPr>
      </w:pPr>
      <w:r>
        <w:rPr>
          <w:rFonts w:ascii="Times New Roman" w:cs="Times New Roman" w:eastAsia="Times New Roman" w:hAnsi="Times New Roman"/>
          <w:sz w:val="17"/>
          <w:szCs w:val="17"/>
          <w:color w:val="auto"/>
        </w:rPr>
        <w:t>The Company occasionally borrows under the Revolving Credit Facility for our working capital needs. There were no borrowings during the second quarter of fiscal 2025 and as of September 30, 2024 and March 31, 2024, respectively, there was no outstanding balance on the Revolving Credit Facility.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389"/>
        <w:spacing w:after="0" w:line="267" w:lineRule="auto"/>
        <w:rPr>
          <w:sz w:val="20"/>
          <w:szCs w:val="20"/>
          <w:color w:val="auto"/>
        </w:rPr>
      </w:pPr>
      <w:r>
        <w:rPr>
          <w:rFonts w:ascii="Times New Roman" w:cs="Times New Roman" w:eastAsia="Times New Roman" w:hAnsi="Times New Roman"/>
          <w:sz w:val="17"/>
          <w:szCs w:val="17"/>
          <w:color w:val="auto"/>
        </w:rPr>
        <w:t>Borrowings under Term Loan A, and if used, the Revolving Credit Facility, incur interest at a variable rate. As of September 30, 2024, Booz Allen Hamilton had interest rate swaps with an aggregate notional amount of $550.0 million. These instruments hedge the variability of cash outflows for interest payments on the Credit Agreement. The Company's objectives in using cash flow hedges are to reduce volatility due to interest rate movements and to add stability to interest expense. See Note 9, “Derivatives,” to our condensed consolidated financial statements for further information.</w:t>
      </w:r>
    </w:p>
    <w:p>
      <w:pPr>
        <w:spacing w:after="0" w:line="64"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In addition, Booz Allen Hamilton is required to meet certain financial covenants at each quarter end, specifically the consolidated net total leverage ratio. As of September 30, 2024 and March 31, 2024, Booz Allen Hamilton was in compliance with all financial covenants associated with its debt and debt-like instruments.</w:t>
      </w:r>
    </w:p>
    <w:p>
      <w:pPr>
        <w:spacing w:after="0" w:line="66"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As of September 30, 2024 and March 31, 2024, the Company was contingently liable under open standby letters of credit and bank guarantees issued by our banks in favor of third parties that totaled $4.5 million and $4.4 million, respectively. These letters of credit and bank guarantees primarily support insurance and bid and performance obligations. At September 30, 2024 and March 31, 2024, respectively, approximately $1.4 million and $1.3 million of these instruments reduced the available borrowings under the Revolving Credit Facility. The remainder is guaranteed under a separate $7.5 million facility of which $4.5 million and $4.4 million was available to the Company at September 30, 2024 and March 31, 2024,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material terms of the Company’s Senior Notes as of September 30, 2024:</w:t>
      </w:r>
    </w:p>
    <w:p>
      <w:pPr>
        <w:spacing w:after="0" w:line="100"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1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4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8"/>
        </w:trPr>
        <w:tc>
          <w:tcPr>
            <w:tcW w:w="1760" w:type="dxa"/>
            <w:vAlign w:val="bottom"/>
          </w:tcPr>
          <w:p>
            <w:pPr>
              <w:spacing w:after="0"/>
              <w:rPr>
                <w:sz w:val="19"/>
                <w:szCs w:val="19"/>
                <w:color w:val="auto"/>
              </w:rPr>
            </w:pPr>
          </w:p>
        </w:tc>
        <w:tc>
          <w:tcPr>
            <w:tcW w:w="18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Indenture Date</w:t>
            </w:r>
          </w:p>
        </w:tc>
        <w:tc>
          <w:tcPr>
            <w:tcW w:w="18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22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Interest Payable</w:t>
            </w:r>
          </w:p>
        </w:tc>
        <w:tc>
          <w:tcPr>
            <w:tcW w:w="160" w:type="dxa"/>
            <w:vAlign w:val="bottom"/>
          </w:tcPr>
          <w:p>
            <w:pPr>
              <w:spacing w:after="0"/>
              <w:rPr>
                <w:sz w:val="19"/>
                <w:szCs w:val="19"/>
                <w:color w:val="auto"/>
              </w:rPr>
            </w:pP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Issuance Costs</w:t>
            </w:r>
          </w:p>
        </w:tc>
      </w:tr>
      <w:tr>
        <w:trPr>
          <w:trHeight w:val="26"/>
        </w:trPr>
        <w:tc>
          <w:tcPr>
            <w:tcW w:w="17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1"/>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2033</w:t>
            </w:r>
          </w:p>
        </w:tc>
        <w:tc>
          <w:tcPr>
            <w:tcW w:w="1820" w:type="dxa"/>
            <w:vAlign w:val="bottom"/>
            <w:tcBorders>
              <w:bottom w:val="single" w:sz="8" w:color="CCEEFF"/>
            </w:tcBorders>
            <w:shd w:val="clear" w:color="auto" w:fill="CCEEFF"/>
          </w:tcPr>
          <w:p>
            <w:pPr>
              <w:jc w:val="center"/>
              <w:ind w:left="454"/>
              <w:spacing w:after="0"/>
              <w:rPr>
                <w:sz w:val="20"/>
                <w:szCs w:val="20"/>
                <w:color w:val="auto"/>
              </w:rPr>
            </w:pPr>
            <w:r>
              <w:rPr>
                <w:rFonts w:ascii="Times New Roman" w:cs="Times New Roman" w:eastAsia="Times New Roman" w:hAnsi="Times New Roman"/>
                <w:sz w:val="17"/>
                <w:szCs w:val="17"/>
                <w:color w:val="auto"/>
                <w:w w:val="99"/>
              </w:rPr>
              <w:t>8/4/2023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5.950%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8/4/2033</w:t>
            </w:r>
          </w:p>
        </w:tc>
        <w:tc>
          <w:tcPr>
            <w:tcW w:w="222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February and August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12,400</w:t>
            </w:r>
          </w:p>
        </w:tc>
      </w:t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Senior Notes due 2029</w:t>
            </w:r>
          </w:p>
        </w:tc>
        <w:tc>
          <w:tcPr>
            <w:tcW w:w="182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6/17/2021</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7/1/2029</w:t>
            </w:r>
          </w:p>
        </w:tc>
        <w:tc>
          <w:tcPr>
            <w:tcW w:w="22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July and January 1</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26"/>
        </w:trPr>
        <w:tc>
          <w:tcPr>
            <w:tcW w:w="1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8"/>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due 2028</w:t>
            </w:r>
          </w:p>
        </w:tc>
        <w:tc>
          <w:tcPr>
            <w:tcW w:w="1820" w:type="dxa"/>
            <w:vAlign w:val="bottom"/>
            <w:tcBorders>
              <w:bottom w:val="single" w:sz="8" w:color="CCEEFF"/>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rPr>
              <w:t>8/24/2020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3.875%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9/1/2028</w:t>
            </w:r>
          </w:p>
        </w:tc>
        <w:tc>
          <w:tcPr>
            <w:tcW w:w="2220" w:type="dxa"/>
            <w:vAlign w:val="bottom"/>
            <w:tcBorders>
              <w:bottom w:val="single" w:sz="8" w:color="CCEEFF"/>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March and September 1</w:t>
            </w: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w:t>
            </w:r>
          </w:p>
        </w:tc>
      </w:tr>
      <w:tr>
        <w:trPr>
          <w:trHeight w:val="219"/>
        </w:trPr>
        <w:tc>
          <w:tcPr>
            <w:tcW w:w="1760" w:type="dxa"/>
            <w:vAlign w:val="bottom"/>
          </w:tcPr>
          <w:p>
            <w:pPr>
              <w:spacing w:after="0"/>
              <w:rPr>
                <w:sz w:val="19"/>
                <w:szCs w:val="19"/>
                <w:color w:val="auto"/>
              </w:rPr>
            </w:pPr>
          </w:p>
        </w:tc>
        <w:tc>
          <w:tcPr>
            <w:tcW w:w="1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1,850,000</w:t>
            </w: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28,100</w:t>
            </w:r>
          </w:p>
        </w:tc>
      </w:tr>
      <w:tr>
        <w:trPr>
          <w:trHeight w:val="20"/>
        </w:trPr>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200" w:firstLine="389"/>
        <w:spacing w:after="0" w:line="267" w:lineRule="auto"/>
        <w:rPr>
          <w:sz w:val="20"/>
          <w:szCs w:val="20"/>
          <w:color w:val="auto"/>
        </w:rPr>
      </w:pPr>
      <w:r>
        <w:rPr>
          <w:rFonts w:ascii="Times New Roman" w:cs="Times New Roman" w:eastAsia="Times New Roman" w:hAnsi="Times New Roman"/>
          <w:sz w:val="17"/>
          <w:szCs w:val="17"/>
          <w:color w:val="auto"/>
        </w:rPr>
        <w:t>Interest is payable semi-annually in cash in arrears, with the principal due at maturity. Issuance Costs were recorded as an offset against the carrying value of respective debt and are being amortized to interest expense over the term of the respective debt. For further information on the Senior Notes, including terms, conditions, restrictions and redemption options, see Note 10, “Debt,” of the Company’s consolidated financial statements included in the fiscal 2024 Annual Report on Form 10-K.</w:t>
      </w:r>
    </w:p>
    <w:p>
      <w:pPr>
        <w:spacing w:after="0" w:line="64" w:lineRule="exact"/>
        <w:rPr>
          <w:sz w:val="20"/>
          <w:szCs w:val="20"/>
          <w:color w:val="auto"/>
        </w:rPr>
      </w:pPr>
    </w:p>
    <w:p>
      <w:pPr>
        <w:ind w:right="40" w:firstLine="389"/>
        <w:spacing w:after="0" w:line="267" w:lineRule="auto"/>
        <w:rPr>
          <w:sz w:val="20"/>
          <w:szCs w:val="20"/>
          <w:color w:val="auto"/>
        </w:rPr>
      </w:pPr>
      <w:r>
        <w:rPr>
          <w:rFonts w:ascii="Times New Roman" w:cs="Times New Roman" w:eastAsia="Times New Roman" w:hAnsi="Times New Roman"/>
          <w:sz w:val="17"/>
          <w:szCs w:val="17"/>
          <w:color w:val="auto"/>
        </w:rPr>
        <w:t>All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 and the related guarantees were released. The Senior Notes due 2033 are fully and unconditionally guaranteed on an unsecured and unsubordinated basis by Booz Allen Hamilton Holding Corporation, pursuant to the relevant indenture.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Summarized Financial Information</w:t>
      </w:r>
    </w:p>
    <w:p>
      <w:pPr>
        <w:spacing w:after="0" w:line="118" w:lineRule="exact"/>
        <w:rPr>
          <w:sz w:val="20"/>
          <w:szCs w:val="20"/>
          <w:color w:val="auto"/>
        </w:rPr>
      </w:pPr>
    </w:p>
    <w:p>
      <w:pPr>
        <w:ind w:right="80" w:firstLine="389"/>
        <w:spacing w:after="0" w:line="273" w:lineRule="auto"/>
        <w:rPr>
          <w:sz w:val="20"/>
          <w:szCs w:val="20"/>
          <w:color w:val="auto"/>
        </w:rPr>
      </w:pPr>
      <w:r>
        <w:rPr>
          <w:rFonts w:ascii="Times New Roman" w:cs="Times New Roman" w:eastAsia="Times New Roman" w:hAnsi="Times New Roman"/>
          <w:sz w:val="17"/>
          <w:szCs w:val="17"/>
          <w:color w:val="auto"/>
        </w:rPr>
        <w:t>The Senior Notes due 2033 were issued by Booz Allen Hamilton pursuant to the Base Indenture, among Booz Allen Hamilton, the Company and U.S. Bank Trust Company, National Association, as trustee, as supplemented by the Supplemental Indenture. The Senior Notes due 2033 are fully and unconditionally guaranteed on an unsecured and unsubordinated basis by the Company pursuant to the Indenture.</w:t>
      </w:r>
    </w:p>
    <w:p>
      <w:pPr>
        <w:spacing w:after="0" w:line="59" w:lineRule="exact"/>
        <w:rPr>
          <w:sz w:val="20"/>
          <w:szCs w:val="20"/>
          <w:color w:val="auto"/>
        </w:rPr>
      </w:pPr>
    </w:p>
    <w:p>
      <w:pPr>
        <w:ind w:right="80" w:firstLine="389"/>
        <w:spacing w:after="0" w:line="264" w:lineRule="auto"/>
        <w:rPr>
          <w:sz w:val="20"/>
          <w:szCs w:val="20"/>
          <w:color w:val="auto"/>
        </w:rPr>
      </w:pPr>
      <w:r>
        <w:rPr>
          <w:rFonts w:ascii="Times New Roman" w:cs="Times New Roman" w:eastAsia="Times New Roman" w:hAnsi="Times New Roman"/>
          <w:sz w:val="17"/>
          <w:szCs w:val="17"/>
          <w:color w:val="auto"/>
        </w:rPr>
        <w:t>The tables below present the summarized financial information as combined for the Company and Booz Allen Hamilton as of March 31, 2024 and as of and for the six months ended September 30, 2024, after the elimination of intercompany transactions and balances between the Company and Booz Allen Hamilton and excluding the subsidiaries of the Company that are not issuers or guarantors of the Senior Notes due 2033,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91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Statements of Financial Condition</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0" w:type="dxa"/>
            <w:vAlign w:val="bottom"/>
          </w:tcPr>
          <w:p>
            <w:pPr>
              <w:spacing w:after="0"/>
              <w:rPr>
                <w:sz w:val="21"/>
                <w:szCs w:val="21"/>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80" w:type="dxa"/>
            <w:vAlign w:val="bottom"/>
          </w:tcPr>
          <w:p>
            <w:pPr>
              <w:spacing w:after="0"/>
              <w:rPr>
                <w:sz w:val="21"/>
                <w:szCs w:val="21"/>
                <w:color w:val="auto"/>
              </w:rPr>
            </w:pP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March 31, 2024</w:t>
            </w:r>
          </w:p>
        </w:tc>
      </w:tr>
      <w:tr>
        <w:trPr>
          <w:trHeight w:val="213"/>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receivables from non-guarantor subsidiaries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46,539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62,012</w:t>
            </w: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current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2,802,619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2,618,239</w:t>
            </w: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intangible assets, net of accumulated amortization</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1,499,616</w:t>
            </w: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non-current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921,752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853,623</w:t>
            </w: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payables to non-guarantor subsidiaries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13,408</w:t>
            </w: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current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1,852,941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1,641,369</w:t>
            </w: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3,349,941</w:t>
            </w:r>
          </w:p>
        </w:tc>
      </w:tr>
      <w:tr>
        <w:trPr>
          <w:trHeight w:val="22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non-current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474,889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457,290</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Operations</w:t>
            </w: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6"/>
                <w:szCs w:val="16"/>
                <w:color w:val="auto"/>
              </w:rPr>
            </w:pPr>
          </w:p>
        </w:tc>
        <w:tc>
          <w:tcPr>
            <w:tcW w:w="2040" w:type="dxa"/>
            <w:vAlign w:val="bottom"/>
          </w:tcPr>
          <w:p>
            <w:pPr>
              <w:jc w:val="right"/>
              <w:ind w:right="414"/>
              <w:spacing w:after="0" w:line="194"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3"/>
        </w:trPr>
        <w:tc>
          <w:tcPr>
            <w:tcW w:w="8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0" w:type="dxa"/>
            <w:vAlign w:val="bottom"/>
          </w:tcPr>
          <w:p>
            <w:pPr>
              <w:spacing w:after="0"/>
              <w:rPr>
                <w:sz w:val="1"/>
                <w:szCs w:val="1"/>
                <w:color w:val="auto"/>
              </w:rPr>
            </w:pPr>
          </w:p>
        </w:tc>
      </w:tr>
      <w:tr>
        <w:trPr>
          <w:trHeight w:val="21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5,682,463</w:t>
            </w:r>
          </w:p>
        </w:tc>
        <w:tc>
          <w:tcPr>
            <w:tcW w:w="0" w:type="dxa"/>
            <w:vAlign w:val="bottom"/>
          </w:tcPr>
          <w:p>
            <w:pPr>
              <w:spacing w:after="0"/>
              <w:rPr>
                <w:sz w:val="1"/>
                <w:szCs w:val="1"/>
                <w:color w:val="auto"/>
              </w:rPr>
            </w:pPr>
          </w:p>
        </w:tc>
      </w:tr>
      <w:tr>
        <w:trPr>
          <w:trHeight w:val="220"/>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from non-guarantor subsidiaries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315,998</w:t>
            </w: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490,556</w:t>
            </w:r>
          </w:p>
        </w:tc>
        <w:tc>
          <w:tcPr>
            <w:tcW w:w="0" w:type="dxa"/>
            <w:vAlign w:val="bottom"/>
          </w:tcPr>
          <w:p>
            <w:pPr>
              <w:spacing w:after="0"/>
              <w:rPr>
                <w:sz w:val="1"/>
                <w:szCs w:val="1"/>
                <w:color w:val="auto"/>
              </w:rPr>
            </w:pPr>
          </w:p>
        </w:tc>
      </w:tr>
      <w:tr>
        <w:trPr>
          <w:trHeight w:val="220"/>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from non-guarantor subsidiaries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296,790</w:t>
            </w:r>
          </w:p>
        </w:tc>
        <w:tc>
          <w:tcPr>
            <w:tcW w:w="0" w:type="dxa"/>
            <w:vAlign w:val="bottom"/>
          </w:tcPr>
          <w:p>
            <w:pPr>
              <w:spacing w:after="0"/>
              <w:rPr>
                <w:sz w:val="1"/>
                <w:szCs w:val="1"/>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535,565</w:t>
            </w:r>
          </w:p>
        </w:tc>
        <w:tc>
          <w:tcPr>
            <w:tcW w:w="0" w:type="dxa"/>
            <w:vAlign w:val="bottom"/>
          </w:tcPr>
          <w:p>
            <w:pPr>
              <w:spacing w:after="0"/>
              <w:rPr>
                <w:sz w:val="1"/>
                <w:szCs w:val="1"/>
                <w:color w:val="auto"/>
              </w:rPr>
            </w:pPr>
          </w:p>
        </w:tc>
      </w:tr>
      <w:tr>
        <w:trPr>
          <w:trHeight w:val="226"/>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the Obligor Group</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535,565</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Structure and Resources</w:t>
      </w:r>
    </w:p>
    <w:p>
      <w:pPr>
        <w:spacing w:after="0" w:line="66" w:lineRule="exact"/>
        <w:rPr>
          <w:sz w:val="20"/>
          <w:szCs w:val="20"/>
          <w:color w:val="auto"/>
        </w:rPr>
      </w:pPr>
    </w:p>
    <w:p>
      <w:pPr>
        <w:ind w:right="20" w:firstLine="389"/>
        <w:spacing w:after="0" w:line="267" w:lineRule="auto"/>
        <w:rPr>
          <w:sz w:val="20"/>
          <w:szCs w:val="20"/>
          <w:color w:val="auto"/>
        </w:rPr>
      </w:pPr>
      <w:r>
        <w:rPr>
          <w:rFonts w:ascii="Times New Roman" w:cs="Times New Roman" w:eastAsia="Times New Roman" w:hAnsi="Times New Roman"/>
          <w:sz w:val="17"/>
          <w:szCs w:val="17"/>
          <w:color w:val="auto"/>
        </w:rPr>
        <w:t>Our stockholders’ equity amounted to $1,200.8 million as of September 30, 2024, an increase of $154.2, compared to stockholders’ equity of $1,046.6 million as of March 31, 2024. The increase was primarily due to net income of $555.3 million and stock-based compensation expense of $45.7 million during the six months ended September 30, 2024, partially offset by $324.4 million in treasury stock resulting from the repurchase of shares of our Class A Common Stock, and $133.3 million in quarterly dividend payments for the six months ended September 30,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66" w:lineRule="exact"/>
        <w:rPr>
          <w:sz w:val="20"/>
          <w:szCs w:val="20"/>
          <w:color w:val="auto"/>
        </w:rPr>
      </w:pPr>
    </w:p>
    <w:p>
      <w:pPr>
        <w:ind w:right="120" w:firstLine="389"/>
        <w:spacing w:after="0" w:line="267" w:lineRule="auto"/>
        <w:rPr>
          <w:sz w:val="20"/>
          <w:szCs w:val="20"/>
          <w:color w:val="auto"/>
        </w:rPr>
      </w:pPr>
      <w:r>
        <w:rPr>
          <w:rFonts w:ascii="Times New Roman" w:cs="Times New Roman" w:eastAsia="Times New Roman" w:hAnsi="Times New Roman"/>
          <w:sz w:val="17"/>
          <w:szCs w:val="17"/>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six months ended September 30, 2024 and 2023 were $56.2 million and $27.4 million, respectively. The increase is primarily driven by an increase in leasehold improvements and secure space updates to our leased facilities in the current period.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66" w:lineRule="exact"/>
        <w:rPr>
          <w:sz w:val="20"/>
          <w:szCs w:val="20"/>
          <w:color w:val="auto"/>
        </w:rPr>
      </w:pPr>
    </w:p>
    <w:p>
      <w:pPr>
        <w:ind w:right="40" w:firstLine="389"/>
        <w:spacing w:after="0" w:line="292" w:lineRule="auto"/>
        <w:rPr>
          <w:sz w:val="20"/>
          <w:szCs w:val="20"/>
          <w:color w:val="auto"/>
        </w:rPr>
      </w:pPr>
      <w:r>
        <w:rPr>
          <w:rFonts w:ascii="Times New Roman" w:cs="Times New Roman" w:eastAsia="Times New Roman" w:hAnsi="Times New Roman"/>
          <w:sz w:val="17"/>
          <w:szCs w:val="17"/>
          <w:color w:val="auto"/>
        </w:rPr>
        <w:t>We are subject to a number of reviews, investigations, claims, lawsuits, and other uncertainties related to our business. For a discussion of these items, refer to Note 15, “Commitments and Contingencies,” to our condensed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 Looking Statements</w:t>
      </w:r>
    </w:p>
    <w:p>
      <w:pPr>
        <w:spacing w:after="0" w:line="66" w:lineRule="exact"/>
        <w:rPr>
          <w:sz w:val="20"/>
          <w:szCs w:val="20"/>
          <w:color w:val="auto"/>
        </w:rPr>
      </w:pPr>
    </w:p>
    <w:p>
      <w:pPr>
        <w:ind w:firstLine="389"/>
        <w:spacing w:after="0" w:line="260" w:lineRule="auto"/>
        <w:rPr>
          <w:sz w:val="20"/>
          <w:szCs w:val="20"/>
          <w:color w:val="auto"/>
        </w:rPr>
      </w:pPr>
      <w:r>
        <w:rPr>
          <w:rFonts w:ascii="Times New Roman" w:cs="Times New Roman" w:eastAsia="Times New Roman" w:hAnsi="Times New Roman"/>
          <w:sz w:val="17"/>
          <w:szCs w:val="17"/>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2" w:lineRule="exact"/>
        <w:rPr>
          <w:sz w:val="20"/>
          <w:szCs w:val="20"/>
          <w:color w:val="auto"/>
        </w:rPr>
      </w:pPr>
    </w:p>
    <w:p>
      <w:pPr>
        <w:ind w:left="620" w:right="80" w:hanging="305"/>
        <w:spacing w:after="0" w:line="286"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issue that compromises our relationships with the U.S. government or damages our professional reputation, including negative publicity concerning government contractors in general or us in particular;</w:t>
      </w:r>
    </w:p>
    <w:p>
      <w:pPr>
        <w:ind w:left="620" w:right="20" w:hanging="305"/>
        <w:spacing w:after="0" w:line="292"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U.S. administration transitions;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right="22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by Congress and other U.S. government bodies to reduce U.S. government spending and address budgetary constraints and the U.S. deficit, as well as associated uncertainty around the timing, extent, nature and effect of such efforts;</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delayed long-term funding of our contracts, including uncertainty relating to funding the U.S. government and increasing the debt ceiling;</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shutdowns as a result of the failure by elected officials to fund the government;</w:t>
      </w:r>
    </w:p>
    <w:p>
      <w:pPr>
        <w:spacing w:after="0" w:line="63" w:lineRule="exact"/>
        <w:rPr>
          <w:rFonts w:ascii="Times New Roman" w:cs="Times New Roman" w:eastAsia="Times New Roman" w:hAnsi="Times New Roman"/>
          <w:sz w:val="17"/>
          <w:szCs w:val="17"/>
          <w:color w:val="auto"/>
        </w:rPr>
      </w:pPr>
    </w:p>
    <w:p>
      <w:pPr>
        <w:ind w:left="620" w:right="120" w:hanging="305"/>
        <w:spacing w:after="0" w:line="285" w:lineRule="auto"/>
        <w:tabs>
          <w:tab w:leader="none" w:pos="616"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7"/>
          <w:szCs w:val="17"/>
          <w:color w:val="auto"/>
        </w:rPr>
        <w:t>failure to comply with numerous laws and regulations, including but not limited to, the Federal Acquisition Regulation (“FAR”), the False Claims Act, the Defense Federal Acquisition Regulation Supplement (“DFARS”), and FAR Cost Accounting Standards and Cost Principles;</w:t>
      </w:r>
    </w:p>
    <w:p>
      <w:pPr>
        <w:spacing w:after="0" w:line="1" w:lineRule="exact"/>
        <w:rPr>
          <w:rFonts w:ascii="Arial" w:cs="Arial" w:eastAsia="Arial" w:hAnsi="Arial"/>
          <w:sz w:val="17"/>
          <w:szCs w:val="17"/>
          <w:color w:val="auto"/>
        </w:rPr>
      </w:pPr>
    </w:p>
    <w:p>
      <w:pPr>
        <w:ind w:left="620" w:right="44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disease outbreaks, pandemics, or widespread health epidemics including disruptions to our workforce and the impact on government spending and demand for our solutions;</w:t>
      </w:r>
    </w:p>
    <w:p>
      <w:pPr>
        <w:ind w:left="620" w:right="24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effectively in the competitive bidding process and delays or losses of contract awards caused by competitors' protests of major contract awards received by us;</w:t>
      </w:r>
    </w:p>
    <w:p>
      <w:pPr>
        <w:ind w:left="620" w:right="72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purchasing patterns under U.S. government General Services Administration Multiple Award schedule contracts, or General Services Administration (“GSA”) schedules, blanket purchase agreements, and indefinite delivery/indefinite quantity (“IDIQ”) contracts;</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GSA schedules or our position as prime contractor on government-wide acquisition contract vehicles (“GWACs”);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mix of our contracts and our ability to accurately estimate or otherwise recover expenses, time, and resources for our contracts;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used in recognizing revenue;</w:t>
      </w:r>
    </w:p>
    <w:p>
      <w:pPr>
        <w:spacing w:after="0" w:line="63" w:lineRule="exact"/>
        <w:rPr>
          <w:rFonts w:ascii="Times New Roman" w:cs="Times New Roman" w:eastAsia="Times New Roman" w:hAnsi="Times New Roman"/>
          <w:sz w:val="17"/>
          <w:szCs w:val="17"/>
          <w:color w:val="auto"/>
        </w:rPr>
      </w:pPr>
    </w:p>
    <w:p>
      <w:pPr>
        <w:ind w:left="62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full value of and replenish our backlog, generate revenue under certain of our contracts, and the timing of our receipt of revenue under contracts included in backlog;</w:t>
      </w:r>
    </w:p>
    <w:p>
      <w:pPr>
        <w:ind w:left="620" w:right="14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system or service failures and security breaches, including, but not limited to, those resulting from external or internal threats, including cyber attacks on our network and internal systems;</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operations of financial management systems;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attract, train, or retain employees with the requisite skills and experience;</w:t>
      </w:r>
    </w:p>
    <w:p>
      <w:pPr>
        <w:spacing w:after="0" w:line="63" w:lineRule="exact"/>
        <w:rPr>
          <w:rFonts w:ascii="Times New Roman" w:cs="Times New Roman" w:eastAsia="Times New Roman" w:hAnsi="Times New Roman"/>
          <w:sz w:val="17"/>
          <w:szCs w:val="17"/>
          <w:color w:val="auto"/>
        </w:rPr>
      </w:pPr>
    </w:p>
    <w:p>
      <w:pPr>
        <w:ind w:left="620" w:right="30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timely hire, assimilate and effectively utilize our employees, ensure that employees obtain and maintain necessary security clearances and/or effectively manage our cost structure;</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inflation that could impact the cost of doing business and/or reduce customer buying power;</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members of senior management or failure to develop new leaders;</w:t>
      </w:r>
    </w:p>
    <w:p>
      <w:pPr>
        <w:spacing w:after="0" w:line="63" w:lineRule="exact"/>
        <w:rPr>
          <w:rFonts w:ascii="Times New Roman" w:cs="Times New Roman" w:eastAsia="Times New Roman" w:hAnsi="Times New Roman"/>
          <w:sz w:val="17"/>
          <w:szCs w:val="17"/>
          <w:color w:val="auto"/>
        </w:rPr>
      </w:pPr>
    </w:p>
    <w:p>
      <w:pPr>
        <w:ind w:left="620" w:right="28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misconduct or other improper activities from our employees, subcontractors, or suppliers, including the improper access, use or release of our or our clients’ sensitive or classified information;</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companies in our industry;</w:t>
      </w:r>
    </w:p>
    <w:p>
      <w:pPr>
        <w:spacing w:after="0" w:line="63" w:lineRule="exact"/>
        <w:rPr>
          <w:rFonts w:ascii="Times New Roman" w:cs="Times New Roman" w:eastAsia="Times New Roman" w:hAnsi="Times New Roman"/>
          <w:sz w:val="17"/>
          <w:szCs w:val="17"/>
          <w:color w:val="auto"/>
        </w:rPr>
      </w:pPr>
    </w:p>
    <w:p>
      <w:pPr>
        <w:ind w:left="620" w:right="14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strong relationships with other contractors, or the failure of contractors with which we have entered into a sub- or prime- contractor relationship to meet their obligations to us or our clients;</w:t>
      </w:r>
    </w:p>
    <w:p>
      <w:pPr>
        <w:jc w:val="both"/>
        <w:ind w:left="620" w:right="220" w:hanging="305"/>
        <w:spacing w:after="0" w:line="273"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special U.S. government laws and regulations relating to our international operations;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increased competition, new relationships, clients, capabilities, and service offerings in our U.S. and international businesses;</w:t>
      </w:r>
    </w:p>
    <w:p>
      <w:pPr>
        <w:spacing w:after="0" w:line="63" w:lineRule="exact"/>
        <w:rPr>
          <w:rFonts w:ascii="Times New Roman" w:cs="Times New Roman" w:eastAsia="Times New Roman" w:hAnsi="Times New Roman"/>
          <w:sz w:val="17"/>
          <w:szCs w:val="17"/>
          <w:color w:val="auto"/>
        </w:rPr>
      </w:pPr>
    </w:p>
    <w:p>
      <w:pPr>
        <w:ind w:left="620" w:right="38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changes to our operating structure, capabilities, or strategy intended to address client needs, grow our business or respond to market developments;</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by the U.S. government of new laws, rules, and regulations, such as those relating to organizational conflicts of interest issues or limits;</w:t>
      </w:r>
    </w:p>
    <w:p>
      <w:pPr>
        <w:spacing w:after="0" w:line="63" w:lineRule="exact"/>
        <w:rPr>
          <w:rFonts w:ascii="Times New Roman" w:cs="Times New Roman" w:eastAsia="Times New Roman" w:hAnsi="Times New Roman"/>
          <w:sz w:val="17"/>
          <w:szCs w:val="17"/>
          <w:color w:val="auto"/>
        </w:rPr>
      </w:pPr>
    </w:p>
    <w:p>
      <w:pPr>
        <w:ind w:left="620" w:right="380" w:hanging="305"/>
        <w:spacing w:after="0" w:line="286"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possible recession and volatility or instability of the global financial system, including the failures of financial institutions and the resulting impact on counterparties and business conditions generally;</w:t>
      </w:r>
    </w:p>
    <w:p>
      <w:pPr>
        <w:ind w:left="620" w:hanging="305"/>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deterioration of economic conditions or weakening in credit or capital markets;</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hanging="305"/>
        <w:spacing w:after="0" w:line="273"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additional tax liabilities, including as a result of changes in tax laws or management judgments involving complex tax matters;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in the government contracting environment;</w:t>
      </w:r>
    </w:p>
    <w:p>
      <w:pPr>
        <w:spacing w:after="0" w:line="63" w:lineRule="exact"/>
        <w:rPr>
          <w:rFonts w:ascii="Times New Roman" w:cs="Times New Roman" w:eastAsia="Times New Roman" w:hAnsi="Times New Roman"/>
          <w:sz w:val="17"/>
          <w:szCs w:val="17"/>
          <w:color w:val="auto"/>
        </w:rPr>
      </w:pPr>
    </w:p>
    <w:p>
      <w:pPr>
        <w:ind w:left="620" w:right="400" w:hanging="305"/>
        <w:spacing w:after="0" w:line="273"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7" w:lineRule="exact"/>
        <w:rPr>
          <w:rFonts w:ascii="Times New Roman" w:cs="Times New Roman" w:eastAsia="Times New Roman" w:hAnsi="Times New Roman"/>
          <w:sz w:val="17"/>
          <w:szCs w:val="17"/>
          <w:color w:val="auto"/>
        </w:rPr>
      </w:pPr>
    </w:p>
    <w:p>
      <w:pPr>
        <w:ind w:left="620" w:right="260" w:hanging="305"/>
        <w:spacing w:after="0" w:line="286"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insourcing by various U.S. government agencies due to changes in the definition of “inherently governmental” work, including proposals to limit contractor access to sensitive or classified information and work assignments;</w:t>
      </w:r>
    </w:p>
    <w:p>
      <w:pPr>
        <w:ind w:left="620" w:hanging="30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our addressable markets and the amount of U.S. government spending on private contractors;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indebtedness and credit facilities which contain financial and operating covenants;</w:t>
      </w:r>
    </w:p>
    <w:p>
      <w:pPr>
        <w:spacing w:after="0" w:line="63" w:lineRule="exact"/>
        <w:rPr>
          <w:rFonts w:ascii="Times New Roman" w:cs="Times New Roman" w:eastAsia="Times New Roman" w:hAnsi="Times New Roman"/>
          <w:sz w:val="17"/>
          <w:szCs w:val="17"/>
          <w:color w:val="auto"/>
        </w:rPr>
      </w:pPr>
    </w:p>
    <w:p>
      <w:pPr>
        <w:ind w:left="620" w:right="500" w:hanging="305"/>
        <w:spacing w:after="0" w:line="286"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accounting rules and regulations, or interpretations thereof, that may affect the way we recognize and report our financial results, including changes in accounting rules governing recognition of revenue;</w:t>
      </w:r>
    </w:p>
    <w:p>
      <w:pPr>
        <w:ind w:left="620" w:hanging="30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ESG-related risks and climate change generally on our and our clients' businesses and operations; and</w:t>
      </w:r>
    </w:p>
    <w:p>
      <w:pPr>
        <w:spacing w:after="0" w:line="63" w:lineRule="exact"/>
        <w:rPr>
          <w:rFonts w:ascii="Times New Roman" w:cs="Times New Roman" w:eastAsia="Times New Roman" w:hAnsi="Times New Roman"/>
          <w:sz w:val="17"/>
          <w:szCs w:val="17"/>
          <w:color w:val="auto"/>
        </w:rPr>
      </w:pPr>
    </w:p>
    <w:p>
      <w:pPr>
        <w:ind w:left="620" w:right="260" w:hanging="305"/>
        <w:spacing w:after="0" w:line="291" w:lineRule="auto"/>
        <w:tabs>
          <w:tab w:leader="none" w:pos="616"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7"/>
          <w:szCs w:val="17"/>
          <w:color w:val="auto"/>
        </w:rPr>
        <w:t>other risks and factors listed under “Item 1A. Risk Factors” and elsewhere in this Quarterly Report, as well as those listed under “Risk Factors” in our Annual Report on Form 10-K for the year ended March 31, 2024.</w:t>
      </w:r>
    </w:p>
    <w:p>
      <w:pPr>
        <w:spacing w:after="0" w:line="44" w:lineRule="exact"/>
        <w:rPr>
          <w:sz w:val="20"/>
          <w:szCs w:val="20"/>
          <w:color w:val="auto"/>
        </w:rPr>
      </w:pPr>
    </w:p>
    <w:p>
      <w:pPr>
        <w:ind w:right="400" w:firstLine="389"/>
        <w:spacing w:after="0" w:line="273" w:lineRule="auto"/>
        <w:rPr>
          <w:sz w:val="20"/>
          <w:szCs w:val="20"/>
          <w:color w:val="auto"/>
        </w:rPr>
      </w:pPr>
      <w:r>
        <w:rPr>
          <w:rFonts w:ascii="Times New Roman" w:cs="Times New Roman" w:eastAsia="Times New Roman" w:hAnsi="Times New Roman"/>
          <w:sz w:val="17"/>
          <w:szCs w:val="17"/>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5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jc w:val="both"/>
        <w:ind w:right="80" w:firstLine="389"/>
        <w:spacing w:after="0" w:line="273" w:lineRule="auto"/>
        <w:rPr>
          <w:sz w:val="20"/>
          <w:szCs w:val="20"/>
          <w:color w:val="auto"/>
        </w:rPr>
      </w:pPr>
      <w:r>
        <w:rPr>
          <w:rFonts w:ascii="Times New Roman" w:cs="Times New Roman" w:eastAsia="Times New Roman" w:hAnsi="Times New Roman"/>
          <w:sz w:val="17"/>
          <w:szCs w:val="17"/>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2024 filed with the Securities and Exchange Commission on May 24, 2024.</w:t>
      </w:r>
    </w:p>
    <w:p>
      <w:pPr>
        <w:spacing w:after="0" w:line="1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66"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the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66" w:lineRule="exact"/>
        <w:rPr>
          <w:sz w:val="20"/>
          <w:szCs w:val="20"/>
          <w:color w:val="auto"/>
        </w:rPr>
      </w:pPr>
    </w:p>
    <w:p>
      <w:pPr>
        <w:ind w:right="260" w:firstLine="389"/>
        <w:spacing w:after="0" w:line="29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6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05" w:lineRule="exact"/>
        <w:rPr>
          <w:sz w:val="20"/>
          <w:szCs w:val="20"/>
          <w:color w:val="auto"/>
        </w:rPr>
      </w:pPr>
    </w:p>
    <w:p>
      <w:pPr>
        <w:ind w:right="480" w:firstLine="389"/>
        <w:spacing w:after="0" w:line="276" w:lineRule="auto"/>
        <w:rPr>
          <w:sz w:val="20"/>
          <w:szCs w:val="20"/>
          <w:color w:val="auto"/>
        </w:rPr>
      </w:pPr>
      <w:r>
        <w:rPr>
          <w:rFonts w:ascii="Times New Roman" w:cs="Times New Roman" w:eastAsia="Times New Roman" w:hAnsi="Times New Roman"/>
          <w:sz w:val="17"/>
          <w:szCs w:val="17"/>
          <w:color w:val="auto"/>
        </w:rPr>
        <w:t>Disclosure concerning legal proceedings can be found in Part I, Item 1. “Financial Statements, Notes to Unaudited Condensed Consolidated Financial Statements, Note 15, Commitments and Contingencies” under the caption, “Litigation,” which is incorporated here by this reference.</w:t>
      </w:r>
    </w:p>
    <w:p>
      <w:pPr>
        <w:spacing w:after="0" w:line="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There have been no material changes during the period covered by this Quarterly Report on Form 10-Q to the risk factors disclosed in Part I, Item 1A, of our Annual Report on Form 10-K for the fiscal year ended March 31, 2024 filed with the Securities and Exchange Commission on May 24, 2024.</w:t>
      </w:r>
    </w:p>
    <w:p>
      <w:pPr>
        <w:spacing w:after="0" w:line="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shows the share repurchase activity for each of the three months in the quarter ended September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 Dollar</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Value of Shares that</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Average Price Paid per</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Purchased as Part of</w:t>
            </w:r>
          </w:p>
        </w:tc>
        <w:tc>
          <w:tcPr>
            <w:tcW w:w="12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May Yet Be Purchased</w:t>
            </w:r>
          </w:p>
        </w:tc>
        <w:tc>
          <w:tcPr>
            <w:tcW w:w="0" w:type="dxa"/>
            <w:vAlign w:val="bottom"/>
          </w:tcPr>
          <w:p>
            <w:pPr>
              <w:spacing w:after="0"/>
              <w:rPr>
                <w:sz w:val="1"/>
                <w:szCs w:val="1"/>
                <w:color w:val="auto"/>
              </w:rPr>
            </w:pPr>
          </w:p>
        </w:tc>
      </w:tr>
      <w:tr>
        <w:trPr>
          <w:trHeight w:val="182"/>
        </w:trPr>
        <w:tc>
          <w:tcPr>
            <w:tcW w:w="372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120" w:type="dxa"/>
            <w:vAlign w:val="bottom"/>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Under the Plans or</w:t>
            </w:r>
          </w:p>
        </w:tc>
        <w:tc>
          <w:tcPr>
            <w:tcW w:w="0" w:type="dxa"/>
            <w:vAlign w:val="bottom"/>
          </w:tcPr>
          <w:p>
            <w:pPr>
              <w:spacing w:after="0"/>
              <w:rPr>
                <w:sz w:val="1"/>
                <w:szCs w:val="1"/>
                <w:color w:val="auto"/>
              </w:rPr>
            </w:pPr>
          </w:p>
        </w:tc>
      </w:tr>
      <w:tr>
        <w:trPr>
          <w:trHeight w:val="220"/>
        </w:trPr>
        <w:tc>
          <w:tcPr>
            <w:tcW w:w="3720" w:type="dxa"/>
            <w:vAlign w:val="bottom"/>
            <w:gridSpan w:val="2"/>
            <w:vMerge w:val="continue"/>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19"/>
                <w:szCs w:val="19"/>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Plans or Programs</w:t>
            </w:r>
          </w:p>
        </w:tc>
        <w:tc>
          <w:tcPr>
            <w:tcW w:w="120" w:type="dxa"/>
            <w:vAlign w:val="bottom"/>
          </w:tcPr>
          <w:p>
            <w:pPr>
              <w:spacing w:after="0"/>
              <w:rPr>
                <w:sz w:val="19"/>
                <w:szCs w:val="19"/>
                <w:color w:val="auto"/>
              </w:rPr>
            </w:pPr>
          </w:p>
        </w:tc>
        <w:tc>
          <w:tcPr>
            <w:tcW w:w="1800" w:type="dxa"/>
            <w:vAlign w:val="bottom"/>
          </w:tcPr>
          <w:p>
            <w:pPr>
              <w:jc w:val="center"/>
              <w:spacing w:after="0" w:line="221" w:lineRule="exact"/>
              <w:rPr>
                <w:sz w:val="20"/>
                <w:szCs w:val="20"/>
                <w:color w:val="auto"/>
              </w:rPr>
            </w:pPr>
            <w:r>
              <w:rPr>
                <w:rFonts w:ascii="Times New Roman" w:cs="Times New Roman" w:eastAsia="Times New Roman" w:hAnsi="Times New Roman"/>
                <w:sz w:val="17"/>
                <w:szCs w:val="17"/>
                <w:b w:val="1"/>
                <w:bCs w:val="1"/>
                <w:color w:val="auto"/>
                <w:w w:val="94"/>
              </w:rPr>
              <w:t xml:space="preserve">Programs </w:t>
            </w:r>
            <w:r>
              <w:rPr>
                <w:rFonts w:ascii="Times New Roman" w:cs="Times New Roman" w:eastAsia="Times New Roman" w:hAnsi="Times New Roman"/>
                <w:sz w:val="22"/>
                <w:szCs w:val="22"/>
                <w:color w:val="auto"/>
                <w:w w:val="94"/>
                <w:vertAlign w:val="superscript"/>
              </w:rPr>
              <w:t>(1)</w:t>
            </w:r>
          </w:p>
        </w:tc>
        <w:tc>
          <w:tcPr>
            <w:tcW w:w="0" w:type="dxa"/>
            <w:vAlign w:val="bottom"/>
          </w:tcPr>
          <w:p>
            <w:pPr>
              <w:spacing w:after="0"/>
              <w:rPr>
                <w:sz w:val="1"/>
                <w:szCs w:val="1"/>
                <w:color w:val="auto"/>
              </w:rPr>
            </w:pPr>
          </w:p>
        </w:tc>
      </w:tr>
      <w:tr>
        <w:trPr>
          <w:trHeight w:val="213"/>
        </w:trPr>
        <w:tc>
          <w:tcPr>
            <w:tcW w:w="36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July 2024</w:t>
            </w:r>
          </w:p>
        </w:tc>
        <w:tc>
          <w:tcPr>
            <w:tcW w:w="100" w:type="dxa"/>
            <w:vAlign w:val="bottom"/>
            <w:tcBorders>
              <w:top w:val="single" w:sz="8" w:color="BFE4FF"/>
            </w:tcBorders>
            <w:shd w:val="clear" w:color="auto" w:fill="BFE4FF"/>
          </w:tcPr>
          <w:p>
            <w:pPr>
              <w:spacing w:after="0"/>
              <w:rPr>
                <w:sz w:val="18"/>
                <w:szCs w:val="18"/>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423,459</w:t>
            </w:r>
          </w:p>
        </w:tc>
        <w:tc>
          <w:tcPr>
            <w:tcW w:w="100" w:type="dxa"/>
            <w:vAlign w:val="bottom"/>
            <w:tcBorders>
              <w:top w:val="single" w:sz="8" w:color="BFE4FF"/>
            </w:tcBorders>
            <w:shd w:val="clear" w:color="auto" w:fill="BFE4FF"/>
          </w:tcPr>
          <w:p>
            <w:pPr>
              <w:spacing w:after="0"/>
              <w:rPr>
                <w:sz w:val="18"/>
                <w:szCs w:val="18"/>
                <w:color w:val="auto"/>
              </w:rPr>
            </w:pPr>
          </w:p>
        </w:tc>
        <w:tc>
          <w:tcPr>
            <w:tcW w:w="17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$146.36</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423,459</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$867,956</w:t>
            </w:r>
          </w:p>
        </w:tc>
        <w:tc>
          <w:tcPr>
            <w:tcW w:w="0" w:type="dxa"/>
            <w:vAlign w:val="bottom"/>
          </w:tcPr>
          <w:p>
            <w:pPr>
              <w:spacing w:after="0"/>
              <w:rPr>
                <w:sz w:val="1"/>
                <w:szCs w:val="1"/>
                <w:color w:val="auto"/>
              </w:rPr>
            </w:pPr>
          </w:p>
        </w:tc>
      </w:tr>
      <w:tr>
        <w:trPr>
          <w:trHeight w:val="22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2024</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984,724</w:t>
            </w:r>
          </w:p>
        </w:tc>
        <w:tc>
          <w:tcPr>
            <w:tcW w:w="184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$145.47</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984,724</w:t>
            </w:r>
          </w:p>
        </w:tc>
        <w:tc>
          <w:tcPr>
            <w:tcW w:w="192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$724,708</w:t>
            </w:r>
          </w:p>
        </w:tc>
        <w:tc>
          <w:tcPr>
            <w:tcW w:w="0" w:type="dxa"/>
            <w:vAlign w:val="bottom"/>
          </w:tcPr>
          <w:p>
            <w:pPr>
              <w:spacing w:after="0"/>
              <w:rPr>
                <w:sz w:val="1"/>
                <w:szCs w:val="1"/>
                <w:color w:val="auto"/>
              </w:rPr>
            </w:pPr>
          </w:p>
        </w:tc>
      </w:tr>
      <w:tr>
        <w:trPr>
          <w:trHeight w:val="220"/>
        </w:trPr>
        <w:tc>
          <w:tcPr>
            <w:tcW w:w="37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September 2024</w:t>
            </w:r>
          </w:p>
        </w:tc>
        <w:tc>
          <w:tcPr>
            <w:tcW w:w="17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161,966</w:t>
            </w:r>
          </w:p>
        </w:tc>
        <w:tc>
          <w:tcPr>
            <w:tcW w:w="1840" w:type="dxa"/>
            <w:vAlign w:val="bottom"/>
            <w:gridSpan w:val="2"/>
            <w:shd w:val="clear" w:color="auto" w:fill="BFE4FF"/>
          </w:tcPr>
          <w:p>
            <w:pPr>
              <w:jc w:val="center"/>
              <w:ind w:left="34"/>
              <w:spacing w:after="0"/>
              <w:rPr>
                <w:sz w:val="20"/>
                <w:szCs w:val="20"/>
                <w:color w:val="auto"/>
              </w:rPr>
            </w:pPr>
            <w:r>
              <w:rPr>
                <w:rFonts w:ascii="Times New Roman" w:cs="Times New Roman" w:eastAsia="Times New Roman" w:hAnsi="Times New Roman"/>
                <w:sz w:val="17"/>
                <w:szCs w:val="17"/>
                <w:color w:val="auto"/>
              </w:rPr>
              <w:t>$154.35</w:t>
            </w:r>
          </w:p>
        </w:tc>
        <w:tc>
          <w:tcPr>
            <w:tcW w:w="120" w:type="dxa"/>
            <w:vAlign w:val="bottom"/>
            <w:shd w:val="clear" w:color="auto" w:fill="BFE4FF"/>
          </w:tcPr>
          <w:p>
            <w:pPr>
              <w:spacing w:after="0"/>
              <w:rPr>
                <w:sz w:val="19"/>
                <w:szCs w:val="19"/>
                <w:color w:val="auto"/>
              </w:rPr>
            </w:pPr>
          </w:p>
        </w:tc>
        <w:tc>
          <w:tcPr>
            <w:tcW w:w="18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161,966</w:t>
            </w:r>
          </w:p>
        </w:tc>
        <w:tc>
          <w:tcPr>
            <w:tcW w:w="1920" w:type="dxa"/>
            <w:vAlign w:val="bottom"/>
            <w:gridSpan w:val="2"/>
            <w:shd w:val="clear" w:color="auto" w:fill="BFE4FF"/>
          </w:tcPr>
          <w:p>
            <w:pPr>
              <w:jc w:val="center"/>
              <w:ind w:left="34"/>
              <w:spacing w:after="0"/>
              <w:rPr>
                <w:sz w:val="20"/>
                <w:szCs w:val="20"/>
                <w:color w:val="auto"/>
              </w:rPr>
            </w:pPr>
            <w:r>
              <w:rPr>
                <w:rFonts w:ascii="Times New Roman" w:cs="Times New Roman" w:eastAsia="Times New Roman" w:hAnsi="Times New Roman"/>
                <w:sz w:val="17"/>
                <w:szCs w:val="17"/>
                <w:color w:val="auto"/>
              </w:rPr>
              <w:t>$699,708</w:t>
            </w:r>
          </w:p>
        </w:tc>
        <w:tc>
          <w:tcPr>
            <w:tcW w:w="0" w:type="dxa"/>
            <w:vAlign w:val="bottom"/>
          </w:tcPr>
          <w:p>
            <w:pPr>
              <w:spacing w:after="0"/>
              <w:rPr>
                <w:sz w:val="1"/>
                <w:szCs w:val="1"/>
                <w:color w:val="auto"/>
              </w:rPr>
            </w:pPr>
          </w:p>
        </w:tc>
      </w:tr>
      <w:tr>
        <w:trPr>
          <w:trHeight w:val="213"/>
        </w:trPr>
        <w:tc>
          <w:tcPr>
            <w:tcW w:w="37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1,570,149</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1,570,149</w:t>
            </w: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620" w:hanging="150"/>
        <w:spacing w:after="0"/>
        <w:tabs>
          <w:tab w:leader="none" w:pos="62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12, 2011, the Board of Directors approved a share repurchase program, which was most recently increased by $525.0 million to</w:t>
      </w:r>
    </w:p>
    <w:p>
      <w:pPr>
        <w:spacing w:after="0" w:line="8" w:lineRule="exact"/>
        <w:rPr>
          <w:rFonts w:ascii="Times New Roman" w:cs="Times New Roman" w:eastAsia="Times New Roman" w:hAnsi="Times New Roman"/>
          <w:sz w:val="19"/>
          <w:szCs w:val="19"/>
          <w:color w:val="auto"/>
          <w:vertAlign w:val="superscript"/>
        </w:rPr>
      </w:pPr>
    </w:p>
    <w:p>
      <w:pPr>
        <w:ind w:left="620" w:right="40"/>
        <w:spacing w:after="0" w:line="25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7"/>
          <w:szCs w:val="17"/>
          <w:color w:val="auto"/>
        </w:rPr>
        <w:t>$3,085.0 million on May 22, 2024.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The above table does not factor in any increases to the share repurchase program subsequent to September 30, 2024.</w:t>
      </w:r>
    </w:p>
    <w:p>
      <w:pPr>
        <w:spacing w:after="0" w:line="7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Exhibit</w:t>
      </w:r>
    </w:p>
    <w:p>
      <w:pPr>
        <w:ind w:left="140"/>
        <w:spacing w:after="0"/>
        <w:tabs>
          <w:tab w:leader="none" w:pos="940" w:val="left"/>
        </w:tabs>
        <w:rPr>
          <w:sz w:val="20"/>
          <w:szCs w:val="20"/>
          <w:color w:val="auto"/>
        </w:rPr>
      </w:pPr>
      <w:r>
        <w:rPr>
          <w:rFonts w:ascii="Times New Roman" w:cs="Times New Roman" w:eastAsia="Times New Roman" w:hAnsi="Times New Roman"/>
          <w:sz w:val="17"/>
          <w:szCs w:val="17"/>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380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50" w:lineRule="exact"/>
        <w:rPr>
          <w:sz w:val="20"/>
          <w:szCs w:val="20"/>
          <w:color w:val="auto"/>
        </w:rPr>
      </w:pPr>
    </w:p>
    <w:p>
      <w:pPr>
        <w:ind w:left="960" w:right="260" w:hanging="939"/>
        <w:spacing w:after="0" w:line="244" w:lineRule="auto"/>
        <w:tabs>
          <w:tab w:leader="none" w:pos="960" w:val="left"/>
        </w:tabs>
        <w:numPr>
          <w:ilvl w:val="0"/>
          <w:numId w:val="30"/>
        </w:numPr>
        <w:rPr>
          <w:rFonts w:ascii="Times New Roman" w:cs="Times New Roman" w:eastAsia="Times New Roman" w:hAnsi="Times New Roman"/>
          <w:sz w:val="17"/>
          <w:szCs w:val="17"/>
          <w:u w:val="single" w:color="auto"/>
          <w:color w:val="0000FF"/>
        </w:rPr>
      </w:pPr>
      <w:hyperlink r:id="rId102">
        <w:r>
          <w:rPr>
            <w:rFonts w:ascii="Times New Roman" w:cs="Times New Roman" w:eastAsia="Times New Roman" w:hAnsi="Times New Roman"/>
            <w:sz w:val="17"/>
            <w:szCs w:val="17"/>
            <w:u w:val="single" w:color="auto"/>
            <w:color w:val="0000FF"/>
          </w:rPr>
          <w:t>List of Guarantors and Subsidiary Issuers of Guaranteed Securities (Incorporated by reference to Exhibit 22 to the Company’s Annual Report for</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the fiscal year ended March 31, 2024 on Form 10-K (File No. 001-34972))</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-248285</wp:posOffset>
            </wp:positionV>
            <wp:extent cx="7138035" cy="2552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8035" cy="2552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960" w:type="dxa"/>
            <w:vAlign w:val="bottom"/>
          </w:tcPr>
          <w:p>
            <w:pPr>
              <w:jc w:val="right"/>
              <w:ind w:right="554"/>
              <w:spacing w:after="0" w:line="191" w:lineRule="exact"/>
              <w:rPr>
                <w:sz w:val="20"/>
                <w:szCs w:val="20"/>
                <w:color w:val="auto"/>
              </w:rPr>
            </w:pPr>
            <w:r>
              <w:rPr>
                <w:rFonts w:ascii="Times New Roman" w:cs="Times New Roman" w:eastAsia="Times New Roman" w:hAnsi="Times New Roman"/>
                <w:sz w:val="17"/>
                <w:szCs w:val="17"/>
                <w:color w:val="auto"/>
              </w:rPr>
              <w:t>31.1</w:t>
            </w:r>
          </w:p>
        </w:tc>
        <w:tc>
          <w:tcPr>
            <w:tcW w:w="10280" w:type="dxa"/>
            <w:vAlign w:val="bottom"/>
            <w:gridSpan w:val="6"/>
          </w:tcPr>
          <w:p>
            <w:pPr>
              <w:spacing w:after="0" w:line="191" w:lineRule="exact"/>
              <w:rPr>
                <w:sz w:val="20"/>
                <w:szCs w:val="20"/>
                <w:color w:val="auto"/>
              </w:rPr>
            </w:pPr>
            <w:r>
              <w:rPr>
                <w:rFonts w:ascii="Times New Roman" w:cs="Times New Roman" w:eastAsia="Times New Roman" w:hAnsi="Times New Roman"/>
                <w:sz w:val="17"/>
                <w:szCs w:val="17"/>
                <w:color w:val="0000FF"/>
              </w:rPr>
              <w:t>Rule 13a-14(a)/15d-14(a) Certification of the Chief Executive Officer*</w:t>
            </w:r>
          </w:p>
        </w:tc>
      </w:tr>
      <w:tr>
        <w:trPr>
          <w:trHeight w:val="210"/>
        </w:trPr>
        <w:tc>
          <w:tcPr>
            <w:tcW w:w="960" w:type="dxa"/>
            <w:vAlign w:val="bottom"/>
            <w:tcBorders>
              <w:bottom w:val="single" w:sz="8" w:color="CCEEFF"/>
            </w:tcBorders>
            <w:shd w:val="clear" w:color="auto" w:fill="CCEEFF"/>
          </w:tcPr>
          <w:p>
            <w:pPr>
              <w:jc w:val="right"/>
              <w:ind w:right="554"/>
              <w:spacing w:after="0" w:line="191" w:lineRule="exact"/>
              <w:rPr>
                <w:sz w:val="20"/>
                <w:szCs w:val="20"/>
                <w:color w:val="auto"/>
              </w:rPr>
            </w:pPr>
            <w:r>
              <w:rPr>
                <w:rFonts w:ascii="Times New Roman" w:cs="Times New Roman" w:eastAsia="Times New Roman" w:hAnsi="Times New Roman"/>
                <w:sz w:val="17"/>
                <w:szCs w:val="17"/>
                <w:color w:val="auto"/>
              </w:rPr>
              <w:t>31.2</w:t>
            </w:r>
          </w:p>
        </w:tc>
        <w:tc>
          <w:tcPr>
            <w:tcW w:w="4880" w:type="dxa"/>
            <w:vAlign w:val="bottom"/>
            <w:tcBorders>
              <w:top w:val="single" w:sz="8" w:color="0000FF"/>
              <w:bottom w:val="single" w:sz="8" w:color="0000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0000FF"/>
              </w:rPr>
              <w:t>Rule 13a-14(a)/15d-14(a) Certification of the Chief Financial Officer*</w:t>
            </w: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5360" w:type="dxa"/>
            <w:vAlign w:val="bottom"/>
            <w:tcBorders>
              <w:bottom w:val="single" w:sz="8" w:color="CCEEFF"/>
            </w:tcBorders>
            <w:gridSpan w:val="3"/>
            <w:shd w:val="clear" w:color="auto" w:fill="CCEEFF"/>
          </w:tcPr>
          <w:p>
            <w:pPr>
              <w:spacing w:after="0"/>
              <w:rPr>
                <w:sz w:val="18"/>
                <w:szCs w:val="18"/>
                <w:color w:val="auto"/>
              </w:rPr>
            </w:pPr>
          </w:p>
        </w:tc>
      </w:tr>
      <w:tr>
        <w:trPr>
          <w:trHeight w:val="182"/>
        </w:trPr>
        <w:tc>
          <w:tcPr>
            <w:tcW w:w="960" w:type="dxa"/>
            <w:vAlign w:val="bottom"/>
          </w:tcPr>
          <w:p>
            <w:pPr>
              <w:jc w:val="right"/>
              <w:ind w:right="554"/>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0280" w:type="dxa"/>
            <w:vAlign w:val="bottom"/>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Executive Officer required by Rule 13a-14(b) or Rule 15d-14(b) and Section 1350 of Chapter 63 of Title 18 of the United</w:t>
            </w:r>
          </w:p>
        </w:tc>
      </w:tr>
      <w:tr>
        <w:trPr>
          <w:trHeight w:val="149"/>
        </w:trPr>
        <w:tc>
          <w:tcPr>
            <w:tcW w:w="960" w:type="dxa"/>
            <w:vAlign w:val="bottom"/>
          </w:tcPr>
          <w:p>
            <w:pPr>
              <w:spacing w:after="0"/>
              <w:rPr>
                <w:sz w:val="12"/>
                <w:szCs w:val="12"/>
                <w:color w:val="auto"/>
              </w:rPr>
            </w:pPr>
          </w:p>
        </w:tc>
        <w:tc>
          <w:tcPr>
            <w:tcW w:w="10200" w:type="dxa"/>
            <w:vAlign w:val="bottom"/>
            <w:tcBorders>
              <w:top w:val="single" w:sz="8" w:color="0000FF"/>
            </w:tcBorders>
            <w:gridSpan w:val="5"/>
          </w:tcPr>
          <w:p>
            <w:pPr>
              <w:spacing w:after="0" w:line="149" w:lineRule="exact"/>
              <w:rPr>
                <w:sz w:val="20"/>
                <w:szCs w:val="20"/>
                <w:color w:val="auto"/>
              </w:rPr>
            </w:pPr>
            <w:r>
              <w:rPr>
                <w:rFonts w:ascii="Times New Roman" w:cs="Times New Roman" w:eastAsia="Times New Roman" w:hAnsi="Times New Roman"/>
                <w:sz w:val="17"/>
                <w:szCs w:val="17"/>
                <w:color w:val="0000FF"/>
              </w:rPr>
              <w:t>States Code (18 U.S.C. 1350)*</w:t>
            </w:r>
          </w:p>
        </w:tc>
        <w:tc>
          <w:tcPr>
            <w:tcW w:w="80" w:type="dxa"/>
            <w:vAlign w:val="bottom"/>
          </w:tcPr>
          <w:p>
            <w:pPr>
              <w:spacing w:after="0"/>
              <w:rPr>
                <w:sz w:val="12"/>
                <w:szCs w:val="12"/>
                <w:color w:val="auto"/>
              </w:rPr>
            </w:pPr>
          </w:p>
        </w:tc>
      </w:tr>
      <w:tr>
        <w:trPr>
          <w:trHeight w:val="32"/>
        </w:trPr>
        <w:tc>
          <w:tcPr>
            <w:tcW w:w="960" w:type="dxa"/>
            <w:vAlign w:val="bottom"/>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960" w:type="dxa"/>
            <w:vAlign w:val="bottom"/>
            <w:shd w:val="clear" w:color="auto" w:fill="CCEEFF"/>
          </w:tcPr>
          <w:p>
            <w:pPr>
              <w:jc w:val="right"/>
              <w:ind w:right="554"/>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0280" w:type="dxa"/>
            <w:vAlign w:val="bottom"/>
            <w:gridSpan w:val="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Financial Officer required by Rule 13a-14(b) or Rule 15d-14(b) and Section 1350 of Chapter 63 of Title 18 of the United</w:t>
            </w:r>
          </w:p>
        </w:tc>
      </w:tr>
      <w:tr>
        <w:trPr>
          <w:trHeight w:val="149"/>
        </w:trPr>
        <w:tc>
          <w:tcPr>
            <w:tcW w:w="960" w:type="dxa"/>
            <w:vAlign w:val="bottom"/>
            <w:tcBorders>
              <w:top w:val="single" w:sz="8" w:color="CCEEFF"/>
            </w:tcBorders>
            <w:shd w:val="clear" w:color="auto" w:fill="CCEEFF"/>
          </w:tcPr>
          <w:p>
            <w:pPr>
              <w:spacing w:after="0"/>
              <w:rPr>
                <w:sz w:val="12"/>
                <w:szCs w:val="12"/>
                <w:color w:val="auto"/>
              </w:rPr>
            </w:pPr>
          </w:p>
        </w:tc>
        <w:tc>
          <w:tcPr>
            <w:tcW w:w="10160" w:type="dxa"/>
            <w:vAlign w:val="bottom"/>
            <w:tcBorders>
              <w:top w:val="single" w:sz="8" w:color="0000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States Code (18 U.S.C. 1350)*</w:t>
            </w:r>
          </w:p>
        </w:tc>
        <w:tc>
          <w:tcPr>
            <w:tcW w:w="120" w:type="dxa"/>
            <w:vAlign w:val="bottom"/>
            <w:tcBorders>
              <w:top w:val="single" w:sz="8" w:color="CCEEFF"/>
            </w:tcBorders>
            <w:gridSpan w:val="2"/>
            <w:shd w:val="clear" w:color="auto" w:fill="CCEEFF"/>
          </w:tcPr>
          <w:p>
            <w:pPr>
              <w:spacing w:after="0"/>
              <w:rPr>
                <w:sz w:val="12"/>
                <w:szCs w:val="12"/>
                <w:color w:val="auto"/>
              </w:rPr>
            </w:pPr>
          </w:p>
        </w:tc>
      </w:tr>
      <w:tr>
        <w:trPr>
          <w:trHeight w:val="32"/>
        </w:trPr>
        <w:tc>
          <w:tcPr>
            <w:tcW w:w="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ind w:left="960" w:right="100" w:hanging="939"/>
        <w:spacing w:after="0" w:line="222" w:lineRule="auto"/>
        <w:tabs>
          <w:tab w:leader="none" w:pos="9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Booz Allen Hamilton Holding Corporation’s Quarterly Report on Form 10-Q for the three and six months ended September 30, 2024 formatted in Inline XBRL (eXtensible Business Reporting Language): (i) Condensed Consolidated Balance Sheets at September 30, 2024 and March 31, 2024; (ii) Condensed Consolidated Statements of Operations for the three and six months ended September 30, 2024 and 2023; (iii) Condensed Consolidated Statements of Comprehensive Income for the three and six months ended September 30, 2024 and 2023; (iv) Condensed Consolidated Statements of Cash Flows for the six months ended September 30, 2024 and 2023; and (v) Notes to Condensed Consolidated Financial Statements.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39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tabs>
          <w:tab w:leader="none" w:pos="9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9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64" w:lineRule="exact"/>
        <w:rPr>
          <w:rFonts w:ascii="Times New Roman" w:cs="Times New Roman" w:eastAsia="Times New Roman" w:hAnsi="Times New Roman"/>
          <w:sz w:val="17"/>
          <w:szCs w:val="17"/>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electronically herewith.</w:t>
      </w:r>
    </w:p>
    <w:p>
      <w:pPr>
        <w:spacing w:after="0" w:line="200" w:lineRule="exact"/>
        <w:rPr>
          <w:rFonts w:ascii="Times New Roman" w:cs="Times New Roman" w:eastAsia="Times New Roman" w:hAnsi="Times New Roman"/>
          <w:sz w:val="17"/>
          <w:szCs w:val="17"/>
          <w:color w:val="auto"/>
        </w:rPr>
      </w:pPr>
    </w:p>
    <w:p>
      <w:pPr>
        <w:spacing w:after="0" w:line="34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7"/>
          <w:szCs w:val="17"/>
          <w:u w:val="single" w:color="auto"/>
          <w:color w:val="auto"/>
        </w:rPr>
        <w:t>Booz Allen Hamilton Holding Corporation</w:t>
      </w:r>
    </w:p>
    <w:p>
      <w:pPr>
        <w:spacing w:after="0" w:line="31"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800" w:val="left"/>
          <w:tab w:leader="none" w:pos="5260" w:val="left"/>
        </w:tabs>
        <w:rPr>
          <w:sz w:val="20"/>
          <w:szCs w:val="20"/>
          <w:color w:val="auto"/>
        </w:rPr>
      </w:pPr>
      <w:r>
        <w:rPr>
          <w:rFonts w:ascii="Times New Roman" w:cs="Times New Roman" w:eastAsia="Times New Roman" w:hAnsi="Times New Roman"/>
          <w:sz w:val="17"/>
          <w:szCs w:val="17"/>
          <w:color w:val="auto"/>
        </w:rPr>
        <w:t>Date: October 25, 2024</w:t>
      </w:r>
      <w:r>
        <w:rPr>
          <w:sz w:val="20"/>
          <w:szCs w:val="20"/>
          <w:color w:val="auto"/>
        </w:rPr>
        <w:tab/>
      </w:r>
      <w:r>
        <w:rPr>
          <w:rFonts w:ascii="Times New Roman" w:cs="Times New Roman" w:eastAsia="Times New Roman" w:hAnsi="Times New Roman"/>
          <w:sz w:val="17"/>
          <w:szCs w:val="17"/>
          <w:color w:val="auto"/>
        </w:rPr>
        <w:t>By:</w:t>
        <w:tab/>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19050</wp:posOffset>
            </wp:positionV>
            <wp:extent cx="3787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78714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Matthew A. Calderone</w:t>
      </w:r>
    </w:p>
    <w:p>
      <w:pPr>
        <w:ind w:left="52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00"/>
          </w:cols>
          <w:pgMar w:left="320" w:top="121"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 PURSUANT TO RULE 13A-14(A)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Horacio D. Rozanski, certify that:</w:t>
      </w:r>
    </w:p>
    <w:p>
      <w:pPr>
        <w:spacing w:after="0" w:line="168" w:lineRule="exact"/>
        <w:rPr>
          <w:sz w:val="20"/>
          <w:szCs w:val="20"/>
          <w:color w:val="auto"/>
        </w:rPr>
      </w:pPr>
    </w:p>
    <w:p>
      <w:pPr>
        <w:ind w:left="180" w:hanging="176"/>
        <w:spacing w:after="0"/>
        <w:tabs>
          <w:tab w:leader="none" w:pos="1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Booz Allen Hamilton Holding Corporation.</w:t>
      </w:r>
    </w:p>
    <w:p>
      <w:pPr>
        <w:spacing w:after="0" w:line="167"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right="180" w:firstLine="4"/>
        <w:spacing w:after="0" w:line="273" w:lineRule="auto"/>
        <w:tabs>
          <w:tab w:leader="none" w:pos="17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right="140" w:firstLine="4"/>
        <w:spacing w:after="0" w:line="273" w:lineRule="auto"/>
        <w:tabs>
          <w:tab w:leader="none" w:pos="2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7"/>
          <w:szCs w:val="17"/>
          <w:color w:val="auto"/>
        </w:rPr>
      </w:pPr>
    </w:p>
    <w:p>
      <w:pPr>
        <w:ind w:right="200" w:firstLine="4"/>
        <w:spacing w:after="0" w:line="273" w:lineRule="auto"/>
        <w:tabs>
          <w:tab w:leader="none" w:pos="24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7"/>
          <w:szCs w:val="17"/>
          <w:color w:val="auto"/>
        </w:rPr>
      </w:pPr>
    </w:p>
    <w:p>
      <w:pPr>
        <w:ind w:right="320" w:firstLine="4"/>
        <w:spacing w:after="0" w:line="292" w:lineRule="auto"/>
        <w:tabs>
          <w:tab w:leader="none" w:pos="2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w:t>
      </w:r>
    </w:p>
    <w:p>
      <w:pPr>
        <w:spacing w:after="0" w:line="30"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fourth fiscal quarter in the case of an annual report) that has materially affected, or is reasonably likely to materially affect, the registrant's internal control over financial reporting.</w:t>
      </w:r>
    </w:p>
    <w:p>
      <w:pPr>
        <w:spacing w:after="0" w:line="114" w:lineRule="exact"/>
        <w:rPr>
          <w:sz w:val="20"/>
          <w:szCs w:val="20"/>
          <w:color w:val="auto"/>
        </w:rPr>
      </w:pPr>
    </w:p>
    <w:p>
      <w:pPr>
        <w:ind w:right="120" w:firstLine="4"/>
        <w:spacing w:after="0" w:line="292" w:lineRule="auto"/>
        <w:tabs>
          <w:tab w:leader="none" w:pos="17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5" w:lineRule="exact"/>
        <w:rPr>
          <w:sz w:val="20"/>
          <w:szCs w:val="20"/>
          <w:color w:val="auto"/>
        </w:rPr>
      </w:pPr>
    </w:p>
    <w:p>
      <w:pPr>
        <w:ind w:right="480" w:firstLine="4"/>
        <w:spacing w:after="0" w:line="292" w:lineRule="auto"/>
        <w:tabs>
          <w:tab w:leader="none" w:pos="2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right="80" w:firstLine="4"/>
        <w:spacing w:after="0" w:line="292" w:lineRule="auto"/>
        <w:tabs>
          <w:tab w:leader="none" w:pos="24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7"/>
          <w:szCs w:val="17"/>
          <w:color w:val="auto"/>
        </w:rPr>
        <w:t>Date: October 25, 2024</w:t>
      </w:r>
      <w:r>
        <w:rPr>
          <w:sz w:val="20"/>
          <w:szCs w:val="20"/>
          <w:color w:val="auto"/>
        </w:rPr>
        <w:tab/>
      </w:r>
      <w:r>
        <w:rPr>
          <w:rFonts w:ascii="Times New Roman" w:cs="Times New Roman" w:eastAsia="Times New Roman" w:hAnsi="Times New Roman"/>
          <w:sz w:val="17"/>
          <w:szCs w:val="17"/>
          <w:color w:val="auto"/>
        </w:rPr>
        <w:t>By:</w:t>
        <w:tab/>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19050</wp:posOffset>
            </wp:positionV>
            <wp:extent cx="24123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Horacio D. Rozanski</w:t>
      </w:r>
    </w:p>
    <w:p>
      <w:pPr>
        <w:ind w:left="7440"/>
        <w:spacing w:after="0" w:line="222"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5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 PURSUANT TO RULE 13A-14(A)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Matthew A. Calderone, certify that:</w:t>
      </w:r>
    </w:p>
    <w:p>
      <w:pPr>
        <w:spacing w:after="0" w:line="168" w:lineRule="exact"/>
        <w:rPr>
          <w:sz w:val="20"/>
          <w:szCs w:val="20"/>
          <w:color w:val="auto"/>
        </w:rPr>
      </w:pPr>
    </w:p>
    <w:p>
      <w:pPr>
        <w:ind w:left="180" w:hanging="176"/>
        <w:spacing w:after="0"/>
        <w:tabs>
          <w:tab w:leader="none" w:pos="1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Booz Allen Hamilton Holding Corporation.</w:t>
      </w:r>
    </w:p>
    <w:p>
      <w:pPr>
        <w:spacing w:after="0" w:line="167"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right="180" w:firstLine="4"/>
        <w:spacing w:after="0" w:line="273" w:lineRule="auto"/>
        <w:tabs>
          <w:tab w:leader="none" w:pos="17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right="140" w:firstLine="4"/>
        <w:spacing w:after="0" w:line="273" w:lineRule="auto"/>
        <w:tabs>
          <w:tab w:leader="none" w:pos="2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7"/>
          <w:szCs w:val="17"/>
          <w:color w:val="auto"/>
        </w:rPr>
      </w:pPr>
    </w:p>
    <w:p>
      <w:pPr>
        <w:ind w:right="200" w:firstLine="4"/>
        <w:spacing w:after="0" w:line="273" w:lineRule="auto"/>
        <w:tabs>
          <w:tab w:leader="none" w:pos="24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7"/>
          <w:szCs w:val="17"/>
          <w:color w:val="auto"/>
        </w:rPr>
      </w:pPr>
    </w:p>
    <w:p>
      <w:pPr>
        <w:ind w:right="320" w:firstLine="4"/>
        <w:spacing w:after="0" w:line="292" w:lineRule="auto"/>
        <w:tabs>
          <w:tab w:leader="none" w:pos="2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w:t>
      </w:r>
    </w:p>
    <w:p>
      <w:pPr>
        <w:spacing w:after="0" w:line="30"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fourth fiscal quarter in the case of an annual report) that has materially affected, or is reasonably likely to materially affect, the registrant's internal control over financial reporting.</w:t>
      </w:r>
    </w:p>
    <w:p>
      <w:pPr>
        <w:spacing w:after="0" w:line="114" w:lineRule="exact"/>
        <w:rPr>
          <w:sz w:val="20"/>
          <w:szCs w:val="20"/>
          <w:color w:val="auto"/>
        </w:rPr>
      </w:pPr>
    </w:p>
    <w:p>
      <w:pPr>
        <w:ind w:right="120" w:firstLine="4"/>
        <w:spacing w:after="0" w:line="292" w:lineRule="auto"/>
        <w:tabs>
          <w:tab w:leader="none" w:pos="17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5" w:lineRule="exact"/>
        <w:rPr>
          <w:sz w:val="20"/>
          <w:szCs w:val="20"/>
          <w:color w:val="auto"/>
        </w:rPr>
      </w:pPr>
    </w:p>
    <w:p>
      <w:pPr>
        <w:ind w:right="480" w:firstLine="4"/>
        <w:spacing w:after="0" w:line="292" w:lineRule="auto"/>
        <w:tabs>
          <w:tab w:leader="none" w:pos="2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right="80" w:firstLine="4"/>
        <w:spacing w:after="0" w:line="292" w:lineRule="auto"/>
        <w:tabs>
          <w:tab w:leader="none" w:pos="24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7"/>
          <w:szCs w:val="17"/>
          <w:color w:val="auto"/>
        </w:rPr>
        <w:t>Date: October 25, 2024</w:t>
      </w:r>
      <w:r>
        <w:rPr>
          <w:sz w:val="20"/>
          <w:szCs w:val="20"/>
          <w:color w:val="auto"/>
        </w:rPr>
        <w:tab/>
      </w:r>
      <w:r>
        <w:rPr>
          <w:rFonts w:ascii="Times New Roman" w:cs="Times New Roman" w:eastAsia="Times New Roman" w:hAnsi="Times New Roman"/>
          <w:sz w:val="17"/>
          <w:szCs w:val="17"/>
          <w:color w:val="auto"/>
        </w:rPr>
        <w:t>By:</w:t>
        <w:tab/>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2683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26834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Matthew A. Calderone</w:t>
      </w:r>
    </w:p>
    <w:p>
      <w:pPr>
        <w:ind w:left="60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Officer)</w:t>
      </w:r>
    </w:p>
    <w:p>
      <w:pPr>
        <w:sectPr>
          <w:pgSz w:w="11900" w:h="16838" w:orient="portrait"/>
          <w:cols w:equalWidth="0" w:num="1">
            <w:col w:w="11240"/>
          </w:cols>
          <w:pgMar w:left="320" w:top="85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connection with the report on Form 10-Q of Booz Allen Hamilton Holding Corporation (the “Company”) for the fiscal quarter ended September 30, 2024,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11" w:lineRule="exact"/>
        <w:rPr>
          <w:sz w:val="20"/>
          <w:szCs w:val="20"/>
          <w:color w:val="auto"/>
        </w:rPr>
      </w:pPr>
    </w:p>
    <w:p>
      <w:pPr>
        <w:ind w:left="240" w:hanging="236"/>
        <w:spacing w:after="0"/>
        <w:tabs>
          <w:tab w:leader="none" w:pos="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w:t>
      </w:r>
    </w:p>
    <w:p>
      <w:pPr>
        <w:spacing w:after="0" w:line="16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7"/>
          <w:szCs w:val="17"/>
          <w:color w:val="auto"/>
        </w:rPr>
        <w:t>Date: October 25, 2024</w:t>
      </w:r>
      <w:r>
        <w:rPr>
          <w:sz w:val="20"/>
          <w:szCs w:val="20"/>
          <w:color w:val="auto"/>
        </w:rPr>
        <w:tab/>
      </w:r>
      <w:r>
        <w:rPr>
          <w:rFonts w:ascii="Times New Roman" w:cs="Times New Roman" w:eastAsia="Times New Roman" w:hAnsi="Times New Roman"/>
          <w:sz w:val="17"/>
          <w:szCs w:val="17"/>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19050</wp:posOffset>
            </wp:positionV>
            <wp:extent cx="28816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Horacio D. Rozanski</w:t>
      </w:r>
    </w:p>
    <w:p>
      <w:pPr>
        <w:ind w:left="6700"/>
        <w:spacing w:after="0" w:line="222"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connection with the report on Form 10-Q of Booz Allen Hamilton Holding Corporation (the “Company”) for the fiscal quarter ended September 30, 2024,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11" w:lineRule="exact"/>
        <w:rPr>
          <w:sz w:val="20"/>
          <w:szCs w:val="20"/>
          <w:color w:val="auto"/>
        </w:rPr>
      </w:pPr>
    </w:p>
    <w:p>
      <w:pPr>
        <w:ind w:left="240" w:hanging="236"/>
        <w:spacing w:after="0"/>
        <w:tabs>
          <w:tab w:leader="none" w:pos="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w:t>
      </w:r>
    </w:p>
    <w:p>
      <w:pPr>
        <w:spacing w:after="0" w:line="16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7"/>
          <w:szCs w:val="17"/>
          <w:color w:val="auto"/>
        </w:rPr>
        <w:t>Date: October 25, 2024</w:t>
      </w:r>
      <w:r>
        <w:rPr>
          <w:sz w:val="20"/>
          <w:szCs w:val="20"/>
          <w:color w:val="auto"/>
        </w:rPr>
        <w:tab/>
      </w:r>
      <w:r>
        <w:rPr>
          <w:rFonts w:ascii="Times New Roman" w:cs="Times New Roman" w:eastAsia="Times New Roman" w:hAnsi="Times New Roman"/>
          <w:sz w:val="17"/>
          <w:szCs w:val="17"/>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19050</wp:posOffset>
            </wp:positionV>
            <wp:extent cx="33921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Matthew A. Calderone</w:t>
      </w:r>
    </w:p>
    <w:p>
      <w:pPr>
        <w:ind w:left="58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Officer)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lvl w:ilvl="1">
      <w:lvlJc w:val="left"/>
      <w:lvlText w:val="(%2)"/>
      <w:numFmt w:val="decimal"/>
      <w:start w:val="1"/>
    </w:lvl>
  </w:abstractNum>
  <w:abstractNum w:abstractNumId="6">
    <w:nsid w:val="75A2A8D4"/>
    <w:multiLevelType w:val="hybridMultilevel"/>
    <w:lvl w:ilvl="0">
      <w:lvlJc w:val="left"/>
      <w:lvlText w:val="%1."/>
      <w:numFmt w:val="decimal"/>
      <w:start w:val="5"/>
    </w:lvl>
    <w:lvl w:ilvl="1">
      <w:lvlJc w:val="left"/>
      <w:lvlText w:val="%2"/>
      <w:numFmt w:val="decimal"/>
      <w:start w:val="1"/>
    </w:lvl>
  </w:abstractNum>
  <w:abstractNum w:abstractNumId="7">
    <w:nsid w:val="8EDBDAB"/>
    <w:multiLevelType w:val="hybridMultilevel"/>
    <w:lvl w:ilvl="0">
      <w:lvlJc w:val="left"/>
      <w:lvlText w:val="%1"/>
      <w:numFmt w:val="decimal"/>
      <w:start w:val="1"/>
    </w:lvl>
    <w:lvl w:ilvl="1">
      <w:lvlJc w:val="left"/>
      <w:lvlText w:val="(%2)"/>
      <w:numFmt w:val="decimal"/>
      <w:start w:val="1"/>
    </w:lvl>
  </w:abstractNum>
  <w:abstractNum w:abstractNumId="8">
    <w:nsid w:val="79838CB2"/>
    <w:multiLevelType w:val="hybridMultilevel"/>
    <w:lvl w:ilvl="0">
      <w:lvlJc w:val="left"/>
      <w:lvlText w:val="%1."/>
      <w:numFmt w:val="decimal"/>
      <w:start w:val="9"/>
    </w:lvl>
    <w:lvl w:ilvl="1">
      <w:lvlJc w:val="left"/>
      <w:lvlText w:val="%2"/>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Roman"/>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22"/>
    </w:lvl>
  </w:abstractNum>
  <w:abstractNum w:abstractNumId="30">
    <w:nsid w:val="5072367"/>
    <w:multiLevelType w:val="hybridMultilevel"/>
    <w:lvl w:ilvl="0">
      <w:lvlJc w:val="left"/>
      <w:lvlText w:val="%1"/>
      <w:numFmt w:val="decimal"/>
      <w:start w:val="10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02" Type="http://schemas.openxmlformats.org/officeDocument/2006/relationships/hyperlink" Target="https://www.sec.gov/Archives/edgar/data/1443646/000144364624000075/bah-202403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2024-10-25T05:52:11Z</dcterms:created>
  <dcterms:modified xsi:type="dcterms:W3CDTF">2024-10-25T05:52:11Z</dcterms:modified>
</cp:coreProperties>
</file>