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2018</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080" w:type="dxa"/>
            <w:vAlign w:val="bottom"/>
            <w:gridSpan w:val="2"/>
          </w:tcPr>
          <w:p>
            <w:pPr>
              <w:jc w:val="center"/>
              <w:ind w:right="3881"/>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jc w:val="right"/>
              <w:ind w:right="897"/>
              <w:spacing w:after="0"/>
              <w:rPr>
                <w:sz w:val="20"/>
                <w:szCs w:val="20"/>
                <w:color w:val="auto"/>
              </w:rPr>
            </w:pPr>
            <w:r>
              <w:rPr>
                <w:rFonts w:ascii="Arial" w:cs="Arial" w:eastAsia="Arial" w:hAnsi="Arial"/>
                <w:sz w:val="18"/>
                <w:szCs w:val="18"/>
                <w:b w:val="1"/>
                <w:bCs w:val="1"/>
                <w:color w:val="auto"/>
                <w:w w:val="93"/>
              </w:rPr>
              <w:t>26-2634160</w:t>
            </w:r>
          </w:p>
        </w:tc>
        <w:tc>
          <w:tcPr>
            <w:tcW w:w="0" w:type="dxa"/>
            <w:vAlign w:val="bottom"/>
          </w:tcPr>
          <w:p>
            <w:pPr>
              <w:spacing w:after="0"/>
              <w:rPr>
                <w:sz w:val="1"/>
                <w:szCs w:val="1"/>
                <w:color w:val="auto"/>
              </w:rPr>
            </w:pPr>
          </w:p>
        </w:tc>
      </w:tr>
      <w:tr>
        <w:trPr>
          <w:trHeight w:val="180"/>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5"/>
                <w:szCs w:val="15"/>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7320" w:type="dxa"/>
            <w:vAlign w:val="bottom"/>
            <w:gridSpan w:val="3"/>
          </w:tcPr>
          <w:p>
            <w:pPr>
              <w:jc w:val="center"/>
              <w:ind w:right="164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jc w:val="right"/>
              <w:ind w:right="1117"/>
              <w:spacing w:after="0"/>
              <w:rPr>
                <w:sz w:val="20"/>
                <w:szCs w:val="20"/>
                <w:color w:val="auto"/>
              </w:rPr>
            </w:pPr>
            <w:r>
              <w:rPr>
                <w:rFonts w:ascii="Arial" w:cs="Arial" w:eastAsia="Arial" w:hAnsi="Arial"/>
                <w:sz w:val="18"/>
                <w:szCs w:val="18"/>
                <w:b w:val="1"/>
                <w:bCs w:val="1"/>
                <w:color w:val="auto"/>
              </w:rPr>
              <w:t>22102</w:t>
            </w:r>
          </w:p>
        </w:tc>
        <w:tc>
          <w:tcPr>
            <w:tcW w:w="0" w:type="dxa"/>
            <w:vAlign w:val="bottom"/>
          </w:tcPr>
          <w:p>
            <w:pPr>
              <w:spacing w:after="0"/>
              <w:rPr>
                <w:sz w:val="1"/>
                <w:szCs w:val="1"/>
                <w:color w:val="auto"/>
              </w:rPr>
            </w:pPr>
          </w:p>
        </w:tc>
      </w:tr>
      <w:tr>
        <w:trPr>
          <w:trHeight w:val="218"/>
        </w:trPr>
        <w:tc>
          <w:tcPr>
            <w:tcW w:w="7320" w:type="dxa"/>
            <w:vAlign w:val="bottom"/>
            <w:gridSpan w:val="3"/>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jc w:val="center"/>
              <w:ind w:right="85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9"/>
        </w:trPr>
        <w:tc>
          <w:tcPr>
            <w:tcW w:w="7320" w:type="dxa"/>
            <w:vAlign w:val="bottom"/>
            <w:gridSpan w:val="3"/>
          </w:tcPr>
          <w:p>
            <w:pPr>
              <w:jc w:val="right"/>
              <w:ind w:right="961"/>
              <w:spacing w:after="0"/>
              <w:rPr>
                <w:sz w:val="20"/>
                <w:szCs w:val="20"/>
                <w:color w:val="auto"/>
              </w:rPr>
            </w:pPr>
            <w:r>
              <w:rPr>
                <w:rFonts w:ascii="Arial" w:cs="Arial" w:eastAsia="Arial" w:hAnsi="Arial"/>
                <w:sz w:val="18"/>
                <w:szCs w:val="18"/>
                <w:b w:val="1"/>
                <w:bCs w:val="1"/>
                <w:color w:val="auto"/>
              </w:rPr>
              <w:t>(703) 902-5000</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9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64"/>
        </w:trPr>
        <w:tc>
          <w:tcPr>
            <w:tcW w:w="7320" w:type="dxa"/>
            <w:vAlign w:val="bottom"/>
            <w:gridSpan w:val="3"/>
          </w:tcPr>
          <w:p>
            <w:pPr>
              <w:jc w:val="center"/>
              <w:ind w:right="1601"/>
              <w:spacing w:after="0"/>
              <w:rPr>
                <w:sz w:val="20"/>
                <w:szCs w:val="20"/>
                <w:color w:val="auto"/>
              </w:rPr>
            </w:pPr>
            <w:r>
              <w:rPr>
                <w:rFonts w:ascii="Arial" w:cs="Arial" w:eastAsia="Arial" w:hAnsi="Arial"/>
                <w:sz w:val="18"/>
                <w:szCs w:val="18"/>
                <w:color w:val="auto"/>
                <w:w w:val="90"/>
              </w:rPr>
              <w:t>Class A Common Stock</w:t>
            </w:r>
          </w:p>
        </w:tc>
        <w:tc>
          <w:tcPr>
            <w:tcW w:w="400" w:type="dxa"/>
            <w:vAlign w:val="bottom"/>
          </w:tcPr>
          <w:p>
            <w:pPr>
              <w:spacing w:after="0"/>
              <w:rPr>
                <w:sz w:val="22"/>
                <w:szCs w:val="22"/>
                <w:color w:val="auto"/>
              </w:rPr>
            </w:pPr>
          </w:p>
        </w:tc>
        <w:tc>
          <w:tcPr>
            <w:tcW w:w="2420" w:type="dxa"/>
            <w:vAlign w:val="bottom"/>
            <w:gridSpan w:val="2"/>
          </w:tcPr>
          <w:p>
            <w:pPr>
              <w:jc w:val="center"/>
              <w:ind w:right="317"/>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6"/>
                <w:szCs w:val="16"/>
                <w:b w:val="1"/>
                <w:bCs w:val="1"/>
                <w:color w:val="auto"/>
                <w:w w:val="89"/>
              </w:rPr>
              <w:t>None.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jc w:val="right"/>
              <w:ind w:right="801"/>
              <w:spacing w:after="0"/>
              <w:rPr>
                <w:sz w:val="20"/>
                <w:szCs w:val="20"/>
                <w:color w:val="auto"/>
              </w:rPr>
            </w:pPr>
            <w:r>
              <w:rPr>
                <w:rFonts w:ascii="Arial" w:cs="Arial" w:eastAsia="Arial" w:hAnsi="Arial"/>
                <w:sz w:val="16"/>
                <w:szCs w:val="16"/>
                <w:color w:val="auto"/>
              </w:rPr>
              <w:t>__________________</w:t>
            </w:r>
          </w:p>
        </w:tc>
        <w:tc>
          <w:tcPr>
            <w:tcW w:w="400" w:type="dxa"/>
            <w:vAlign w:val="bottom"/>
          </w:tcPr>
          <w:p>
            <w:pPr>
              <w:spacing w:after="0"/>
              <w:rPr>
                <w:sz w:val="16"/>
                <w:szCs w:val="16"/>
                <w:color w:val="auto"/>
              </w:rPr>
            </w:pPr>
          </w:p>
        </w:tc>
        <w:tc>
          <w:tcPr>
            <w:tcW w:w="520" w:type="dxa"/>
            <w:vAlign w:val="bottom"/>
            <w:vMerge w:val="restart"/>
          </w:tcPr>
          <w:p>
            <w:pPr>
              <w:ind w:left="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vMerge w:val="restart"/>
          </w:tcPr>
          <w:p>
            <w:pPr>
              <w:jc w:val="center"/>
              <w:ind w:right="1077"/>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20" w:type="dxa"/>
            <w:vAlign w:val="bottom"/>
            <w:gridSpan w:val="4"/>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2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40" w:type="dxa"/>
            <w:vAlign w:val="bottom"/>
            <w:gridSpan w:val="5"/>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Act.  Yes</w:t>
            </w:r>
          </w:p>
        </w:tc>
        <w:tc>
          <w:tcPr>
            <w:tcW w:w="1900" w:type="dxa"/>
            <w:vAlign w:val="bottom"/>
          </w:tcPr>
          <w:p>
            <w:pPr>
              <w:jc w:val="center"/>
              <w:ind w:right="1097"/>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20"/>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140"/>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28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32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4880" w:type="dxa"/>
            <w:vAlign w:val="bottom"/>
          </w:tcPr>
          <w:p>
            <w:pPr>
              <w:ind w:left="4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58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88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358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7"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80"/>
          </w:cols>
          <w:pgMar w:left="240" w:top="1084" w:right="279" w:bottom="1440" w:gutter="0" w:footer="0" w:header="0"/>
        </w:sectPr>
      </w:pPr>
    </w:p>
    <w:bookmarkStart w:id="1" w:name="page2"/>
    <w:bookmarkEnd w:id="1"/>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29, 2017, the market value of the voting and non-voting common equity held by non-affiliates based on the closing price as of that day was $5,293,214,554.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280" w:type="dxa"/>
            <w:vAlign w:val="bottom"/>
          </w:tcPr>
          <w:p>
            <w:pPr>
              <w:spacing w:after="0"/>
              <w:rPr>
                <w:sz w:val="16"/>
                <w:szCs w:val="16"/>
                <w:color w:val="auto"/>
              </w:rPr>
            </w:pPr>
          </w:p>
        </w:tc>
        <w:tc>
          <w:tcPr>
            <w:tcW w:w="514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May 23, 2018</w:t>
            </w: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143,367,775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-127635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July 26, 2018 are incorporated by reference into Part III.</w:t>
      </w:r>
    </w:p>
    <w:p>
      <w:pPr>
        <w:sectPr>
          <w:pgSz w:w="11900" w:h="16838" w:orient="portrait"/>
          <w:cols w:equalWidth="0" w:num="1">
            <w:col w:w="11420"/>
          </w:cols>
          <w:pgMar w:left="240" w:top="107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INTRODUCTORY NOTE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372"/>
        </w:trPr>
        <w:tc>
          <w:tcPr>
            <w:tcW w:w="15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4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2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Risk Factors</w:t>
              </w:r>
            </w:hyperlink>
          </w:p>
        </w:tc>
        <w:tc>
          <w:tcPr>
            <w:tcW w:w="7580" w:type="dxa"/>
            <w:vAlign w:val="bottom"/>
            <w:gridSpan w:val="1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9"/>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Unresolved Staff Comments</w:t>
              </w:r>
            </w:hyperlink>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3"/>
          </w:tcPr>
          <w:p>
            <w:pPr>
              <w:spacing w:after="0"/>
              <w:rPr>
                <w:rFonts w:ascii="Arial" w:cs="Arial" w:eastAsia="Arial" w:hAnsi="Arial"/>
                <w:sz w:val="18"/>
                <w:szCs w:val="18"/>
                <w:b w:val="1"/>
                <w:bCs w:val="1"/>
                <w:color w:val="0000EE"/>
                <w:w w:val="85"/>
              </w:rPr>
            </w:pPr>
            <w:hyperlink w:anchor="page38">
              <w:r>
                <w:rPr>
                  <w:rFonts w:ascii="Arial" w:cs="Arial" w:eastAsia="Arial" w:hAnsi="Arial"/>
                  <w:sz w:val="18"/>
                  <w:szCs w:val="18"/>
                  <w:b w:val="1"/>
                  <w:bCs w:val="1"/>
                  <w:color w:val="0000EE"/>
                  <w:w w:val="85"/>
                </w:rPr>
                <w:t>Properties</w:t>
              </w:r>
            </w:hyperlink>
          </w:p>
        </w:tc>
        <w:tc>
          <w:tcPr>
            <w:tcW w:w="1360" w:type="dxa"/>
            <w:vAlign w:val="bottom"/>
            <w:gridSpan w:val="6"/>
          </w:tcPr>
          <w:p>
            <w:pPr>
              <w:spacing w:after="0"/>
              <w:rPr>
                <w:sz w:val="24"/>
                <w:szCs w:val="24"/>
                <w:color w:val="auto"/>
              </w:rPr>
            </w:pPr>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20"/>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Legal Proceedings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7"/>
          </w:tcPr>
          <w:p>
            <w:pPr>
              <w:spacing w:after="0"/>
              <w:rPr>
                <w:rFonts w:ascii="Arial" w:cs="Arial" w:eastAsia="Arial" w:hAnsi="Arial"/>
                <w:sz w:val="18"/>
                <w:szCs w:val="18"/>
                <w:b w:val="1"/>
                <w:bCs w:val="1"/>
                <w:color w:val="0000EE"/>
                <w:w w:val="85"/>
              </w:rPr>
            </w:pPr>
            <w:hyperlink w:anchor="page40">
              <w:r>
                <w:rPr>
                  <w:rFonts w:ascii="Arial" w:cs="Arial" w:eastAsia="Arial" w:hAnsi="Arial"/>
                  <w:sz w:val="18"/>
                  <w:szCs w:val="18"/>
                  <w:b w:val="1"/>
                  <w:bCs w:val="1"/>
                  <w:color w:val="0000EE"/>
                  <w:w w:val="85"/>
                </w:rPr>
                <w:t>Mine Safety Disclosures</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37</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60" w:type="dxa"/>
            <w:vAlign w:val="bottom"/>
            <w:gridSpan w:val="2"/>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39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5.</w:t>
            </w:r>
          </w:p>
        </w:tc>
        <w:tc>
          <w:tcPr>
            <w:tcW w:w="8560" w:type="dxa"/>
            <w:vAlign w:val="bottom"/>
            <w:gridSpan w:val="20"/>
          </w:tcPr>
          <w:p>
            <w:pPr>
              <w:spacing w:after="0"/>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Market for Registrant's Common Equity, Related Stockholder Matters and Issuer Purchases of Equity</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39</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Securities</w:t>
              </w:r>
            </w:hyperlink>
          </w:p>
        </w:tc>
        <w:tc>
          <w:tcPr>
            <w:tcW w:w="7080" w:type="dxa"/>
            <w:vAlign w:val="bottom"/>
            <w:tcBorders>
              <w:top w:val="single" w:sz="8" w:color="0000EE"/>
            </w:tcBorders>
            <w:gridSpan w:val="16"/>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7"/>
          </w:tcPr>
          <w:p>
            <w:pPr>
              <w:spacing w:after="0"/>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Selected Financial Data</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6"/>
          </w:tcPr>
          <w:p>
            <w:pPr>
              <w:spacing w:after="0"/>
              <w:rPr>
                <w:rFonts w:ascii="Arial" w:cs="Arial" w:eastAsia="Arial" w:hAnsi="Arial"/>
                <w:sz w:val="18"/>
                <w:szCs w:val="18"/>
                <w:b w:val="1"/>
                <w:bCs w:val="1"/>
                <w:color w:val="0000EE"/>
                <w:w w:val="89"/>
              </w:rPr>
            </w:pPr>
            <w:hyperlink w:anchor="page45">
              <w:r>
                <w:rPr>
                  <w:rFonts w:ascii="Arial" w:cs="Arial" w:eastAsia="Arial" w:hAnsi="Arial"/>
                  <w:sz w:val="18"/>
                  <w:szCs w:val="18"/>
                  <w:b w:val="1"/>
                  <w:bCs w:val="1"/>
                  <w:color w:val="0000EE"/>
                  <w:w w:val="8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42</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6"/>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64</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2"/>
          </w:tcPr>
          <w:p>
            <w:pPr>
              <w:spacing w:after="0"/>
              <w:rPr>
                <w:rFonts w:ascii="Arial" w:cs="Arial" w:eastAsia="Arial" w:hAnsi="Arial"/>
                <w:sz w:val="18"/>
                <w:szCs w:val="18"/>
                <w:b w:val="1"/>
                <w:bCs w:val="1"/>
                <w:color w:val="0000EE"/>
                <w:w w:val="90"/>
              </w:rPr>
            </w:pPr>
            <w:hyperlink w:anchor="page68">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w:t>
            </w:r>
          </w:p>
        </w:tc>
        <w:tc>
          <w:tcPr>
            <w:tcW w:w="8560" w:type="dxa"/>
            <w:vAlign w:val="bottom"/>
            <w:gridSpan w:val="20"/>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Changes in and Disagreements With Accountants on Accounting and Financial Disclosure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65</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8"/>
          </w:tcPr>
          <w:p>
            <w:pPr>
              <w:spacing w:after="0"/>
              <w:rPr>
                <w:rFonts w:ascii="Arial" w:cs="Arial" w:eastAsia="Arial" w:hAnsi="Arial"/>
                <w:sz w:val="18"/>
                <w:szCs w:val="18"/>
                <w:b w:val="1"/>
                <w:bCs w:val="1"/>
                <w:color w:val="0000EE"/>
                <w:w w:val="86"/>
              </w:rPr>
            </w:pPr>
            <w:hyperlink w:anchor="page111">
              <w:r>
                <w:rPr>
                  <w:rFonts w:ascii="Arial" w:cs="Arial" w:eastAsia="Arial" w:hAnsi="Arial"/>
                  <w:sz w:val="18"/>
                  <w:szCs w:val="18"/>
                  <w:b w:val="1"/>
                  <w:bCs w:val="1"/>
                  <w:color w:val="0000EE"/>
                  <w:w w:val="86"/>
                </w:rPr>
                <w:t>Controls and Procedures</w:t>
              </w:r>
            </w:hyperlink>
          </w:p>
        </w:tc>
        <w:tc>
          <w:tcPr>
            <w:tcW w:w="5000" w:type="dxa"/>
            <w:vAlign w:val="bottom"/>
            <w:gridSpan w:val="9"/>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65</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8"/>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Other Information</w:t>
              </w:r>
            </w:hyperlink>
          </w:p>
        </w:tc>
        <w:tc>
          <w:tcPr>
            <w:tcW w:w="666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67</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10.</w:t>
            </w:r>
          </w:p>
        </w:tc>
        <w:tc>
          <w:tcPr>
            <w:tcW w:w="4380" w:type="dxa"/>
            <w:vAlign w:val="bottom"/>
            <w:gridSpan w:val="13"/>
          </w:tcPr>
          <w:p>
            <w:pPr>
              <w:spacing w:after="0"/>
              <w:rPr>
                <w:rFonts w:ascii="Arial" w:cs="Arial" w:eastAsia="Arial" w:hAnsi="Arial"/>
                <w:sz w:val="18"/>
                <w:szCs w:val="18"/>
                <w:b w:val="1"/>
                <w:bCs w:val="1"/>
                <w:color w:val="0000EE"/>
                <w:w w:val="90"/>
              </w:rPr>
            </w:pPr>
            <w:hyperlink w:anchor="page113">
              <w:r>
                <w:rPr>
                  <w:rFonts w:ascii="Arial" w:cs="Arial" w:eastAsia="Arial" w:hAnsi="Arial"/>
                  <w:sz w:val="18"/>
                  <w:szCs w:val="18"/>
                  <w:b w:val="1"/>
                  <w:bCs w:val="1"/>
                  <w:color w:val="0000EE"/>
                  <w:w w:val="90"/>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67</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3"/>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67</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12.</w:t>
            </w:r>
          </w:p>
        </w:tc>
        <w:tc>
          <w:tcPr>
            <w:tcW w:w="8560" w:type="dxa"/>
            <w:vAlign w:val="bottom"/>
            <w:gridSpan w:val="20"/>
          </w:tcPr>
          <w:p>
            <w:pPr>
              <w:spacing w:after="0"/>
              <w:rPr>
                <w:rFonts w:ascii="Arial" w:cs="Arial" w:eastAsia="Arial" w:hAnsi="Arial"/>
                <w:sz w:val="18"/>
                <w:szCs w:val="18"/>
                <w:b w:val="1"/>
                <w:bCs w:val="1"/>
                <w:color w:val="0000EE"/>
                <w:w w:val="99"/>
              </w:rPr>
            </w:pPr>
            <w:hyperlink w:anchor="page114">
              <w:r>
                <w:rPr>
                  <w:rFonts w:ascii="Arial" w:cs="Arial" w:eastAsia="Arial" w:hAnsi="Arial"/>
                  <w:sz w:val="18"/>
                  <w:szCs w:val="18"/>
                  <w:b w:val="1"/>
                  <w:bCs w:val="1"/>
                  <w:color w:val="0000EE"/>
                  <w:w w:val="99"/>
                </w:rPr>
                <w:t>Security Ownership of Certain Beneficial Owners and Management and Related Stockholder Matters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13.</w:t>
            </w:r>
          </w:p>
        </w:tc>
        <w:tc>
          <w:tcPr>
            <w:tcW w:w="7800" w:type="dxa"/>
            <w:vAlign w:val="bottom"/>
            <w:gridSpan w:val="18"/>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14.</w:t>
            </w:r>
          </w:p>
        </w:tc>
        <w:tc>
          <w:tcPr>
            <w:tcW w:w="3040" w:type="dxa"/>
            <w:vAlign w:val="bottom"/>
            <w:gridSpan w:val="10"/>
          </w:tcPr>
          <w:p>
            <w:pPr>
              <w:spacing w:after="0"/>
              <w:rPr>
                <w:rFonts w:ascii="Arial" w:cs="Arial" w:eastAsia="Arial" w:hAnsi="Arial"/>
                <w:sz w:val="18"/>
                <w:szCs w:val="18"/>
                <w:b w:val="1"/>
                <w:bCs w:val="1"/>
                <w:color w:val="0000EE"/>
                <w:w w:val="88"/>
              </w:rPr>
            </w:pPr>
            <w:hyperlink w:anchor="page114">
              <w:r>
                <w:rPr>
                  <w:rFonts w:ascii="Arial" w:cs="Arial" w:eastAsia="Arial" w:hAnsi="Arial"/>
                  <w:sz w:val="18"/>
                  <w:szCs w:val="18"/>
                  <w:b w:val="1"/>
                  <w:bCs w:val="1"/>
                  <w:color w:val="0000EE"/>
                  <w:w w:val="88"/>
                </w:rPr>
                <w:t>Principal Accounting Fees and Services</w:t>
              </w:r>
            </w:hyperlink>
          </w:p>
        </w:tc>
        <w:tc>
          <w:tcPr>
            <w:tcW w:w="282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15.</w:t>
            </w:r>
          </w:p>
        </w:tc>
        <w:tc>
          <w:tcPr>
            <w:tcW w:w="8560" w:type="dxa"/>
            <w:vAlign w:val="bottom"/>
            <w:gridSpan w:val="20"/>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Exhibits, Financial Statement Schedules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16.</w:t>
            </w:r>
          </w:p>
        </w:tc>
        <w:tc>
          <w:tcPr>
            <w:tcW w:w="3080" w:type="dxa"/>
            <w:vAlign w:val="bottom"/>
            <w:gridSpan w:val="11"/>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Form 10-K Summary</w:t>
              </w:r>
            </w:hyperlink>
          </w:p>
        </w:tc>
        <w:tc>
          <w:tcPr>
            <w:tcW w:w="5480" w:type="dxa"/>
            <w:vAlign w:val="bottom"/>
            <w:gridSpan w:val="9"/>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72</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60"/>
          </w:cols>
          <w:pgMar w:left="280" w:top="931"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2018, references to:</w:t>
      </w:r>
    </w:p>
    <w:p>
      <w:pPr>
        <w:spacing w:after="0" w:line="46" w:lineRule="exact"/>
        <w:rPr>
          <w:sz w:val="20"/>
          <w:szCs w:val="20"/>
          <w:color w:val="auto"/>
        </w:rPr>
      </w:pPr>
    </w:p>
    <w:p>
      <w:pPr>
        <w:ind w:firstLine="8"/>
        <w:spacing w:after="0" w:line="252" w:lineRule="auto"/>
        <w:tabs>
          <w:tab w:leader="none" w:pos="2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2018. We have made rounding adjustments to reach some of the figures included in this Annual Report and, unless otherwise indicated, percentages presented in this Annual Report are approximate.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 w:lineRule="exact"/>
        <w:rPr>
          <w:sz w:val="20"/>
          <w:szCs w:val="20"/>
          <w:color w:val="auto"/>
        </w:rPr>
      </w:pPr>
    </w:p>
    <w:p>
      <w:pPr>
        <w:ind w:left="540" w:right="680" w:hanging="316"/>
        <w:spacing w:after="0" w:line="317"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cutting and efficiency initiatives, budget reductions, Congressionally mandated automatic spending cuts, and other efforts to reduce U.S. government spending, including automatic sequestration required by the Budget Control Act of 2011 (as subsequently amended);</w:t>
      </w:r>
    </w:p>
    <w:p>
      <w:pPr>
        <w:ind w:left="540" w:right="60" w:hanging="316"/>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delayed funding of our contracts due to uncertainty relating to and a possible failure of Congressional efforts to approve funding of the U.S. government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spacing w:after="0" w:line="3" w:lineRule="exact"/>
        <w:rPr>
          <w:rFonts w:ascii="Arial" w:cs="Arial" w:eastAsia="Arial" w:hAnsi="Arial"/>
          <w:sz w:val="17"/>
          <w:szCs w:val="17"/>
          <w:color w:val="auto"/>
        </w:rPr>
      </w:pPr>
    </w:p>
    <w:p>
      <w:pPr>
        <w:ind w:left="540" w:right="80" w:hanging="316"/>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current and continued uncertainty around the timing, extent, nature, and effect of ongoing Congressional and other U.S. government action to address budgetary constraints, including, but not limited to, Congressional efforts to approve funding of the U.S. government and to craft a long-term agreement on the U.S. government’s ability to incur indebtedness in excess of its current limits and the U.S. deficit;</w:t>
      </w:r>
    </w:p>
    <w:p>
      <w:pPr>
        <w:spacing w:after="0" w:line="3" w:lineRule="exact"/>
        <w:rPr>
          <w:rFonts w:ascii="Arial" w:cs="Arial" w:eastAsia="Arial" w:hAnsi="Arial"/>
          <w:sz w:val="17"/>
          <w:szCs w:val="17"/>
          <w:color w:val="auto"/>
        </w:rPr>
      </w:pPr>
    </w:p>
    <w:p>
      <w:pPr>
        <w:ind w:left="540" w:right="7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8" w:lineRule="exact"/>
        <w:rPr>
          <w:rFonts w:ascii="Arial" w:cs="Arial" w:eastAsia="Arial" w:hAnsi="Arial"/>
          <w:sz w:val="18"/>
          <w:szCs w:val="18"/>
          <w:color w:val="auto"/>
        </w:rPr>
      </w:pPr>
    </w:p>
    <w:p>
      <w:pPr>
        <w:ind w:left="540" w:right="460" w:hanging="316"/>
        <w:spacing w:after="0" w:line="298"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63" w:lineRule="exact"/>
        <w:rPr>
          <w:rFonts w:ascii="Arial" w:cs="Arial" w:eastAsia="Arial" w:hAnsi="Arial"/>
          <w:sz w:val="18"/>
          <w:szCs w:val="18"/>
          <w:color w:val="auto"/>
        </w:rPr>
      </w:pPr>
    </w:p>
    <w:p>
      <w:pPr>
        <w:ind w:left="540" w:right="300" w:hanging="316"/>
        <w:spacing w:after="0" w:line="298"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ind w:left="540" w:right="10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8"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74" w:lineRule="exact"/>
        <w:rPr>
          <w:rFonts w:ascii="Arial" w:cs="Arial" w:eastAsia="Arial" w:hAnsi="Arial"/>
          <w:sz w:val="17"/>
          <w:szCs w:val="17"/>
          <w:color w:val="auto"/>
        </w:rPr>
      </w:pPr>
    </w:p>
    <w:p>
      <w:pPr>
        <w:ind w:left="540" w:right="40" w:hanging="316"/>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24"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88" w:right="259" w:bottom="1440" w:gutter="0" w:footer="0" w:header="0"/>
        </w:sectPr>
      </w:pPr>
    </w:p>
    <w:bookmarkStart w:id="4" w:name="page5"/>
    <w:bookmarkEnd w:id="4"/>
    <w:p>
      <w:pPr>
        <w:ind w:left="540" w:hanging="316"/>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74" w:lineRule="exact"/>
        <w:rPr>
          <w:rFonts w:ascii="Arial" w:cs="Arial" w:eastAsia="Arial" w:hAnsi="Arial"/>
          <w:sz w:val="17"/>
          <w:szCs w:val="17"/>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 or manage our cost structure;</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63"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8"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63"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8" w:lineRule="exact"/>
        <w:rPr>
          <w:rFonts w:ascii="Arial" w:cs="Arial" w:eastAsia="Arial" w:hAnsi="Arial"/>
          <w:sz w:val="18"/>
          <w:szCs w:val="18"/>
          <w:color w:val="auto"/>
        </w:rPr>
      </w:pPr>
    </w:p>
    <w:p>
      <w:pPr>
        <w:jc w:val="both"/>
        <w:ind w:left="540" w:right="120" w:hanging="316"/>
        <w:spacing w:after="0" w:line="26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9"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8"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63" w:lineRule="exact"/>
        <w:rPr>
          <w:rFonts w:ascii="Arial" w:cs="Arial" w:eastAsia="Arial" w:hAnsi="Arial"/>
          <w:sz w:val="18"/>
          <w:szCs w:val="18"/>
          <w:color w:val="auto"/>
        </w:rPr>
      </w:pPr>
    </w:p>
    <w:p>
      <w:pPr>
        <w:jc w:val="both"/>
        <w:ind w:left="540" w:right="260" w:hanging="316"/>
        <w:spacing w:after="0" w:line="26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anticipate or estimate the tax implications of changes in tax law, including the Tax Cuts and Jobs Act (the "2017 Tax Act"), or utilize existing or future tax benefits, including those related to our stock-based compensation expense, for any reason, including as a result of a change in law, such as the 2017 Tax Act;</w:t>
      </w:r>
    </w:p>
    <w:p>
      <w:pPr>
        <w:spacing w:after="0" w:line="19"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6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the communities in which we live and work. This is our heritage, and it is as true today as when the company was founded in 1914.</w:t>
      </w:r>
    </w:p>
    <w:p>
      <w:pPr>
        <w:spacing w:after="0" w:line="63"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A collaborative culture is an integral part of our unique operating model, which encourages our people to bring a diversity of ideas and talent to every client engagement. Building on our legacy of passionate client service and guided by our comprehensive Vision 2020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18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needs, we have longstanding relationships with our clients, some more than 75 years. We support critical missions for a diverse base of federal government clients, including nearly all of the</w:t>
      </w:r>
    </w:p>
    <w:p>
      <w:pPr>
        <w:ind w:right="300"/>
        <w:spacing w:after="0" w:line="290" w:lineRule="auto"/>
        <w:rPr>
          <w:sz w:val="20"/>
          <w:szCs w:val="20"/>
          <w:color w:val="auto"/>
        </w:rPr>
      </w:pPr>
      <w:r>
        <w:rPr>
          <w:rFonts w:ascii="Arial" w:cs="Arial" w:eastAsia="Arial" w:hAnsi="Arial"/>
          <w:sz w:val="16"/>
          <w:szCs w:val="16"/>
          <w:color w:val="auto"/>
        </w:rPr>
        <w:t>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we have a growing presence in Southeast Asia.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Corporate Structure</w:t>
      </w:r>
    </w:p>
    <w:p>
      <w:pPr>
        <w:spacing w:after="0" w:line="121"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73"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Institution and Operating Model</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operate as a single profit/loss center with a single bonus pool for partners, vice presidents, principals, and senior associates.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firm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8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88" w:right="259" w:bottom="1440" w:gutter="0" w:footer="0" w:header="0"/>
        </w:sectPr>
      </w:pPr>
    </w:p>
    <w:bookmarkStart w:id="6" w:name="page7"/>
    <w:bookmarkEnd w:id="6"/>
    <w:p>
      <w:pPr>
        <w:ind w:right="660"/>
        <w:spacing w:after="0" w:line="342" w:lineRule="auto"/>
        <w:rPr>
          <w:sz w:val="20"/>
          <w:szCs w:val="20"/>
          <w:color w:val="auto"/>
        </w:rPr>
      </w:pPr>
      <w:r>
        <w:rPr>
          <w:rFonts w:ascii="Arial" w:cs="Arial" w:eastAsia="Arial" w:hAnsi="Arial"/>
          <w:sz w:val="16"/>
          <w:szCs w:val="16"/>
          <w:color w:val="auto"/>
        </w:rPr>
        <w:t>help us identify and deliver against diverse client needs in a more agile manner. Our significant win rates during fiscal 2018 on new and re-competed contracts of 63% and 87%, respectively, as compared to 62% and 90%, respectively, in fiscal 2017 demonstrate the strength of this approach.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ability to deliver lasting value and results to our clients has always been, and continues to be, a product of the strong character, expertise and tremendous passion of our people. Our approximately 24,600 employees work to solve hard problems by making our clients' missions their own, combining decades of consulting and domain expertise with functional expertise in areas such as analytics, digital solutions, engineering, and cyber. Our talented people are supported by a culture of innovation and inclusion.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people at a glance:</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77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Nearly 28% are veterans, including 17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84% hold bachelor's degrees; approximately 40% hold master's degrees; and approximately 3% hold doctoral degrees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69% hold security clearances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attract and retain the best people by providing them with opportunities to grow, build skills, and be appreciated for their contributions as they work on our clients' toughest challenges. This value proposition creates a virtuous circle in which our employees know they are making a difference while growing their careers, which furthers their commitment to Booz Allen and makes them ambassadors for future talent. Booz Allen has always recognized the importance of our people and culture, and we continue to build on that strong legacy as we support our employees to meet their full potential.</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also foster the spirit of innovation through events, partnerships, programs, and tools that facilitate collaboration to tackle a common challenge or pitch new products and capabilities. It is the diversity of our employees that fuels this innovation enhancing the way we work by bringing a wealth of experiences and expertise to any challenge. We celebrate difference in all forms, building an environment of inclusion regardless of ethnicity, religion, gender, sexual orientation, age or disability.</w:t>
      </w:r>
    </w:p>
    <w:p>
      <w:pPr>
        <w:spacing w:after="0" w:line="7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 xml:space="preserve">The importance we place on our people continues to receive external recognition. For the eighth consecutive year, Booz Allen has received a perfect score on the Corporate Equality Index (CEI), a national benchmarking survey on corporate policies and practices related to LGBTQ workplace equality administered by the Human Rights Campaign Foundation. In addition, for the third consecutive year, Booz Allen received a perfect score on the 2017 Disability Equality Index (DEI), and has been named a DEI "Best Place to Work." Vault.com ranked us as #1 in public sector consulting.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named the company as one of the World's Most Admired Companies and </w:t>
      </w:r>
      <w:r>
        <w:rPr>
          <w:rFonts w:ascii="Arial" w:cs="Arial" w:eastAsia="Arial" w:hAnsi="Arial"/>
          <w:sz w:val="16"/>
          <w:szCs w:val="16"/>
          <w:i w:val="1"/>
          <w:iCs w:val="1"/>
          <w:color w:val="auto"/>
        </w:rPr>
        <w:t>Forbes</w:t>
      </w:r>
      <w:r>
        <w:rPr>
          <w:rFonts w:ascii="Arial" w:cs="Arial" w:eastAsia="Arial" w:hAnsi="Arial"/>
          <w:sz w:val="16"/>
          <w:szCs w:val="16"/>
          <w:color w:val="auto"/>
        </w:rPr>
        <w:t xml:space="preserve"> selected us as one of the Top Employers for Veterans and one of the best Management Consulting Firms for 2017. We have also been honored with industry awards that showcase our employer brand, including "One of the 9 Best Management Consulting Firms" by </w:t>
      </w:r>
      <w:r>
        <w:rPr>
          <w:rFonts w:ascii="Arial" w:cs="Arial" w:eastAsia="Arial" w:hAnsi="Arial"/>
          <w:sz w:val="16"/>
          <w:szCs w:val="16"/>
          <w:i w:val="1"/>
          <w:iCs w:val="1"/>
          <w:color w:val="auto"/>
        </w:rPr>
        <w:t>Business Insider</w:t>
      </w:r>
      <w:r>
        <w:rPr>
          <w:rFonts w:ascii="Arial" w:cs="Arial" w:eastAsia="Arial" w:hAnsi="Arial"/>
          <w:sz w:val="16"/>
          <w:szCs w:val="16"/>
          <w:color w:val="auto"/>
        </w:rPr>
        <w:t xml:space="preserve">, a "Top Company for People with Disabilities" by </w:t>
      </w:r>
      <w:r>
        <w:rPr>
          <w:rFonts w:ascii="Arial" w:cs="Arial" w:eastAsia="Arial" w:hAnsi="Arial"/>
          <w:sz w:val="16"/>
          <w:szCs w:val="16"/>
          <w:i w:val="1"/>
          <w:iCs w:val="1"/>
          <w:color w:val="auto"/>
        </w:rPr>
        <w:t>Diversity Inc</w:t>
      </w:r>
      <w:r>
        <w:rPr>
          <w:rFonts w:ascii="Arial" w:cs="Arial" w:eastAsia="Arial" w:hAnsi="Arial"/>
          <w:sz w:val="16"/>
          <w:szCs w:val="16"/>
          <w:color w:val="auto"/>
        </w:rPr>
        <w:t xml:space="preserve">, "Best for Vets" by </w:t>
      </w:r>
      <w:r>
        <w:rPr>
          <w:rFonts w:ascii="Arial" w:cs="Arial" w:eastAsia="Arial" w:hAnsi="Arial"/>
          <w:sz w:val="16"/>
          <w:szCs w:val="16"/>
          <w:i w:val="1"/>
          <w:iCs w:val="1"/>
          <w:color w:val="auto"/>
        </w:rPr>
        <w:t>Military Times</w:t>
      </w:r>
      <w:r>
        <w:rPr>
          <w:rFonts w:ascii="Arial" w:cs="Arial" w:eastAsia="Arial" w:hAnsi="Arial"/>
          <w:sz w:val="16"/>
          <w:szCs w:val="16"/>
          <w:color w:val="auto"/>
        </w:rPr>
        <w:t xml:space="preserve">, a "Top Company of 2017" by </w:t>
      </w:r>
      <w:r>
        <w:rPr>
          <w:rFonts w:ascii="Arial" w:cs="Arial" w:eastAsia="Arial" w:hAnsi="Arial"/>
          <w:sz w:val="16"/>
          <w:szCs w:val="16"/>
          <w:i w:val="1"/>
          <w:iCs w:val="1"/>
          <w:color w:val="auto"/>
        </w:rPr>
        <w:t>LinkedIn</w:t>
      </w:r>
      <w:r>
        <w:rPr>
          <w:rFonts w:ascii="Arial" w:cs="Arial" w:eastAsia="Arial" w:hAnsi="Arial"/>
          <w:sz w:val="16"/>
          <w:szCs w:val="16"/>
          <w:color w:val="auto"/>
        </w:rPr>
        <w:t xml:space="preserve">, "Working Mother Top 100", "#7 Best Places to Work in IT" by </w:t>
      </w:r>
      <w:r>
        <w:rPr>
          <w:rFonts w:ascii="Arial" w:cs="Arial" w:eastAsia="Arial" w:hAnsi="Arial"/>
          <w:sz w:val="16"/>
          <w:szCs w:val="16"/>
          <w:i w:val="1"/>
          <w:iCs w:val="1"/>
          <w:color w:val="auto"/>
        </w:rPr>
        <w:t>Computer World</w:t>
      </w:r>
      <w:r>
        <w:rPr>
          <w:rFonts w:ascii="Arial" w:cs="Arial" w:eastAsia="Arial" w:hAnsi="Arial"/>
          <w:sz w:val="16"/>
          <w:szCs w:val="16"/>
          <w:color w:val="auto"/>
        </w:rPr>
        <w:t xml:space="preserve"> and the Alliance for Workplace Excellence Award.</w:t>
      </w:r>
    </w:p>
    <w:p>
      <w:pPr>
        <w:spacing w:after="0" w:line="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Beyond their client work, our people and our Company demonstrate passionate service in their commitment to our country, military, and communities. Our social impact strategy connects people, organizations, and communities with transformational innovation and technological solutions that power human potential and wider social impact in a spirit of passionate service. For example, we support a variety of organizations assisting veterans and military families, including supporting training in cyber and science, technology, engineering, and math (STEM) careers, and providing data analytics and other tech solutions in support of operations. Our partners include USO of Metropolitan Washington-Baltimore, Hiring Our Heroes, Tragedy Assistance Program for Survivors, Blue Star Families and the Elizabeth Dole Foundation.</w:t>
      </w:r>
    </w:p>
    <w:p>
      <w:pPr>
        <w:spacing w:after="0" w:line="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past year, we issued 379 volunteer service grants to 306 nonprofit groups for which employees volunteered more than 40 hours. Employees recorded more than 65,000 total hours of service during the year and donated generously to the American Red Cross National Disaster Relief Fund and other organizations responding to the recent and large-scale natural and man-made disasters across the United States. More broadly, we have taken a leadership role in eliminating the stigma around mental health and building more appreciation and awareness of emotional fitness in the corporate world as a partner to the nonprofit Give an Hour.</w:t>
      </w:r>
    </w:p>
    <w:p>
      <w:pPr>
        <w:spacing w:after="0" w:line="8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Purpose and Values. </w:t>
      </w:r>
      <w:r>
        <w:rPr>
          <w:rFonts w:ascii="Arial" w:cs="Arial" w:eastAsia="Arial" w:hAnsi="Arial"/>
          <w:sz w:val="18"/>
          <w:szCs w:val="18"/>
          <w:color w:val="auto"/>
        </w:rPr>
        <w:t>As one of the first organizations in the United States to adopt a formal code of business ethics, we have always believed that doing</w:t>
      </w:r>
      <w:r>
        <w:rPr>
          <w:rFonts w:ascii="Arial" w:cs="Arial" w:eastAsia="Arial" w:hAnsi="Arial"/>
          <w:sz w:val="18"/>
          <w:szCs w:val="18"/>
          <w:i w:val="1"/>
          <w:iCs w:val="1"/>
          <w:color w:val="auto"/>
        </w:rPr>
        <w:t xml:space="preserve"> </w:t>
      </w:r>
      <w:r>
        <w:rPr>
          <w:rFonts w:ascii="Arial" w:cs="Arial" w:eastAsia="Arial" w:hAnsi="Arial"/>
          <w:sz w:val="18"/>
          <w:szCs w:val="18"/>
          <w:color w:val="auto"/>
        </w:rPr>
        <w:t>what's right and holding ourselves and others accountable is the only way to do business. Our people exemplify our purpose to "empower people to change the world" and live our values:</w:t>
      </w:r>
    </w:p>
    <w:p>
      <w:pPr>
        <w:spacing w:after="0" w:line="100"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Ferocious Integrity: Do right; hold ourselves accountable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00" w:right="259" w:bottom="1440" w:gutter="0" w:footer="0" w:header="0"/>
        </w:sectPr>
      </w:pPr>
    </w:p>
    <w:bookmarkStart w:id="7" w:name="page8"/>
    <w:bookmarkEnd w:id="7"/>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Unflinching Courage: Speak truth to power; maintain convictions; bring bold thinking</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Passionate Service: Embrace the mission; build community through generosity; make meaningful connections; listen and act with empathy</w:t>
      </w:r>
    </w:p>
    <w:p>
      <w:pPr>
        <w:spacing w:after="0" w:line="169" w:lineRule="exact"/>
        <w:rPr>
          <w:rFonts w:ascii="Arial" w:cs="Arial" w:eastAsia="Arial" w:hAnsi="Arial"/>
          <w:sz w:val="17"/>
          <w:szCs w:val="17"/>
          <w:color w:val="auto"/>
        </w:rPr>
      </w:pPr>
    </w:p>
    <w:p>
      <w:pPr>
        <w:ind w:right="160" w:firstLine="413"/>
        <w:spacing w:after="0" w:line="324"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Collective Ingenuity: Find the biggest problem and solve it; be resourceful and creative; seek to make the biggest difference; harness the power of diversity; be devoted to the team</w:t>
      </w:r>
    </w:p>
    <w:p>
      <w:pPr>
        <w:spacing w:after="0" w:line="62"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Champion's Heart: Crave being the best; bring joy to the pursuit; learn from failure; compete with passion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Offerings</w:t>
      </w:r>
    </w:p>
    <w:p>
      <w:pPr>
        <w:spacing w:after="0" w:line="12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We offer five service offerings that drive our capacity to meet market demand. We provide a range of technological capabilities that have had an enduring impact for our clients, our people, and the communities where we live and work.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service offerings:</w:t>
      </w:r>
    </w:p>
    <w:p>
      <w:pPr>
        <w:spacing w:after="0" w:line="117" w:lineRule="exact"/>
        <w:rPr>
          <w:sz w:val="20"/>
          <w:szCs w:val="20"/>
          <w:color w:val="auto"/>
        </w:rPr>
      </w:pPr>
    </w:p>
    <w:p>
      <w:pPr>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Consulting </w:t>
      </w:r>
      <w:r>
        <w:rPr>
          <w:rFonts w:ascii="Arial" w:cs="Arial" w:eastAsia="Arial" w:hAnsi="Arial"/>
          <w:sz w:val="17"/>
          <w:szCs w:val="17"/>
          <w:color w:val="auto"/>
        </w:rPr>
        <w:t>focuses on the talent and expertise needed to solve client problems and develop mission-oriented solutions for specific domains,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human capital, and operations through new and innovative approaches. We help clients boost organizational performance, deploy new technologies in smart ways, and change and streamline processes to achieve better outcomes.</w:t>
      </w:r>
    </w:p>
    <w:p>
      <w:pPr>
        <w:spacing w:after="0" w:line="57" w:lineRule="exact"/>
        <w:rPr>
          <w:rFonts w:ascii="Arial" w:cs="Arial" w:eastAsia="Arial" w:hAnsi="Arial"/>
          <w:sz w:val="17"/>
          <w:szCs w:val="17"/>
          <w:color w:val="auto"/>
        </w:rPr>
      </w:pPr>
    </w:p>
    <w:p>
      <w:pPr>
        <w:ind w:left="660" w:right="38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Analytics </w:t>
      </w:r>
      <w:r>
        <w:rPr>
          <w:rFonts w:ascii="Arial" w:cs="Arial" w:eastAsia="Arial" w:hAnsi="Arial"/>
          <w:sz w:val="16"/>
          <w:szCs w:val="16"/>
          <w:color w:val="auto"/>
        </w:rPr>
        <w:t>focuses on delivering transformational solutions in the areas of decision analytics (including operations research and cost estimation),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automation, and data science (including predictive modeling and machine learning) as well as new or emerging areas such as deep learning and artificial intelligence. We pioneer new approaches to apply analytic technology to clients' problems, draft industry-defining publications, and introduce transformative products such as graphics processing unit (GPU) accelerated deep learning software, to the market.</w:t>
      </w:r>
    </w:p>
    <w:p>
      <w:pPr>
        <w:spacing w:after="0" w:line="100" w:lineRule="exact"/>
        <w:rPr>
          <w:rFonts w:ascii="Arial" w:cs="Arial" w:eastAsia="Arial" w:hAnsi="Arial"/>
          <w:sz w:val="16"/>
          <w:szCs w:val="16"/>
          <w:color w:val="auto"/>
        </w:rPr>
      </w:pPr>
    </w:p>
    <w:p>
      <w:pPr>
        <w:ind w:left="660" w:right="320" w:hanging="328"/>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Solutions </w:t>
      </w:r>
      <w:r>
        <w:rPr>
          <w:rFonts w:ascii="Arial" w:cs="Arial" w:eastAsia="Arial" w:hAnsi="Arial"/>
          <w:sz w:val="17"/>
          <w:szCs w:val="17"/>
          <w:color w:val="auto"/>
        </w:rPr>
        <w:t>combines the power of modern systems development techniques and cloud platforms with the power of machine learning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customer and mission experiences. We blend in-depth client mission understanding and digital technical expertise with a consultative approach. We develop, design, and implement powerful solutions built on contemporary methodologies and modern architectures. We accelerate clients to open, cloud native environments, where capability can be securely developed and deployed at scale, and effort allocated towards data management challenges is redirected to analysis and insights.</w:t>
      </w:r>
    </w:p>
    <w:p>
      <w:pPr>
        <w:spacing w:after="0" w:line="64" w:lineRule="exact"/>
        <w:rPr>
          <w:rFonts w:ascii="Arial" w:cs="Arial" w:eastAsia="Arial" w:hAnsi="Arial"/>
          <w:sz w:val="17"/>
          <w:szCs w:val="17"/>
          <w:color w:val="auto"/>
        </w:rPr>
      </w:pPr>
    </w:p>
    <w:p>
      <w:pPr>
        <w:ind w:left="660" w:right="12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Engineering </w:t>
      </w:r>
      <w:r>
        <w:rPr>
          <w:rFonts w:ascii="Arial" w:cs="Arial" w:eastAsia="Arial" w:hAnsi="Arial"/>
          <w:sz w:val="18"/>
          <w:szCs w:val="18"/>
          <w:color w:val="auto"/>
        </w:rPr>
        <w:t>delivers engineering services and solutions to define, develop, implement, sustain, and modernize complex physical systems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Launch and Test Range System (LTRS) for the U.S. Air Force Space Command or the Flush Air Data Systems (FADS) for NASA. We leverage mature engineering methodologies to solve our clients' most complex problems. We bring a holistic understanding of client needs and technical strategy as well as policy experts to deliver purpose-fit solutions to problems. Our engineering capabilities include external industry standard certifications (e.g., ISO 90001 and AS9100).</w:t>
      </w:r>
    </w:p>
    <w:p>
      <w:pPr>
        <w:spacing w:after="0" w:line="80"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Cyber </w:t>
      </w:r>
      <w:r>
        <w:rPr>
          <w:rFonts w:ascii="Arial" w:cs="Arial" w:eastAsia="Arial" w:hAnsi="Arial"/>
          <w:sz w:val="18"/>
          <w:szCs w:val="18"/>
          <w:color w:val="auto"/>
        </w:rPr>
        <w:t>focuses on active prevention, detection, and cost effectiveness. Active prevention includes methods of securing platforms and enterprises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cyber attacks; detection is the instrumentation of networks to provide lead indicators of penetrations; and cost effectiveness includes our integrated engineering capabilities. Our cyber capabilities are rooted in our decades of service to the U.S. federal intelligence community and today afford us the opportunity to maintain technical expertise in network security. With decades of mission intelligence combined with the most advanced tools available, we help clients understand the business value of cyber risk management as well as prepare for future cybersecurity needs with a lens toward efficiency and effectiveness.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With our solutions business, we are developing transformative solutions that build lasting value for our clients. We are advancing and creating the infrastructure and mechanics for new and disruptive business models by enabling a vibrant innovation culture, bringing a solutions mindset to our marketplace and sales force and building the company's presence and brand in the external innovation ecosystem. As a gateway to driving innovation, the solutions business combines market-prioritized needs with the company's capabilities and products. The solutions business enhances future revenue opportunities and accelerates solutions to clients, monetizes the firm's intellectual property, and creates differentiated business models and sales channels to drive greater value for our clients.</w:t>
      </w:r>
    </w:p>
    <w:p>
      <w:pPr>
        <w:spacing w:after="0" w:line="8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addition, we are an essential partner in regional innovation communities all over the country. Through our innovation ecosystem, we are focused on solution co-creation and technology scouting, and are physically co-locating, co-creating, mentoring, incubating, contributing, and investing with organizations in Washington, D.C.; Boston, Massachusetts; Austin, Texas; San Francisco, California; and from Seattle, Washington to San Diego, California (the corridor of venture capitalists and digital powerhouses), with new hubs in Herndon, Virginia, Laurel, Maryland, and Charleston, South Carolina. We harness next-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827" w:right="259" w:bottom="144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t>generation technologies being created in academic, startup, and big technology firms to imagine and incubate new offerings, solutions, and growth for the company.</w:t>
      </w:r>
    </w:p>
    <w:p>
      <w:pPr>
        <w:spacing w:after="0" w:line="6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addition to our service offerings, Booz Allen is driving focused innovation in areas expected to create integrated capabilities, drive next generation expertise, and develop business over the long term. These innovation areas include:</w:t>
      </w:r>
    </w:p>
    <w:p>
      <w:pPr>
        <w:spacing w:after="0" w:line="62" w:lineRule="exact"/>
        <w:rPr>
          <w:sz w:val="20"/>
          <w:szCs w:val="20"/>
          <w:color w:val="auto"/>
        </w:rPr>
      </w:pPr>
    </w:p>
    <w:p>
      <w:pPr>
        <w:jc w:val="both"/>
        <w:ind w:left="660" w:right="1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Machine Intelligence </w:t>
      </w:r>
      <w:r>
        <w:rPr>
          <w:rFonts w:ascii="Arial" w:cs="Arial" w:eastAsia="Arial" w:hAnsi="Arial"/>
          <w:sz w:val="18"/>
          <w:szCs w:val="18"/>
          <w:color w:val="auto"/>
        </w:rPr>
        <w:t>applies and scales the use of machine learning and artificial intelligence to fundamentally transform how our clients perform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missions and run their organizations in a future where people and increasingly intelligent machines collaborate to solve our hardest problems. We are continuing to develop new capabilities in exciting areas, such as quantum computing and deep learning, to create long-term differentiation and value.</w:t>
      </w:r>
    </w:p>
    <w:p>
      <w:pPr>
        <w:spacing w:after="0" w:line="7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Directed Energy </w:t>
      </w:r>
      <w:r>
        <w:rPr>
          <w:rFonts w:ascii="Arial" w:cs="Arial" w:eastAsia="Arial" w:hAnsi="Arial"/>
          <w:sz w:val="16"/>
          <w:szCs w:val="16"/>
          <w:color w:val="auto"/>
        </w:rPr>
        <w:t>technologies use high-energy lasers or high-powered microwaves to efficiently disrupt or damage targets with non-kinetic, speed-of-light engagement. Through our Directed Energy business, we can help clients as a technology maturation agent, integrator, and solutions provider.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Vision 2020 is a comprehensive strategy to transform Booz Allen and create sustainable quality growth for the company. Fiscal 2018 was the fifth year of implementing the strategy, but its design reaches back to before the government market began to contract in 2011and 2012. We anticipated the market downturn and set in place a strategy that would allow us to emerge in a strong position vis-à-vis our competitors. Under Vision 2020, we are:</w:t>
      </w:r>
    </w:p>
    <w:p>
      <w:pPr>
        <w:spacing w:after="0" w:line="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Moving closer to the center of our clients' core missions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the technical content of our work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and retaining superior talent in diverse areas of expertise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Leveraging innovation to deliver complex, differentiated, end-to-end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Creating a broad network of external partners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into the commercial and international markets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strategy can be seen in:</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Backlog growth, which achieved record levels during fiscal 2018</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Headcount growth and a corresponding shift in our talent portfolio to more technical expertise in disciplines such as systems development, cyber, and analytics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strong performance in the global commercial market</w:t>
      </w:r>
    </w:p>
    <w:p>
      <w:pPr>
        <w:spacing w:after="0" w:line="117"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Execution against our capability focused acquisition strategy, most recently through the acquisition of technology firm, Morphick, Inc., which closed in October 2017, to expand Booz Allen's managed security portfolio and strengthen the firm's capability to help clients counter advanced cyber threats.</w:t>
      </w:r>
    </w:p>
    <w:p>
      <w:pPr>
        <w:spacing w:after="0" w:line="73"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have won highly technical, mission-critical work across our federal government business because we bring differentiated offerings that meet our clients’ toughest challenges. To propel our success against our Vision 2020 long-term strategy, we have implemented initiatives to drive innovation deeper into our markets, enhancing our ability to collaborate and achieve more for our clients and differentiating Booz Allen in the talent market to enhance our ability to attract and retain the best and the brightest.</w:t>
      </w:r>
    </w:p>
    <w:p>
      <w:pPr>
        <w:spacing w:after="0" w:line="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These initiatives are ultimately designed to accelerate revenue growth and move Booz Allen further toward our goal of delivering sustainable quality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jc w:val="both"/>
        <w:ind w:right="540" w:firstLine="405"/>
        <w:spacing w:after="0" w:line="277" w:lineRule="auto"/>
        <w:rPr>
          <w:sz w:val="20"/>
          <w:szCs w:val="20"/>
          <w:color w:val="auto"/>
        </w:rPr>
      </w:pPr>
      <w:r>
        <w:rPr>
          <w:rFonts w:ascii="Arial" w:cs="Arial" w:eastAsia="Arial" w:hAnsi="Arial"/>
          <w:sz w:val="18"/>
          <w:szCs w:val="18"/>
          <w:color w:val="auto"/>
        </w:rPr>
        <w:t>Booz Allen is committed to solving our clients' toughest challenges, and we work with a diverse base of public and private sector clients across a number of industries, in the U.S. and internationally.</w:t>
      </w:r>
    </w:p>
    <w:p>
      <w:pPr>
        <w:spacing w:after="0" w:line="62" w:lineRule="exact"/>
        <w:rPr>
          <w:sz w:val="20"/>
          <w:szCs w:val="20"/>
          <w:color w:val="auto"/>
        </w:rPr>
      </w:pPr>
    </w:p>
    <w:p>
      <w:pPr>
        <w:jc w:val="both"/>
        <w:ind w:right="560" w:firstLine="405"/>
        <w:spacing w:after="0" w:line="264" w:lineRule="auto"/>
        <w:rPr>
          <w:sz w:val="20"/>
          <w:szCs w:val="20"/>
          <w:color w:val="auto"/>
        </w:rPr>
      </w:pPr>
      <w:r>
        <w:rPr>
          <w:rFonts w:ascii="Arial" w:cs="Arial" w:eastAsia="Arial" w:hAnsi="Arial"/>
          <w:sz w:val="18"/>
          <w:szCs w:val="18"/>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7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Our government clients include substantially all of the cabinet-level departments of the U.S government. We serve commercial clients across industries including financial services, health and life sciences, energy, and transportation to solve their hardest and most consequential challenges, including through our cybersecurity products and services, and have a thriving portfolio of international clients in the Middle East and Southeast Asia.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0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 Large Addressable Market</w:t>
      </w:r>
    </w:p>
    <w:p>
      <w:pPr>
        <w:spacing w:after="0" w:line="11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believe that the U.S government is the world's largest consumer of management and technology consulting services. The U.S. government's budget for its fiscal year ended September 30, 2017 was close to $4.0 trillion, excluding authorizations from Overseas Contingency Operations and supplemental funding for the Department of Defense. Of this amount, approximately $1.2 trillion was for discretionary budget authority, including $634 billion for the Department of Defense and intelligence community and $586 billion for civil agencies. Based on data from the Federal Procurement Data System, approximately $508 billion of the U.S. government's fiscal year 2017 discretionary outlays were non-intelligence agency funding-related products and services procured from private contractors. We estimate that $124.4 billion of the spending directed towards private contractors in U.S. government fiscal year 2017 was for management, technology, and engineering services, with $69.6 billion spent by the Department of Defense and $54.8 billion spent by civil agencies. The agencies of the U.S. intelligence community that we serve represent an additional market. These numbers also exclude a large addressable market for our services and capabilities in the global commercial markets where we have a modest but growing footprint.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During Booz Allen's fiscal 2018:</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derived 97% of our revenue from contracts where the end client was an agency or department of the U.S. government.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delivered services under 4,997 contracts and task orders.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derived 91% of our revenue in fiscal 2018 from engagements for which we acted as the prime contractor.</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single largest entity that we served in fiscal 2018 was the Navy Marine Corps, which represented approximately 13% of our revenue in that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Long-Term Client Relationships</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594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U.S. Navy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U.S. Army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U.S. Air Force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Health and Human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Intelligence Clients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count among our many defense and intelligence clients all four branches of the U.S. military, the Office of the Secretary of Defense, the Joint Staff and members of the intelligence community.</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help our military services take on new missions, tackle acquisition and budgeting challenges, and address the medical needs of soldiers in combat. We also help our defense and intelligence clients adopt innovative technologies, bridging the gap they face between rising mission responsibilities and declining mission funding with our heritage and expertise in consulting. In addition, we bring tools, techniques, and expertise to challenges and apply them in innovative ways.</w:t>
      </w:r>
    </w:p>
    <w:p>
      <w:pPr>
        <w:spacing w:after="0" w:line="7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men and women we hire have served their country and have the experience and determination to help our defense clients keep our nation safe. Our experts in strategy development, acquisition, and operations help commanders and their staffs in the field share mission-critical information and make crucial battlefield decisions.</w:t>
      </w:r>
    </w:p>
    <w:p>
      <w:pPr>
        <w:spacing w:after="0" w:line="73" w:lineRule="exact"/>
        <w:rPr>
          <w:sz w:val="20"/>
          <w:szCs w:val="20"/>
          <w:color w:val="auto"/>
        </w:rPr>
      </w:pPr>
    </w:p>
    <w:p>
      <w:pPr>
        <w:ind w:right="500" w:firstLine="405"/>
        <w:spacing w:after="0" w:line="286" w:lineRule="auto"/>
        <w:rPr>
          <w:sz w:val="20"/>
          <w:szCs w:val="20"/>
          <w:color w:val="auto"/>
        </w:rPr>
      </w:pPr>
      <w:r>
        <w:rPr>
          <w:rFonts w:ascii="Arial" w:cs="Arial" w:eastAsia="Arial" w:hAnsi="Arial"/>
          <w:sz w:val="17"/>
          <w:szCs w:val="17"/>
          <w:color w:val="auto"/>
        </w:rPr>
        <w:t>Revenue generated from defense clients was $2.83 billion, or approximately 45.9% of our revenue in fiscal 2018 as compared to $2.70 billion, or approximately 46.6% of our revenue in fiscal 2017. Our key defense clients include the Army, Navy/Marine Corps, Air Force, and Joint Combatant Commands. Revenue generated from defense clients also includes foreign military sales to non-U.S. government clients.</w:t>
      </w:r>
    </w:p>
    <w:p>
      <w:pPr>
        <w:sectPr>
          <w:pgSz w:w="11900" w:h="16838" w:orient="portrait"/>
          <w:cols w:equalWidth="0" w:num="1">
            <w:col w:w="11380"/>
          </w:cols>
          <w:pgMar w:left="240" w:top="800"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800" w:right="279" w:bottom="1440" w:gutter="0" w:footer="0" w:header="0"/>
          <w:type w:val="continuous"/>
        </w:sectPr>
      </w:pPr>
    </w:p>
    <w:bookmarkStart w:id="10" w:name="page11"/>
    <w:bookmarkEnd w:id="10"/>
    <w:p>
      <w:pPr>
        <w:ind w:right="200" w:firstLine="405"/>
        <w:spacing w:after="0" w:line="259" w:lineRule="auto"/>
        <w:rPr>
          <w:sz w:val="20"/>
          <w:szCs w:val="20"/>
          <w:color w:val="auto"/>
        </w:rPr>
      </w:pPr>
      <w:r>
        <w:rPr>
          <w:rFonts w:ascii="Arial" w:cs="Arial" w:eastAsia="Arial" w:hAnsi="Arial"/>
          <w:sz w:val="18"/>
          <w:szCs w:val="18"/>
          <w:color w:val="auto"/>
        </w:rPr>
        <w:t>Revenue generated from intelligence clients was $1.49 billion, or approximately 24.2% of our revenue in fiscal 2018 as compared to $1.34 billion, or approximately 23.1% of our revenue in fiscal 2017. Our key intelligence clients include U.S.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National Security Agency, National Geospatial-Intelligence Agency, and National Reconnaissance Office; and military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Defense Intelligence Agency, Service Intelligence Centers, and Intelligence Surveillance Reconnaissance units.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 Clients</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Whether ensuring the safety, security, and well-being of citizens, or boosting national competitiveness, we work with leaders in civil government to support their public service missions. We excel at tackling the most complex challenges from reforming financial regulatory oversight and evolving our healthcare system to improving information sharing among law enforcement organizations and supporting green building initiatives.</w:t>
      </w:r>
    </w:p>
    <w:p>
      <w:pPr>
        <w:spacing w:after="0" w:line="5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work spans the full breadth of civil government, including energy and the environment, financial services, health, homeland security, law enforcement, transportation, grants, international development and diplomacy, and benefits and entitlements.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work with leaders so they make better decisions and foster better user experiences both inside and outside of their organizations.</w:t>
      </w:r>
    </w:p>
    <w:p>
      <w:pPr>
        <w:spacing w:after="0" w:line="11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Revenue generated from civil government was $1.65 billion, or approximately 26.7% of our revenue in fiscal 2018 as compared to $1.61 billion, or approximately 27.7% of our revenue in fiscal 2017. Our major civil government clients include the Departments of Homeland Security, Health and Human Services, Veterans Affairs, Treasury and Justice.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Commercial Clients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work alongside public and private sector leaders of the world's most prestigious organizations to help shape and execute their critical agendas.</w:t>
      </w:r>
    </w:p>
    <w:p>
      <w:pPr>
        <w:spacing w:after="0" w:line="14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Following the 2011 expiration of our non-competition agreement with our spun-off commercial business, we re-entered the Middle East and North Africa (MENA) and Southeast Asia (SEA) markets. We originally established our international offices located in MENA more than six decades ago and our offices in SEA more than three decades ago. Since re-entering these markets, our strategy and technology consultants have empowered our clients in these regions with the knowledge and experience they need to build their own local resources and capabilities.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generated from global commercial clients was $197.0 million, or approximately 3.2% of our revenue in fiscal 2018 as compared to $152.1 million, or approximately 2.6% of our revenue in fiscal 2017. Global commercial clients are comprised of U.S. commercial and international clients. We serve commercial clients in a variety of industries including financial services, health and life sciences, energy and transportation. Our international clients include non-U.S. governments and commercial entities in the MENA region and select Asian markets.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2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75% of our revenue for fiscal 2018 was derived from 3,956 active task orders under IDIQ contract vehicles. Our top IDIQ contract vehicle represented approximately 6.2% of our revenue in our fiscal 2018. Our largest task order under an IDIQ contract vehicle accounted for approximately 2.7% of our revenue in our fiscal 2018. Our largest definite contract represented approximately 2.2% of our revenue in our fiscal 2018.</w:t>
      </w:r>
    </w:p>
    <w:p>
      <w:pPr>
        <w:spacing w:after="0" w:line="6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U.S. government procures services through two predominant contracting methods: indefinite contract vehicles and definite contracts. Each of these is described below:</w:t>
      </w:r>
    </w:p>
    <w:p>
      <w:pPr>
        <w:spacing w:after="0" w:line="62" w:lineRule="exact"/>
        <w:rPr>
          <w:sz w:val="20"/>
          <w:szCs w:val="20"/>
          <w:color w:val="auto"/>
        </w:rPr>
      </w:pPr>
    </w:p>
    <w:p>
      <w:pPr>
        <w:ind w:left="640" w:right="80" w:hanging="321"/>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81" w:lineRule="exact"/>
        <w:rPr>
          <w:rFonts w:ascii="Arial" w:cs="Arial" w:eastAsia="Arial" w:hAnsi="Arial"/>
          <w:sz w:val="18"/>
          <w:szCs w:val="18"/>
          <w:color w:val="auto"/>
        </w:rPr>
      </w:pPr>
    </w:p>
    <w:p>
      <w:pPr>
        <w:ind w:left="640" w:right="60" w:hanging="321"/>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1" w:name="page12"/>
    <w:bookmarkEnd w:id="11"/>
    <w:p>
      <w:pPr>
        <w:ind w:left="640" w:right="60"/>
        <w:spacing w:after="0" w:line="336" w:lineRule="auto"/>
        <w:rPr>
          <w:sz w:val="20"/>
          <w:szCs w:val="20"/>
          <w:color w:val="auto"/>
        </w:rPr>
      </w:pPr>
      <w:r>
        <w:rPr>
          <w:rFonts w:ascii="Arial" w:cs="Arial" w:eastAsia="Arial" w:hAnsi="Arial"/>
          <w:sz w:val="17"/>
          <w:szCs w:val="17"/>
          <w:color w:val="auto"/>
        </w:rPr>
        <w:t>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Listed below are our top IDIQ contracts for fiscal 2018 and the number of active task orders under these contracts as of March 31, 2018</w:t>
      </w:r>
      <w:r>
        <w:rPr>
          <w:rFonts w:ascii="Arial" w:cs="Arial" w:eastAsia="Arial" w:hAnsi="Arial"/>
          <w:sz w:val="15"/>
          <w:szCs w:val="15"/>
          <w:color w:val="auto"/>
        </w:rPr>
        <w:t>.</w:t>
      </w: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1700" w:type="dxa"/>
            <w:vAlign w:val="bottom"/>
            <w:gridSpan w:val="2"/>
            <w:vMerge w:val="continue"/>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Task Orders</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Total</w:t>
            </w: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as of</w:t>
            </w:r>
          </w:p>
        </w:tc>
        <w:tc>
          <w:tcPr>
            <w:tcW w:w="1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 xml:space="preserve">Expiration Date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2018 Revenue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Alliant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4/30/2019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One Acquisition Solution for Integrated Services</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9/2/2024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System Engineering and Analysis/Advanced Technology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Support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Information Technology Schedule 70</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3/22/2019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Defense Systems Technical Area Tasks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6/22/2019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w w:val="97"/>
              </w:rPr>
              <w:t>VA TAC Transformation Twenty One Total Technology</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 Schedule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9/30/2035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Mission Oriented Business Integrated Services</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9/30/2017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Information officer - Solutions &amp; Partners 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5/31/2022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Booz Allen Engineering Services - Alliant</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4/30/2019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Expiration date applies to the IDIQ vehicle. Task orders awarded under the IDIQ can run past the expiration of the IDIQ itself.</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their Category Management initiative, the General Services Administration (“GSA”) has undertaken an effort to improve its professional service schedule offerings. As a result of this initiative, GSA consolidated multiple contract vehicles under the schedule program. The result for Booz Allen has been the consolidation of the scope of six schedules into one professional services schedule contract. The GSA Schedule contracts to be consolidated under the new professional services schedule are: Advertising and Integrated Marketing Solutions (AIMS), Environmental Services (ES), Financial and Business Services (FABS), Logistics Worldwide (LOGWORLD), Mission Oriented Business Integrated Services (MOBIS), and Professional Engineering Services (PES).</w:t>
      </w:r>
    </w:p>
    <w:p>
      <w:pPr>
        <w:spacing w:after="0" w:line="85"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Booz Allen’s migration request was accepted in October of 2015 and, as a result, our individual schedules included in the GSA’s consolidation will remain in place through the end of the current option period of each individual contract to prevent the interruption of services. The revenue generated under these individual schedules will begin to decrease during this transition period. We anticipate that the decrease in revenue on the individual schedules will be offset by growth under the new professional service schedule. We anticipate this transition will have negligible impact on future revenues.</w:t>
      </w:r>
    </w:p>
    <w:p>
      <w:pPr>
        <w:spacing w:after="0" w:line="4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Listed below for each specified revenue band is the number of, revenue derived from, and average duration of our task orders as of March 31, 2018. The table includes revenue earned during fiscal 2018 under all task orders that were active during fiscal 2018 under these IDIQ contracts and the number of active task orders on which this revenue was earned. Average duration reflected in the table below is calculated based on the inception date of the task order, which may be prior to the beginning of fiscal 2018, and the completion date which may have been prior or subsequent to March 31, 2018. As a result, the actual average remaining duration for task orders included in this table may be less than the average duration shown in the table, and task orders included in the table may have been complete on March 31, 2018.</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827"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 Order by Revenue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Task</w:t>
            </w:r>
          </w:p>
        </w:tc>
        <w:tc>
          <w:tcPr>
            <w:tcW w:w="14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2018 Revenue (in</w:t>
            </w:r>
          </w:p>
        </w:tc>
        <w:tc>
          <w:tcPr>
            <w:tcW w:w="12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Orders Active During</w:t>
            </w: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Fiscal 2018</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2018</w:t>
            </w:r>
          </w:p>
        </w:tc>
        <w:tc>
          <w:tcPr>
            <w:tcW w:w="14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millions)</w:t>
            </w:r>
          </w:p>
        </w:tc>
        <w:tc>
          <w:tcPr>
            <w:tcW w:w="126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880.1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2,035.6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4,659.2</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right="40" w:firstLine="648"/>
        <w:spacing w:after="0" w:line="277" w:lineRule="auto"/>
        <w:rPr>
          <w:sz w:val="20"/>
          <w:szCs w:val="20"/>
          <w:color w:val="auto"/>
        </w:rPr>
      </w:pPr>
      <w:r>
        <w:rPr>
          <w:rFonts w:ascii="Arial" w:cs="Arial" w:eastAsia="Arial" w:hAnsi="Arial"/>
          <w:sz w:val="18"/>
          <w:szCs w:val="18"/>
          <w:color w:val="auto"/>
        </w:rPr>
        <w:t>Listed below are our top definite contracts for fiscal 2018 and revenue recognized under these contracts. Classified contracts that cannot be named are noted generically in the table:</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16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2018 Revenue</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9/30/2021</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3/7/2023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10/31/2018</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6/30/2018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InnoVision Future Solutions Program</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8/31/2018</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9/30/2019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DTRA CTR Advisory and Assistance Services</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5/26/2021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9/30/2019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660" w:right="14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funding has not been appropriated or otherwise authorized.</w:t>
      </w:r>
    </w:p>
    <w:p>
      <w:pPr>
        <w:spacing w:after="0" w:line="62" w:lineRule="exact"/>
        <w:rPr>
          <w:rFonts w:ascii="Arial" w:cs="Arial" w:eastAsia="Arial" w:hAnsi="Arial"/>
          <w:sz w:val="18"/>
          <w:szCs w:val="18"/>
          <w:i w:val="1"/>
          <w:iCs w:val="1"/>
          <w:color w:val="auto"/>
        </w:rPr>
      </w:pPr>
    </w:p>
    <w:p>
      <w:pPr>
        <w:ind w:left="660" w:right="8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as of the respective dates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2017</w:t>
            </w:r>
          </w:p>
        </w:tc>
      </w:tr>
      <w:tr>
        <w:trPr>
          <w:trHeight w:val="250"/>
        </w:trPr>
        <w:tc>
          <w:tcPr>
            <w:tcW w:w="6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Unfunded</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3,098</w:t>
            </w:r>
          </w:p>
        </w:tc>
      </w:tr>
      <w:tr>
        <w:trPr>
          <w:trHeight w:val="27"/>
        </w:trPr>
        <w:tc>
          <w:tcPr>
            <w:tcW w:w="6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7,679</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13,592</w:t>
            </w:r>
          </w:p>
        </w:tc>
      </w:tr>
      <w:tr>
        <w:trPr>
          <w:trHeight w:val="27"/>
        </w:trPr>
        <w:tc>
          <w:tcPr>
            <w:tcW w:w="6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may never realize all of the revenue that is included in our total backlog, and there is a higher degree of risk in this regard with respect to unfunded backlog and priced options. See “Item 7. Management’s Discussion and Analysis of Financial</w:t>
      </w:r>
    </w:p>
    <w:p>
      <w:pPr>
        <w:sectPr>
          <w:pgSz w:w="11900" w:h="16838" w:orient="portrait"/>
          <w:cols w:equalWidth="0" w:num="1">
            <w:col w:w="11300"/>
          </w:cols>
          <w:pgMar w:left="240" w:top="942" w:right="359" w:bottom="1440" w:gutter="0" w:footer="0" w:header="0"/>
        </w:sectPr>
      </w:pP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00"/>
          </w:cols>
          <w:pgMar w:left="240" w:top="942" w:right="359" w:bottom="1440" w:gutter="0" w:footer="0" w:header="0"/>
          <w:type w:val="continuous"/>
        </w:sectPr>
      </w:pPr>
    </w:p>
    <w:bookmarkStart w:id="13" w:name="page14"/>
    <w:bookmarkEnd w:id="13"/>
    <w:p>
      <w:pPr>
        <w:ind w:right="20"/>
        <w:spacing w:after="0" w:line="264" w:lineRule="auto"/>
        <w:rPr>
          <w:sz w:val="20"/>
          <w:szCs w:val="20"/>
          <w:color w:val="auto"/>
        </w:rPr>
      </w:pPr>
      <w:r>
        <w:rPr>
          <w:rFonts w:ascii="Arial" w:cs="Arial" w:eastAsia="Arial" w:hAnsi="Arial"/>
          <w:sz w:val="18"/>
          <w:szCs w:val="18"/>
          <w:color w:val="auto"/>
        </w:rPr>
        <w:t>Condition and Results of Operations — Factors and Trends Affecting Our Results of Operations — Sources of Revenue—Contract Backlog” for additional disclosure regarding our backlog. See also “Item 1A. Risk Factors—Risks Related to Our Business—We may not realize the full value of our backlog, which may result in lower than expected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The government services market is highly fragmented and competition within the government professional services industry has intensified due to market pressure.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79"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Changing government policies and market dynamics are impacting the competitive landscape. In the past, the government's focus on organizational conflicts of interest have driven divestitures, which have changed the competitive landscape. More recently, there has been increasing pressure from government clients to utilize small businesses, due in large part to a push by both past and present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continue.</w:t>
      </w:r>
    </w:p>
    <w:p>
      <w:pPr>
        <w:spacing w:after="0" w:line="6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management and technology consulting services business utilizes a variety of proprietary rights in delivering products and services to our clients. We claim a proprietary interest in certain of our service offerings, products, software tools, methodologies, and know-how and also have certain licenses to third-party intellectual property that may be significant to our business. While we have several patents issued in the United States and patents pending both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5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proprietary 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March 2020, while the earliest renewal for our trademarks outside of the United States is October 2019.</w:t>
      </w:r>
    </w:p>
    <w:p>
      <w:pPr>
        <w:spacing w:after="0" w:line="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7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800"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w:t>
      </w:r>
    </w:p>
    <w:p>
      <w:pPr>
        <w:spacing w:after="0" w:line="79" w:lineRule="exact"/>
        <w:rPr>
          <w:sz w:val="20"/>
          <w:szCs w:val="20"/>
          <w:color w:val="auto"/>
        </w:rPr>
      </w:pPr>
    </w:p>
    <w:p>
      <w:pPr>
        <w:ind w:left="640" w:right="100" w:hanging="321"/>
        <w:spacing w:after="0" w:line="25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Acquisition Regulation (the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80"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62" w:lineRule="exact"/>
        <w:rPr>
          <w:rFonts w:ascii="Arial" w:cs="Arial" w:eastAsia="Arial" w:hAnsi="Arial"/>
          <w:sz w:val="18"/>
          <w:szCs w:val="18"/>
          <w:color w:val="auto"/>
        </w:rPr>
      </w:pPr>
    </w:p>
    <w:p>
      <w:pPr>
        <w:ind w:left="640" w:right="4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jc w:val="both"/>
        <w:ind w:left="640" w:right="400" w:hanging="321"/>
        <w:spacing w:after="0" w:line="286"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18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including the Anti-Kickback Act,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3"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The Defense Contract Management Agency, or DCMA, our cognizant government contract management agency, may determine that a portion of our employee compensation is unallowable based 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5" w:name="page16"/>
    <w:bookmarkEnd w:id="15"/>
    <w:p>
      <w:pPr>
        <w:ind w:right="80"/>
        <w:spacing w:after="0" w:line="302" w:lineRule="auto"/>
        <w:rPr>
          <w:sz w:val="20"/>
          <w:szCs w:val="20"/>
          <w:color w:val="auto"/>
        </w:rPr>
      </w:pPr>
      <w:r>
        <w:rPr>
          <w:rFonts w:ascii="Arial" w:cs="Arial" w:eastAsia="Arial" w:hAnsi="Arial"/>
          <w:sz w:val="16"/>
          <w:szCs w:val="16"/>
          <w:color w:val="auto"/>
        </w:rPr>
        <w:t>the findings and recommendations in the DCAA's audits. In addition, the DCMA directly reviews the adequacy of certain other business systems, such as our purchasing system.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 We are also subject to audit by Inspectors General of other U.S. government agencies.</w:t>
      </w:r>
    </w:p>
    <w:p>
      <w:pPr>
        <w:spacing w:after="0" w:line="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8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5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U.S. government has a broad range of actions that it can instigate in order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50"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See “Item 1A. Risk Factors—Risks Related to Our Business—We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file annual, quarterly, and current reports and other information with the Securities and Exchange Commission, or SEC. You may read and copy any documents that we file at the SEC’s public reference room at 100 F Street, N.E., Washington, D.C. 20549. You may call the SEC at 1-800-SEC-0330 to obtain further information about the public reference room. In addition,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U.S. government is our primary client, with revenue from contracts and task orders, either as a prime or a subcontractor, with U.S. government agencies accounting for 97% of our revenue for fiscal 2018. Our belief is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color w:val="auto"/>
        </w:rPr>
        <w:t>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6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b w:val="1"/>
          <w:bCs w:val="1"/>
          <w:i w:val="1"/>
          <w:iCs w:val="1"/>
          <w:color w:val="auto"/>
        </w:rPr>
        <w:t>U.S. government spending and mission priorities could change in a manner that adversely affects our future revenue and limits our growth prospects.</w:t>
      </w:r>
    </w:p>
    <w:p>
      <w:pPr>
        <w:spacing w:after="0" w:line="6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79" w:lineRule="exact"/>
        <w:rPr>
          <w:sz w:val="20"/>
          <w:szCs w:val="20"/>
          <w:color w:val="auto"/>
        </w:rPr>
      </w:pPr>
    </w:p>
    <w:p>
      <w:pPr>
        <w:ind w:left="640" w:right="48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efforts to improve efficiency and reduce costs affecting federal government programs;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or delays in U.S. government programs that we support or related requirements;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continuation of recent efforts by the U.S. government to decrease spending for management support service contracts;</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 (such as that which occurred during government fiscal year 2014 and, to a lesser extent, government fiscal year 2018) or weather-related closures in the Washington, D.C. area and other potential delays in the appropriations process;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62" w:lineRule="exact"/>
        <w:rPr>
          <w:rFonts w:ascii="Arial" w:cs="Arial" w:eastAsia="Arial" w:hAnsi="Arial"/>
          <w:sz w:val="18"/>
          <w:szCs w:val="18"/>
          <w:color w:val="auto"/>
        </w:rPr>
      </w:pPr>
    </w:p>
    <w:p>
      <w:pPr>
        <w:ind w:left="640" w:right="580" w:hanging="321"/>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3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addition, any disruption in the functioning of U.S. government agencies, including as a result of U.S. government closures and shutdowns, terrorism, war, natural disasters,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7" w:name="page18"/>
    <w:bookmarkEnd w:id="17"/>
    <w:p>
      <w:pPr>
        <w:ind w:firstLine="432"/>
        <w:spacing w:after="0" w:line="285" w:lineRule="auto"/>
        <w:rPr>
          <w:sz w:val="20"/>
          <w:szCs w:val="20"/>
          <w:color w:val="auto"/>
        </w:rPr>
      </w:pPr>
      <w:r>
        <w:rPr>
          <w:rFonts w:ascii="Arial" w:cs="Arial" w:eastAsia="Arial" w:hAnsi="Arial"/>
          <w:sz w:val="16"/>
          <w:szCs w:val="16"/>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Budget Control Act of 2011 (as subsequently amended) provides for automatic spending cuts (referred to as sequestration) totaling approximately $1.2 trillion between 2013 and 2021, including an estimated $500 billion in federal defense spending cuts over this time period. Most recently, the Bipartisan Budget Act of 2018 amended the discretionary spending limits established by the Budget Control Act of 2011, as amended, for the government fiscal 2018 and 2019 budgets across the federal government and increased the prior discretionary spending cap in both defense and non-defense. Pursuant to the Consolidated Appropriations Act, 2018, the new Department of Defense spending limit is approximately $660 billion for government fiscal 2018, including an allocation of $65 billion in overseas contingency operations funding.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or reductions, delays, or cancellations of funding for,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28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U.S. government contractor, we must comply with laws and regulations relating to the formation, administration, and performance of</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82" w:lineRule="exact"/>
        <w:rPr>
          <w:sz w:val="20"/>
          <w:szCs w:val="20"/>
          <w:color w:val="auto"/>
        </w:rPr>
      </w:pPr>
    </w:p>
    <w:p>
      <w:pPr>
        <w:ind w:left="640" w:right="20" w:hanging="321"/>
        <w:spacing w:after="0" w:line="25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80"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62"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60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8" w:name="page19"/>
    <w:bookmarkEnd w:id="18"/>
    <w:p>
      <w:pPr>
        <w:jc w:val="both"/>
        <w:ind w:left="640" w:right="400" w:hanging="321"/>
        <w:spacing w:after="0" w:line="286"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18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including the Anti-Kickback Act,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3" w:lineRule="exact"/>
        <w:rPr>
          <w:rFonts w:ascii="Arial" w:cs="Arial" w:eastAsia="Arial" w:hAnsi="Arial"/>
          <w:sz w:val="18"/>
          <w:szCs w:val="18"/>
          <w:color w:val="auto"/>
        </w:rPr>
      </w:pPr>
    </w:p>
    <w:p>
      <w:pPr>
        <w:ind w:left="640" w:right="50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62"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79" w:lineRule="exact"/>
        <w:rPr>
          <w:sz w:val="20"/>
          <w:szCs w:val="20"/>
          <w:color w:val="auto"/>
        </w:rPr>
      </w:pPr>
    </w:p>
    <w:p>
      <w:pPr>
        <w:ind w:right="180" w:firstLine="432"/>
        <w:spacing w:after="0" w:line="288"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6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8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117" w:lineRule="exact"/>
        <w:rPr>
          <w:sz w:val="20"/>
          <w:szCs w:val="20"/>
          <w:color w:val="auto"/>
        </w:rPr>
      </w:pPr>
    </w:p>
    <w:p>
      <w:pPr>
        <w:ind w:left="640" w:right="220" w:hanging="321"/>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117" w:lineRule="exact"/>
        <w:rPr>
          <w:rFonts w:ascii="Arial" w:cs="Arial" w:eastAsia="Arial" w:hAnsi="Arial"/>
          <w:sz w:val="18"/>
          <w:szCs w:val="18"/>
          <w:color w:val="auto"/>
        </w:rPr>
      </w:pPr>
    </w:p>
    <w:p>
      <w:pPr>
        <w:jc w:val="both"/>
        <w:ind w:left="640" w:right="40" w:hanging="321"/>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opportunity cost of not bidding and winning other contracts we might have otherwise pursued.</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8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A significant majority of our revenue is derived from task orders under indefinite delivery/indefinite quantity, or IDIQ, contract vehicles where we perform in either a prime or subcontract position.</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believe that one of the key elements of our success is our position as the holder of 3,956 active task orders under IDIQ contract vehicles as of March 31, 2018.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earn less revenue than projected, or no revenue, under certain of our contracts.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Many of our contracts with our clients are IDIQ contracts.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62"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2018, we derived 51% of our revenue from cost-reimbursable contracts, 25% from time-and-materials contracts and 24% from fixed-price contracts.</w:t>
      </w:r>
    </w:p>
    <w:p>
      <w:pPr>
        <w:spacing w:after="0" w:line="3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cost-reimbursable contracts, we are reimbursed for allowable costs up to a ceiling and paid a fee, which may be fixed or performance-based. If our actual costs exceed the contract ceiling or are not allowable under the terms of the contract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00" w:right="259" w:bottom="1440" w:gutter="0" w:footer="0" w:header="0"/>
        </w:sectPr>
      </w:pPr>
    </w:p>
    <w:bookmarkStart w:id="20" w:name="page21"/>
    <w:bookmarkEnd w:id="20"/>
    <w:p>
      <w:pPr>
        <w:ind w:right="280"/>
        <w:spacing w:after="0" w:line="276" w:lineRule="auto"/>
        <w:rPr>
          <w:sz w:val="20"/>
          <w:szCs w:val="20"/>
          <w:color w:val="auto"/>
        </w:rPr>
      </w:pPr>
      <w:r>
        <w:rPr>
          <w:rFonts w:ascii="Arial" w:cs="Arial" w:eastAsia="Arial" w:hAnsi="Arial"/>
          <w:sz w:val="17"/>
          <w:szCs w:val="17"/>
          <w:color w:val="auto"/>
        </w:rPr>
        <w:t>or applicable regulations, we may not be able to recover those costs. In particular, there is increasing focus by the U.S. government on the extent to which government contractors, including us, are able to receive reimbursement for employee compensation, including the adoption of interim rules by federal agencies implementing a section of the Bipartisan Budget Act of 2013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64"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38"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7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b w:val="1"/>
          <w:bCs w:val="1"/>
          <w:i w:val="1"/>
          <w:iCs w:val="1"/>
          <w:color w:val="auto"/>
        </w:rPr>
        <w:t>We use estimates in recognizing revenue and if we make changes to estimates used in recognizing revenue, our profitability may be adversely affected.</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117"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As of March 31, 2018, our total backlog was $16.0 billion, of which $2.7 billion was funded. We define backlog to include the following three components: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1" w:name="page22"/>
    <w:bookmarkEnd w:id="21"/>
    <w:p>
      <w:pPr>
        <w:ind w:left="640" w:right="26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funding has not been appropriated or otherwise authorized.</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6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62"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spacing w:after="0" w:line="268" w:lineRule="auto"/>
        <w:rPr>
          <w:sz w:val="20"/>
          <w:szCs w:val="20"/>
          <w:color w:val="auto"/>
        </w:rPr>
      </w:pPr>
      <w:r>
        <w:rPr>
          <w:rFonts w:ascii="Arial" w:cs="Arial" w:eastAsia="Arial" w:hAnsi="Arial"/>
          <w:sz w:val="17"/>
          <w:szCs w:val="17"/>
          <w:color w:val="auto"/>
        </w:rPr>
        <w:t>U.S. government contractors, the U.S. government, and private industry, and such competition is intense. Personnel with the requisite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76"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i w:val="1"/>
          <w:iCs w:val="1"/>
          <w:color w:val="auto"/>
        </w:rPr>
        <w:t>We may fail to obtain and maintain necessary security clearances which may adversely affect our ability to perform on certain contracts.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ind w:right="20" w:firstLine="432"/>
        <w:spacing w:after="0" w:line="255" w:lineRule="auto"/>
        <w:rPr>
          <w:sz w:val="20"/>
          <w:szCs w:val="20"/>
          <w:color w:val="auto"/>
        </w:rPr>
      </w:pPr>
      <w:r>
        <w:rPr>
          <w:rFonts w:ascii="Arial" w:cs="Arial" w:eastAsia="Arial" w:hAnsi="Arial"/>
          <w:sz w:val="18"/>
          <w:szCs w:val="18"/>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62"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1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3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73"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have employment agreements with only our four most senior executives. The loss of any member of our senior management or our failure to continue to develop new members could impair our ability to identify and secure new contracts, to maintain good client relations, and to otherwise manage our business.</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74"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3" w:name="page24"/>
    <w:bookmarkEnd w:id="23"/>
    <w:p>
      <w:pPr>
        <w:ind w:right="160" w:firstLine="432"/>
        <w:spacing w:after="0" w:line="297" w:lineRule="auto"/>
        <w:rPr>
          <w:sz w:val="20"/>
          <w:szCs w:val="20"/>
          <w:color w:val="auto"/>
        </w:rPr>
      </w:pPr>
      <w:r>
        <w:rPr>
          <w:rFonts w:ascii="Arial" w:cs="Arial" w:eastAsia="Arial" w:hAnsi="Arial"/>
          <w:sz w:val="16"/>
          <w:szCs w:val="16"/>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50" w:lineRule="exact"/>
        <w:rPr>
          <w:sz w:val="20"/>
          <w:szCs w:val="20"/>
          <w:color w:val="auto"/>
        </w:rPr>
      </w:pPr>
    </w:p>
    <w:p>
      <w:pPr>
        <w:ind w:left="640" w:right="58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6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46" w:lineRule="exact"/>
        <w:rPr>
          <w:sz w:val="20"/>
          <w:szCs w:val="20"/>
          <w:color w:val="auto"/>
        </w:rPr>
      </w:pPr>
    </w:p>
    <w:p>
      <w:pPr>
        <w:ind w:right="280" w:firstLine="405"/>
        <w:spacing w:after="0" w:line="375"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70"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5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estimate that revenue derived from contracts under which we acted as a subcontractor to other companies represented 9% of our revenue for fiscal 2018.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00" w:right="259" w:bottom="1440" w:gutter="0" w:footer="0" w:header="0"/>
        </w:sectPr>
      </w:pPr>
    </w:p>
    <w:bookmarkStart w:id="24" w:name="page25"/>
    <w:bookmarkEnd w:id="24"/>
    <w:p>
      <w:pPr>
        <w:ind w:right="640" w:firstLine="405"/>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and criminal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Any such claims or investigations may be time-consuming, costly, divert management resources, or otherwise have a material adverse effect on our result of operations.</w:t>
      </w:r>
    </w:p>
    <w:p>
      <w:pPr>
        <w:spacing w:after="0" w:line="6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Additionally, over time, we have had disputes with current and former employees involving alleged violations of civil rights, wage and hour, and worker’s compensation laws. Further, as more fully described under “Item 3. Legal Proceedings,” six former officers and stockholders who had departed the company prior to the Carlyle Acquisition have filed a total of nine suits in various jurisdictions against us and certain of our current and former directors and officers. Each of the suits arises out of the acquisition and alleges that the former stockholders are entitled to certain payments that they would have received if they had held their stock at the time of the Carlyle Acquisition. Three of these suits have been dismissed with all appeals exhausted. Two suits were settled on April 16, 2015. One of the remaining suits had its Petition for Writ of Certiorari to the United States Supreme Court denied and the other three were consolidated and ultimately dismissed. The United States Court of Appeals for the Second Circuit affirmed dismissal of the suit on July 13, 2017, except for one plaintiff's securities fraud claim, which was remanded to give the plaintiff leave to file another amended complaint. On April 6, 2018, the plaintiff filed an amended complaint, alleging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w:t>
      </w:r>
    </w:p>
    <w:p>
      <w:pPr>
        <w:spacing w:after="0" w:line="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legal proceedings described under “Item 3. Legal Proceedings” are subject to future developments and management’s view of these matters may change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face certain significant risk exposures and potential liabilities that may not be adequately covered by indemnity or insurance.</w:t>
      </w:r>
    </w:p>
    <w:p>
      <w:pPr>
        <w:spacing w:after="0" w:line="12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 significant portion of our business relates to designing, developing, and manufacturing advanced defense and technology systems and products, including cybersecurity products and services. New technologies may be untested or unproven. We maintain insurance policies that mitigate against risk and potential liabilities related to our operations.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5" w:name="page26"/>
    <w:bookmarkEnd w:id="25"/>
    <w:p>
      <w:pPr>
        <w:ind w:right="40"/>
        <w:spacing w:after="0" w:line="312" w:lineRule="auto"/>
        <w:rPr>
          <w:sz w:val="20"/>
          <w:szCs w:val="20"/>
          <w:color w:val="auto"/>
        </w:rPr>
      </w:pPr>
      <w:r>
        <w:rPr>
          <w:rFonts w:ascii="Arial" w:cs="Arial" w:eastAsia="Arial" w:hAnsi="Arial"/>
          <w:sz w:val="16"/>
          <w:szCs w:val="16"/>
          <w:color w:val="auto"/>
        </w:rPr>
        <w:t>clients.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3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Certain services we provide and technologies we develop are designed to detect and monitor threats to our clients and may require our staff to travel to locations where their physical safety may be at risk.</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loss, or physical or reputational harm.</w:t>
      </w:r>
    </w:p>
    <w:p>
      <w:pPr>
        <w:spacing w:after="0" w:line="6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7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8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62"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7" w:lineRule="exact"/>
        <w:rPr>
          <w:rFonts w:ascii="Arial" w:cs="Arial" w:eastAsia="Arial" w:hAnsi="Arial"/>
          <w:sz w:val="18"/>
          <w:szCs w:val="18"/>
          <w:color w:val="auto"/>
        </w:rPr>
      </w:pPr>
    </w:p>
    <w:p>
      <w:pPr>
        <w:ind w:left="640" w:right="78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spacing w:after="0" w:line="62"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 party information; or</w:t>
      </w:r>
    </w:p>
    <w:p>
      <w:pPr>
        <w:spacing w:after="0" w:line="62" w:lineRule="exact"/>
        <w:rPr>
          <w:rFonts w:ascii="Arial" w:cs="Arial" w:eastAsia="Arial" w:hAnsi="Arial"/>
          <w:sz w:val="18"/>
          <w:szCs w:val="18"/>
          <w:color w:val="auto"/>
        </w:rPr>
      </w:pPr>
    </w:p>
    <w:p>
      <w:pPr>
        <w:ind w:left="640" w:right="72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6" w:name="page27"/>
    <w:bookmarkEnd w:id="26"/>
    <w:p>
      <w:pPr>
        <w:ind w:right="40" w:firstLine="432"/>
        <w:spacing w:after="0" w:line="272" w:lineRule="auto"/>
        <w:rPr>
          <w:sz w:val="20"/>
          <w:szCs w:val="20"/>
          <w:color w:val="auto"/>
        </w:rPr>
      </w:pPr>
      <w:r>
        <w:rPr>
          <w:rFonts w:ascii="Arial" w:cs="Arial" w:eastAsia="Arial" w:hAnsi="Arial"/>
          <w:sz w:val="17"/>
          <w:szCs w:val="17"/>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a contractor supporting defense and national security clients, we are also subject to regulatory compliance requirements under the Defense Federal Acquisition Regulation Supplement and other federal regulations requiring that our networks and IT systems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that has a material adverse effect on our business and financial results and reputational harm.</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1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7" w:name="page28"/>
    <w:bookmarkEnd w:id="27"/>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operating internationally.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operations are subject to a variety of risks associated with conducting business internationally, including:</w:t>
      </w:r>
    </w:p>
    <w:p>
      <w:pPr>
        <w:spacing w:after="0" w:line="117" w:lineRule="exact"/>
        <w:rPr>
          <w:sz w:val="20"/>
          <w:szCs w:val="20"/>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or interpretations of laws or policies that may adversely affect the performance of our services;</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in foreign countries;</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inconsistent or contradictory laws or regulations;</w:t>
      </w:r>
    </w:p>
    <w:p>
      <w:pPr>
        <w:spacing w:after="0" w:line="117" w:lineRule="exact"/>
        <w:rPr>
          <w:rFonts w:ascii="Arial" w:cs="Arial" w:eastAsia="Arial" w:hAnsi="Arial"/>
          <w:sz w:val="18"/>
          <w:szCs w:val="18"/>
          <w:color w:val="auto"/>
        </w:rPr>
      </w:pPr>
    </w:p>
    <w:p>
      <w:pPr>
        <w:ind w:left="1300" w:right="660" w:hanging="333"/>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U.S. or other governments to authorize us to export products, technology, and services to clients and other business partners;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Conducting business in places where laws, business practices, and customs are unfamiliar or unknown; and</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limitations on or increase of withholding and other taxes on payments by foreign subsidiaries or joint ventures.</w:t>
      </w:r>
    </w:p>
    <w:p>
      <w:pPr>
        <w:spacing w:after="0" w:line="117"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8" w:name="page29"/>
    <w:bookmarkEnd w:id="28"/>
    <w:p>
      <w:pPr>
        <w:ind w:right="320"/>
        <w:spacing w:after="0" w:line="342" w:lineRule="auto"/>
        <w:rPr>
          <w:sz w:val="20"/>
          <w:szCs w:val="20"/>
          <w:color w:val="auto"/>
        </w:rPr>
      </w:pPr>
      <w:r>
        <w:rPr>
          <w:rFonts w:ascii="Arial" w:cs="Arial" w:eastAsia="Arial" w:hAnsi="Arial"/>
          <w:sz w:val="16"/>
          <w:szCs w:val="16"/>
          <w:color w:val="auto"/>
        </w:rPr>
        <w:t>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16"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62"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7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7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62"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5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8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6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73"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0"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color w:val="auto"/>
        </w:rPr>
        <w:t>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consummate acquisitions, investments, joint ventures and divestitures, which involve numerous risks and uncertainties.</w:t>
      </w:r>
    </w:p>
    <w:p>
      <w:pPr>
        <w:spacing w:after="0" w:line="12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As part of our operating strategy, we selectively pursue acquisitions, investments, partnerships and joint ventures. For example, in January 2017, we acquired eGov Holdings, Inc. (d/b/a Aquilent) and in October 2017, we acquired Morphick, Inc. These transactions pose many risks, including:</w:t>
      </w:r>
    </w:p>
    <w:p>
      <w:pPr>
        <w:spacing w:after="0" w:line="16"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and investment candidates at prices we consider attractive;</w:t>
      </w:r>
    </w:p>
    <w:p>
      <w:pPr>
        <w:spacing w:after="0" w:line="117" w:lineRule="exact"/>
        <w:rPr>
          <w:rFonts w:ascii="Arial" w:cs="Arial" w:eastAsia="Arial" w:hAnsi="Arial"/>
          <w:sz w:val="18"/>
          <w:szCs w:val="18"/>
          <w:color w:val="auto"/>
        </w:rPr>
      </w:pPr>
    </w:p>
    <w:p>
      <w:pPr>
        <w:ind w:left="640" w:right="68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and investment candidates, complete acquisitions and investments, or accurately estimate the financial effect of acquisitions and investments on our business;</w:t>
      </w:r>
    </w:p>
    <w:p>
      <w:pPr>
        <w:spacing w:after="0" w:line="62"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acquisitions and investments may require us to issue common stock or spend significant cash, resulting in dilution of ownership or additional debt leverage;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117" w:lineRule="exact"/>
        <w:rPr>
          <w:rFonts w:ascii="Arial" w:cs="Arial" w:eastAsia="Arial" w:hAnsi="Arial"/>
          <w:sz w:val="18"/>
          <w:szCs w:val="18"/>
          <w:color w:val="auto"/>
        </w:rPr>
      </w:pPr>
    </w:p>
    <w:p>
      <w:pPr>
        <w:ind w:left="640" w:right="52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and investments, resulting in unforeseen difficulties, such as incompatible accounting, information management, or other control systems, and greater expenses than expected;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and investments may disrupt our business or distract our management from other responsibilities;</w:t>
      </w:r>
    </w:p>
    <w:p>
      <w:pPr>
        <w:spacing w:after="0" w:line="117" w:lineRule="exact"/>
        <w:rPr>
          <w:rFonts w:ascii="Arial" w:cs="Arial" w:eastAsia="Arial" w:hAnsi="Arial"/>
          <w:sz w:val="18"/>
          <w:szCs w:val="18"/>
          <w:color w:val="auto"/>
        </w:rPr>
      </w:pPr>
    </w:p>
    <w:p>
      <w:pPr>
        <w:ind w:left="640" w:right="4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an acquisition or investment, we may incur additional debt and we may need to record write-downs from future impairments of intangible assets, each of which could reduce our future reported earnings; we may have difficulty integrating personnel from the acquired company with our people and our core values; and</w:t>
      </w:r>
    </w:p>
    <w:p>
      <w:pPr>
        <w:spacing w:after="0" w:line="73"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partnerships, or we may be exposed to certain liabilities if our partners do not fulfill their obligations.</w:t>
      </w:r>
    </w:p>
    <w:p>
      <w:pPr>
        <w:spacing w:after="0" w:line="6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4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 In addition, we may be unable to complete strategic divestitures on satisfactory terms and conditions, including non-competition arrangements, or within expected time frames.</w:t>
      </w:r>
    </w:p>
    <w:p>
      <w:pPr>
        <w:spacing w:after="0" w:line="6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6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of March 31, 2018, the value of our goodwill was $1.6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tax law, including the 2017 Tax Act, could adversely impact our results of operations.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may incur additional tax liabilities in the future as a result of changes in tax laws and regulations or as a result of the implementation of existing tax laws. In particular, we are continuing to analyze certain provisions of the 2017 Tax Act which was enacted on December 22, 2017. While the new law decreased the U.S. federal corporate tax rate to 21 percent, we do not yet know what all of the consequences of the 2017 Tax Act will be, which may result in volatility and/or an increase to our</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800" w:right="299" w:bottom="1440" w:gutter="0" w:footer="0" w:header="0"/>
        </w:sectPr>
      </w:pPr>
    </w:p>
    <w:bookmarkStart w:id="30" w:name="page31"/>
    <w:bookmarkEnd w:id="30"/>
    <w:p>
      <w:pPr>
        <w:ind w:right="60"/>
        <w:spacing w:after="0" w:line="287" w:lineRule="auto"/>
        <w:rPr>
          <w:sz w:val="20"/>
          <w:szCs w:val="20"/>
          <w:color w:val="auto"/>
        </w:rPr>
      </w:pPr>
      <w:r>
        <w:rPr>
          <w:rFonts w:ascii="Arial" w:cs="Arial" w:eastAsia="Arial" w:hAnsi="Arial"/>
          <w:sz w:val="16"/>
          <w:szCs w:val="16"/>
          <w:color w:val="auto"/>
        </w:rPr>
        <w:t>effective tax rate. We have recorded in our consolidated financial statements provisional amounts based on current estimates of the effects of the 2017 Tax Act in accordance with our current understanding of the 2017 Tax Act and currently available guidance. We will continue to assess the effect of the 2017 Tax Act on our business as it relates to acceleration of depreciation, limitation on the deductibility of certain executive compensation, taxes on low taxed intangible foreign income as well as deduction for foreign derived intangible income. The final amounts may be significantly affected by regulations and interpretive guidance expected to be issued by the tax authorities, clarifications of the accounting treatment of various items, our additional analysis, and our refinement of our estimates of the effects of the 2017 Tax Act, and therefore, such final amounts may be materially different than our current provisional amounts, which could materially affect our tax obligations and effective tax rate. In addition, other countries may consider tax law changes in reaction to the 2017 Tax Act. Any changes in other taxing jurisdictions' administrative interpretations, decisions, policies and positions could also impact our tax liabilities. For additional information regarding the 2017 Tax Act and the provisional tax amounts recorded in our consolidated financial statements, see "Item 7. Management's Discussion and Analysis of Financial Condition and Results of Operations -- Critical Accounting Estimates and Policies". For a description of our related accounting policies, refer to Note 2 and Note 13 to our accompanying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20" w:firstLine="405"/>
        <w:spacing w:after="0" w:line="375"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62"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117"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62" w:lineRule="exact"/>
        <w:rPr>
          <w:rFonts w:ascii="Arial" w:cs="Arial" w:eastAsia="Arial" w:hAnsi="Arial"/>
          <w:sz w:val="18"/>
          <w:szCs w:val="18"/>
          <w:color w:val="auto"/>
        </w:rPr>
      </w:pPr>
    </w:p>
    <w:p>
      <w:pPr>
        <w:ind w:left="640" w:right="200" w:hanging="321"/>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117" w:lineRule="exact"/>
        <w:rPr>
          <w:rFonts w:ascii="Arial" w:cs="Arial" w:eastAsia="Arial" w:hAnsi="Arial"/>
          <w:sz w:val="18"/>
          <w:szCs w:val="18"/>
          <w:color w:val="auto"/>
        </w:rPr>
      </w:pPr>
    </w:p>
    <w:p>
      <w:pPr>
        <w:ind w:left="640" w:hanging="321"/>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73" w:lineRule="exact"/>
        <w:rPr>
          <w:rFonts w:ascii="Arial" w:cs="Arial" w:eastAsia="Arial" w:hAnsi="Arial"/>
          <w:sz w:val="18"/>
          <w:szCs w:val="18"/>
          <w:color w:val="auto"/>
        </w:rPr>
      </w:pPr>
    </w:p>
    <w:p>
      <w:pPr>
        <w:ind w:left="640" w:right="320" w:hanging="321"/>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73" w:lineRule="exact"/>
        <w:rPr>
          <w:rFonts w:ascii="Arial" w:cs="Arial" w:eastAsia="Arial" w:hAnsi="Arial"/>
          <w:sz w:val="18"/>
          <w:szCs w:val="18"/>
          <w:color w:val="auto"/>
        </w:rPr>
      </w:pPr>
    </w:p>
    <w:p>
      <w:pPr>
        <w:ind w:left="640" w:hanging="321"/>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800" w:right="27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117" w:lineRule="exact"/>
        <w:rPr>
          <w:sz w:val="20"/>
          <w:szCs w:val="20"/>
          <w:color w:val="auto"/>
        </w:rPr>
      </w:pPr>
    </w:p>
    <w:p>
      <w:pPr>
        <w:ind w:left="640" w:right="36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117"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140" w:lineRule="exact"/>
        <w:rPr>
          <w:rFonts w:ascii="Arial" w:cs="Arial" w:eastAsia="Arial" w:hAnsi="Arial"/>
          <w:sz w:val="16"/>
          <w:szCs w:val="16"/>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procurement opportunities to small, disadvantaged businesses;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6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U.S. government may prefer minority-owned, small and small disadvantaged businesses; therefore, we may have fewer opportunities to bid for.</w:t>
      </w:r>
    </w:p>
    <w:p>
      <w:pPr>
        <w:spacing w:after="0" w:line="1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which could reduce our revenue, disrupt our business, or otherwise materially adversely affect our results of operation.</w:t>
      </w:r>
    </w:p>
    <w:p>
      <w:pPr>
        <w:spacing w:after="0" w:line="103"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Recent legislation and regulations implementing new limitations on the amount of allowable executive compensation costs contribute to increased regulatory scrutiny of the allowability of employee compensation costs, which can lead to greater amounts of employee compensation cost being disallowed. We recognize as revenue, net of reserves,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32" w:name="page33"/>
    <w:bookmarkEnd w:id="32"/>
    <w:p>
      <w:pPr>
        <w:ind w:right="20"/>
        <w:spacing w:after="0" w:line="284" w:lineRule="auto"/>
        <w:rPr>
          <w:sz w:val="20"/>
          <w:szCs w:val="20"/>
          <w:color w:val="auto"/>
        </w:rPr>
      </w:pPr>
      <w:r>
        <w:rPr>
          <w:rFonts w:ascii="Arial" w:cs="Arial" w:eastAsia="Arial" w:hAnsi="Arial"/>
          <w:sz w:val="16"/>
          <w:szCs w:val="16"/>
          <w:color w:val="auto"/>
        </w:rPr>
        <w:t>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business systems, some of which are currently certified as effective, are found not to comply with government imposed requirements, we may be subjected to increased government scrutiny and approval that could delay or otherwise adversely affect our ability to compete for or perform contracts or to be paid timely. Unfavorable</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U.S. government audit, review, or investigation results could subject us to civil or criminal penalties or administrative sanctions, and could harm our reputation and relationships with our clients and impair our ability to be awarded new contracts, which could affect our future sales and profitability by preventing us, by operation of law or in practice, from receiving new government contracts for some period of time. In addition,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consolidated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6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the government fiscal year 2014 and, to a lesser extent, government fiscal year 2018). A shutdown may result in us incurring substantial costs without reimbursement under our contracts and the delay or cancellation of key programs or the delay of contract payments, which could have a material adverse effect on our revenue and operating results. In addition, when supplemental appropriations are required to operate the U.S. government or fund specific programs and passage of legislation needed to approve any supplemental appropriation bill is delayed, the overall funding environment for our business could be adversely affected.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62"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of March 31, 2018, we had total indebtedness of approximately $1.8 billion and $498.6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39" w:lineRule="exact"/>
        <w:rPr>
          <w:sz w:val="20"/>
          <w:szCs w:val="20"/>
          <w:color w:val="auto"/>
        </w:rPr>
      </w:pPr>
    </w:p>
    <w:p>
      <w:pPr>
        <w:ind w:left="640" w:right="120" w:hanging="321"/>
        <w:spacing w:after="0" w:line="259"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Secured Credit Facility, consisting of a $1,094 million term loan facility (“Term Loan A”), a $395 million term loan facility (“Term Loan B” and, together with Term Loan A, the “Term Loans”) and a $500 million Revolving Credit Facility, with a sublimit for letters of credit of $100 million, our $350 million in aggregate principal amount of 5.125% Senior Notes due 2025 (the “Senior Notes”) and our other debt;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3" w:name="page34"/>
    <w:bookmarkEnd w:id="33"/>
    <w:p>
      <w:pPr>
        <w:ind w:left="640" w:right="64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62"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640" w:right="32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under the Secured Credit Facility, are at variable rates of interest;</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117" w:lineRule="exact"/>
        <w:rPr>
          <w:rFonts w:ascii="Arial" w:cs="Arial" w:eastAsia="Arial" w:hAnsi="Arial"/>
          <w:sz w:val="18"/>
          <w:szCs w:val="18"/>
          <w:color w:val="auto"/>
        </w:rPr>
      </w:pPr>
    </w:p>
    <w:p>
      <w:pPr>
        <w:ind w:left="640" w:right="52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or competitors with comparable debt and more favorable terms and thereby affecting our ability to compete; and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Although the Secured Credit Facility and the indenture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$500 million, which as of March 31, 2018, had availability of $498.6 million. Additionally, the used portion as it pertains to open standby letters of credit and bank guarantees totaled $1.4 million. Furthermore, subject to specified conditions, without the consent of the then-existing lenders (but subject to the receipt of commitments), the indebtedness under the Secured Credit Facility may be increased by up to (x) $400 million plus (y) an additional amount if, after giving pro forma effect to the incurrence of such additional amount and after giving effect to any acquisition consummated concurrently therewith and all other appropriate pro forma adjustment events, the consolidated net senior secured leverage ratio is equal to or less than 3.50:1.00. If new debt is added to our current debt levels, the related risks that we and the guarantors now face would increase and we may not be able to meet all our debt obligations, including the repayment of the Senior Notes.</w:t>
      </w:r>
    </w:p>
    <w:p>
      <w:pPr>
        <w:spacing w:after="0" w:line="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Business.”</w:t>
      </w:r>
    </w:p>
    <w:p>
      <w:pPr>
        <w:spacing w:after="0" w:line="8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6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6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63"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4" w:name="page35"/>
    <w:bookmarkEnd w:id="34"/>
    <w:p>
      <w:pPr>
        <w:ind w:right="60" w:firstLine="432"/>
        <w:spacing w:after="0" w:line="259" w:lineRule="auto"/>
        <w:rPr>
          <w:sz w:val="20"/>
          <w:szCs w:val="20"/>
          <w:color w:val="auto"/>
        </w:rPr>
      </w:pPr>
      <w:r>
        <w:rPr>
          <w:rFonts w:ascii="Arial" w:cs="Arial" w:eastAsia="Arial" w:hAnsi="Arial"/>
          <w:sz w:val="18"/>
          <w:szCs w:val="18"/>
          <w:color w:val="auto"/>
        </w:rPr>
        <w:t>If we cannot make scheduled payments on our debt, we will be in default and lenders under our Secured Credit Facility and holders of the Senior Notes could declare all outstanding principal and interest to be due and payable, the lenders under the Revolving Credit Facility could terminate their commitments to loan money, the lenders could foreclose against the assets securing their loans and we could be forced into bankruptcy or liquidation. All of these events could result in you losing some or all of the value of your investment.</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62"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Secured Credit Facility and the indenture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16" w:lineRule="exact"/>
        <w:rPr>
          <w:sz w:val="20"/>
          <w:szCs w:val="20"/>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or issue disqualified stock or preferred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on or make other distributions in respect of, or repurchase or redeem, our capital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redeem or repurchase subordinated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liens securing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 or the guarantors or make other intercompany transfers;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or any guarantor’s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lines of business.</w:t>
      </w:r>
    </w:p>
    <w:p>
      <w:pPr>
        <w:spacing w:after="0" w:line="6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These covenants are subject to a number of important exceptions and qualifications. In addition, the restrictive covenants in the Secured Credit Facility require us to maintain a consolidated net total leverage ratio and a consolidated net interest coverage ratio that will each be tested at the end of each fiscal quarter. Our ability to satisfy that financial ratio test may be affected by events beyond our control.</w:t>
      </w:r>
    </w:p>
    <w:p>
      <w:pPr>
        <w:spacing w:after="0" w:line="1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all of these restrictions, we may be:</w:t>
      </w:r>
    </w:p>
    <w:p>
      <w:pPr>
        <w:spacing w:after="0" w:line="117" w:lineRule="exact"/>
        <w:rPr>
          <w:sz w:val="20"/>
          <w:szCs w:val="20"/>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right="4800" w:hanging="274"/>
        <w:spacing w:after="0" w:line="42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unable to compete effectively or to take advantage of new business opportunities. These restrictions might hinder our ability to grow in accordance with our strategy.</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right="60" w:firstLine="648"/>
        <w:spacing w:after="0" w:line="305" w:lineRule="auto"/>
        <w:rPr>
          <w:sz w:val="20"/>
          <w:szCs w:val="20"/>
          <w:color w:val="auto"/>
        </w:rPr>
      </w:pPr>
      <w:r>
        <w:rPr>
          <w:rFonts w:ascii="Arial" w:cs="Arial" w:eastAsia="Arial" w:hAnsi="Arial"/>
          <w:sz w:val="16"/>
          <w:szCs w:val="16"/>
          <w:color w:val="auto"/>
        </w:rPr>
        <w:t>Borrowings under the Secured Credit Facility are at variable rates of interest and expose us to interest rate risk. Interest rates are currently at historically low levels. If interest rates increase, our debt service obligations on the variable rate indebtedness will increase even though the amount borrowed remains the same, and our net income and cash flows, including cash available for servicing our indebtedness, will correspondingly decrease.</w:t>
      </w:r>
    </w:p>
    <w:p>
      <w:pPr>
        <w:spacing w:after="0" w:line="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Based on Term Loans outstanding as of March 31, 2018 and assuming all revolving loans are fully drawn, and after considering interest rate swaps that fixed the interest rate on $450 million of principal of our variable rate debt, each quarter point change in interest rates would result in a $3.8 million change in our projected annual interest expense on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5" w:name="page36"/>
    <w:bookmarkEnd w:id="35"/>
    <w:p>
      <w:pPr>
        <w:ind w:right="220"/>
        <w:spacing w:after="0" w:line="259" w:lineRule="auto"/>
        <w:rPr>
          <w:sz w:val="20"/>
          <w:szCs w:val="20"/>
          <w:color w:val="auto"/>
        </w:rPr>
      </w:pPr>
      <w:r>
        <w:rPr>
          <w:rFonts w:ascii="Arial" w:cs="Arial" w:eastAsia="Arial" w:hAnsi="Arial"/>
          <w:sz w:val="18"/>
          <w:szCs w:val="18"/>
          <w:color w:val="auto"/>
        </w:rPr>
        <w:t>indebtedness under the Secured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7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8"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Our indebtedness has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6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 governing the Senior Notes significantly restricts the ability of our subsidiaries to pay dividends or otherwise transfer assets to us. In addition, Delaware law may impose requirements that may restrict our ability to pay dividends to holders of our common stock.</w:t>
      </w:r>
    </w:p>
    <w:p>
      <w:pPr>
        <w:spacing w:after="0" w:line="4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62"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73"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140" w:lineRule="exact"/>
        <w:rPr>
          <w:rFonts w:ascii="Arial" w:cs="Arial" w:eastAsia="Arial" w:hAnsi="Arial"/>
          <w:sz w:val="16"/>
          <w:szCs w:val="16"/>
          <w:color w:val="auto"/>
        </w:rPr>
      </w:pPr>
    </w:p>
    <w:p>
      <w:pPr>
        <w:ind w:left="640" w:right="6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117"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board of directors has authorized and declared a regular quarterly dividend for each quarter in the last several years. The board of directors has also authorized and declared special cash dividends from time to time. The declaration of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6" w:name="page37"/>
    <w:bookmarkEnd w:id="36"/>
    <w:p>
      <w:pPr>
        <w:ind w:right="40"/>
        <w:spacing w:after="0" w:line="254" w:lineRule="auto"/>
        <w:rPr>
          <w:sz w:val="20"/>
          <w:szCs w:val="20"/>
          <w:color w:val="auto"/>
        </w:rPr>
      </w:pPr>
      <w:r>
        <w:rPr>
          <w:rFonts w:ascii="Arial" w:cs="Arial" w:eastAsia="Arial" w:hAnsi="Arial"/>
          <w:sz w:val="18"/>
          <w:szCs w:val="18"/>
          <w:color w:val="auto"/>
        </w:rPr>
        <w:t>dividends and the establishment of the per share amount, record dates and payment dates for any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8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7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70"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The calculations and other information that we receive from such third parties may not be accurate, and we may not receive adequate or timely information related to internal control failures occurring at these organizations. Any failure by such third parties to provide us with accurate information or implement and maintain effective controls may cause us to be unable to meet our reporting obligations as a publicly traded company.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62"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73"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7" w:name="page38"/>
    <w:bookmarkEnd w:id="37"/>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w:t>
      </w:r>
    </w:p>
    <w:p>
      <w:pPr>
        <w:spacing w:after="0" w:line="11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4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market for our Class A Common Stock may be adversely affected by the performance of other companies in the government services market.</w:t>
      </w:r>
    </w:p>
    <w:p>
      <w:pPr>
        <w:spacing w:after="0" w:line="15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2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Rockville, Maryland; Laurel, Maryland; 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2.60 million square feet. We believe our facilities meet our current needs.</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information,we do not expect any of the currently ongoing audits, reviews, investigations, or litigation to have a material adverse effect on our financial condition and results of operations. As of March 31, 2018 and 2017, there were no material amounts accrued in the consolidated financial statements related to these proceedings.</w:t>
      </w:r>
    </w:p>
    <w:p>
      <w:pPr>
        <w:spacing w:after="0" w:line="7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Six former officers and stockholders who had departed the company prior to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8" w:name="page39"/>
    <w:bookmarkEnd w:id="38"/>
    <w:p>
      <w:pPr>
        <w:spacing w:after="0" w:line="285" w:lineRule="auto"/>
        <w:rPr>
          <w:sz w:val="20"/>
          <w:szCs w:val="20"/>
          <w:color w:val="auto"/>
        </w:rPr>
      </w:pPr>
      <w:r>
        <w:rPr>
          <w:rFonts w:ascii="Arial" w:cs="Arial" w:eastAsia="Arial" w:hAnsi="Arial"/>
          <w:sz w:val="16"/>
          <w:szCs w:val="16"/>
          <w:color w:val="auto"/>
        </w:rPr>
        <w:t>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April 25, 2018, the court entered an order postponing the deadline within which the defendants must answer or move to dismiss the amended complaint. A lead plaintiff has not been appointed.</w:t>
      </w:r>
    </w:p>
    <w:p>
      <w:pPr>
        <w:spacing w:after="0" w:line="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March 31, 2018, the aggregate alleged damages that will be sought in the remaining suit is unknown. As of March 31, 2018, although the outcome of any of these cases is inherently uncertain and may be materially adverse, based on current information, we do not expect them to have a material adverse effect on our financial condition and results of operations.</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mismanagements,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the date hereof:</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jc w:val="center"/>
              <w:ind w:left="331"/>
              <w:spacing w:after="0"/>
              <w:rPr>
                <w:sz w:val="20"/>
                <w:szCs w:val="20"/>
                <w:color w:val="auto"/>
              </w:rPr>
            </w:pPr>
            <w:r>
              <w:rPr>
                <w:rFonts w:ascii="Arial" w:cs="Arial" w:eastAsia="Arial" w:hAnsi="Arial"/>
                <w:sz w:val="14"/>
                <w:szCs w:val="14"/>
                <w:b w:val="1"/>
                <w:bCs w:val="1"/>
                <w:color w:val="auto"/>
                <w:w w:val="90"/>
              </w:rPr>
              <w:t>Age</w:t>
            </w:r>
          </w:p>
        </w:tc>
        <w:tc>
          <w:tcPr>
            <w:tcW w:w="532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60" w:type="dxa"/>
            <w:vAlign w:val="bottom"/>
          </w:tcPr>
          <w:p>
            <w:pPr>
              <w:spacing w:after="0"/>
              <w:rPr>
                <w:sz w:val="20"/>
                <w:szCs w:val="20"/>
                <w:color w:val="auto"/>
              </w:rPr>
            </w:pPr>
            <w:r>
              <w:rPr>
                <w:rFonts w:ascii="Arial" w:cs="Arial" w:eastAsia="Arial" w:hAnsi="Arial"/>
                <w:sz w:val="18"/>
                <w:szCs w:val="18"/>
                <w:color w:val="auto"/>
              </w:rPr>
              <w:t>Horacio D. Rozanski</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50</w:t>
            </w:r>
          </w:p>
        </w:tc>
        <w:tc>
          <w:tcPr>
            <w:tcW w:w="5320" w:type="dxa"/>
            <w:vAlign w:val="bottom"/>
          </w:tcPr>
          <w:p>
            <w:pPr>
              <w:ind w:left="5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Lloyd W. Howell, Jr.</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51</w:t>
            </w:r>
          </w:p>
        </w:tc>
        <w:tc>
          <w:tcPr>
            <w:tcW w:w="5320" w:type="dxa"/>
            <w:vAlign w:val="bottom"/>
          </w:tcPr>
          <w:p>
            <w:pPr>
              <w:ind w:left="500"/>
              <w:spacing w:after="0"/>
              <w:rPr>
                <w:sz w:val="20"/>
                <w:szCs w:val="20"/>
                <w:color w:val="auto"/>
              </w:rPr>
            </w:pPr>
            <w:r>
              <w:rPr>
                <w:rFonts w:ascii="Arial" w:cs="Arial" w:eastAsia="Arial" w:hAnsi="Arial"/>
                <w:sz w:val="18"/>
                <w:szCs w:val="18"/>
                <w:color w:val="auto"/>
                <w:w w:val="95"/>
              </w:rPr>
              <w:t>Executive Vice President, Chief Financial Officer and Treasurer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Kristine Martin Anderson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49</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Karen M. Dahut</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54</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Nancy J. Laben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56</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Gary D. Labovich</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58</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Christopher Ling</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53</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Joseph Logue</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53</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Joseph W. Mahaffee</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60</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Angela M. Messer</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54</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Transformation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Susan L. Penfield</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56</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Elizabeth M. Thompson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63</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People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Laura S. Adams</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45</w:t>
            </w:r>
          </w:p>
        </w:tc>
        <w:tc>
          <w:tcPr>
            <w:tcW w:w="5320" w:type="dxa"/>
            <w:vAlign w:val="bottom"/>
          </w:tcPr>
          <w:p>
            <w:pPr>
              <w:ind w:left="500"/>
              <w:spacing w:after="0"/>
              <w:rPr>
                <w:sz w:val="20"/>
                <w:szCs w:val="20"/>
                <w:color w:val="auto"/>
              </w:rPr>
            </w:pPr>
            <w:r>
              <w:rPr>
                <w:rFonts w:ascii="Arial" w:cs="Arial" w:eastAsia="Arial" w:hAnsi="Arial"/>
                <w:sz w:val="18"/>
                <w:szCs w:val="18"/>
                <w:color w:val="auto"/>
                <w:w w:val="91"/>
              </w:rPr>
              <w:t>Vice President, Corporate Controller and Chief Accounting Officer</w:t>
            </w: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Horacio D. Rozanski </w:t>
      </w:r>
      <w:r>
        <w:rPr>
          <w:rFonts w:ascii="Arial" w:cs="Arial" w:eastAsia="Arial" w:hAnsi="Arial"/>
          <w:sz w:val="18"/>
          <w:szCs w:val="18"/>
          <w:color w:val="auto"/>
        </w:rPr>
        <w:t>is our President and Chief Executive Officer and served as our Chief Operating Officer until January 1, 2015. Mr. Rozanski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Chief 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 of trustees of the Jewish Primary Day School of the Nation’s Capital and the board of directors of The Center for Talent Innovation and the United States Holocaust Memorial Museum's Committee on Conscience and as Vice Chair of the Corporate Fund for the John F. Kennedy Center for the Performing Arts.</w:t>
      </w:r>
    </w:p>
    <w:p>
      <w:pPr>
        <w:spacing w:after="0" w:line="8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Lloyd W. Howell, Jr. </w:t>
      </w:r>
      <w:r>
        <w:rPr>
          <w:rFonts w:ascii="Arial" w:cs="Arial" w:eastAsia="Arial" w:hAnsi="Arial"/>
          <w:sz w:val="17"/>
          <w:szCs w:val="17"/>
          <w:color w:val="auto"/>
        </w:rPr>
        <w:t>is an Executive Vice President of our company and our Chief Financial Officer and Treasurer since July 1, 2016. Mr. Howell</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the group leader for our Civil Commercial Group. Mr. Howell joined our company in 1988, left in 1991, rejoined in 1995 and became an Executive Vice President in 2005. He served as chairman of our Ethics &amp; Compliance Committee for over seven years, until April 2014. Mr. Howell serves on the boards of directors of Integra Life Sciences, Partnership for Public Service and Capital Partners for Education. Mr. Howell also serves on the board of overseers for the School of Engineering and Applied Science and as a Trustee at the University of Pennsylvania.</w:t>
      </w:r>
    </w:p>
    <w:p>
      <w:pPr>
        <w:spacing w:after="0" w:line="6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i w:val="1"/>
          <w:iCs w:val="1"/>
          <w:color w:val="auto"/>
        </w:rPr>
        <w:t xml:space="preserve">Kristine Martin Anderson </w:t>
      </w:r>
      <w:r>
        <w:rPr>
          <w:rFonts w:ascii="Arial" w:cs="Arial" w:eastAsia="Arial" w:hAnsi="Arial"/>
          <w:sz w:val="16"/>
          <w:szCs w:val="16"/>
          <w:color w:val="auto"/>
        </w:rPr>
        <w:t>is an Executive Vice President and is the group leader for the company's Civil Group after leading the company's civil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since April 2015. Prior to joining Booz Allen in 2006, she was vice president for operations and strategy at CareScience, a software solutions company. Ms. Anderson currently serves on the eHealth Initiative's board of directors. In addition, she serves on the Cost and Resource Use Standing Committee of the National Quality Forum and the Quality and Safety Committee for the Healthcare Information and Management Systems Society.</w:t>
      </w:r>
    </w:p>
    <w:p>
      <w:pPr>
        <w:spacing w:after="0" w:line="4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i w:val="1"/>
          <w:iCs w:val="1"/>
          <w:color w:val="auto"/>
        </w:rPr>
        <w:t xml:space="preserve">Karen M. Dahut </w:t>
      </w:r>
      <w:r>
        <w:rPr>
          <w:rFonts w:ascii="Arial" w:cs="Arial" w:eastAsia="Arial" w:hAnsi="Arial"/>
          <w:sz w:val="17"/>
          <w:szCs w:val="17"/>
          <w:color w:val="auto"/>
        </w:rPr>
        <w:t>is an Executive Vice President and is the group leader for the company's Defense Group and Commercial Group. Ms. Dahut joined</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in 2002 and became a Senior Vice President in 2004. Ms. Dahut led the company's Strategic Innovations Group from 2012 to April 2016 and the Civil Commercial Group from 2016 to March 2018. Previously, she also led the company's Analytics business and its US Navy and Marine Corps business. Ms. Dahut is a board member of the Tech Data Corporation and Northern Virginia Technology Council.</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Nancy J. Laben </w:t>
      </w:r>
      <w:r>
        <w:rPr>
          <w:rFonts w:ascii="Arial" w:cs="Arial" w:eastAsia="Arial" w:hAnsi="Arial"/>
          <w:sz w:val="16"/>
          <w:szCs w:val="16"/>
          <w:color w:val="auto"/>
        </w:rPr>
        <w:t>is an Executive Vice President of our company and our Chief Legal Officer and Secretary. Ms. Laben joined our company in September</w:t>
      </w:r>
    </w:p>
    <w:p>
      <w:pPr>
        <w:spacing w:after="0" w:line="46"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2013. She oversees the Legal functions, Ethics &amp; Compliance and Corporate Affairs.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4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Gary Labovich </w:t>
      </w:r>
      <w:r>
        <w:rPr>
          <w:rFonts w:ascii="Arial" w:cs="Arial" w:eastAsia="Arial" w:hAnsi="Arial"/>
          <w:sz w:val="18"/>
          <w:szCs w:val="18"/>
          <w:color w:val="auto"/>
        </w:rPr>
        <w:t>is an Executive Vice President and leads the modernization of our management systems. He joined Booz Allen in July 2004. Mr.</w:t>
      </w:r>
      <w:r>
        <w:rPr>
          <w:rFonts w:ascii="Arial" w:cs="Arial" w:eastAsia="Arial" w:hAnsi="Arial"/>
          <w:sz w:val="18"/>
          <w:szCs w:val="18"/>
          <w:i w:val="1"/>
          <w:iCs w:val="1"/>
          <w:color w:val="auto"/>
        </w:rPr>
        <w:t xml:space="preserve"> </w:t>
      </w:r>
      <w:r>
        <w:rPr>
          <w:rFonts w:ascii="Arial" w:cs="Arial" w:eastAsia="Arial" w:hAnsi="Arial"/>
          <w:sz w:val="18"/>
          <w:szCs w:val="18"/>
          <w:color w:val="auto"/>
        </w:rPr>
        <w:t>Labovich has led the company's systems delivery and digital businesses as well as the delivery of the company's financial services capabilities and service offerings to both federal and private sector clients. Prior to joining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3" w:right="239" w:bottom="1440" w:gutter="0" w:footer="0" w:header="0"/>
        </w:sectPr>
      </w:pPr>
    </w:p>
    <w:bookmarkStart w:id="40" w:name="page41"/>
    <w:bookmarkEnd w:id="40"/>
    <w:p>
      <w:pPr>
        <w:jc w:val="both"/>
        <w:ind w:right="380"/>
        <w:spacing w:after="0" w:line="312" w:lineRule="auto"/>
        <w:rPr>
          <w:sz w:val="20"/>
          <w:szCs w:val="20"/>
          <w:color w:val="auto"/>
        </w:rPr>
      </w:pPr>
      <w:r>
        <w:rPr>
          <w:rFonts w:ascii="Arial" w:cs="Arial" w:eastAsia="Arial" w:hAnsi="Arial"/>
          <w:sz w:val="16"/>
          <w:szCs w:val="16"/>
          <w:color w:val="auto"/>
        </w:rPr>
        <w:t>company, Mr. Labovich spent 18 years at American Management Systems in key roles as an entrepreneur and a senior executive specializing in systems development and strategic consulting for federal, state, local and commercial organizations. Mr. Labovich is a former chair and a member of the board of trustees for the Greater DC Maryland Chapter of the National Multiple Sclerosis and serves on the board of trustees for Clark University.</w:t>
      </w:r>
    </w:p>
    <w:p>
      <w:pPr>
        <w:spacing w:after="0" w:line="3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i w:val="1"/>
          <w:iCs w:val="1"/>
          <w:color w:val="auto"/>
        </w:rPr>
        <w:t xml:space="preserve">Christopher Ling </w:t>
      </w:r>
      <w:r>
        <w:rPr>
          <w:rFonts w:ascii="Arial" w:cs="Arial" w:eastAsia="Arial" w:hAnsi="Arial"/>
          <w:sz w:val="16"/>
          <w:szCs w:val="16"/>
          <w:color w:val="auto"/>
        </w:rPr>
        <w:t>is an Executive Vice President and leads the company's National Security Group. Mr. Ling joined the company in 1991 and has over</w:t>
      </w:r>
      <w:r>
        <w:rPr>
          <w:rFonts w:ascii="Arial" w:cs="Arial" w:eastAsia="Arial" w:hAnsi="Arial"/>
          <w:sz w:val="16"/>
          <w:szCs w:val="16"/>
          <w:i w:val="1"/>
          <w:iCs w:val="1"/>
          <w:color w:val="auto"/>
        </w:rPr>
        <w:t xml:space="preserve"> </w:t>
      </w:r>
      <w:r>
        <w:rPr>
          <w:rFonts w:ascii="Arial" w:cs="Arial" w:eastAsia="Arial" w:hAnsi="Arial"/>
          <w:sz w:val="16"/>
          <w:szCs w:val="16"/>
          <w:color w:val="auto"/>
        </w:rPr>
        <w:t>25 years of experience in management consulting, analytics, missions operations, technology, cybersecurity, engineering, and innovation to design, develop and implement solutions. Prior to becoming the group lead for the National Security Group, Mr. Ling led the company's International business from April 2016 through March 2018, where he provided a range of general management consulting, defense, counter terrorism, cyber and data analytics to public and commercial/private sector clients primarily in the Middle East. Mr. Ling was also responsible for leading the company's cyber business from April 2014 through March 2016 and the Defense/Military Intel business prior to April 2014. Mr. Ling is a member of the Business Executives for National Security.</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Joseph Logue </w:t>
      </w:r>
      <w:r>
        <w:rPr>
          <w:rFonts w:ascii="Arial" w:cs="Arial" w:eastAsia="Arial" w:hAnsi="Arial"/>
          <w:sz w:val="18"/>
          <w:szCs w:val="18"/>
          <w:color w:val="auto"/>
        </w:rPr>
        <w:t>is an Executive Vice President of our company and was the group leader for our Defense Intelligence Group until March 2018. Mr. Logue</w:t>
      </w:r>
      <w:r>
        <w:rPr>
          <w:rFonts w:ascii="Arial" w:cs="Arial" w:eastAsia="Arial" w:hAnsi="Arial"/>
          <w:sz w:val="18"/>
          <w:szCs w:val="18"/>
          <w:i w:val="1"/>
          <w:iCs w:val="1"/>
          <w:color w:val="auto"/>
        </w:rPr>
        <w:t xml:space="preserve"> </w:t>
      </w:r>
      <w:r>
        <w:rPr>
          <w:rFonts w:ascii="Arial" w:cs="Arial" w:eastAsia="Arial" w:hAnsi="Arial"/>
          <w:sz w:val="18"/>
          <w:szCs w:val="18"/>
          <w:color w:val="auto"/>
        </w:rPr>
        <w:t>joined our company in 1997 and became an Executive Vice President in 2009. Previously, he led our former commercial Information Technology practice. As previously disclosed, Mr. Logue will retire from the company effective June 30, 2018.</w:t>
      </w:r>
    </w:p>
    <w:p>
      <w:pPr>
        <w:spacing w:after="0" w:line="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 xml:space="preserve">Joseph W. Mahaffee </w:t>
      </w:r>
      <w:r>
        <w:rPr>
          <w:rFonts w:ascii="Arial" w:cs="Arial" w:eastAsia="Arial" w:hAnsi="Arial"/>
          <w:sz w:val="17"/>
          <w:szCs w:val="17"/>
          <w:color w:val="auto"/>
        </w:rPr>
        <w:t>is an Executive Vice President, our Chief Administrative Officer (CAO) and was our Chief Information Security Officer (CISO)</w:t>
      </w:r>
      <w:r>
        <w:rPr>
          <w:rFonts w:ascii="Arial" w:cs="Arial" w:eastAsia="Arial" w:hAnsi="Arial"/>
          <w:sz w:val="17"/>
          <w:szCs w:val="17"/>
          <w:i w:val="1"/>
          <w:iCs w:val="1"/>
          <w:color w:val="auto"/>
        </w:rPr>
        <w:t xml:space="preserve"> </w:t>
      </w:r>
      <w:r>
        <w:rPr>
          <w:rFonts w:ascii="Arial" w:cs="Arial" w:eastAsia="Arial" w:hAnsi="Arial"/>
          <w:sz w:val="17"/>
          <w:szCs w:val="17"/>
          <w:color w:val="auto"/>
        </w:rPr>
        <w:t>until April 2018. Mr. Mahaffee joined the company in 1981. Prior to his CAO and CISO roles, Mr. Mahaffee served in a variety of client/market-facing leadership roles, including Client Service Officer for our NSA account, Assurance and Resilience Capability Leader and the Northeast Region Leader. Mr. Mahaffee has primarily focused his career serving clients in the Defense and Intelligence Community markets. Altogether, he has more than 38 years of professional experience in Cybersecurity, systems engineering, communications, information assurance and signals intelligence. Prior to joining our company, Mr. Mahaffee was an information security engineer with the National Security Agency.</w:t>
      </w:r>
    </w:p>
    <w:p>
      <w:pPr>
        <w:spacing w:after="0" w:line="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Angela Messer </w:t>
      </w:r>
      <w:r>
        <w:rPr>
          <w:rFonts w:ascii="Arial" w:cs="Arial" w:eastAsia="Arial" w:hAnsi="Arial"/>
          <w:sz w:val="17"/>
          <w:szCs w:val="17"/>
          <w:color w:val="auto"/>
        </w:rPr>
        <w:t>is an Executive Vice President and our Chief Transformation Officer (CTO) since April 2018. Ms. Messer joined our company in 1996,</w:t>
      </w:r>
      <w:r>
        <w:rPr>
          <w:rFonts w:ascii="Arial" w:cs="Arial" w:eastAsia="Arial" w:hAnsi="Arial"/>
          <w:sz w:val="17"/>
          <w:szCs w:val="17"/>
          <w:i w:val="1"/>
          <w:iCs w:val="1"/>
          <w:color w:val="auto"/>
        </w:rPr>
        <w:t xml:space="preserve"> </w:t>
      </w:r>
      <w:r>
        <w:rPr>
          <w:rFonts w:ascii="Arial" w:cs="Arial" w:eastAsia="Arial" w:hAnsi="Arial"/>
          <w:sz w:val="17"/>
          <w:szCs w:val="17"/>
          <w:color w:val="auto"/>
        </w:rPr>
        <w:t>left and rejoined in 2001 and became Executive Vice President in 2013. Previously she led the company's Cyber capability, guiding teams of cyber forensics engineers, data scientists, and threat intelligence experts who focus on cyber malware, cyber next gen operations and incident response. Previously, she led the company's Army business, which is a global, multi-functional business in the defense and intelligence sector. Prior to joining the company, she was a U.S. Army officer, managed two commercial businesses and launched a startup software development company.</w:t>
      </w:r>
    </w:p>
    <w:p>
      <w:pPr>
        <w:spacing w:after="0" w:line="6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 xml:space="preserve">Susan L. Penfield </w:t>
      </w:r>
      <w:r>
        <w:rPr>
          <w:rFonts w:ascii="Arial" w:cs="Arial" w:eastAsia="Arial" w:hAnsi="Arial"/>
          <w:sz w:val="16"/>
          <w:szCs w:val="16"/>
          <w:color w:val="auto"/>
        </w:rPr>
        <w:t>is an Executive Vice President of our company and is the group leader for our Strategic Innovation Group. Ms. Penfield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on the board of directors of the Children's Inn at the National Institutes of Health and Seedspot. Ms. Penfield is a member of the the National Association for Female Executives (NAFE), and was recognized by the NAFE as its 2015 Digital Trailblazer.</w:t>
      </w:r>
    </w:p>
    <w:p>
      <w:pPr>
        <w:spacing w:after="0" w:line="50"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i w:val="1"/>
          <w:iCs w:val="1"/>
          <w:color w:val="auto"/>
        </w:rPr>
        <w:t xml:space="preserve">Elizabeth M. Thompson </w:t>
      </w:r>
      <w:r>
        <w:rPr>
          <w:rFonts w:ascii="Arial" w:cs="Arial" w:eastAsia="Arial" w:hAnsi="Arial"/>
          <w:sz w:val="16"/>
          <w:szCs w:val="16"/>
          <w:color w:val="auto"/>
        </w:rPr>
        <w:t>is an Executive Vice President of our company and serves as our Chief People Officer. Ms. Thompson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2008. Ms. Thompson served as Vice President of Human Resources for Fannie Mae from 2000 to 2008. Ms. Thompson holds an M.S. in Human Resources and Personnel Management from American University. Ms. Thompson is also a member of the board of directors of the Thurgood Marshall College Fund.</w:t>
      </w:r>
    </w:p>
    <w:p>
      <w:pPr>
        <w:spacing w:after="0" w:line="3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i w:val="1"/>
          <w:iCs w:val="1"/>
          <w:color w:val="auto"/>
        </w:rPr>
        <w:t xml:space="preserve">Laura S. Adams </w:t>
      </w:r>
      <w:r>
        <w:rPr>
          <w:rFonts w:ascii="Arial" w:cs="Arial" w:eastAsia="Arial" w:hAnsi="Arial"/>
          <w:sz w:val="16"/>
          <w:szCs w:val="16"/>
          <w:color w:val="auto"/>
        </w:rPr>
        <w:t>is a Vice President of our company and our Corporate Controller and Chief Accounting Officer. Ms. Adams joined Booz Allen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2009 and has served as the company’s Controller since July 2014 and Chief Accounting Officer since 2016. Ms. Adams brings more than 25 years of finance and accounting specialty and industry experience, primarily in aerospace and defense and government and commercial IT management consulting services. Before joining Booz Allen, Ms. Adams was a senior manager in the audit and assurance practice of Ernst &amp; Young from 1995 through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Class A Common Stock began trading on the New York Stock Exchange on November 17, 2010.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 On September 30, 2015, the Company purchased, at par value, all issued and outstanding shares of Class E special voting common stock in connection with the exercise of the final tranche of rollover options during the second quarter of fiscal 2016. There is no established trading market for each of our Class B Non-Voting Common Stock, Class C Restricted Common Stock, or Class E Special Voting Common Stock. On May 22, 2018, there were 75,571 beneficial holders of our Class A Common Stock. The following table sets forth, for the periods indicated, the high and low sales price per share of our Class A Common Stock as reported by the New York Stock Exchange: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31.06</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31.56</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35.71</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27.02</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29.03</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29.55</w:t>
            </w:r>
          </w:p>
        </w:tc>
      </w:tr>
      <w:tr>
        <w:trPr>
          <w:trHeight w:val="341"/>
        </w:trPr>
        <w:tc>
          <w:tcPr>
            <w:tcW w:w="7640" w:type="dxa"/>
            <w:vAlign w:val="bottom"/>
          </w:tcPr>
          <w:p>
            <w:pPr>
              <w:ind w:left="380"/>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32.75</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During fiscal 2018, the Company’s Board of Directors authorized and declared three regular quarterly cash dividends of $0.17 per share and one quarterly cash dividend of $0.19 per share. During fiscal 2017, the Company’s Board of Directors authorized and declared three regular quarterly cash dividends of $0.15 per share and one quarterly cash dividend of $0.17 per share. The Company plans to continue paying recurring dividends in the future and assessing its excess cash resources to determine the best way to utilize its excess cash flow to meet its objectives. Any future dividends declared will be at the discretion of the Company's Board of Directors and will depend, among other factors, upon our earnings, liquidity, financial condition, alternate capital allocation opportunities, or any other factors our Board of Directors deems relevant. On May 29, 2018, the Company announced that its Board of Directors had declared a quarterly cash dividend of $0.19 per share. Payment of the dividend will be made on June 29, 2018 to stockholders of record at the close of business on June 14,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88"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March 31,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700"/>
              <w:spacing w:after="0"/>
              <w:rPr>
                <w:sz w:val="20"/>
                <w:szCs w:val="20"/>
                <w:color w:val="auto"/>
              </w:rPr>
            </w:pPr>
            <w:r>
              <w:rPr>
                <w:rFonts w:ascii="Arial" w:cs="Arial" w:eastAsia="Arial" w:hAnsi="Arial"/>
                <w:sz w:val="16"/>
                <w:szCs w:val="16"/>
                <w:b w:val="1"/>
                <w:bCs w:val="1"/>
                <w:color w:val="auto"/>
              </w:rPr>
              <w:t>(1)</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7"/>
              </w:rPr>
              <w:t>270,902,584</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February 2018</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1,067,857</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$37.46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1,067,857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700"/>
              <w:spacing w:after="0"/>
              <w:rPr>
                <w:sz w:val="20"/>
                <w:szCs w:val="20"/>
                <w:color w:val="auto"/>
              </w:rPr>
            </w:pPr>
            <w:r>
              <w:rPr>
                <w:rFonts w:ascii="Arial" w:cs="Arial" w:eastAsia="Arial" w:hAnsi="Arial"/>
                <w:sz w:val="18"/>
                <w:szCs w:val="18"/>
                <w:color w:val="auto"/>
                <w:w w:val="97"/>
              </w:rPr>
              <w:t>230,902,601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857,351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$38.55</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857,351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7"/>
              </w:rPr>
              <w:t>197,855,040</w:t>
            </w:r>
          </w:p>
        </w:tc>
      </w:tr>
      <w:tr>
        <w:trPr>
          <w:trHeight w:val="257"/>
        </w:trPr>
        <w:tc>
          <w:tcPr>
            <w:tcW w:w="3780" w:type="dxa"/>
            <w:vAlign w:val="bottom"/>
            <w:gridSpan w:val="2"/>
          </w:tcPr>
          <w:p>
            <w:pPr>
              <w:ind w:left="32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1,925,208</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1,925,208</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20" w:hanging="652"/>
        <w:spacing w:after="0" w:line="27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As of May 24, 2018, taking into effect the increase in the share repurchase authorization, the Company may repurchase up to approximately $493.7 million of additional shares of common stock under its share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6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graph set forth below compares the cumulative shareholder return on our Class A Common Stock between March 31, 2013 and March 31, 2018,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2013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360680</wp:posOffset>
            </wp:positionV>
            <wp:extent cx="5848985" cy="3044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$100 INVESTED ON MARCH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3/31/2016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3/31/2017</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Booz Allen Hamilton Holding Corp.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Russell 1000 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138.69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185.63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Software &amp; Services Select Industry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176.82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228.48</w:t>
            </w:r>
          </w:p>
        </w:tc>
      </w:tr>
      <w:tr>
        <w:trPr>
          <w:trHeight w:val="27"/>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selected consolidated statements of operations data for fiscal 2018, fiscal 2017, and fiscal 2016 and the selected consolidated balance sheet data as of March 31, 2018 and 2017 have been derived from our audited consolidated financial statements included elsewhere in this Annual Report. The selected consolidated statement of operations data for fiscal 2015 and fiscal 2014 and the selected consolidated balance sheet data as of March 31, 2016, 2015 and 2014 have been derived from audited consolidated financial statements which are not included in this Annual Report. Our historical results are not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8" w:right="239" w:bottom="1440" w:gutter="0" w:footer="0" w:header="0"/>
        </w:sectPr>
      </w:pPr>
    </w:p>
    <w:bookmarkStart w:id="44" w:name="page45"/>
    <w:bookmarkEnd w:id="44"/>
    <w:p>
      <w:pPr>
        <w:jc w:val="both"/>
        <w:ind w:right="580"/>
        <w:spacing w:after="0" w:line="264" w:lineRule="auto"/>
        <w:rPr>
          <w:sz w:val="20"/>
          <w:szCs w:val="20"/>
          <w:color w:val="auto"/>
        </w:rPr>
      </w:pPr>
      <w:r>
        <w:rPr>
          <w:rFonts w:ascii="Arial" w:cs="Arial" w:eastAsia="Arial" w:hAnsi="Arial"/>
          <w:sz w:val="18"/>
          <w:szCs w:val="18"/>
          <w:color w:val="auto"/>
        </w:rPr>
        <w:t>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Fiscal Year Ended March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177"/>
        </w:trPr>
        <w:tc>
          <w:tcPr>
            <w:tcW w:w="54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General and administrative expenses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operating costs and expenses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common share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6,171,853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5,804,284</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5,405,738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5,274,770</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5,478,693</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2,867,103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2,691,982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2,580,026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2,593,849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2,716,113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1,861,312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1,751,077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1,513,083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1,406,527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1,487,115</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858,597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817,434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806,509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752,912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742,527</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64,756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59,544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61,536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62,660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72,327</w:t>
            </w:r>
          </w:p>
        </w:tc>
      </w:tr>
      <w:tr>
        <w:trPr>
          <w:trHeight w:val="250"/>
        </w:trPr>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5,651,768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5,320,037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4,961,154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4,815,948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5,018,082</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520,085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484,247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444,584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458,822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460,611</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(82,269)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(62,298)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(70,815)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(71,832)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(78,030)</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438,004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411,900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379,462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385,918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380,787</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132,893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159,410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85,368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153,349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148,599</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305,111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252,490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294,094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232,569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232,188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-1903095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-1560195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-1217295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-874395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-530860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-187960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171450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740" w:space="720"/>
            <w:col w:w="5960"/>
          </w:cols>
          <w:pgMar w:left="240" w:top="773" w:right="2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Weighted average common shares outstanding (1):</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0"/>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540"/>
        </w:trPr>
        <w:tc>
          <w:tcPr>
            <w:tcW w:w="1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145,964,574</w:t>
            </w:r>
          </w:p>
        </w:tc>
        <w:tc>
          <w:tcPr>
            <w:tcW w:w="2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148,218,968</w:t>
            </w: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146,494,407</w:t>
            </w:r>
          </w:p>
        </w:tc>
        <w:tc>
          <w:tcPr>
            <w:tcW w:w="30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145,414,120</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141,314,544</w:t>
            </w:r>
          </w:p>
        </w:tc>
      </w:tr>
      <w:tr>
        <w:trPr>
          <w:trHeight w:val="270"/>
        </w:trPr>
        <w:tc>
          <w:tcPr>
            <w:tcW w:w="1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147,750,022</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150,274,640</w:t>
            </w: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149,719,137</w:t>
            </w:r>
          </w:p>
        </w:tc>
        <w:tc>
          <w:tcPr>
            <w:tcW w:w="3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150,375,531</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148,681,074</w:t>
            </w:r>
          </w:p>
        </w:tc>
      </w:tr>
      <w:tr>
        <w:trPr>
          <w:trHeight w:val="270"/>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0.70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0.62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0.54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-677545</wp:posOffset>
            </wp:positionV>
            <wp:extent cx="72034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-334645</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23495</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780" w:space="720"/>
            <w:col w:w="5920"/>
          </w:cols>
          <w:pgMar w:left="240" w:top="773"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286,958</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217,417</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187,529</w:t>
            </w:r>
          </w:p>
        </w:tc>
        <w:tc>
          <w:tcPr>
            <w:tcW w:w="120" w:type="dxa"/>
            <w:vAlign w:val="bottom"/>
          </w:tcPr>
          <w:p>
            <w:pPr>
              <w:spacing w:after="0"/>
              <w:rPr>
                <w:sz w:val="16"/>
                <w:szCs w:val="16"/>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207,217</w:t>
            </w:r>
          </w:p>
        </w:tc>
        <w:tc>
          <w:tcPr>
            <w:tcW w:w="10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259,994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452,553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193,079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249,858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299,675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309,186</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3,603,366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3,373,105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3,010,171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2,863,982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2,915,229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1,755,479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1,470,174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1,484,448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1,555,761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1,567,893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554,628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573,591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408,488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186,498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171,636</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right="120" w:hanging="330"/>
        <w:spacing w:after="0" w:line="247"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7"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ectPr>
          <w:pgSz w:w="11900" w:h="16838" w:orient="portrait"/>
          <w:cols w:equalWidth="0" w:num="1">
            <w:col w:w="11420"/>
          </w:cols>
          <w:pgMar w:left="240" w:top="773"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73" w:right="239" w:bottom="1440" w:gutter="0" w:footer="0" w:header="0"/>
          <w:type w:val="continuous"/>
        </w:sectPr>
      </w:pPr>
    </w:p>
    <w:bookmarkStart w:id="45" w:name="page46"/>
    <w:bookmarkEnd w:id="45"/>
    <w:p>
      <w:pPr>
        <w:ind w:right="60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24,600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we have a growing presence in Southeast Asia.</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5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During fiscal 2018, the Company generated its highest annual revenue since its initial public offering and reported increases in headcount and backlog for the year. Revenue increased 6.3% from fiscal 2017 to fiscal 2018 primarily driven by increased client demand, which led to increased client staff headcount, and an increase in client staff labor. Revenue also benefited from higher billable expenses as compared to the prior year.</w:t>
      </w:r>
    </w:p>
    <w:p>
      <w:pPr>
        <w:spacing w:after="0" w:line="11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Operating income increased 7.4% to $520.1 million in fiscal 2018 from $484.2 million in fiscal 2017, which reflects an increase in operating margin to 8.4% from 8.3% in the comparable period. The increase in operating income was primarily driven by the same factors driving revenue growth as well as improved contract profitability. The increase in operating income was partially offset by an increase in the Company's provisions for the potential recovery of allowable expenses recorded during fiscal 2018 as compared to fiscal 2017. The Company also incurred incremental legal costs during fiscal 2018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5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8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80" w:hanging="644"/>
        <w:spacing w:after="0" w:line="25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“Carlyle Acquisition”),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60" w:hanging="644"/>
        <w:spacing w:after="0" w:line="272"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1300" w:right="8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Carlyle Acquisition, (ii) transaction costs, fees, losses, and expenses, including fees associated with debt prepayments, (iii) amortization or write-off of debt issuance costs and write-off of original issue discount, (iv) release of income tax reserves, and (v) re-measurement of deferred tax assets and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851" w:right="279" w:bottom="1440" w:gutter="0" w:footer="0" w:header="0"/>
        </w:sectPr>
      </w:pPr>
    </w:p>
    <w:bookmarkStart w:id="48" w:name="page49"/>
    <w:bookmarkEnd w:id="48"/>
    <w:p>
      <w:pPr>
        <w:ind w:left="644" w:right="80"/>
        <w:spacing w:after="0" w:line="323" w:lineRule="auto"/>
        <w:rPr>
          <w:sz w:val="20"/>
          <w:szCs w:val="20"/>
          <w:color w:val="auto"/>
        </w:rPr>
      </w:pPr>
      <w:r>
        <w:rPr>
          <w:rFonts w:ascii="Arial" w:cs="Arial" w:eastAsia="Arial" w:hAnsi="Arial"/>
          <w:sz w:val="17"/>
          <w:szCs w:val="17"/>
          <w:color w:val="auto"/>
        </w:rPr>
        <w:t>liabilities as a result of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42" w:lineRule="exact"/>
        <w:rPr>
          <w:sz w:val="20"/>
          <w:szCs w:val="20"/>
          <w:color w:val="auto"/>
        </w:rPr>
      </w:pPr>
    </w:p>
    <w:p>
      <w:pPr>
        <w:ind w:left="644" w:hanging="644"/>
        <w:spacing w:after="0" w:line="264" w:lineRule="auto"/>
        <w:tabs>
          <w:tab w:leader="none" w:pos="6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8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44"/>
          </w:cols>
          <w:pgMar w:left="896" w:top="827" w:right="259" w:bottom="1440" w:gutter="0" w:footer="0" w:header="0"/>
        </w:sectPr>
      </w:pPr>
    </w:p>
    <w:bookmarkStart w:id="49" w:name="page50"/>
    <w:bookmarkEnd w:id="49"/>
    <w:p>
      <w:pPr>
        <w:ind w:right="140"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Adjusted Net Income, Adjusted Diluted EPS, and Free Cash Flow to the most directly comparable financial measure calculated and presented in accordance with GAAP.</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2"/>
              </w:rPr>
              <w:t>Fiscal Year Ended March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6,171,853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5,804,284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5,405,738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1,861,312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1,751,077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1,513,083</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4,310,541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4,053,207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3,892,655</w:t>
            </w:r>
          </w:p>
        </w:tc>
        <w:tc>
          <w:tcPr>
            <w:tcW w:w="0" w:type="dxa"/>
            <w:vAlign w:val="bottom"/>
          </w:tcPr>
          <w:p>
            <w:pPr>
              <w:spacing w:after="0"/>
              <w:rPr>
                <w:sz w:val="1"/>
                <w:szCs w:val="1"/>
                <w:color w:val="auto"/>
              </w:rPr>
            </w:pPr>
          </w:p>
        </w:tc>
      </w:tr>
      <w:tr>
        <w:trPr>
          <w:trHeight w:val="67"/>
        </w:trPr>
        <w:tc>
          <w:tcPr>
            <w:tcW w:w="58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520,085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484,247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444,584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 (a)</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520,085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491,826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448,809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Adjusted EBITDA Margin on Revenue &amp;</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EBITDA Margin on Revenue, Excluding Billable Expenses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305,111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294,094</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132,893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159,410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85,368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(c)</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65,122</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64,756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59,544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61,536</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543,791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506,120</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584,841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547,145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506,120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Adjusted EBITDA Margin on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Adjusted EBITDA Margin on Revenue, Excluding Billable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305,111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294,094</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Amortization of intangible assets (a)</w:t>
            </w:r>
          </w:p>
        </w:tc>
        <w:tc>
          <w:tcPr>
            <w:tcW w:w="4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Release of income tax reserves (d)</w:t>
            </w:r>
          </w:p>
        </w:tc>
        <w:tc>
          <w:tcPr>
            <w:tcW w:w="4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(53,301)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deferred tax assets/liabilities (e)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w w:val="99"/>
              </w:rPr>
              <w:t>Amortization or write-off of debt issuance costs and write-off of original</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issue discount</w:t>
            </w:r>
          </w:p>
        </w:tc>
        <w:tc>
          <w:tcPr>
            <w:tcW w:w="40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for tax effect (f)</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8"/>
                <w:szCs w:val="18"/>
                <w:color w:val="auto"/>
              </w:rPr>
              <w:t>Adjusted 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297,690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262,357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246,449</w:t>
            </w:r>
          </w:p>
        </w:tc>
        <w:tc>
          <w:tcPr>
            <w:tcW w:w="0" w:type="dxa"/>
            <w:vAlign w:val="bottom"/>
          </w:tcPr>
          <w:p>
            <w:pPr>
              <w:spacing w:after="0"/>
              <w:rPr>
                <w:sz w:val="1"/>
                <w:szCs w:val="1"/>
                <w:color w:val="auto"/>
              </w:rPr>
            </w:pPr>
          </w:p>
        </w:tc>
      </w:tr>
      <w:tr>
        <w:trPr>
          <w:trHeight w:val="67"/>
        </w:trPr>
        <w:tc>
          <w:tcPr>
            <w:tcW w:w="58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147,750,022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150,274,640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149,719,137</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Net Income Per Diluted Share (g)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369,143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382,277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249,234</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(78,437)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(53,919)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(66,635)</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Free Cash Flow</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290,706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328,358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182,599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Carlyle Acquisition.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13, 2016.</w:t>
      </w:r>
    </w:p>
    <w:p>
      <w:pPr>
        <w:sectPr>
          <w:pgSz w:w="11900" w:h="16838" w:orient="portrait"/>
          <w:cols w:equalWidth="0" w:num="1">
            <w:col w:w="11400"/>
          </w:cols>
          <w:pgMar w:left="240" w:top="692" w:right="25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692" w:right="259" w:bottom="1440" w:gutter="0" w:footer="0" w:header="0"/>
          <w:type w:val="continuous"/>
        </w:sectPr>
      </w:pPr>
    </w:p>
    <w:bookmarkStart w:id="50" w:name="page51"/>
    <w:bookmarkEnd w:id="50"/>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combination of Interest expense and Other income (expense), net from the consolidated statement of operations.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provisional income tax benefit associated with the re-measurement of the Company's deferred tax assets and liabilities as a result of the 2017 Tax Act.</w:t>
      </w:r>
    </w:p>
    <w:p>
      <w:pPr>
        <w:ind w:left="660" w:right="60" w:hanging="652"/>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Fiscal 2017 and 2016 reflect the tax effect of adjustments at an assumed effective tax rate of 40%. Beginning in the third quarter of fiscal 2018 with the enactment of the 2017 Tax Act, adjustments are reflected using an assumed effective tax rate of 36.5%, which approximates a blended federal and state tax rate for fiscal 2018, and consistently excludes the impact of other tax credits and incentive benefits realized.</w:t>
      </w:r>
    </w:p>
    <w:p>
      <w:pPr>
        <w:ind w:left="660" w:right="140" w:hanging="652"/>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an adjustment of approximately $1.9 million, $2.3 million, and $3.5 million of net earnings for fiscal 2018, 2017, and 2016, respectively, associated with the application of the two-class method for computing diluted earnings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40" w:hanging="644"/>
        <w:spacing w:after="0" w:line="25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address the ability of Congress to determine how to allocate the available budget authority and pass appropriations bills to fund both U.S. government departments and agencies that are, and those that are not, subject to the caps;</w:t>
      </w:r>
    </w:p>
    <w:p>
      <w:pPr>
        <w:spacing w:after="0" w:line="8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40" w:hanging="644"/>
        <w:spacing w:after="0" w:line="289"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shifts in priorities on homeland security, intelligence, defense-related programs, and healthcare, and continued increased spending on technology and innovation including cybersecurity, Command, Control, Communications, Computers, Intelligence, Surveillance, and Reconnaissance (C4ISR), advanced analytics, systems modernization and integration;</w:t>
      </w:r>
    </w:p>
    <w:p>
      <w:pPr>
        <w:spacing w:after="0" w:line="78"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adoption of interim rules adopted by federal agencies implementing a section of the Bipartisan Budget Act of 2013, which substantially further reduce the amount of allowable executive compensation under these contracts and extend these limitations to a larger segment of our executives and our entire contract base;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692" w:right="299" w:bottom="1440" w:gutter="0" w:footer="0" w:header="0"/>
        </w:sectPr>
      </w:pPr>
    </w:p>
    <w:bookmarkStart w:id="51" w:name="page52"/>
    <w:bookmarkEnd w:id="51"/>
    <w:p>
      <w:pPr>
        <w:ind w:left="1300" w:right="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negative publicity and increased scrutiny of government contractors in general, including us, relating to U.S. government expenditures for contractor services and incidents involving the mishandling of sensitive or classified information, data breaches and cybersecurity;</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180" w:hanging="644"/>
        <w:spacing w:after="0" w:line="31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cost-cutting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jc w:val="both"/>
        <w:ind w:left="1300" w:right="1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2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(BCA) of 2011 (as amended by the American Taxpayer Relief Act of 2012, the Bipartisan Budget Act of 2013, the Bipartisan Budget Act of 2015, and the Bipartisan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fiscal 2018, and $85 billion for fiscal 2019. For non-defense funding, the Bipartisan Budget Act of 2018 raised BCA spending caps by $63 billion for fiscal 2018 and $67 billion for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40" w:hanging="655"/>
        <w:spacing w:after="0" w:line="270" w:lineRule="auto"/>
        <w:tabs>
          <w:tab w:leader="none" w:pos="196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i w:val="1"/>
          <w:iCs w:val="1"/>
          <w:color w:val="auto"/>
        </w:rPr>
      </w:pPr>
    </w:p>
    <w:p>
      <w:pPr>
        <w:ind w:left="1960" w:right="120" w:hanging="655"/>
        <w:spacing w:after="0" w:line="257" w:lineRule="auto"/>
        <w:tabs>
          <w:tab w:leader="none" w:pos="19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140" w:type="dxa"/>
            <w:vAlign w:val="bottom"/>
            <w:tcBorders>
              <w:bottom w:val="single" w:sz="8" w:color="CCEEFF"/>
            </w:tcBorders>
            <w:shd w:val="clear" w:color="auto" w:fill="CCEEFF"/>
          </w:tcPr>
          <w:p>
            <w:pPr>
              <w:jc w:val="center"/>
              <w:ind w:left="214"/>
              <w:spacing w:after="0"/>
              <w:rPr>
                <w:sz w:val="20"/>
                <w:szCs w:val="20"/>
                <w:color w:val="auto"/>
              </w:rPr>
            </w:pPr>
            <w:r>
              <w:rPr>
                <w:rFonts w:ascii="Arial" w:cs="Arial" w:eastAsia="Arial" w:hAnsi="Arial"/>
                <w:sz w:val="18"/>
                <w:szCs w:val="18"/>
                <w:color w:val="auto"/>
                <w:w w:val="88"/>
              </w:rPr>
              <w:t>51%</w:t>
            </w:r>
          </w:p>
        </w:tc>
        <w:tc>
          <w:tcPr>
            <w:tcW w:w="18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4"/>
              </w:rPr>
              <w:t>51%</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25%</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26%</w:t>
            </w: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1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88"/>
              </w:rPr>
              <w:t>24%</w:t>
            </w:r>
          </w:p>
        </w:tc>
        <w:tc>
          <w:tcPr>
            <w:tcW w:w="186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4"/>
              </w:rPr>
              <w:t>23%</w:t>
            </w:r>
          </w:p>
        </w:tc>
      </w:tr>
      <w:tr>
        <w:trPr>
          <w:trHeight w:val="27"/>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3" w:name="page54"/>
    <w:bookmarkEnd w:id="53"/>
    <w:p>
      <w:pPr>
        <w:ind w:right="120"/>
        <w:spacing w:after="0" w:line="259" w:lineRule="auto"/>
        <w:rPr>
          <w:sz w:val="20"/>
          <w:szCs w:val="20"/>
          <w:color w:val="auto"/>
        </w:rPr>
      </w:pPr>
      <w:r>
        <w:rPr>
          <w:rFonts w:ascii="Arial" w:cs="Arial" w:eastAsia="Arial" w:hAnsi="Arial"/>
          <w:sz w:val="18"/>
          <w:szCs w:val="18"/>
          <w:color w:val="auto"/>
        </w:rPr>
        <w:t>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2.7% of our revenue in fiscal 2018. No single definite contract accounted for more than 2.2% of our revenue in fiscal 2018.</w:t>
      </w:r>
    </w:p>
    <w:p>
      <w:pPr>
        <w:spacing w:after="0" w:line="7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2018, 2017, and 2016, 91%, 91%, and 90%, respectively, of our revenue was generated by contracts and task orders for which we served as a prime contractor; 9%, 9%, and 10%, respectively, of our revenue was generated by contracts and task orders for which we served as a subcontractor; and 25%, 25%, and 24%,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2018, 2017, and 2016, we employed approximately 24,600, 23,300, and 22,600 people, respectively, of which approximately 22,100, 21,000, and 20,300, respectively, were consulting staff.</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23495</wp:posOffset>
            </wp:positionV>
            <wp:extent cx="2992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190"/>
        </w:trPr>
        <w:tc>
          <w:tcPr>
            <w:tcW w:w="5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5"/>
        </w:trPr>
        <w:tc>
          <w:tcPr>
            <w:tcW w:w="5240" w:type="dxa"/>
            <w:vAlign w:val="bottom"/>
          </w:tcPr>
          <w:p>
            <w:pPr>
              <w:ind w:left="20"/>
              <w:spacing w:after="0"/>
              <w:rPr>
                <w:sz w:val="20"/>
                <w:szCs w:val="20"/>
                <w:color w:val="auto"/>
              </w:rPr>
            </w:pPr>
            <w:r>
              <w:rPr>
                <w:rFonts w:ascii="Arial" w:cs="Arial" w:eastAsia="Arial" w:hAnsi="Arial"/>
                <w:sz w:val="18"/>
                <w:szCs w:val="18"/>
                <w:color w:val="auto"/>
              </w:rPr>
              <w:t>Backlog:</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Unfunded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2,546</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6,595</w:t>
            </w:r>
          </w:p>
        </w:tc>
      </w:tr>
      <w:tr>
        <w:trPr>
          <w:trHeight w:val="237"/>
        </w:trPr>
        <w:tc>
          <w:tcPr>
            <w:tcW w:w="524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16,020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13,592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11,814</w:t>
            </w:r>
          </w:p>
        </w:tc>
      </w:tr>
      <w:tr>
        <w:trPr>
          <w:trHeight w:val="27"/>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4" w:name="page55"/>
    <w:bookmarkEnd w:id="54"/>
    <w:p>
      <w:pPr>
        <w:ind w:right="200" w:firstLine="405"/>
        <w:spacing w:after="0" w:line="291" w:lineRule="auto"/>
        <w:rPr>
          <w:sz w:val="20"/>
          <w:szCs w:val="20"/>
          <w:color w:val="auto"/>
        </w:rPr>
      </w:pPr>
      <w:r>
        <w:rPr>
          <w:rFonts w:ascii="Arial" w:cs="Arial" w:eastAsia="Arial" w:hAnsi="Arial"/>
          <w:sz w:val="16"/>
          <w:szCs w:val="16"/>
          <w:color w:val="auto"/>
        </w:rPr>
        <w:t xml:space="preserve">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17.9% from March 31, 2017 to March 31, 2018 and increased by 15.1% from March 31, 2016 to March 31, 2017. Additions to funded backlog, during fiscal 2018 and 2017 totaled $6.0 billion and $5.9 billion, respectively, </w:t>
      </w:r>
      <w:r>
        <w:rPr>
          <w:rFonts w:ascii="Arial" w:cs="Arial" w:eastAsia="Arial" w:hAnsi="Arial"/>
          <w:sz w:val="16"/>
          <w:szCs w:val="16"/>
          <w:color w:val="231F20"/>
        </w:rPr>
        <w:t>with the increase from fiscal 2017 to fiscal 2018 due to</w:t>
      </w:r>
      <w:r>
        <w:rPr>
          <w:rFonts w:ascii="Arial" w:cs="Arial" w:eastAsia="Arial" w:hAnsi="Arial"/>
          <w:sz w:val="16"/>
          <w:szCs w:val="16"/>
          <w:color w:val="auto"/>
        </w:rPr>
        <w:t xml:space="preserve"> the conversion of unfunded backlog to funded backlog, the award of new contracts and task orders under which funding was appropriated, and the subsequent funding of priced options. We report internally on our backlog on a monthly basis and review backlog upon occurrence of certain events to determine if any adjustments are necessary.</w:t>
      </w:r>
    </w:p>
    <w:p>
      <w:pPr>
        <w:spacing w:after="0" w:line="5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addition,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March 31, 2018.</w:t>
      </w:r>
    </w:p>
    <w:p>
      <w:pPr>
        <w:spacing w:after="0" w:line="6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expect to recognize revenue from a substantial portion of funded backlog as of March 31, 2018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8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1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cost-reimbursable-plus-fixed-fee contracts with the U.S. government as hours are worked based on reimbursable and allowable costs, recoverable indirect costs and an accrual for the fixed fee component of these contracts.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w:t>
      </w:r>
    </w:p>
    <w:p>
      <w:pPr>
        <w:spacing w:after="0" w:line="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consolidated financial statements in periods in which they are identified. Historically, revisions to these estimates have not had a material effect on our results of operations.</w:t>
      </w:r>
    </w:p>
    <w:p>
      <w:pPr>
        <w:spacing w:after="0" w:line="7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7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For fixed-price contracts, we primarily recognize revenue on the percentage-of-completion basis with progress toward completion of a particular contract based on actual costs incurred relative to total estimated costs to be incurred over the life of the contract. On some fixed-price contracts we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Profits on fixed-price contracts result from the difference between the incurred costs used to calculate the percentage of completion and the revenue earned. These methods are followed where reasonably dependable estimates of revenue and costs under the contract can be made. If we are unable to reasonably estimate revenue or cost, the completed contract method is used. Historically, we have been able to reasonably estimate total contract revenue and costs and such estimates are regularly reviewed. Recorded revenue and costs are subject to revision as the contract progresses. Such revisions may result in increases or decreases to revenue and income, and are reflected in the consolidated financial statements in the periods in which they are first identified. If our estimates indicate that a contract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6" w:name="page57"/>
    <w:bookmarkEnd w:id="56"/>
    <w:p>
      <w:pPr>
        <w:ind w:right="20"/>
        <w:spacing w:after="0" w:line="290" w:lineRule="auto"/>
        <w:rPr>
          <w:sz w:val="20"/>
          <w:szCs w:val="20"/>
          <w:color w:val="auto"/>
        </w:rPr>
      </w:pPr>
      <w:r>
        <w:rPr>
          <w:rFonts w:ascii="Arial" w:cs="Arial" w:eastAsia="Arial" w:hAnsi="Arial"/>
          <w:sz w:val="16"/>
          <w:szCs w:val="16"/>
          <w:color w:val="auto"/>
        </w:rPr>
        <w:t>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 Historically, revisions to our estimates have not had a material effect on our results of operations.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w:t>
      </w:r>
    </w:p>
    <w:p>
      <w:pPr>
        <w:spacing w:after="0" w:line="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fiscal years ended March 31, 2018 and 2016, the Company did not record any impairment of intangible assets. During the fiscal year ended March 31, 2017, the Company recorded impairment charges of $3.8 million related to intangible assets acquired in a historical acquisition. We do not consider goodwill, trade name, or any other amortizable intangible assets at risk of impairment.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use the Black-Scholes option-pricing model to estimate the fair value for stock options. Critical inputs into the Black-Scholes option-pricing model include the following: option exercise price, fair value of the stock price, expected life of the option, annualized volatility of the stock, annual rate of quarterly dividends on the stock, and the risk-free interest rate.</w:t>
      </w:r>
    </w:p>
    <w:p>
      <w:pPr>
        <w:spacing w:after="0" w:line="7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During fiscal 2018, the Company’s Board of Directors authorized and declared recurring cash dividends in the amount of $0.17 per share (declared in the first three quarters) and $0.19 per share (declared in the fourth quarter) to holders of Booz Allen Holding’s Class A Common Stock. Therefore, an annualized dividend yield between 1.89% and 2.00% was used in the Black-Scholes option-pricing model for all grants made during the fiscal year. Implied volatility is calculated as of each grant date based on our historical volatility. Other than the expected life of the option, volatility is the most sensitive input to our option grants. The expected term is estimated using historical exercise patterns of our equity award recipients.</w:t>
      </w:r>
    </w:p>
    <w:p>
      <w:pPr>
        <w:spacing w:after="0" w:line="6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6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Forfeitures for our stock option awards are estimated based on our historical analysis of attrition levels and updated annually. We do not expect this assumption to change materially, as attrition levels associated with new option grants have not materially changed.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public company, we use the closing price of our Class A Common Stock on the grant date for valuation purposes.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7" w:name="page58"/>
    <w:bookmarkEnd w:id="57"/>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8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2017 Tax Act significantly changes how the Company is taxed, requiring complex computations to be performed and significant judgments to be made in interpretation of the provisions. Subsequent to the enactment of the 2017 Tax Act, the SEC staff issued Staff Accounting Bulletin No. 118, Income Tax Accounting Implications of the Tax Cuts and Jobs Act ("SAB 118"), which provides guidance on accounting for the tax effects of the 2017 Tax Act. SAB 118 provides a measurement period that should not extend beyond one year from the 2017 Tax Act enactment date for companies to complete the accounting under Accounting Standards Codification No. 740, "Income Taxes" (ASC 740). In accordance with SAB 118, the Company must reflect the income tax effects of those aspects of the 2017 Tax Act for which the accounting under ASC 740 is complete. To the extent the Company ís accounting for certain income tax effects of the 2017 Tax Act which are incomplete but a reasonable estimate can be determined, the company must record a provisional estimate in the financial statements. As noted in "Item 1A. Risk Factors-Risks Related to Our Business--Changes in tax law, including the 2017 Tax Act, could adversely impact our results of operations",our assessment of the 2017 Tax Act may be significantly affected by regulations and interpretive guidance expected to be issued by the tax authorities, clarifications of the accounting treatment of various items, our additional analysis, and our refinement of our estimates of the effects of the 2017 Tax Act, and therefore, such final amounts may be materially different than our current provisional amounts, which could materially affect our tax obligations and effective tax rate. For a description of our related accounting policies, refer to Note 2 and Note 13 to our accompanying consolidated financial statements.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801" w:right="279" w:bottom="1440" w:gutter="0" w:footer="0" w:header="0"/>
        </w:sectPr>
      </w:pPr>
    </w:p>
    <w:bookmarkStart w:id="58" w:name="page59"/>
    <w:bookmarkEnd w:id="58"/>
    <w:p>
      <w:pPr>
        <w:ind w:right="16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2018 and 2017 and the Company’s results of operations for fiscal 2018, fiscal 2017, and fiscal 2016.</w:t>
      </w:r>
    </w:p>
    <w:p>
      <w:pPr>
        <w:spacing w:after="0" w:line="12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Certain amounts reported in the Company's prior year consolidated financial statements have been reclassified to conform to the current year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consolidated statements of operations for the periods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4"/>
              </w:rPr>
              <w:t>Fiscal Year Ended March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2018</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2017</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5"/>
              </w:rPr>
              <w:t>Versus</w:t>
            </w: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5"/>
              </w:rPr>
              <w:t>Versus</w:t>
            </w:r>
          </w:p>
        </w:tc>
        <w:tc>
          <w:tcPr>
            <w:tcW w:w="0" w:type="dxa"/>
            <w:vAlign w:val="bottom"/>
          </w:tcPr>
          <w:p>
            <w:pPr>
              <w:spacing w:after="0"/>
              <w:rPr>
                <w:sz w:val="1"/>
                <w:szCs w:val="1"/>
                <w:color w:val="auto"/>
              </w:rPr>
            </w:pPr>
          </w:p>
        </w:tc>
      </w:tr>
      <w:tr>
        <w:trPr>
          <w:trHeight w:val="65"/>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2017</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2016</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6,171,853</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5,804,284</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5,405,738</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80" w:type="dxa"/>
            <w:vAlign w:val="bottom"/>
            <w:gridSpan w:val="3"/>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Operating costs and expenses: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2,867,103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2,691,982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2,580,026</w:t>
            </w:r>
          </w:p>
        </w:tc>
        <w:tc>
          <w:tcPr>
            <w:tcW w:w="1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1,861,312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1,751,077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1,513,083</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858,597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817,434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806,509</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64,756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59,544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61,536</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costs and expenses</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5,651,768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5,320,037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4,961,154</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520,085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484,247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444,584</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(82,269)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(70,815)</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5,693</w:t>
            </w:r>
          </w:p>
        </w:tc>
        <w:tc>
          <w:tcPr>
            <w:tcW w:w="100" w:type="dxa"/>
            <w:vAlign w:val="bottom"/>
          </w:tcPr>
          <w:p>
            <w:pPr>
              <w:spacing w:after="0"/>
              <w:rPr>
                <w:sz w:val="16"/>
                <w:szCs w:val="16"/>
                <w:color w:val="auto"/>
              </w:rPr>
            </w:pPr>
          </w:p>
        </w:tc>
        <w:tc>
          <w:tcPr>
            <w:tcW w:w="1560" w:type="dxa"/>
            <w:vAlign w:val="bottom"/>
            <w:gridSpan w:val="2"/>
            <w:vMerge w:val="restart"/>
          </w:tcPr>
          <w:p>
            <w:pPr>
              <w:ind w:left="1020"/>
              <w:spacing w:after="0"/>
              <w:rPr>
                <w:sz w:val="20"/>
                <w:szCs w:val="20"/>
                <w:color w:val="auto"/>
              </w:rPr>
            </w:pPr>
            <w:r>
              <w:rPr>
                <w:rFonts w:ascii="Arial" w:cs="Arial" w:eastAsia="Arial" w:hAnsi="Arial"/>
                <w:sz w:val="14"/>
                <w:szCs w:val="14"/>
                <w:color w:val="auto"/>
              </w:rPr>
              <w:t>NM</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438,004</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411,900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379,462</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132,893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159,410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85,368</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86.7 %</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305,111</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252,490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294,094</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Revenue increased to $6,171.9 million from $5,804.3 million, or a 6.3% increase, primarily due to increased client demand which led to increased client staff headcount, and an increase in client staff labor, as well as increases in billable expenses.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Cost of revenue increased to $2,867.1 million from $2,692.0 million, or a 6.5% increase. This increase was primarily due to an increase in salaries and salary-related benefits of $168.8 million, higher incentive compensation of $9.6 million, and an increase in employer retirement plan contributions of $9.5 million. The increase in salaries and salary-related benefits was driven by an increase in headcount growth and annual base salary increases. Cost of revenue as a percentage of revenue was 46.5% and 46.4% in fiscal 2018 and fiscal 2017,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Billable expenses increased to $1,861.3 million from $1,751.1 million, or a 6.3% increase. The overall increase was primarily attributable to an increase in use of subcontractors in the current year driven by client demand. In addition, contracts which require the Company to incur travel expenses on behalf of clients increased over the prior year period. Billable expenses as a percentage of revenue were 30.2% for both fiscal 2018 and fiscal 2017.</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General and administrative expenses increased to $858.6 million from $817.4 million, or a 5.0% increase. The increase was primarily due to salaries and salary-related benefits of $43.0 million, driven by headcount growth as well as annual base salary increases, and occupancy costs of $5.1 million, partially offset by lower incentive compensation of $9.9 million. General and administrative expenses as a percentage of revenue were 13.9% and 14.1% for fiscal 2018 and fiscal 2017,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Depreciation and amortization expense increased to $64.8 million from $59.5 million, or an 8.8%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Interest expense increased to $82.3 million from $62.3 million, or a 32.1% increase, primarily as a result of interest expense related to the issuance of the Senior Notes in April 2017.</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Income tax expense decreased to $132.9 million from $159.4 million, or a 16.6% decrease. The effective tax rate decreased to 30.3% in fiscal 2018 from 38.7% in fiscal 2017 primarily due to the blended federal tax rate benefit of the 2017 Tax Act and provisional estimates for the re-measurement of the existing deferred tax balances. See Note 13 to our consolidated financial statements for additional information. The effective tax rate also decreased with the recognition of excess tax benefits of $14.5 million being reflected in earnings as a reduction to income tax expense for fiscal 2018. This was driven by the Company's initial adoption of new accounting guidance in the first quarter of fiscal 2018 whereby excess tax benefits on employee share-based payment awards are now recognized in earnings as a reduction to income tax expense instead of as an adjustment to additional paid-in-capital, as was the case historically. See Notes 2 to our consolidated financial statements for additional information on how this accounting change could impact earnings in future periods.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Revenue increased to $5,804.3 million from $5,405.7 million, or a 7.4% increase, primarily driven by stronger client demand, as evidenced by our backlog growth. The increase in client demand coupled with our increased client staff headcount and client billability, resulted in increases in our direct labor and corresponding generation of revenue growth. Revenue growth was also driven by an increase in billable expenses, including subcontractors and direct material and other direct cost purchases for clients. Conversions to funded backlog during fiscal 2017 totaled $5.9 billion in comparison to $5.4 billion for the comparable year </w:t>
      </w:r>
      <w:r>
        <w:rPr>
          <w:rFonts w:ascii="Arial" w:cs="Arial" w:eastAsia="Arial" w:hAnsi="Arial"/>
          <w:sz w:val="17"/>
          <w:szCs w:val="17"/>
          <w:color w:val="231F20"/>
        </w:rPr>
        <w:t>with the increase from fiscal 2016 to fiscal 2017 due to</w:t>
      </w:r>
      <w:r>
        <w:rPr>
          <w:rFonts w:ascii="Arial" w:cs="Arial" w:eastAsia="Arial" w:hAnsi="Arial"/>
          <w:sz w:val="17"/>
          <w:szCs w:val="17"/>
          <w:color w:val="auto"/>
        </w:rPr>
        <w:t xml:space="preserve"> the conversion of unfunded backlog to funded backlog, the award of new contracts and task orders under which funding was appropriated, and the subsequent funding of priced options.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Cost of revenue decreased to $2,692.0 million from $2,580.0 million, or a 4.3% decrease. This increase was primarily due to an increase in salaries and salary-related benefits of $98.4 million and an increase in incentive compensation of $5.4 million. The increase in salaries and salary-related benefits was driven by an increase in headcount growth, annual base salary increases and consulting staff spending more time on direct contract activities. Cost of revenue as a percentage of revenue was 46.4% and 47.7% in fiscal 2017 and fiscal 2016,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Billable expenses increased to $1,751.1 million from $1,513.1 million, or a 15.7% increase. The overall increase was primarily attributable to an increase in use of subcontractors in fiscal 2017 driven by client demand. In addition, contracts which require the Company to incur direct expenses on behalf of our clients have increased over the prior year period. Billable expenses as a percentage of revenue were 30.2% and 28.0% in fiscal 2017 and fiscal 2016,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General and administrative expenses increased to $817.4 million from $806.5 million, or a 1.4% increase, primarily due to the correction of an immaterial misstatement. In addition, the Company recorded an impairment charge of $3.8 million for the technologies, customer relationships and other intangible assets related to a business acquisition. These increases were partially offset by decreases in occupancy costs and other business expenses of approximately $11.6 million. General and administrative expenses as a percentage of revenue were 14.1% and 14.9% for fiscal 2017 and fiscal 2016, respectively.</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decreased to $59.5 million from $61.5 million, or a 3.2% decrease, primarily due to a decrease in depreciation expense resulting from the effect of lower capital expenditures in prior years.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854" w:right="25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Interest expense decreased to $62.3 million from $70.8 million, or a 12.0% decrease, primarily as a result of the Third Amendment to the Credit Agreement consummated in July 2016, which reduced interest expense for fiscal 2017 as compared to fiscal 2016.</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Income tax expense increased to $159.4 million from $85.4 million, or a 86.7% increase. The effective tax rate increased to 38.7% in fiscal 2017 from 22.5% in fiscal 2016, primarily due to the release of uncertain tax position reserves in fiscal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2018, our total liquidity was $787.0 million, consisting of $287.0 million of cash and cash equivalents and $500.0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financial information for the periods presented:</w:t>
      </w:r>
    </w:p>
    <w:p>
      <w:pPr>
        <w:spacing w:after="0" w:line="37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5"/>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286,958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217,417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187,529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1,818,579</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1,663,324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1,597,261</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369,143</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382,277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249,234</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(117,753)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(151,169)</w:t>
            </w:r>
          </w:p>
        </w:tc>
      </w:tr>
      <w:tr>
        <w:trPr>
          <w:trHeight w:val="27"/>
        </w:trPr>
        <w:tc>
          <w:tcPr>
            <w:tcW w:w="5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69,541</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recurring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66"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taxes to be paid.</w:t>
      </w:r>
    </w:p>
    <w:p>
      <w:pPr>
        <w:sectPr>
          <w:pgSz w:w="11900" w:h="16838" w:orient="portrait"/>
          <w:cols w:equalWidth="0" w:num="1">
            <w:col w:w="11420"/>
          </w:cols>
          <w:pgMar w:left="240" w:top="85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854" w:right="239" w:bottom="1440" w:gutter="0" w:footer="0" w:header="0"/>
          <w:type w:val="continuous"/>
        </w:sectPr>
      </w:pPr>
    </w:p>
    <w:bookmarkStart w:id="61" w:name="page62"/>
    <w:bookmarkEnd w:id="61"/>
    <w:p>
      <w:pPr>
        <w:ind w:right="10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6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65 as of March 31, 2018 and 60 as of March 31, 2017. DSO increased as a result of sustained revenue growth and the timing of billings and collections associated with that growth.</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and our ability to manage our vendor payments. Continued uncertainty in global economic conditions may also affect our business as customers and suppliers may decide to downsize, defer, or cancel contracts, which could negatively affect the operating cash flows. Net cash provided by operations was $369.1 million in fiscal 2018 compared to $382.3 million in the prior year, or a 3.4% decrease. The decrease was primarily the result of higher cash taxes paid during fiscal 2018 and an increase in working capital needs, including an increase in accounts receivable that is consistent with our growth.</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Net cash used in investing activities was $96.5 million in fiscal 2018 compared to $300.9 million in the prior year period, or a 67.9% decrease. The decrease in net cash used in investing activities was due to the Company's acquisition of eGov Holdings, Inc. (d/b/a Aquilent) in fiscal 2017, partially offset by an increase in capital expenditures over the prior year primarily related to the timing of the leasehold improvements to update existing office space.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Net cash used in financing activities was $203.1 million in fiscal 2018 compared to $51.5 million in the prior year period. The increase in net cash used in financing activities was primarily due to the following:</w:t>
      </w:r>
    </w:p>
    <w:p>
      <w:pPr>
        <w:spacing w:after="0" w:line="170" w:lineRule="exact"/>
        <w:rPr>
          <w:sz w:val="20"/>
          <w:szCs w:val="20"/>
          <w:color w:val="auto"/>
        </w:rPr>
      </w:pPr>
    </w:p>
    <w:p>
      <w:pPr>
        <w:ind w:left="6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share repurchases over the prior year period of $223.8 million. In fiscal 2018, the Company repurchased a total of 7.3 million shares of Class A Common Stock, including those related to shares withheld to cover Restricted Stock vesting, for $260.4 million and also paid $9.9 million for shares of Class A Common Stock repurchased in fiscal 2017 that settled in fiscal 2018. In fiscal 2017, the Company repurchased a total of 1.3 million shares of Class A Common Stock for $46.5 million.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borrowings on the Revolving Credit Facility decreased $225.0 million as compared to the prior 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above was offset by net proceeds received of $343.3 million from the issuance of the Senior Notes.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Company paid $0.70 in dividends per share to shareholders of record in fiscal 2018. On May 29, 2018, the Company announced a regular quarterly cash dividend in the amount of $0.19 per share. The quarterly dividend is payable on June 29, 2018 to stockholders of record on June 14, 2018.</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1" w:right="2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00" w:lineRule="exact"/>
        <w:rPr>
          <w:sz w:val="20"/>
          <w:szCs w:val="20"/>
          <w:color w:val="auto"/>
        </w:rPr>
      </w:pPr>
    </w:p>
    <w:p>
      <w:pPr>
        <w:spacing w:after="0" w:line="246"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37"/>
              <w:spacing w:after="0"/>
              <w:rPr>
                <w:sz w:val="20"/>
                <w:szCs w:val="20"/>
                <w:color w:val="auto"/>
              </w:rPr>
            </w:pPr>
            <w:r>
              <w:rPr>
                <w:rFonts w:ascii="Arial" w:cs="Arial" w:eastAsia="Arial" w:hAnsi="Arial"/>
                <w:sz w:val="14"/>
                <w:szCs w:val="14"/>
                <w:b w:val="1"/>
                <w:bCs w:val="1"/>
                <w:color w:val="auto"/>
                <w:w w:val="94"/>
              </w:rPr>
              <w:t>Fiscal Year Ended March 31,</w:t>
            </w:r>
          </w:p>
        </w:tc>
        <w:tc>
          <w:tcPr>
            <w:tcW w:w="900" w:type="dxa"/>
            <w:vAlign w:val="bottom"/>
            <w:tcBorders>
              <w:bottom w:val="single" w:sz="8" w:color="auto"/>
            </w:tcBorders>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103,411</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92,925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80,015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31,802</w:t>
            </w:r>
          </w:p>
        </w:tc>
      </w:tr>
      <w:tr>
        <w:trPr>
          <w:trHeight w:val="27"/>
        </w:trPr>
        <w:tc>
          <w:tcPr>
            <w:tcW w:w="47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104,362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95,179</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111,817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represent recurring dividends that were declared and paid for during each quarter of fiscal 2018, 2017, and 2016,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12, 2011, the Board of Directors authorized the repurchase of up to $30.0 million of our shares. On January 27, 2015, the share repurchase authorization was increased to $180.0 million. On January 25, 2017, the Board of Directors approved an increase to share repurchase authorization from $180.0 million to $410.0 million. On November 2, 2017, the Board of Directors approved an increase to our share repurchase authorization from $410.0 million to up to $610.0 million. During fiscal 2018 and 2017, the Company purchased 7.2 million and 1.3 million shares of the Company’s Class A Common Stock for an aggregate of $257.6 million and $46.4 million, respectively. Following the aforementioned repurchases as of March 31, 2018, the Company had $197.9 million remaining under the repurchase program.</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May 24, 2018, the Board of Directors approved an increase to our share repurchase authorization from $610.0 million to up to $910.0 million. As of May 24, 2018, taking into effect the increase in the share repurchase authorization, the Company may repurchase up to approximately $493.7 million of additional shares of common stock under its share repurchase program.</w:t>
      </w:r>
    </w:p>
    <w:p>
      <w:pPr>
        <w:spacing w:after="0" w:line="181"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debt totaled $1,818.6 million and $1,663.3 million as of March 31, 2018 and 2017, respectively. Our debt bears interest at specified rates and is held by a syndicate of lenders (see Note 11 to our consolidated financial statements).</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March 7, 2018, Booz Allen Hamilton and Booz Allen Investor, and certain wholly-owned subsidiaries of Booz Allen Hamilton, entered into the Fifth Amendment (the "Fifth Amendment") to the Credit Agreement (the "Credit Agreement"), dated as of July 31, 2012 among Booz Allen Hamilton, Booz Allen Investor, certain wholly owned subsidiaries of Booz Allen Hamilton and Bank of America, N.A., as Administrative Agent, Collateral Agent and Issuing Lender (as previously amended by the First Amendment to Credit Agreement, dated as of August 16, 2013, the Second Amendment to Credit Agreement, date as of May 7, 2014, the Third Amendment to the Credit Agreement, dated as of July 13, 2016 and the Fourth Amendment to the Credit Agreement, dated as of February 6, 2017). Pursuant to the Fifth Amendment, the Company reduced the interest rate spread applicable to Term Loan B ("Term Loan B" and, together with Term Loan A, the "Term Loans"). The interest rate applicable to the Term Loan A ("Term Loan A") is unchanged.</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Prior to the Fifth Amendment, approximately $395 million were outstanding under the Term Loan B. Pursuant to the Fifth Amendment, certain lenders converted their existing Term Loan B loans into a new tranche of Term Loan B loans in an aggregate amount, along with Term Loan B loans advances by certain new lenders, of approximately $395 million. The proceeds from the new lenders were used to prepay in full all of the existing Term B Loans that were not converted into the Term Loan B tranche.</w:t>
      </w:r>
    </w:p>
    <w:p>
      <w:pPr>
        <w:spacing w:after="0" w:line="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of March 31, 2018, the Credit Agreement, as amended, provided the Company with a $1,094 million Term Loan A and a $395 million Term Loan B, and a $500.0 million Revolving Credit Facility, with a sublimit for letters of credit of $100.0 million. As of March 31, 2018,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800" w:right="2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$400 million plus (ii) the aggregate principal amount under which pro forma consolidated net secured leverage remains less than or equal to 3.50:1.00.</w:t>
      </w:r>
    </w:p>
    <w:p>
      <w:pPr>
        <w:spacing w:after="0" w:line="1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At Booz Allen Hamilton's option, borrowings under Term Loan A and Revolving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16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Under the Fifth Amendment, the rate at which Term Loan B bears interest is based on LIBOR (adjusted for maximum reserves and subject to a floor of zero plus 2.00% for the applicable interest period) or a base rate (equal to the highest of (x) the corporate base rate established by the administrative agent, (y) the overnight federal funds rate plus 0.50%, (z) three-month LIBOR (adjusted for maximum reserves) plus 1.00%, plus, in each case, 1.25%, payable at the end of the applicable interest period; provided, that if such rate shall be less than zero, such rate shall be deemed to be zero.</w:t>
      </w:r>
    </w:p>
    <w:p>
      <w:pPr>
        <w:spacing w:after="0" w:line="154"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Booz Allen Hamilton occasionally borrows under the Revolving Credit Facility in anticipation of cash demands. During fiscal 2018 and 2017, Booz Allen Hamilton accessed a total of $125.0 million and $575.0 million, respectively of its $500.0 million Revolving Credit Facility. As of March 31, 2018, there was no outstanding balance on the Revolving Credit Facility. As of March 31, 2017, $130.0 million was outstanding on the Revolving Credit Facility.</w:t>
      </w:r>
    </w:p>
    <w:p>
      <w:pPr>
        <w:spacing w:after="0" w:line="14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also have agreed to pay customary letter of credit and agency fees. As of March 31, 2018 and 2017, we were contingently liable under open standby letters of credit and bank guarantees issued by our banks in favor of third parties that totaled $6.3 million and $8.6 million, respectively. These letters of credit and bank guarantees primarily support insurance and bid and performance obligations. At March 31, 2018 and 2017, approximately $1.4 million and $1.7 million of these instruments reduce our available borrowings under the Revolving Credit Facility. The remainder is guaranteed under a separate $15.0 million facility established in fiscal 2015, of which $10.1 million and $3.1 million, respectively, was available to us at March 31, 2018 and 2017. As of March 31, 2018, we had $498.6 million of capacity available for additional borrowings under the Revolving Credit Facility.</w:t>
      </w:r>
    </w:p>
    <w:p>
      <w:pPr>
        <w:spacing w:after="0" w:line="178"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380" w:firstLine="8"/>
        <w:spacing w:after="0" w:line="28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w:t>
      </w:r>
    </w:p>
    <w:p>
      <w:pPr>
        <w:spacing w:after="0" w:line="1" w:lineRule="exact"/>
        <w:rPr>
          <w:rFonts w:ascii="Arial" w:cs="Arial" w:eastAsia="Arial" w:hAnsi="Arial"/>
          <w:sz w:val="16"/>
          <w:szCs w:val="16"/>
          <w:color w:val="auto"/>
        </w:rPr>
      </w:pPr>
    </w:p>
    <w:p>
      <w:pPr>
        <w:ind w:right="40" w:firstLine="8"/>
        <w:spacing w:after="0" w:line="270" w:lineRule="auto"/>
        <w:tabs>
          <w:tab w:leader="none" w:pos="2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2018, we were compliant with these covenants.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2018, interest payments of $38.1 million and $14.9 million were made for the Term Loan A and Term Loan B facilities,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2017, interest payments of $28.8 million and $19.5 million were made for the Term Loan A and Term Loan B facilities, respectively.</w:t>
      </w:r>
    </w:p>
    <w:p>
      <w:pPr>
        <w:spacing w:after="0" w:line="22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and debt issuance costs of $20.7 million and $18.1 million as of March 31, 2018 and 2017, respectively.</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00" w:right="259" w:bottom="1440" w:gutter="0" w:footer="0" w:header="0"/>
        </w:sectPr>
      </w:pPr>
    </w:p>
    <w:bookmarkStart w:id="64" w:name="page65"/>
    <w:bookmarkEnd w:id="64"/>
    <w:p>
      <w:pPr>
        <w:jc w:val="both"/>
        <w:ind w:right="120"/>
        <w:spacing w:after="0" w:line="264" w:lineRule="auto"/>
        <w:rPr>
          <w:sz w:val="20"/>
          <w:szCs w:val="20"/>
          <w:color w:val="auto"/>
        </w:rPr>
      </w:pPr>
      <w:r>
        <w:rPr>
          <w:rFonts w:ascii="Arial" w:cs="Arial" w:eastAsia="Arial" w:hAnsi="Arial"/>
          <w:sz w:val="18"/>
          <w:szCs w:val="18"/>
          <w:color w:val="auto"/>
        </w:rPr>
        <w:t>Facility. We intend to use the remaining proceeds for working capital and other general corporate purposes, which may include the repayment of a portion or all of the outstanding DPO. During fiscal 2018, interest payments of $9.3 million were made for the Senior Notes. There were no similar payments made or required in fiscal 2017. (see Note 11 to our consolidated financial statements).</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Borrowings under our Term Loans, and if used, our Revolving Credit Facility, incur interest at a variable rate. In accordance with our risk management strategy between April 6, 2017 and May 24, 2017, Booz Allen Hamilton executed a series of interest rate swaps. As of March 31, 2018, we had interest rate swaps with an aggregate notional amount of $450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12 in our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Our stockholders’ equity amounted to $554.6 million as of March 31, 2018, a decrease of $19.0 million compared to stockholders’ equity of $573.6 million as of March 31, 2017. The decrease was </w:t>
      </w:r>
      <w:r>
        <w:rPr>
          <w:rFonts w:ascii="Arial" w:cs="Arial" w:eastAsia="Arial" w:hAnsi="Arial"/>
          <w:sz w:val="18"/>
          <w:szCs w:val="18"/>
          <w:color w:val="231F20"/>
        </w:rPr>
        <w:t>primarily due to</w:t>
      </w:r>
      <w:r>
        <w:rPr>
          <w:rFonts w:ascii="Arial" w:cs="Arial" w:eastAsia="Arial" w:hAnsi="Arial"/>
          <w:sz w:val="18"/>
          <w:szCs w:val="18"/>
          <w:color w:val="auto"/>
        </w:rPr>
        <w:t xml:space="preserve"> a $269.6 million increase in treasury stock resulting from the repurchase of shares of our Class A Common Stock and $103.4 million in dividend payments during fiscal 2018. These were partially offset by net income of $305.1 million, stock-based compensation expense of $23.3 million, and stock option exercises of $12.1 million in fiscal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we did not have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2018. For contractual obligations, we included payments that we have an unconditional obligation to make.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0"/>
              </w:rPr>
              <w:t>Payments Due by Fiscal Periods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1 to 3</w:t>
            </w:r>
          </w:p>
        </w:tc>
        <w:tc>
          <w:tcPr>
            <w:tcW w:w="36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3"/>
                <w:szCs w:val="13"/>
                <w:color w:val="auto"/>
              </w:rPr>
            </w:pPr>
          </w:p>
        </w:tc>
        <w:tc>
          <w:tcPr>
            <w:tcW w:w="10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1,839,275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924,725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725,250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423,507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71,013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123,032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87,573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141,889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83,333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the Booz Allen Foundation (c)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Liability to option holders (d)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liabilities for uncertain tax positions (e)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2,704,101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297,127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404,306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924,725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915,660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for additional information regarding debt and related matters.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$80 million deferred payment obligation balance plus interest due within the next year.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20 to our consolidated financial statements for a discussion of the Company's binding and irrevocable pledge to the Booz Allen Foundation.</w:t>
      </w:r>
    </w:p>
    <w:p>
      <w:pPr>
        <w:spacing w:after="0" w:line="32" w:lineRule="exact"/>
        <w:rPr>
          <w:rFonts w:ascii="Arial" w:cs="Arial" w:eastAsia="Arial" w:hAnsi="Arial"/>
          <w:sz w:val="16"/>
          <w:szCs w:val="16"/>
          <w:color w:val="auto"/>
        </w:rPr>
      </w:pPr>
    </w:p>
    <w:p>
      <w:pPr>
        <w:ind w:left="540" w:right="220" w:hanging="316"/>
        <w:spacing w:after="0" w:line="25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liabilities to holders of stock options issued under the Equity Incentive Plan, as amended, as a result of special dividends paid in November 2013, and February and August 2014.</w:t>
      </w:r>
    </w:p>
    <w:p>
      <w:pPr>
        <w:ind w:left="540" w:right="740" w:hanging="316"/>
        <w:spacing w:after="0" w:line="261"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a reserve of $10.2 million for income tax uncertainties created with the acquisition discussed in Note 4 to our consolidated financial statements.</w:t>
      </w:r>
    </w:p>
    <w:p>
      <w:pPr>
        <w:spacing w:after="0" w:line="13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2018 and 2017 were $78.4 million and $53.9 million, respectively, and the majority of such capital expenditures related to facilities infrastructure, equipment, and information technology. The increase in capital expenditures over the prior year primarily related to the timing of the leasehold improvements to update existing office space.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 We expect capital expenditures for fiscal 2019 to increase from fiscal 2018 as a result of increased investments in our facilities, infrastructure, systems, and technology to support our continued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21 to our consolidated financial statements.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850" w:right="339" w:bottom="1440" w:gutter="0" w:footer="0" w:header="0"/>
        </w:sectPr>
      </w:pPr>
    </w:p>
    <w:bookmarkStart w:id="66" w:name="page67"/>
    <w:bookmarkEnd w:id="66"/>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180" w:firstLine="432"/>
        <w:spacing w:after="0" w:line="334" w:lineRule="auto"/>
        <w:rPr>
          <w:sz w:val="20"/>
          <w:szCs w:val="20"/>
          <w:color w:val="auto"/>
        </w:rPr>
      </w:pPr>
      <w:r>
        <w:rPr>
          <w:rFonts w:ascii="Arial" w:cs="Arial" w:eastAsia="Arial" w:hAnsi="Arial"/>
          <w:sz w:val="16"/>
          <w:szCs w:val="16"/>
          <w:color w:val="auto"/>
        </w:rPr>
        <w:t>Market risk is the potential loss arising from adverse changes in market rates and market prices such as those related to interest rates. We actively monitor these exposures and manage such risks through our regular operating and financing activities or through the use of derivative financial instruments.</w:t>
      </w:r>
    </w:p>
    <w:p>
      <w:pPr>
        <w:spacing w:after="0" w:line="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and cash equivalents, which consist primarily of funds invested in U.S. government money-market funds, and our cash flow hedges. As of March 31, 2018 and 2017, we had $287.0 million and $217.4 million, respectively, in cash and cash equivalents. The interest expense associated with our term loans and any loans under our revolving credit facility will vary with market rates.</w:t>
      </w:r>
    </w:p>
    <w:p>
      <w:pPr>
        <w:spacing w:after="0" w:line="13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exposure to market risk for changes in interest rates related to our outstanding debt will impact our Secured Credit Facility. A hypothetical interest rate increase of 1% would have increased interest expense related to the term facilities under our Secured Credit Facility by approximately $14.9 million in fiscal 2018 and $15.5 million in fiscal 2017, and likewise decreased our income and cash flows. As the Company’s interest rate swaps are forward starting in nature, with a start date of April 30, 2018, they will not reduce interest expense until fiscal 2019. The year over year increase in interest expense is primarily due to the April 2017 issuance of the Senior Notes. Additionally, 1 Month LIBOR, the benchmark interest rate attached to our floating rate debt, rose approximately 90 basis points throughout fiscal 2018, further contributing to the Company’s increased interest expense. This increase in LIBOR was partially offset with a 25 basis point reduction in our Term Loan B credit spread as part of the Fifth Amendment on March 7, 2018.</w:t>
      </w:r>
    </w:p>
    <w:p>
      <w:pPr>
        <w:spacing w:after="0" w:line="11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return on our cash and cash equivalents balance as of March 31, 2018 and 2017 was less than 2%. Therefore, the corresponding impact to our interest income, and likewise to our income and cash flow, was not material.</w:t>
      </w:r>
    </w:p>
    <w:p>
      <w:pPr>
        <w:spacing w:after="0" w:line="11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Pursuant to our interest rate risk management strategies, we began using interest rate cash flow hedges in April 2017 to add stability to our incurrence of interest rate expense and to manage our exposure to related interest rate movement. See Note 12 to our consolidated financial statements for further discussion. As of March 31, 2018, we had interest rate swaps with an aggregate notional amount of $450 million. These derivative instruments hedge the variability of cash outflows for interest payments on our variable rate debt and are recorded at fair value on our consolidated balance sheet. As of March 31, 2018, a 25 basis point increase in interest rates would increase the fair value of our interest rate swaps by approximately $3.7 million and a 25 basis point decrease in interest rates would decrease the fair value of our interest rate swaps by approximately $3.7 million.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8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as of March 31, 2018 and 2017</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Operations for the Fiscal Years Ended March 31, 2018, 2017 and 2016</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Comprehensive Income for the Fiscal Years Ended March 31, 2018, 2017 and 2016</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Fiscal Years Ended March 31, 2018, 2017 and 2016</w:t>
              </w:r>
            </w:hyperlink>
          </w:p>
        </w:tc>
        <w:tc>
          <w:tcPr>
            <w:tcW w:w="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Stockholders' Equity for the Fiscal Years Ended March 31, 2018, 2017 and 2016</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(the Company) as of March 31, 2018 and 2017, the related consolidated statements of operations, comprehensive income, stockholders’ equity and cash flows for each of the three years in the period ended March 31, 2018 and the related notes (collectively referred to as the "consolidated financial statements"). In our opinion, the consolidated financial statements present fairly, in all material respects, the consolidated financial position of the Company at March 31, 2018 and 2017, and the consolidated results of its operations and its cash flows for each of the three years in the period ended March 31, 2018, in conformity with U.S. generally accepted accounting principles.</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2018, based on criteria established in Internal Control-Integrated Framework issued by the Committee of Sponsoring Organizations of the Treadway Commission (2013 framework) and our report dated May 29,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905"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286,958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217,417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991,810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85,253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1,294,480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169,896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139,167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260,972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271,880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1,571,190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102,633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85,563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3,603,366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63,100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193,150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504,117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282,750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263,816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140,318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1,036,166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1,101,401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1,755,479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1,470,174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reserves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240,821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216,292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3,048,738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2,799,514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21)</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1"/>
              </w:rPr>
              <w:t>Common stock, Class A — $0.01 par value — authorized, 600,000,000 shares; issued, 158,028,673 shares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w w:val="92"/>
              </w:rPr>
              <w:t>March 31, 2018 and 155,901,485 shares at March 31, 2017; outstanding, 143,446,539 shares at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2018 and 148,887,708 shares at March 31, 2017</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Treasury stock, at cost — 14,582,134 shares at March 31, 2018 and 7,013,777 shares at March 31,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346,958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302,907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478,102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554,628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573,591</w:t>
            </w:r>
          </w:p>
        </w:tc>
        <w:tc>
          <w:tcPr>
            <w:tcW w:w="0" w:type="dxa"/>
            <w:vAlign w:val="bottom"/>
          </w:tcPr>
          <w:p>
            <w:pPr>
              <w:spacing w:after="0"/>
              <w:rPr>
                <w:sz w:val="1"/>
                <w:szCs w:val="1"/>
                <w:color w:val="auto"/>
              </w:rPr>
            </w:pP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3,603,366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877"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8"/>
          </w:tcPr>
          <w:p>
            <w:pPr>
              <w:jc w:val="center"/>
              <w:ind w:right="211"/>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6,171,853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5,804,284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5,405,738</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2,867,103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2,580,026</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1,861,312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1,751,077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1,513,083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806,509</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61,536</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5,651,768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5,320,037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4,961,154</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520,085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444,584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(70,815)</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379,462</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132,893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85,368</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305,111</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294,094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1094" w:right="1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w w:val="96"/>
              </w:rPr>
              <w:t>(Amounts 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305,111</w:t>
            </w: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252,490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294,094</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(loss) income, net of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309,933</w:t>
            </w: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255,026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296,640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20"/>
          </w:cols>
          <w:pgMar w:left="240" w:top="109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2"/>
              </w:rPr>
              <w:t>Fiscal Year Ended March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89"/>
              </w:rPr>
              <w:t>(Amounts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305,111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252,490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294,094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64,756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59,544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61,536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24,992</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15,536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(31,924)</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15,566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8,359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Losses (gains) on dispositions and 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(31,229)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Income taxes receivable / payable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54,564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24,873</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(49,060)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47,316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Income tax reserves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(56,927)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66,031</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(55,110)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369,143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249,234</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(66,635)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Payments for business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(247,627)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(51,118)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Insurance proceeds received for damage to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(96,453)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(300,896)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(117,753)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5,977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31,924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(63,152)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(103,411)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(80,015)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equivalents paid to option 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(31,802)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(968,325)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(295,063)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debt issuance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467,678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1,019,383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273,000</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(203,149)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(51,493)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(151,169)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217,417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187,529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207,217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187,529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62,498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49,062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57,068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143,083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 repurchases transacted but not settled and paid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Contingent consideration arising from businesses acquired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877" w:right="239" w:bottom="802"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040" w:type="dxa"/>
            <w:vAlign w:val="bottom"/>
            <w:gridSpan w:val="2"/>
          </w:tcPr>
          <w:p>
            <w:pPr>
              <w:jc w:val="center"/>
              <w:ind w:left="545"/>
              <w:spacing w:after="0"/>
              <w:rPr>
                <w:sz w:val="20"/>
                <w:szCs w:val="20"/>
                <w:color w:val="auto"/>
              </w:rPr>
            </w:pPr>
            <w:r>
              <w:rPr>
                <w:rFonts w:ascii="Arial" w:cs="Arial" w:eastAsia="Arial" w:hAnsi="Arial"/>
                <w:sz w:val="13"/>
                <w:szCs w:val="13"/>
                <w:b w:val="1"/>
                <w:bCs w:val="1"/>
                <w:color w:val="auto"/>
                <w:w w:val="87"/>
              </w:rPr>
              <w:t>Class A</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ind w:left="140"/>
              <w:spacing w:after="0"/>
              <w:rPr>
                <w:sz w:val="20"/>
                <w:szCs w:val="20"/>
                <w:color w:val="auto"/>
              </w:rPr>
            </w:pPr>
            <w:r>
              <w:rPr>
                <w:rFonts w:ascii="Arial" w:cs="Arial" w:eastAsia="Arial" w:hAnsi="Arial"/>
                <w:sz w:val="13"/>
                <w:szCs w:val="13"/>
                <w:b w:val="1"/>
                <w:bCs w:val="1"/>
                <w:color w:val="auto"/>
              </w:rPr>
              <w:t>Class E Special Voting</w:t>
            </w: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780" w:type="dxa"/>
            <w:vAlign w:val="bottom"/>
            <w:gridSpan w:val="4"/>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3"/>
              <w:spacing w:after="0" w:line="144" w:lineRule="exact"/>
              <w:rPr>
                <w:sz w:val="20"/>
                <w:szCs w:val="20"/>
                <w:color w:val="auto"/>
              </w:rPr>
            </w:pPr>
            <w:r>
              <w:rPr>
                <w:rFonts w:ascii="Arial" w:cs="Arial" w:eastAsia="Arial" w:hAnsi="Arial"/>
                <w:sz w:val="13"/>
                <w:szCs w:val="13"/>
                <w:b w:val="1"/>
                <w:bCs w:val="1"/>
                <w:color w:val="auto"/>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660" w:type="dxa"/>
            <w:vAlign w:val="bottom"/>
          </w:tcPr>
          <w:p>
            <w:pPr>
              <w:jc w:val="right"/>
              <w:ind w:right="184"/>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2"/>
        </w:trPr>
        <w:tc>
          <w:tcPr>
            <w:tcW w:w="264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
                <w:szCs w:val="2"/>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26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2015</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150,237,675</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1"/>
              </w:rPr>
              <w:t>$ 1,502</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1,851,589</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2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(2,999,393)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(72,293)</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5"/>
              </w:rPr>
              <w:t>$174,985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9"/>
              </w:rPr>
              <w:t>104,457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(22,159)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9"/>
              </w:rPr>
              <w:t>186,498</w:t>
            </w:r>
          </w:p>
        </w:tc>
        <w:tc>
          <w:tcPr>
            <w:tcW w:w="0" w:type="dxa"/>
            <w:vAlign w:val="bottom"/>
          </w:tcPr>
          <w:p>
            <w:pPr>
              <w:spacing w:after="0"/>
              <w:rPr>
                <w:sz w:val="1"/>
                <w:szCs w:val="1"/>
                <w:color w:val="auto"/>
              </w:rPr>
            </w:pPr>
          </w:p>
        </w:tc>
      </w:tr>
      <w:tr>
        <w:trPr>
          <w:trHeight w:val="67"/>
        </w:trPr>
        <w:tc>
          <w:tcPr>
            <w:tcW w:w="2640" w:type="dxa"/>
            <w:vAlign w:val="bottom"/>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64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443,813</w:t>
            </w:r>
          </w:p>
        </w:tc>
        <w:tc>
          <w:tcPr>
            <w:tcW w:w="120" w:type="dxa"/>
            <w:vAlign w:val="bottom"/>
          </w:tcPr>
          <w:p>
            <w:pPr>
              <w:spacing w:after="0"/>
              <w:rPr>
                <w:sz w:val="21"/>
                <w:szCs w:val="21"/>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5,973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5,977</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2,709,570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(1,851,589)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7,940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7,962</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w w:val="98"/>
              </w:rPr>
              <w:t>Excess tax benefits from the exercise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31,924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31,924</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(2,399,203)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(63,152)</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(63,152)</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Recognition of liability related to</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Arial" w:cs="Arial" w:eastAsia="Arial" w:hAnsi="Arial"/>
                <w:sz w:val="15"/>
                <w:szCs w:val="15"/>
                <w:color w:val="auto"/>
              </w:rPr>
              <w:t>future stock option exercises (Note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18)</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(2,339)</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294,094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294,094</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Other comprehensive income, net of</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tax</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2,546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2,546</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(Note 17)</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(80,014)</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24,992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24,992</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153,391,058</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1"/>
              </w:rPr>
              <w:t>$ 1,534</w:t>
            </w:r>
          </w:p>
        </w:tc>
        <w:tc>
          <w:tcPr>
            <w:tcW w:w="1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(5,398,596)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(135,445)</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$243,475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318,537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(19,613)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408,488</w:t>
            </w:r>
          </w:p>
        </w:tc>
        <w:tc>
          <w:tcPr>
            <w:tcW w:w="0" w:type="dxa"/>
            <w:vAlign w:val="bottom"/>
          </w:tcPr>
          <w:p>
            <w:pPr>
              <w:spacing w:after="0"/>
              <w:rPr>
                <w:sz w:val="1"/>
                <w:szCs w:val="1"/>
                <w:color w:val="auto"/>
              </w:rPr>
            </w:pPr>
          </w:p>
        </w:tc>
      </w:tr>
      <w:tr>
        <w:trPr>
          <w:trHeight w:val="246"/>
        </w:trPr>
        <w:tc>
          <w:tcPr>
            <w:tcW w:w="264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578,932</w:t>
            </w:r>
          </w:p>
        </w:tc>
        <w:tc>
          <w:tcPr>
            <w:tcW w:w="120" w:type="dxa"/>
            <w:vAlign w:val="bottom"/>
          </w:tcPr>
          <w:p>
            <w:pPr>
              <w:spacing w:after="0"/>
              <w:rPr>
                <w:sz w:val="21"/>
                <w:szCs w:val="21"/>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6,308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6,314</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1,931,495</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14,668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14,687</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w w:val="98"/>
              </w:rPr>
              <w:t>Excess tax benefits from the exercise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18,175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18,175</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(1,615,181)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(56,455)</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(56,455)</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Recognition of liability related to</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Arial" w:cs="Arial" w:eastAsia="Arial" w:hAnsi="Arial"/>
                <w:sz w:val="15"/>
                <w:szCs w:val="15"/>
                <w:color w:val="auto"/>
              </w:rPr>
              <w:t>future stock option exercises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(Note 18)</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252,490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252,490</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Other comprehensive income, net of</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tax</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2,536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2,536</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(Note 17)</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(92,925)</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21,249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21,249</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155,901,485</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1"/>
              </w:rPr>
              <w:t>$ 1,559</w:t>
            </w:r>
          </w:p>
        </w:tc>
        <w:tc>
          <w:tcPr>
            <w:tcW w:w="1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(7,013,777)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(191,900)</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$302,907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478,102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573,591</w:t>
            </w:r>
          </w:p>
        </w:tc>
        <w:tc>
          <w:tcPr>
            <w:tcW w:w="0" w:type="dxa"/>
            <w:vAlign w:val="bottom"/>
          </w:tcPr>
          <w:p>
            <w:pPr>
              <w:spacing w:after="0"/>
              <w:rPr>
                <w:sz w:val="1"/>
                <w:szCs w:val="1"/>
                <w:color w:val="auto"/>
              </w:rPr>
            </w:pPr>
          </w:p>
        </w:tc>
      </w:tr>
      <w:tr>
        <w:trPr>
          <w:trHeight w:val="246"/>
        </w:trPr>
        <w:tc>
          <w:tcPr>
            <w:tcW w:w="264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866,099</w:t>
            </w:r>
          </w:p>
        </w:tc>
        <w:tc>
          <w:tcPr>
            <w:tcW w:w="120" w:type="dxa"/>
            <w:vAlign w:val="bottom"/>
          </w:tcPr>
          <w:p>
            <w:pPr>
              <w:spacing w:after="0"/>
              <w:rPr>
                <w:sz w:val="21"/>
                <w:szCs w:val="21"/>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8,899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8,907</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1,261,089</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12,082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12,095</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w w:val="98"/>
              </w:rPr>
              <w:t>Excess tax benefits from the exercise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(7,568,357)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(269,557)</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(269,557)</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Recognition of liability related to</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Arial" w:cs="Arial" w:eastAsia="Arial" w:hAnsi="Arial"/>
                <w:sz w:val="15"/>
                <w:szCs w:val="15"/>
                <w:color w:val="auto"/>
              </w:rPr>
              <w:t>future stock option exercises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80"/>
              <w:spacing w:after="0"/>
              <w:rPr>
                <w:sz w:val="20"/>
                <w:szCs w:val="20"/>
                <w:color w:val="auto"/>
              </w:rPr>
            </w:pPr>
            <w:r>
              <w:rPr>
                <w:rFonts w:ascii="Arial" w:cs="Arial" w:eastAsia="Arial" w:hAnsi="Arial"/>
                <w:sz w:val="15"/>
                <w:szCs w:val="15"/>
                <w:color w:val="auto"/>
              </w:rPr>
              <w:t>(Note 18)</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305,111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305,111</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5"/>
                <w:szCs w:val="15"/>
                <w:color w:val="auto"/>
              </w:rPr>
              <w:t>Reclassification of AOCI due to the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Arial" w:cs="Arial" w:eastAsia="Arial" w:hAnsi="Arial"/>
                <w:sz w:val="15"/>
                <w:szCs w:val="15"/>
                <w:color w:val="auto"/>
              </w:rPr>
              <w:t>Act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(Note 2)</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2,851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(loss) income,</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4,822</w:t>
            </w:r>
          </w:p>
        </w:tc>
        <w:tc>
          <w:tcPr>
            <w:tcW w:w="0" w:type="dxa"/>
            <w:vAlign w:val="bottom"/>
          </w:tcPr>
          <w:p>
            <w:pPr>
              <w:spacing w:after="0"/>
              <w:rPr>
                <w:sz w:val="1"/>
                <w:szCs w:val="1"/>
                <w:color w:val="auto"/>
              </w:rPr>
            </w:pPr>
          </w:p>
        </w:tc>
      </w:tr>
      <w:tr>
        <w:trPr>
          <w:trHeight w:val="266"/>
        </w:trPr>
        <w:tc>
          <w:tcPr>
            <w:tcW w:w="2640" w:type="dxa"/>
            <w:vAlign w:val="bottom"/>
          </w:tcPr>
          <w:p>
            <w:pPr>
              <w:ind w:left="180"/>
              <w:spacing w:after="0"/>
              <w:rPr>
                <w:sz w:val="20"/>
                <w:szCs w:val="20"/>
                <w:color w:val="auto"/>
              </w:rPr>
            </w:pPr>
            <w:r>
              <w:rPr>
                <w:rFonts w:ascii="Arial" w:cs="Arial" w:eastAsia="Arial" w:hAnsi="Arial"/>
                <w:sz w:val="15"/>
                <w:szCs w:val="15"/>
                <w:color w:val="auto"/>
              </w:rPr>
              <w:t>Dividends paid (Note 17)</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3"/>
              </w:rPr>
              <w:t>(103,411)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(103,411)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23,318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23,318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5"/>
                <w:szCs w:val="15"/>
                <w:b w:val="1"/>
                <w:bCs w:val="1"/>
                <w:color w:val="auto"/>
              </w:rPr>
              <w:t>Balance at March 31, 2018</w:t>
            </w:r>
          </w:p>
        </w:tc>
        <w:tc>
          <w:tcPr>
            <w:tcW w:w="920" w:type="dxa"/>
            <w:vAlign w:val="bottom"/>
          </w:tcPr>
          <w:p>
            <w:pPr>
              <w:jc w:val="right"/>
              <w:spacing w:after="0"/>
              <w:rPr>
                <w:sz w:val="20"/>
                <w:szCs w:val="20"/>
                <w:color w:val="auto"/>
              </w:rPr>
            </w:pPr>
            <w:r>
              <w:rPr>
                <w:rFonts w:ascii="Arial" w:cs="Arial" w:eastAsia="Arial" w:hAnsi="Arial"/>
                <w:sz w:val="15"/>
                <w:szCs w:val="15"/>
                <w:color w:val="auto"/>
              </w:rPr>
              <w:t>158,028,673</w:t>
            </w:r>
          </w:p>
        </w:tc>
        <w:tc>
          <w:tcPr>
            <w:tcW w:w="120" w:type="dxa"/>
            <w:vAlign w:val="bottom"/>
          </w:tcPr>
          <w:p>
            <w:pPr>
              <w:spacing w:after="0"/>
              <w:rPr>
                <w:sz w:val="19"/>
                <w:szCs w:val="19"/>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w w:val="91"/>
              </w:rPr>
              <w:t>$ 1,580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9"/>
                <w:szCs w:val="19"/>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u w:val="single" w:color="auto"/>
                <w:color w:val="auto"/>
              </w:rPr>
              <w:t>(14,582,134)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0"/>
              </w:rPr>
              <w:t>(461,457)</w:t>
            </w:r>
          </w:p>
        </w:tc>
        <w:tc>
          <w:tcPr>
            <w:tcW w:w="100" w:type="dxa"/>
            <w:vAlign w:val="bottom"/>
          </w:tcPr>
          <w:p>
            <w:pPr>
              <w:spacing w:after="0"/>
              <w:rPr>
                <w:sz w:val="19"/>
                <w:szCs w:val="19"/>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w w:val="95"/>
              </w:rPr>
              <w:t>$346,958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682,653</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(15,106)</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554,628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5080</wp:posOffset>
            </wp:positionV>
            <wp:extent cx="5574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688" w:right="239" w:bottom="1440" w:gutter="0" w:footer="0" w:header="0"/>
        </w:sectPr>
      </w:pPr>
    </w:p>
    <w:bookmarkStart w:id="74" w:name="page75"/>
    <w:bookmarkEnd w:id="74"/>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 March 31, 2018</w:t>
      </w:r>
    </w:p>
    <w:p>
      <w:pPr>
        <w:spacing w:after="0" w:line="400" w:lineRule="exact"/>
        <w:rPr>
          <w:sz w:val="20"/>
          <w:szCs w:val="20"/>
          <w:color w:val="auto"/>
        </w:rPr>
      </w:pPr>
    </w:p>
    <w:p>
      <w:pPr>
        <w:ind w:left="220" w:right="9300" w:hanging="212"/>
        <w:spacing w:after="0" w:line="400" w:lineRule="auto"/>
        <w:tabs>
          <w:tab w:leader="none" w:pos="184"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Our Business</w:t>
      </w:r>
    </w:p>
    <w:p>
      <w:pPr>
        <w:spacing w:after="0" w:line="1"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Holding, the Company or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24,600 employees as of March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73" w:lineRule="exact"/>
        <w:rPr>
          <w:sz w:val="20"/>
          <w:szCs w:val="20"/>
          <w:color w:val="auto"/>
        </w:rPr>
      </w:pPr>
    </w:p>
    <w:p>
      <w:pPr>
        <w:ind w:right="580" w:firstLine="405"/>
        <w:spacing w:after="0" w:line="264" w:lineRule="auto"/>
        <w:rPr>
          <w:sz w:val="20"/>
          <w:szCs w:val="20"/>
          <w:color w:val="auto"/>
        </w:rPr>
      </w:pPr>
      <w:r>
        <w:rPr>
          <w:rFonts w:ascii="Arial" w:cs="Arial" w:eastAsia="Arial" w:hAnsi="Arial"/>
          <w:sz w:val="18"/>
          <w:szCs w:val="18"/>
          <w:color w:val="auto"/>
        </w:rPr>
        <w:t>The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2018 and 2017 and the Company’s results of operations for fiscal 2018, fiscal 2017, and fiscal 2016.</w:t>
      </w:r>
    </w:p>
    <w:p>
      <w:pPr>
        <w:spacing w:after="0" w:line="127"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Certain amounts reported in the Company's prior year consolidated financial statements have been reclassified to conform to the current year presentation.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73"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Revisions to these estimates may result in increases or decreases to revenue and income, and are reflected in the consolidated financial statements in periods in which they are identified. Historically, revisions to these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estimates have not had a material effect on our results of operations. Contract costs, including indirect expenses, are subject to audit by the Defense Contract Audit Agency, or DCAA, and, accordingly, are subject to possible cost disallowances.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6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Revenue earned under time-and-materials contracts is recognized as hours are worked based on contractually billable rates to the client. Costs on time-and-materials contracts are expensed as incurred.</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Revenue on fixed-price contracts is primarily recognized using the percentage of completion method based on actual costs incurred relative to total estimated costs for the contract. On some fixed-price contracts the Company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In either method, these estimated costs are updated during the term of the contract, and may result in revision by the Company of recognized revenue and estimated costs in the period in which the changes in estimated costs are identified. Historically, revisions to these estimates have not had a material effect on our results of operations. Profits on fixed-price contracts result from the difference between incurred costs used to calculate the percentage of completion and revenue earned.</w:t>
      </w:r>
    </w:p>
    <w:p>
      <w:pPr>
        <w:spacing w:after="0" w:line="7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and an allocation of allowable indirect costs. Billable expenses is comprised of subcontracting costs and other “out-of-pocket” costs that often include, but are not limited to, travel-related costs and telecommunications charges. The Company typically recognizes revenue and billable expenses from these transactions on a gross basis when it is the primary obligor on our contracts with customers.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5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 All other revenues are recognized when persuasive evidence of an arrangement exists, services or products have been provided to the customer, the sales price is fixed or determinable and collectability is reasonably assured.</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Cash and cash equivalents include operating cash on hand and highly liquid investments having a weighted average maturity of 60 days or less and a weighted average life of 120 days or less. The Company’s cash equivalents consist primarily of institutional and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11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Company maintains allowances for doubtful accounts against certain billed and unbilled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unbilled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1" w:right="239" w:bottom="1440" w:gutter="0" w:footer="0" w:header="0"/>
        </w:sectPr>
      </w:pPr>
    </w:p>
    <w:bookmarkStart w:id="76" w:name="page77"/>
    <w:bookmarkEnd w:id="76"/>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0" w:firstLine="432"/>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The cost of software purchased or internally developed is capitalized, as appropriate.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three to five years. Leasehold improvements are amortized over the shorter of the useful life of the asset or the lease term. Maintenance and repairs are charged to expense as incurred.</w:t>
      </w:r>
    </w:p>
    <w:p>
      <w:pPr>
        <w:spacing w:after="0" w:line="8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 in the consolidated balance sheets depending on when the amounts will be recognized. Incentives for tenant improvements are amortized on a straight-line basis over the lease term.</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a contingent consideration arrangement in connection with a business acquisition which requires a fair value measurement determined using probability-weighted cash flows. See Note 19 to our consolidated financial statements for further information about the valuation of the contingent consideration liability and the inputs used in the fair value measurement.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Intangible assets primarily consist of the Company's trade name, customer relationships, and other amortizable intangible assets. Customer relationships are generally amortized on an accelerated basis over the expected life based on projected future cash flows of approximately three to twelve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used the relief from royalty method to estimate the fair value. The fair value of the asset is the present value of the license fees avoided by owning the asset, or the royalty savings. During the fiscal year ended March 31, 2017, the Company recorded impairment charges related to intangible assets acquired in an acquisition. During the fiscal year ended March 31, 2018, and 2016, the Company did not record any impairment of intangible assets.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2018,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2018, 2017, and 2016, the Company did not record any impairment of goodwill.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77" w:name="page78"/>
    <w:bookmarkEnd w:id="7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reviews its long-lived assets, including property and equipment and amortizable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2018, 2017, and 2016, the Company did not record any material impairment charges.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62"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5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periodically assesses its tax positions for all periods open to examination by tax authorities based on the latest available information. Where it is not more likely than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8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See Note 13 to our consolidated financial statements for further information regarding the effects of U.S. tax law changes enacted during the third fiscal quarter of 2018 and financial reporting guidance issued by the SEC.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2018 and 2017 consisted of net unrealized losses on the Company’s defined and postretirement benefit plans and unrealized gains or losses on interest rate swaps designated as cash flow hedges.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Share-based payments to employees are recognized in the consolidated statements of operations based on their grant date fair values with the expense for time vested awards recognized on an accelerated basis over the vesting period. The expense for performance awards is recognized straight line over the vesting period. The Company uses the Black-Scholes option-pricing model to determine the fair value of its option awards at the time of grant.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 recognizes the underfunded status of defined benefit plans on the consolidated balance sheets within other long-term liabilities. Gains and losses, and prior service costs and credits that have not yet been recognized through net periodic benefit cost are recognized in accumulated other comprehensive income (loss), net of tax effects, and will be amortized as a component of net periodic cost in future periods. The measurement date, the date at which the benefit obligations are measured, is the Company’s fiscal year-end.</w:t>
      </w:r>
    </w:p>
    <w:p>
      <w:pPr>
        <w:spacing w:after="0" w:line="7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also offers medical and dental benefits to inactive employees (and their eligible dependents) on long-term disability. The Company accrues the costs of the benefits at the date the inactive employee becomes disability eligible and elects to participate in the benefit. The accrued cost for such benefits is calculated using an actuarial estimate of the present value of all future benefit payments for obligations at the end of the fiscal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73"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accounting guidance for fair value measurements establishes a three-level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19 to our consolidated financial statements for additional information on the Company’s fair value measurements.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On February 14, 2018, the Financial Accounting Standards Board, or FASB, issued Accounting Standards Update, or ASU 2018-02, </w:t>
      </w:r>
      <w:r>
        <w:rPr>
          <w:rFonts w:ascii="Arial" w:cs="Arial" w:eastAsia="Arial" w:hAnsi="Arial"/>
          <w:sz w:val="17"/>
          <w:szCs w:val="17"/>
          <w:i w:val="1"/>
          <w:iCs w:val="1"/>
          <w:color w:val="auto"/>
        </w:rPr>
        <w:t>Income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Comprehensive Income (Topic 220): Reclassification of Certain Tax Effects from Accumulated Other Comprehensive Income. </w:t>
      </w:r>
      <w:r>
        <w:rPr>
          <w:rFonts w:ascii="Arial" w:cs="Arial" w:eastAsia="Arial" w:hAnsi="Arial"/>
          <w:sz w:val="17"/>
          <w:szCs w:val="17"/>
          <w:color w:val="auto"/>
        </w:rPr>
        <w:t>This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permits entities to reclassify the effect of the change in the U.S. federal corporate income tax rate on the gross deferred tax amounts related to items remaining in accumulated other comprehensive income to retained earnings as a result of the Tax Cuts and Jobs Act (the "2017 Tax Act") enacted by the U.S. federal government on December 22, 2017. The updated guidance is effective for interim and annual reporting periods beginning after December 15, 2018, with early adoption permitted. Although immaterial, the Company early adopted ASU 2018-02 and made an election to reclassify $2.9 million from accumulated other comprehensive income to retained earnings in the fourth quarter of fiscal 2018.</w:t>
      </w:r>
    </w:p>
    <w:p>
      <w:pPr>
        <w:spacing w:after="0" w:line="7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 xml:space="preserve">On December 22, 2017, the Staff of the SEC issued Staff Accounting Bulletin No. 118, </w:t>
      </w:r>
      <w:r>
        <w:rPr>
          <w:rFonts w:ascii="Arial" w:cs="Arial" w:eastAsia="Arial" w:hAnsi="Arial"/>
          <w:sz w:val="18"/>
          <w:szCs w:val="18"/>
          <w:i w:val="1"/>
          <w:iCs w:val="1"/>
          <w:color w:val="auto"/>
        </w:rPr>
        <w:t>Income Tax Accounting Implications of the Tax Cuts and Jobs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or SAB 118, which addresses situations where the accounting under FASB Accounting Standards Codification No.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or ASC 740 is</w:t>
      </w:r>
      <w:r>
        <w:rPr>
          <w:rFonts w:ascii="Arial" w:cs="Arial" w:eastAsia="Arial" w:hAnsi="Arial"/>
          <w:sz w:val="18"/>
          <w:szCs w:val="18"/>
          <w:i w:val="1"/>
          <w:iCs w:val="1"/>
          <w:color w:val="auto"/>
        </w:rPr>
        <w:t xml:space="preserve"> </w:t>
      </w:r>
      <w:r>
        <w:rPr>
          <w:rFonts w:ascii="Arial" w:cs="Arial" w:eastAsia="Arial" w:hAnsi="Arial"/>
          <w:sz w:val="18"/>
          <w:szCs w:val="18"/>
          <w:color w:val="auto"/>
        </w:rPr>
        <w:t>incomplete for certain income tax effects of Public Law No. 115-97, commonly referred to as the 2017 Tax Act, by the time an entity issues its financial statements for the fiscal period that includes the date that the 2017 Tax Act was enacted.</w:t>
      </w:r>
    </w:p>
    <w:p>
      <w:pPr>
        <w:spacing w:after="0" w:line="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ASC 740, entities are required to adjust current and deferred tax liabilities and assets for the effects of changes in tax laws or rates at their date of enactment. However, pursuant to SAB 118, if an entity does not have the necessary information available, prepared, or analyzed for certain income tax effects of the 2017 Tax Act at the time an entity's financial statements are issued, an entity shall apply ASC 740 based on the provisions of the tax laws that were in effect immediately prior to the enactment of the 2017 Tax Act. If the accounting for certain income tax effects of the 2017 Tax Act is incomplete, but an entity can determine a reasonable estimate for those effects, an entity can record provisional amounts and adjust such amounts as necessary during a measurement period, which ends on the earlier of when an entity has obtained, prepared, and analyzed the information necessary to complete the accounting requirements of ASC 740 and December 22, 2018.</w:t>
      </w:r>
    </w:p>
    <w:p>
      <w:pPr>
        <w:spacing w:after="0" w:line="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discussed further in Note 13, the Company is a fiscal year-end taxpayer and is required to use a blended statutory federal tax rate, inclusive of the federal rate change enacted on December 22, 2017, to compute its effective tax rate from the third quarter of fiscal 2018. These effects contributed to an overall decrease in the Company's effective tax rate. Based on ASC 740, comparative prior period amounts were not adjusted for the rate change effects of the 2017 Tax Act.</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Further, the Company recognized provisional tax effects of the 2017 Tax Act in the year ended March 31, 2018 and recorded $9.1 million in income tax benefit which relates entirely to the re-measurement of deferred tax assets and liabilities using the new 21% tax rate. Upon completion of its on-going assessment of the implications of the 2017 Tax Act during the measurement period, the Company may identify additional re-measurement adjustments to the recorded deferred tax balances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resulting from the 2017 Tax Act given its complexity and pending further interpretive guidance that may be issued by the Internal Revenue Service (IRS). In addition, a tax accounting method change was filed as of March 31, 2018 associated with the Company's unbilled receivables that is currently pending IRS approval. As a non-automatic method change, the Company can not yet adjust for this in the deferred re-measurement process. The Company will continue to assess its provision for income taxes as future guidance is issued. Any such revisions will be treated in accordance with the measurement period guidance outlined in SAB 118.</w:t>
      </w:r>
    </w:p>
    <w:p>
      <w:pPr>
        <w:spacing w:after="0" w:line="8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guidance eliminates the requirement to separately measure and report hedge ineffectiveness and generally requires, for 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5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which will change the presentation of net periodic benefit cost components on the consolidated statement of operations. Under this guidance, the service cost component of net periodic benefit cost will continue to be presented in the same line items as other employee compensation costs, while the remaining components of net periodic benefit costs are to be presented outside operating income. ASU 2017-07 is effective for annual reporting periods beginning after December 15, 2017 and is to be applied retrospectively, with early adoption permitted. The Company will adopt the new standard in the first quarter of fiscal 2019 on a retrospective basis. For the Officer Medical Plan, the adoption of ASU 2017-07 will result in a reclassification of $7.3 million and $7.8 million of net periodic benefit costs that are not related to service components to other income (expense), net for fiscal 2018 and fiscal 2017, respectively. The adoption of this standard and change in classification is not expected to be material to the Company's consolidated financial statements.</w:t>
      </w:r>
    </w:p>
    <w:p>
      <w:pPr>
        <w:spacing w:after="0" w:line="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simplifies several aspects of the accounting for share-based payment transactions including the accounting for income taxes, forfeitures, and statutory tax withholding requirements. The Company adopted ASU 2016-09 in the first quarter of fiscal 2018. Certain of the simplification provisions were not applicable to the Company. The Company will continue its existing practice of estimating the number of forfeitures that are expected to occur rather than account for forfeitures when they occur as permitted under the new guidance.</w:t>
      </w:r>
    </w:p>
    <w:p>
      <w:pPr>
        <w:spacing w:after="0" w:line="8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primary impacts of adopting ASU 2016-09 were those related to excess tax benefits and tax deficiencies. The new guidance requires that such amounts be recognized as income tax expense or benefit in the statement of operations, which could result in fluctuations in the Company's effective tax rate period over period depending on how many awards vest, or options are exercised, in a quarter. The guidance also requires that the cash flows associated with these transactions be presented with other income tax related cash flows in the operating activities section of the statement of cash flows. The Company recognized excess tax benefits, inclusive of the impact of the 2017 Tax Act, of $14.5 million during fiscal year 2018, as a reduction to income tax expense in the consolidated statement of operations. The effect of adopting ASU 2016-09 resulted in a decrease in the Company's current period effective tax rate. As permitted, the Company adopted the guidance related to the presentation of excess tax benefits in the consolidated statement of cash flows on a prospective basis. Prior period amounts were not adjusted.</w:t>
      </w:r>
    </w:p>
    <w:p>
      <w:pPr>
        <w:spacing w:after="0" w:line="7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to increase transparency and comparability of accounting for lease transactions. The new leasing standard requires lessees to recognize lease assets and lease liabilities on their balance sheet for all leases with a lease term of greater than 12 months. Lessor accounting is largely unchanged. Topic 842 is effective for fiscal years beginning after December 15, 2018, with early adoption permitted. The new leasing standard currently requires the application of a modified retrospective approach to the beginning of the earliest period presented in the financial statements. In January 2018, the FASB issued an exposure draft of the proposed ASU, Leases (Topic 842): Targeted Improvements. The proposed ASU provides an alternative transition method of adoption, permitting the recognition of a cumulative-effect adjustment to retained earnings on the date of adoption. The Company intends to adopt the standard on the effective date and we will make a transition decision upon the FASB deciding whether it will approve an alternative transition method.</w:t>
      </w:r>
    </w:p>
    <w:p>
      <w:pPr>
        <w:spacing w:after="0" w:line="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 dedicated implementation team has been established that continues to make progress toward completing the evaluation of the impact of the new standard. The Company is currently evaluating its population of leased assets in order to assess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80" w:name="page81"/>
    <w:bookmarkEnd w:id="80"/>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impact of Topic 842 on its lease portfolio, and designing and implementing new processes and controls. Until this effort is completed, the Company cannot determine the effect of Topic 842 on our consolidated financial statements.</w:t>
      </w:r>
    </w:p>
    <w:p>
      <w:pPr>
        <w:spacing w:after="0" w:line="62"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In May 2014, the FASB issued Accounting Standard Codification No. 606, Revenue from Contracts with Customers (Topic 606). Topic 606, as amended, will replace existing revenue recognition standards by outlining a single set of comprehensive principles for recognizing revenue. The revenue standard will also significantly expand the disclosure requirements for revenue arrangements. Amendments to Topic 606 have generally focused on promoting a more consistent interpretation and application of the principles for recognizing revenue.</w:t>
      </w:r>
    </w:p>
    <w:p>
      <w:pPr>
        <w:spacing w:after="0" w:line="6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Topic 606 was effective for the Company beginning on April 1, 2018 (i.e., beginning with the first quarter fiscal 2019 interim financial statements). The Company will adopt the new revenue standard using the full retrospective transition method, which requires that it be applied to each prior reporting period presented and the cumulative effect of applying the standard would be recognized at the earliest period shown (i.e., April 1, 2016 or the beginning of the first quarter of fiscal 2017). During fiscal 2018, the Company completed its assessment of the cumulative effect of adopting Topic 606 and assessed the impact to be immaterial. Under the full retrospective method, the Company principally recognized the cumulative effect of adoption as an increase in billed and unbilled accounts receivables, an increase in deferred tax liabilities, and a net increase in retained earnings as of April 1, 2016 of less than $3.0 million. The Company has substantially completed its assessment of the impact of adoption on our fiscal 2017 and 2018 results and the Company believes the retrospective impact of Topic 606 to those prior fiscal periods to be immaterial. The impact of Topic 606 on fiscal 2017 and 2018 results may not be representative of the impact on subsequent years’ results.</w:t>
      </w:r>
    </w:p>
    <w:p>
      <w:pPr>
        <w:spacing w:after="0" w:line="7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During fiscal 2018, the Company substantially completed its evaluation of Topic 606, including the impact on our accounting policies and practices, accounting systems and business processes. As a result of our evaluation, the Company identified changes to and modified certain of our accounting policies and practices. While some system changes were complex to design and test, the effect of such changes were not significant upon adoption of Topic 606. The Company also designed and implemented specific controls over our evaluation of the impact of Topic 606, including the calculation of the cumulative effect of adopting Topic 606. Finally, the Company has designed new internal controls and modified certain of our existing internal controls and processes to incorporate the revisions made to accounting policies and practices on a post-adoption basis.</w:t>
      </w:r>
    </w:p>
    <w:p>
      <w:pPr>
        <w:spacing w:after="0" w:line="7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While the Company's comprehensive assessment identified the following notable observations or impacts to our accounting policies and practices, the Company does not believe that adopting Topic 606 under its principles-based approach to recognizing revenue will be material to the Company's fiscal year consolidated financial statements:</w:t>
      </w:r>
    </w:p>
    <w:p>
      <w:pPr>
        <w:spacing w:after="0" w:line="73" w:lineRule="exact"/>
        <w:rPr>
          <w:sz w:val="20"/>
          <w:szCs w:val="20"/>
          <w:color w:val="auto"/>
        </w:rPr>
      </w:pPr>
    </w:p>
    <w:p>
      <w:pPr>
        <w:ind w:lef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expects insignificant changes related to recognizing revenue and earnings over time for long-term contracts as work progresses because of the continuous transfer of control to the customer, generally using an input measure (e.g., costs incurred) to reflect progress.</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determination of the customer and contract under Topic 606 will not significantly change.</w:t>
      </w:r>
    </w:p>
    <w:p>
      <w:pPr>
        <w:spacing w:after="0" w:line="11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Revenue previously deferred for non-federal government arrangements that commenced without a signed, written contract may be recognized under Topic 606 when such arrangements are legally enforceable under applicable laws and regulations.</w:t>
      </w:r>
    </w:p>
    <w:p>
      <w:pPr>
        <w:spacing w:after="0" w:line="62"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determined that in its U.S. government contract portfolio, there are certain periods of performance option exercises that will be evaluated as separate performance obligations or new arrangements for accounting purposes due to their distinct nature. For example, these situations may arise when options to renew the period of performance are not exercised within a relatively short period after execution of the base contract and are thus evaluated to be separate and unrelated purchasing decisions by the customer, or when an option exercise is not the continuation of an integrated service, finished deliverable, or a single combined output.</w:t>
      </w:r>
    </w:p>
    <w:p>
      <w:pPr>
        <w:spacing w:after="0" w:line="80" w:lineRule="exact"/>
        <w:rPr>
          <w:rFonts w:ascii="Arial" w:cs="Arial" w:eastAsia="Arial" w:hAnsi="Arial"/>
          <w:sz w:val="18"/>
          <w:szCs w:val="18"/>
          <w:color w:val="auto"/>
        </w:rPr>
      </w:pPr>
    </w:p>
    <w:p>
      <w:pPr>
        <w:jc w:val="both"/>
        <w:ind w:left="340" w:right="14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determination of contract transaction price associated with performance-based contracts (i.e., incentive or award-based contracts) will generally be consistent with the Company's current measurement practices for such contracts. The Company's estimates at completion for most fixed price contracts will now include unfunded components.</w:t>
      </w:r>
    </w:p>
    <w:p>
      <w:pPr>
        <w:spacing w:after="0" w:line="73" w:lineRule="exact"/>
        <w:rPr>
          <w:rFonts w:ascii="Arial" w:cs="Arial" w:eastAsia="Arial" w:hAnsi="Arial"/>
          <w:sz w:val="18"/>
          <w:szCs w:val="18"/>
          <w:color w:val="auto"/>
        </w:rPr>
      </w:pPr>
    </w:p>
    <w:p>
      <w:pPr>
        <w:ind w:left="340" w:right="40" w:hanging="332"/>
        <w:spacing w:after="0" w:line="273"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interim period financial reporting purposes under Topic 606, contract revenue attributable to indirect costs will be recognized using the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determined. The impact of this change relates to the interim financial reporting period differences between the actual indirect cost incurred and allocated to contracts compared to the estimated amounts allocated to</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121" w:right="299" w:bottom="1440" w:gutter="0" w:footer="0" w:header="0"/>
        </w:sectPr>
      </w:pPr>
    </w:p>
    <w:bookmarkStart w:id="81" w:name="page82"/>
    <w:bookmarkEnd w:id="81"/>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42" w:lineRule="exact"/>
        <w:rPr>
          <w:sz w:val="20"/>
          <w:szCs w:val="20"/>
          <w:color w:val="auto"/>
        </w:rPr>
      </w:pPr>
    </w:p>
    <w:p>
      <w:pPr>
        <w:ind w:left="340" w:right="20"/>
        <w:spacing w:after="0" w:line="317" w:lineRule="auto"/>
        <w:rPr>
          <w:sz w:val="20"/>
          <w:szCs w:val="20"/>
          <w:color w:val="auto"/>
        </w:rPr>
      </w:pPr>
      <w:r>
        <w:rPr>
          <w:rFonts w:ascii="Arial" w:cs="Arial" w:eastAsia="Arial" w:hAnsi="Arial"/>
          <w:sz w:val="17"/>
          <w:szCs w:val="17"/>
          <w:color w:val="auto"/>
        </w:rPr>
        <w:t xml:space="preserve">contracts using the estimated annual forward-pricing rates established with the U.S. government, which the Company believes represents the transaction price under Topic 606. </w:t>
      </w:r>
      <w:r>
        <w:rPr>
          <w:rFonts w:ascii="Arial" w:cs="Arial" w:eastAsia="Arial" w:hAnsi="Arial"/>
          <w:sz w:val="18"/>
          <w:szCs w:val="18"/>
          <w:color w:val="auto"/>
        </w:rPr>
        <w:t>T</w:t>
      </w:r>
      <w:r>
        <w:rPr>
          <w:rFonts w:ascii="Arial" w:cs="Arial" w:eastAsia="Arial" w:hAnsi="Arial"/>
          <w:sz w:val="17"/>
          <w:szCs w:val="17"/>
          <w:color w:val="auto"/>
        </w:rPr>
        <w:t>his change to our interim accounting policies and practices aligns to the principles of Topic 606 indicating that revenue should reflect expectations about the consideration a company will be entitled to receive from a customer and such revenue and profit margin should be applied on a consistent basis using judgment and reliable estimates for contractual arrangements. This will be a change from the Company’s current practices in which the Company records during interim reporting periods adjustments to revenue based on the indirect spending incurred as of that interim period ended primarily for cost-reimbursable and fixed-price contracts. Because of the new revenue standard, profit margin on such contracts is expected to be more consistent throughout the interim periods of the fiscal year, notwithstanding seasonality the Company may experience during interim and fiscal year periods due to changes in the government’s funding and spending patterns. The Company believes this change in interim period financial reporting will have no impact on the fiscal year end consolidated statements of operations, balance sheets or statements of cash flow as the estimated indirect forward-pricing rates are adjusted to actual rates at that time.</w:t>
      </w:r>
    </w:p>
    <w:p>
      <w:pPr>
        <w:spacing w:after="0" w:line="50" w:lineRule="exact"/>
        <w:rPr>
          <w:sz w:val="20"/>
          <w:szCs w:val="20"/>
          <w:color w:val="auto"/>
        </w:rPr>
      </w:pPr>
    </w:p>
    <w:p>
      <w:pPr>
        <w:ind w:left="340" w:right="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Contracts with significant up-front materials are expected to see an increase in the amount of revenue and costs recognized upon the date of the adoption, but the change in profitability is not expected to be significant.</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Topic 606 will also require expanded disclosures regarding the nature, timing and uncertainty of revenue and contract balances, including how and when the Company satisfies its performance obligations and the relationship between revenue recognized and changes in contract balances during a reporting period. The Company has evaluated these disclosure requirements and incorporated the collection of relevant data into our reporting process.</w:t>
      </w:r>
    </w:p>
    <w:p>
      <w:pPr>
        <w:spacing w:after="0" w:line="5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Other recent accounting pronouncements issued during fiscal 2018 and through the filing date are not expected to have a material impact on the Company's present or historical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paid in each quarter of fiscal 2018, 2017, and 2016.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303,224</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290,542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Weighted-average Class A Common Stock outstanding</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145,964,574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148,218,968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146,494,407</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145,964,574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148,218,968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146,494,407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Earnings for diluted computations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303,238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250,249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290,596</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1,785,448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2,055,672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3,224,730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w w:val="97"/>
              </w:rPr>
              <w:t>Average number of common shares outstanding for diluted computations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147,750,022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150,274,640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149,719,137</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6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8"/>
        <w:spacing w:after="0" w:line="277"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fiscal 2018, 2017, and 2016 approximately 0.8 million, 1.3 million, and 1.8 million shares of participating securities were paid dividends totaling $0.8 million, $0.9 million, and $1.0 million, respectively. For fiscal 2018 there were undistributed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82" w:name="page83"/>
    <w:bookmarkEnd w:id="82"/>
    <w:p>
      <w:pPr>
        <w:jc w:val="center"/>
        <w:ind w:left="320" w:right="210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earnings of $1.1 million allocated to the participating class of securities in both basic and diluted earnings per share. For fiscal 2017 there were undistributed earnings of $1.4 million allocated to the participating class of securities in both basic and diluted earnings per share. For fiscal 2016 there were undistributed earnings of $2.5 million allocated to the participating class of securities in both basic and diluted earnings per share. The allocated undistributed earnings and the dividends paid comprise the difference between net income presented on the consolidated statements of operations and earnings for basic and diluted computations for fiscal 2018, 2017, and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EPS calculation for fiscal 2018, 2017, and 2016 excludes 0.3 million, 0.05 million, and 0.6 million options as their impact was anti-dilutive.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material acquisitions during fiscal 2018 or through the period subsequent to the issuance of the current financial statements.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Fiscal 2017 Acquisition</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On January 24, 2017, the Company acquired eGov Holdings, Inc., which we refer to as Aquilent. As a result of the transaction, Aquilent became a wholly owned subsidiary of the Company. Aquilent is an architect of IT solutions for the U.S. Federal government. The acquisition further expands the Company's ability to blend its consulting heritage with advanced technical expertise.</w:t>
      </w:r>
    </w:p>
    <w:p>
      <w:pPr>
        <w:spacing w:after="0" w:line="7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The total purchase consideration paid at closing was $253.6 million. As part of the acquisition, the Company and the selling shareholders of Aquilent agreed to jointly make an election under Section 338(h)(10) of the Internal Revenue Code of 1986, as amended, or the Code, to treat the acquisition as an asset purchase for income tax purposes. The Company agreed to reimburse the selling stockholders for previously unrealized tax consequences on Aquilent's prior tax-return positions that became realized upon acquisition; and agreed to indemnify the selling stockholders for potential, incremental increases in income taxes and related costs as a result of the Section 338(h)(10) election. The indemnity was evaluated to be acquisition-related contingent consideration, which was preliminarily estimated at the acquisition date fair value of $3.6 million. The acquisition-related contingent consideration was calculated using probability-weighted cash flows and significant unobservable inputs (Level 3) as described under the fair value hierarchy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or ASC 820.</w:t>
      </w:r>
    </w:p>
    <w:p>
      <w:pPr>
        <w:spacing w:after="0" w:line="8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Company recorded the assets acquired and liabilities assumed at their acquisition date estimated fair value, with the difference between the fair value of the net assets acquired and the acquisition consideration reflected as goodwill. The following table represents the final allocation of fair value of assets acquired and liabilities assumed:</w:t>
      </w:r>
    </w:p>
    <w:p>
      <w:pPr>
        <w:spacing w:after="0" w:line="200" w:lineRule="exact"/>
        <w:rPr>
          <w:sz w:val="20"/>
          <w:szCs w:val="20"/>
          <w:color w:val="auto"/>
        </w:rPr>
      </w:pPr>
    </w:p>
    <w:p>
      <w:pPr>
        <w:spacing w:after="0" w:line="347"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Customer-relationship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199,826</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Tax liability</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(13,554)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uncertainty</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37"/>
        </w:trPr>
        <w:tc>
          <w:tcPr>
            <w:tcW w:w="7820" w:type="dxa"/>
            <w:vAlign w:val="bottom"/>
          </w:tcPr>
          <w:p>
            <w:pPr>
              <w:ind w:left="100"/>
              <w:spacing w:after="0"/>
              <w:rPr>
                <w:sz w:val="20"/>
                <w:szCs w:val="20"/>
                <w:color w:val="auto"/>
              </w:rPr>
            </w:pPr>
            <w:r>
              <w:rPr>
                <w:rFonts w:ascii="Arial" w:cs="Arial" w:eastAsia="Arial" w:hAnsi="Arial"/>
                <w:sz w:val="18"/>
                <w:szCs w:val="18"/>
                <w:color w:val="auto"/>
              </w:rPr>
              <w:t>Total purchase consideration transfer at closing</w:t>
            </w: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253,554</w:t>
            </w:r>
          </w:p>
        </w:tc>
      </w:tr>
    </w:tbl>
    <w:p>
      <w:pPr>
        <w:spacing w:after="0" w:line="12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identifiable customer-relationship intangible assets of $69.0 million was valued using the excess earnings method discounted cash flow approach, incorporating Level 3 inputs as described under the fair value hierarchy of ASC 820 and it is being amortized over 12 years. An acquisition date tax of $13.6 million was relieved and paid during the first quarter of fiscal 2018. The Company continues to carry a related reserve of $10.2 million for income tax uncertainties created with the acquisition resulting from uncertainty in the sustainability of Aquilent's prior tax-return positions under examination with the relevant tax authorities. The goodwill of $199.8 million was primarily attributed to the specialized workforce and the expected synergies between the Company and Aquilent. The majority of the goodwill is expected to be deductible for tax purposes. Pro</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121" w:right="319" w:bottom="1440" w:gutter="0" w:footer="0" w:header="0"/>
        </w:sectPr>
      </w:pPr>
    </w:p>
    <w:bookmarkStart w:id="83" w:name="page84"/>
    <w:bookmarkEnd w:id="8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forma results of operations for this acquisition are not presented because it is not material to the Company's consolidated results of operations.</w:t>
      </w:r>
    </w:p>
    <w:p>
      <w:pPr>
        <w:spacing w:after="0" w:line="200" w:lineRule="exact"/>
        <w:rPr>
          <w:sz w:val="20"/>
          <w:szCs w:val="20"/>
          <w:color w:val="auto"/>
        </w:rPr>
      </w:pPr>
    </w:p>
    <w:p>
      <w:pPr>
        <w:spacing w:after="0" w:line="264" w:lineRule="exact"/>
        <w:rPr>
          <w:sz w:val="20"/>
          <w:szCs w:val="20"/>
          <w:color w:val="auto"/>
        </w:rPr>
      </w:pPr>
    </w:p>
    <w:p>
      <w:pPr>
        <w:ind w:left="260" w:right="7860" w:hanging="252"/>
        <w:spacing w:after="0" w:line="346" w:lineRule="auto"/>
        <w:tabs>
          <w:tab w:leader="none" w:pos="19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March 31, 2018 and 2017, goodwill was 1,581.1 million and 1,571.2 million, respectively. The increase in the carrying amount of goodwill was attributable to an acquisition.</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performed an annual impairment test of goodwill as of January 1, 2018 and 2017, and we did not identify any impairment.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 2018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March 31, 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w w:val="98"/>
              </w:rPr>
              <w:t>Customer relationships and other amortizable intangible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160"/>
              <w:spacing w:after="0"/>
              <w:rPr>
                <w:sz w:val="20"/>
                <w:szCs w:val="20"/>
                <w:color w:val="auto"/>
              </w:rPr>
            </w:pPr>
            <w:r>
              <w:rPr>
                <w:rFonts w:ascii="Arial" w:cs="Arial" w:eastAsia="Arial" w:hAnsi="Arial"/>
                <w:sz w:val="16"/>
                <w:szCs w:val="16"/>
                <w:color w:val="auto"/>
              </w:rPr>
              <w:t>115,808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45,036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70,772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274,915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193,235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81,680</w:t>
            </w: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6"/>
        </w:trPr>
        <w:tc>
          <w:tcPr>
            <w:tcW w:w="4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Unamortizable intangible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190,200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190,200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190,200</w:t>
            </w:r>
          </w:p>
        </w:tc>
      </w:tr>
      <w:tr>
        <w:trPr>
          <w:trHeight w:val="176"/>
        </w:trPr>
        <w:tc>
          <w:tcPr>
            <w:tcW w:w="4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306,008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260,972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465,115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271,880</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Intangible assets are generally amortized on an accelerated basis over periods ranging from 3 years to 12 years. The weighted-average remaining period of amortization for all customer relationships is 9.3 years.</w:t>
      </w:r>
    </w:p>
    <w:p>
      <w:pPr>
        <w:spacing w:after="0" w:line="14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performed an annual impairment test of the trade name as of January 1, 2018 and 2017, and did not identify any impairment. However, the Company recognized an impairment charge of $3.8 million in fiscal 2017 for acquired technology, customer relationships and other intangible assets associated with a historical business acquisition. During fiscal 2018, gross carrying value and accumulated amortization was reduced related to fully-amortized intangible assets.</w:t>
      </w:r>
    </w:p>
    <w:p>
      <w:pPr>
        <w:spacing w:after="0" w:line="79"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color w:val="auto"/>
        </w:rPr>
        <w:t>Amortization expense for fiscal 2018, 2017, and 2016 was $16.9 million, $13.9 million, and $12.1 million, respectively. The following table summarizes the estimated annual amortization expense for future periods indicated below:</w:t>
      </w:r>
    </w:p>
    <w:p>
      <w:pPr>
        <w:spacing w:after="0" w:line="279"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15,723</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12,985</w:t>
            </w: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10,166</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7,647</w:t>
            </w: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6,557</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17,694</w:t>
            </w: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estimated amortization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70,772</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4" w:name="page85"/>
    <w:bookmarkEnd w:id="84"/>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ind w:left="420" w:right="6240" w:hanging="412"/>
        <w:spacing w:after="0" w:line="445" w:lineRule="auto"/>
        <w:tabs>
          <w:tab w:leader="none" w:pos="195"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149"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395,136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340,716</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651,094</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991,810</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59,913</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1,190,085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1,051,723</w:t>
            </w:r>
          </w:p>
        </w:tc>
      </w:tr>
      <w:tr>
        <w:trPr>
          <w:trHeight w:val="27"/>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Unbilled amounts represent revenues for which billings have not been presented to customers at year 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provision for doubtful accounts (including certain unbilled reserves) of $3.2 million, $0.6 million, and $1.1 million for fiscal 2018,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311"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151,552</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79,629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75,159</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48,361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202,133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177,009</w:t>
            </w: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504,874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452,081</w:t>
            </w:r>
          </w:p>
        </w:tc>
      </w:tr>
      <w:tr>
        <w:trPr>
          <w:trHeight w:val="243"/>
        </w:trPr>
        <w:tc>
          <w:tcPr>
            <w:tcW w:w="7240" w:type="dxa"/>
            <w:vAlign w:val="bottom"/>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(334,978)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(312,914)</w:t>
            </w: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169,896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139,167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Property and equipment, net, includes $15.6 million and $8.1 million of internally developed software, net of depreciation as of March 31, 2018 and 2017, respectively. Depreciation and amortization expense relating to property and equipment for fiscal 2018, 2017, and 2016 was $48.1 million, $46.3 million, and $50.1 million, respectively. During fiscal 2018 and 2017, the Company reduced the gross cost and accumulated depreciation and amortization by $16.1 million and $11.9 million, respectively, for zero net book value assets deemed no longer in service.</w:t>
      </w:r>
    </w:p>
    <w:p>
      <w:pPr>
        <w:spacing w:after="0" w:line="276" w:lineRule="exact"/>
        <w:rPr>
          <w:sz w:val="20"/>
          <w:szCs w:val="20"/>
          <w:color w:val="auto"/>
        </w:rPr>
      </w:pPr>
    </w:p>
    <w:p>
      <w:pPr>
        <w:ind w:left="440" w:right="5640" w:hanging="432"/>
        <w:spacing w:after="0" w:line="445" w:lineRule="auto"/>
        <w:tabs>
          <w:tab w:leader="none" w:pos="18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43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339,993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268,630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217,566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235,487</w:t>
            </w:r>
          </w:p>
        </w:tc>
      </w:tr>
      <w:tr>
        <w:trPr>
          <w:trHeight w:val="27"/>
        </w:trPr>
        <w:tc>
          <w:tcPr>
            <w:tcW w:w="43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Total accounts payable and other accrued expenses</w:t>
            </w:r>
          </w:p>
        </w:tc>
        <w:tc>
          <w:tcPr>
            <w:tcW w:w="2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557,559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504,117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2660" w:type="dxa"/>
            <w:vAlign w:val="bottom"/>
            <w:gridSpan w:val="2"/>
          </w:tcPr>
          <w:p>
            <w:pPr>
              <w:jc w:val="right"/>
              <w:ind w:right="2000"/>
              <w:spacing w:after="0"/>
              <w:rPr>
                <w:sz w:val="20"/>
                <w:szCs w:val="20"/>
                <w:color w:val="auto"/>
              </w:rPr>
            </w:pPr>
            <w:r>
              <w:rPr>
                <w:rFonts w:ascii="Arial" w:cs="Arial" w:eastAsia="Arial" w:hAnsi="Arial"/>
                <w:sz w:val="18"/>
                <w:szCs w:val="18"/>
                <w:color w:val="auto"/>
              </w:rPr>
              <w:t>F-18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60"/>
          </w:cols>
          <w:pgMar w:left="240" w:top="121" w:right="299" w:bottom="1440" w:gutter="0" w:footer="0" w:header="0"/>
        </w:sectPr>
      </w:pPr>
    </w:p>
    <w:bookmarkStart w:id="85" w:name="page86"/>
    <w:bookmarkEnd w:id="85"/>
    <w:p>
      <w:pPr>
        <w:jc w:val="center"/>
        <w:ind w:left="320" w:right="210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21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8"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77,765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35,743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31,879</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124,486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27,671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29,686</w:t>
            </w: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282,750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263,816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PAYMENT OBLIGATION</w:t>
      </w:r>
    </w:p>
    <w:p>
      <w:pPr>
        <w:spacing w:after="0" w:line="12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or until settlement of all outstanding claims,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remaining $80.0 million is available to indemnify the Company for certain pre-acquisition tax contingencies, related interest and penalties, and other matters pursuant to the Merger Agreement. Any amounts remaining after the settlement of all claims will be paid out to the selling shareholders. As of March 31, 2018, there were no estimated tax indemnified amounts recorded against the DPO. Remaining potential claims outstanding that may be indemnified pursuant to the Merger Agreement relate to former officers and stockholders’ suits that are still in litigation (See Note 21 to our consolidated financial statements).</w:t>
      </w:r>
    </w:p>
    <w:p>
      <w:pPr>
        <w:spacing w:after="0" w:line="8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fiscal 2018, the Company accrued interest at a rate of 5% per six-month period on the unpaid DPO balance, net of any settled claims or payments, which was $80.0 million as of March 31, 2018 and 2017. Accordingly, the $81.3 million and $81.3 million recorded within other current liabilities as of March 31, 2018 and March 31, 2017, respectively, represent the residual balances estimated to be paid to the selling shareholders subject to any remaining potential claims based on consideration of accrued interest and other matters.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10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1,304</w:t>
            </w:r>
          </w:p>
        </w:tc>
      </w:tr>
      <w:tr>
        <w:trPr>
          <w:trHeight w:val="27"/>
        </w:trPr>
        <w:tc>
          <w:tcPr>
            <w:tcW w:w="7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Amount recorded in the consolidated balance sheet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81,311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81,304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paid $8.0 million in each of fiscal 2018 and 2017 of accrued interest to the selling shareholders.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121" w:right="319" w:bottom="1440" w:gutter="0" w:footer="0" w:header="0"/>
        </w:sectPr>
      </w:pPr>
    </w:p>
    <w:bookmarkStart w:id="86" w:name="page87"/>
    <w:bookmarkEnd w:id="86"/>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March 31, 2017</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1,094,275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1,153,425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395,000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398,000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(ABR)</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Revolving credit facility (LIBOR)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(18,101)</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1,818,579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1,663,324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(63,100)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(193,150)</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1,755,479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1,470,174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Loans and Revolving Credit Facility</w:t>
      </w:r>
    </w:p>
    <w:p>
      <w:pPr>
        <w:spacing w:after="0" w:line="117"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On March 7, 2018, Booz Allen Hamilton Inc. and Booz Allen Hamilton Investor Corporation ("Investor"), and certain wholly-owned subsidiaries of Booz Allen Hamilton, entered into the Fifth Amendment (the "Fifth Amendment")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Credit Agreement, dated as of August 16, 2013, the Second Amendment to Credit Agreement, date as of May 7, 2014, the Third Amendment to the Credit Agreement, dated as of July 13, 2016 and the Fourth Amendment to the Credit Agreement, dated as of February 6, 2017). Pursuant to the Fifth Amendment, the Company reduced the interest rate spread applicable to Term Loan B ("Term Loan B" and, together with Term Loan A, the "Term Loans") from 2.25% to 2.00%. The interest rate applicable to the Term Loan A ("Term Loan A") remained unchanged.</w:t>
      </w:r>
    </w:p>
    <w:p>
      <w:pPr>
        <w:spacing w:after="0" w:line="71"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Prior to the Fifth Amendment, $395 million was outstanding under Term Loan B. Pursuant to the Fifth Amendment, certain lenders converted their existing Term Loan B loans into a new tranche of Term Loan B loans in an aggregate amount, along with Term Loan B loans advanced by certain new lenders, of approximately $395 million. The proceeds from the new lenders were used to prepay in full all of the existing Term B Loans that were not converted into the new Term Loan B tranche.</w:t>
      </w:r>
    </w:p>
    <w:p>
      <w:pPr>
        <w:spacing w:after="0" w:line="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of March 31, 2018, the Credit Agreement, as amended, provided the Company with a 1,094.3 million Term Loan A and a $395 million Term Loan B and a $500.0 million revolving credit facility (the “Revolving Credit Facility”) with a sub-limit for letters of credit of $100.0 million. As of March 31, 2018,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$400.0 million plus (ii) the aggregate principal amount under which pro forma consolidated net secured leverage remains less than or equal to 3.5:1.00.</w:t>
      </w:r>
    </w:p>
    <w:p>
      <w:pPr>
        <w:spacing w:after="0" w:line="7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At Booz Allen Hamilton’s option, borrowings under Term Loan A and the Revolving Credit Facility bear interest based either at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1.50% to 2.25% for LIBOR loans and 0.50% to 1.25% for base rate loans, in each case based on Booz Allen Hamilton’s consolidated total net leverage ratio. The applicable margin for Term Loan B is 2.00% for LIBOR and 1.00% for base rate loans. Unused commitments under the Revolving Credit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1" w:right="259" w:bottom="1440" w:gutter="0" w:footer="0" w:header="0"/>
        </w:sectPr>
      </w:pPr>
    </w:p>
    <w:bookmarkStart w:id="87" w:name="page88"/>
    <w:bookmarkEnd w:id="8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Facility are subject to a quarterly fee ranging from 0.30% to 0.40% based on Booz Allen Hamilton’s consolidated total net leverage ratio.</w:t>
      </w:r>
    </w:p>
    <w:p>
      <w:pPr>
        <w:spacing w:after="0" w:line="11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Under the Fifth Amendment, the rate at which Term Loan B bears interest is based either on LIBOR (adjusted for maximum reserves and subject to a floor of zero plus 2.00% for the applicable interest period) or a base rate (equal to the highest of (x) the corporate base rate established by the administrative agent, (y) the overnight federal funds rate plus 0.50%, (z) three-month LIBOR (adjusted for maximum reserves) plus 1.00%, plus, in each case, 1.25%, payable at the end of the applicable interest period; provided, that if such rate shall be less than zero, such rate shall be deemed to be zero.</w:t>
      </w:r>
    </w:p>
    <w:p>
      <w:pPr>
        <w:spacing w:after="0" w:line="4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fiscal 2018 and 2017, Booz Allen Hamilton accessed a total of $125.0 million and $575.0 million, respectively, of its $500.0 million Revolving Credit Facility. As of March 31, 2018, there was no outstanding balance on the Revolving Credit Facility. As of March 31, 2017, there was $130.0 million outstanding on the Revolving Credit Facility.</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400" w:firstLine="8"/>
        <w:spacing w:after="0" w:line="281"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w:t>
      </w:r>
    </w:p>
    <w:p>
      <w:pPr>
        <w:spacing w:after="0" w:line="1" w:lineRule="exact"/>
        <w:rPr>
          <w:rFonts w:ascii="Arial" w:cs="Arial" w:eastAsia="Arial" w:hAnsi="Arial"/>
          <w:sz w:val="16"/>
          <w:szCs w:val="16"/>
          <w:color w:val="auto"/>
        </w:rPr>
      </w:pPr>
    </w:p>
    <w:p>
      <w:pPr>
        <w:ind w:right="500" w:firstLine="8"/>
        <w:spacing w:after="0" w:line="281" w:lineRule="auto"/>
        <w:tabs>
          <w:tab w:leader="none" w:pos="2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w:t>
      </w:r>
    </w:p>
    <w:p>
      <w:pPr>
        <w:spacing w:after="0" w:line="2" w:lineRule="exact"/>
        <w:rPr>
          <w:rFonts w:ascii="Arial" w:cs="Arial" w:eastAsia="Arial" w:hAnsi="Arial"/>
          <w:sz w:val="16"/>
          <w:szCs w:val="16"/>
          <w:color w:val="auto"/>
        </w:rPr>
      </w:pPr>
    </w:p>
    <w:p>
      <w:pPr>
        <w:ind w:right="200" w:firstLine="8"/>
        <w:spacing w:after="0" w:line="254"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March 31, 2018 and 2017, Booz Allen Hamilton was in compliance with all of these covenants.</w:t>
      </w:r>
    </w:p>
    <w:p>
      <w:pPr>
        <w:spacing w:after="0" w:line="8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During fiscal 2018, interest payments of $38.1 million and $14.9 million were made for Term Loan A and Term Loan B, respectively. During fiscal 2017, interest payments of $28.8 million and $19.5 million were made for Term Loan A and Term Loan B,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25, 2017, Booz Allen Hamilton issued $350.0 million aggregate principal amount of its 5.125% Senior Notes, or the Senior Notes, under an Indenture, dated as of April 25, 2017, among Booz Allen Hamilton, certain subsidiaries of Booz Allen Hamilton, as guarantors, or the Subsidiary Guarantors, and Wilmington Trust, National Association, as trustee, or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fiscal 2018, interest payments of $9.3 million were made for the Senior Notes. There were no similar payments made or required in fiscal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88" w:name="page89"/>
    <w:bookmarkEnd w:id="88"/>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required future debt principal repayments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Payments Due By March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$1,094,275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$59,150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89"/>
              </w:rPr>
              <w:t>$59,150</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9"/>
              </w:rPr>
              <w:t>$59,150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54"/>
              <w:spacing w:after="0"/>
              <w:rPr>
                <w:sz w:val="20"/>
                <w:szCs w:val="20"/>
                <w:color w:val="auto"/>
              </w:rPr>
            </w:pPr>
            <w:r>
              <w:rPr>
                <w:rFonts w:ascii="Arial" w:cs="Arial" w:eastAsia="Arial" w:hAnsi="Arial"/>
                <w:sz w:val="18"/>
                <w:szCs w:val="18"/>
                <w:color w:val="auto"/>
                <w:w w:val="87"/>
              </w:rPr>
              <w:t>$916,825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395,000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3,950</w:t>
            </w:r>
          </w:p>
        </w:tc>
        <w:tc>
          <w:tcPr>
            <w:tcW w:w="120" w:type="dxa"/>
            <w:vAlign w:val="bottom"/>
          </w:tcPr>
          <w:p>
            <w:pPr>
              <w:spacing w:after="0"/>
              <w:rPr>
                <w:sz w:val="21"/>
                <w:szCs w:val="21"/>
                <w:color w:val="auto"/>
              </w:rPr>
            </w:pPr>
          </w:p>
        </w:tc>
        <w:tc>
          <w:tcPr>
            <w:tcW w:w="880" w:type="dxa"/>
            <w:vAlign w:val="bottom"/>
          </w:tcPr>
          <w:p>
            <w:pPr>
              <w:jc w:val="center"/>
              <w:ind w:left="293"/>
              <w:spacing w:after="0"/>
              <w:rPr>
                <w:sz w:val="20"/>
                <w:szCs w:val="20"/>
                <w:color w:val="auto"/>
              </w:rPr>
            </w:pPr>
            <w:r>
              <w:rPr>
                <w:rFonts w:ascii="Arial" w:cs="Arial" w:eastAsia="Arial" w:hAnsi="Arial"/>
                <w:sz w:val="18"/>
                <w:szCs w:val="18"/>
                <w:color w:val="auto"/>
                <w:w w:val="93"/>
              </w:rPr>
              <w:t>3,950</w:t>
            </w:r>
          </w:p>
        </w:tc>
        <w:tc>
          <w:tcPr>
            <w:tcW w:w="140" w:type="dxa"/>
            <w:vAlign w:val="bottom"/>
          </w:tcPr>
          <w:p>
            <w:pPr>
              <w:spacing w:after="0"/>
              <w:rPr>
                <w:sz w:val="21"/>
                <w:szCs w:val="21"/>
                <w:color w:val="auto"/>
              </w:rPr>
            </w:pPr>
          </w:p>
        </w:tc>
        <w:tc>
          <w:tcPr>
            <w:tcW w:w="1480" w:type="dxa"/>
            <w:vAlign w:val="bottom"/>
            <w:gridSpan w:val="3"/>
          </w:tcPr>
          <w:p>
            <w:pPr>
              <w:jc w:val="center"/>
              <w:ind w:left="273"/>
              <w:spacing w:after="0"/>
              <w:rPr>
                <w:sz w:val="20"/>
                <w:szCs w:val="20"/>
                <w:color w:val="auto"/>
              </w:rPr>
            </w:pPr>
            <w:r>
              <w:rPr>
                <w:rFonts w:ascii="Arial" w:cs="Arial" w:eastAsia="Arial" w:hAnsi="Arial"/>
                <w:sz w:val="18"/>
                <w:szCs w:val="18"/>
                <w:color w:val="auto"/>
                <w:w w:val="88"/>
              </w:rPr>
              <w:t>3,950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center"/>
              <w:ind w:right="154"/>
              <w:spacing w:after="0"/>
              <w:rPr>
                <w:sz w:val="20"/>
                <w:szCs w:val="20"/>
                <w:color w:val="auto"/>
              </w:rPr>
            </w:pPr>
            <w:r>
              <w:rPr>
                <w:rFonts w:ascii="Arial" w:cs="Arial" w:eastAsia="Arial" w:hAnsi="Arial"/>
                <w:sz w:val="18"/>
                <w:szCs w:val="18"/>
                <w:color w:val="auto"/>
                <w:w w:val="93"/>
              </w:rPr>
              <w:t>3,950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3,950</w:t>
            </w:r>
          </w:p>
        </w:tc>
        <w:tc>
          <w:tcPr>
            <w:tcW w:w="1580" w:type="dxa"/>
            <w:vAlign w:val="bottom"/>
            <w:gridSpan w:val="4"/>
          </w:tcPr>
          <w:p>
            <w:pPr>
              <w:jc w:val="center"/>
              <w:ind w:left="272"/>
              <w:spacing w:after="0"/>
              <w:rPr>
                <w:sz w:val="20"/>
                <w:szCs w:val="20"/>
                <w:color w:val="auto"/>
              </w:rPr>
            </w:pPr>
            <w:r>
              <w:rPr>
                <w:rFonts w:ascii="Arial" w:cs="Arial" w:eastAsia="Arial" w:hAnsi="Arial"/>
                <w:sz w:val="18"/>
                <w:szCs w:val="18"/>
                <w:color w:val="auto"/>
                <w:w w:val="89"/>
              </w:rPr>
              <w:t>375,250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4"/>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89"/>
              </w:rPr>
              <w:t>350,000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$1,839,275</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$63,100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left="153"/>
              <w:spacing w:after="0"/>
              <w:rPr>
                <w:sz w:val="20"/>
                <w:szCs w:val="20"/>
                <w:color w:val="auto"/>
              </w:rPr>
            </w:pPr>
            <w:r>
              <w:rPr>
                <w:rFonts w:ascii="Arial" w:cs="Arial" w:eastAsia="Arial" w:hAnsi="Arial"/>
                <w:sz w:val="18"/>
                <w:szCs w:val="18"/>
                <w:color w:val="auto"/>
                <w:w w:val="89"/>
              </w:rPr>
              <w:t>$63,100</w:t>
            </w:r>
          </w:p>
        </w:tc>
        <w:tc>
          <w:tcPr>
            <w:tcW w:w="1480" w:type="dxa"/>
            <w:vAlign w:val="bottom"/>
            <w:tcBorders>
              <w:top w:val="single" w:sz="8" w:color="auto"/>
            </w:tcBorders>
            <w:gridSpan w:val="3"/>
          </w:tcPr>
          <w:p>
            <w:pPr>
              <w:jc w:val="center"/>
              <w:ind w:left="253"/>
              <w:spacing w:after="0"/>
              <w:rPr>
                <w:sz w:val="20"/>
                <w:szCs w:val="20"/>
                <w:color w:val="auto"/>
              </w:rPr>
            </w:pPr>
            <w:r>
              <w:rPr>
                <w:rFonts w:ascii="Arial" w:cs="Arial" w:eastAsia="Arial" w:hAnsi="Arial"/>
                <w:sz w:val="18"/>
                <w:szCs w:val="18"/>
                <w:color w:val="auto"/>
                <w:w w:val="89"/>
              </w:rPr>
              <w:t>$63,100</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154"/>
              <w:spacing w:after="0"/>
              <w:rPr>
                <w:sz w:val="20"/>
                <w:szCs w:val="20"/>
                <w:color w:val="auto"/>
              </w:rPr>
            </w:pPr>
            <w:r>
              <w:rPr>
                <w:rFonts w:ascii="Arial" w:cs="Arial" w:eastAsia="Arial" w:hAnsi="Arial"/>
                <w:sz w:val="18"/>
                <w:szCs w:val="18"/>
                <w:color w:val="auto"/>
                <w:w w:val="87"/>
              </w:rPr>
              <w:t>$920,775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$3,950</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$725,250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960" w:type="dxa"/>
            <w:vAlign w:val="bottom"/>
            <w:gridSpan w:val="7"/>
          </w:tcPr>
          <w:p>
            <w:pPr>
              <w:ind w:left="420"/>
              <w:spacing w:after="0"/>
              <w:rPr>
                <w:sz w:val="20"/>
                <w:szCs w:val="20"/>
                <w:color w:val="auto"/>
              </w:rPr>
            </w:pPr>
            <w:r>
              <w:rPr>
                <w:rFonts w:ascii="Arial" w:cs="Arial" w:eastAsia="Arial" w:hAnsi="Arial"/>
                <w:sz w:val="18"/>
                <w:szCs w:val="18"/>
                <w:color w:val="auto"/>
              </w:rPr>
              <w:t>Interest on debt and debt-like instruments consisted of the following: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473"/>
              <w:spacing w:after="0"/>
              <w:rPr>
                <w:sz w:val="20"/>
                <w:szCs w:val="20"/>
                <w:color w:val="auto"/>
              </w:rPr>
            </w:pPr>
            <w:r>
              <w:rPr>
                <w:rFonts w:ascii="Arial" w:cs="Arial" w:eastAsia="Arial" w:hAnsi="Arial"/>
                <w:sz w:val="14"/>
                <w:szCs w:val="14"/>
                <w:b w:val="1"/>
                <w:bCs w:val="1"/>
                <w:color w:val="auto"/>
                <w:w w:val="95"/>
              </w:rPr>
              <w:t>Fiscal Year Ended March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Term Loan A Interest Expense</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37,575</w:t>
            </w:r>
          </w:p>
        </w:tc>
        <w:tc>
          <w:tcPr>
            <w:tcW w:w="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28,646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21,790</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2"/>
              </w:rPr>
              <w:t>Term Loan B Interest Expense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8"/>
                <w:szCs w:val="18"/>
                <w:color w:val="auto"/>
              </w:rPr>
              <w:t>14,138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18,874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3"/>
          </w:tcPr>
          <w:p>
            <w:pPr>
              <w:jc w:val="right"/>
              <w:ind w:right="34"/>
              <w:spacing w:after="0"/>
              <w:rPr>
                <w:sz w:val="20"/>
                <w:szCs w:val="20"/>
                <w:color w:val="auto"/>
              </w:rPr>
            </w:pPr>
            <w:r>
              <w:rPr>
                <w:rFonts w:ascii="Arial" w:cs="Arial" w:eastAsia="Arial" w:hAnsi="Arial"/>
                <w:sz w:val="18"/>
                <w:szCs w:val="18"/>
                <w:color w:val="auto"/>
              </w:rPr>
              <w:t>32,070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on Revolving Credit Facility</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2"/>
              </w:rPr>
              <w:t>Senior Notes Interest Expense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8"/>
                <w:szCs w:val="18"/>
                <w:color w:val="auto"/>
              </w:rPr>
              <w:t>16,742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7,993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7,985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8,015</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gridSpan w:val="7"/>
          </w:tcPr>
          <w:p>
            <w:pPr>
              <w:ind w:left="20"/>
              <w:spacing w:after="0"/>
              <w:rPr>
                <w:sz w:val="20"/>
                <w:szCs w:val="20"/>
                <w:color w:val="auto"/>
              </w:rPr>
            </w:pPr>
            <w:r>
              <w:rPr>
                <w:rFonts w:ascii="Arial" w:cs="Arial" w:eastAsia="Arial" w:hAnsi="Arial"/>
                <w:sz w:val="18"/>
                <w:szCs w:val="18"/>
                <w:color w:val="auto"/>
                <w:w w:val="96"/>
              </w:rPr>
              <w:t>Amortization of Debt Issuance Costs (DIC) and Original Issue Discount (OID)</w:t>
            </w:r>
          </w:p>
        </w:tc>
        <w:tc>
          <w:tcPr>
            <w:tcW w:w="148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5,361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5,683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3"/>
            <w:vMerge w:val="restart"/>
          </w:tcPr>
          <w:p>
            <w:pPr>
              <w:jc w:val="right"/>
              <w:ind w:right="34"/>
              <w:spacing w:after="0"/>
              <w:rPr>
                <w:sz w:val="20"/>
                <w:szCs w:val="20"/>
                <w:color w:val="auto"/>
              </w:rPr>
            </w:pPr>
            <w:r>
              <w:rPr>
                <w:rFonts w:ascii="Arial" w:cs="Arial" w:eastAsia="Arial" w:hAnsi="Arial"/>
                <w:sz w:val="18"/>
                <w:szCs w:val="18"/>
                <w:color w:val="auto"/>
              </w:rPr>
              <w:t>8,359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2</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82,269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62,298</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70,815</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20" w:hanging="112"/>
        <w:spacing w:after="0"/>
        <w:tabs>
          <w:tab w:leader="none" w:pos="12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Interest payments on the deferred payment obligation are made twice a year in January and July. See Note 10 to our consolidated financial statements.</w:t>
      </w:r>
    </w:p>
    <w:p>
      <w:pPr>
        <w:spacing w:after="0" w:line="98" w:lineRule="exact"/>
        <w:rPr>
          <w:sz w:val="20"/>
          <w:szCs w:val="20"/>
          <w:color w:val="auto"/>
        </w:rPr>
      </w:pPr>
    </w:p>
    <w:p>
      <w:pPr>
        <w:ind w:right="220" w:firstLine="8"/>
        <w:spacing w:after="0" w:line="225" w:lineRule="auto"/>
        <w:tabs>
          <w:tab w:leader="none" w:pos="108"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DIC and OID on the Company's term loans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March 31, 2018. The swaps have staggered maturities, ranging from June 30, 2021 to June 30, 2022. These swaps mature within the last tranche of the Company's floating rate debt (June 30, 2023).</w:t>
      </w:r>
    </w:p>
    <w:p>
      <w:pPr>
        <w:spacing w:after="0" w:line="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Derivative instruments are recorded in the consolidated balance sheet on a gross basis at estimated fair value. As of March 31, 2018, $0.7 million and $7.2 million were classified as other current assets and other long-term assets, respectively, on the consolidated balance sheet. For interest rate swaps designated as cash flow hedges, the effective portion of changes in the fair value of derivatives is recorded in Accumulated Other Comprehensive Income, or AOCI, net of taxes, and is subsequently reclassified into interest expense in the period that the hedged forecasted interest payments are made on the Company's variable-rate debt. During fiscal 2018, a $7.9 million gain has been recognized in AOCI and there were no amounts reclassified into interest expense. The ineffective portion of the change in fair value of the derivatives is recognized directly in earnings. As of March 31, 2018, there was no ineffectiveness recognized in earnings.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121" w:right="259" w:bottom="1440" w:gutter="0" w:footer="0" w:header="0"/>
        </w:sectPr>
      </w:pPr>
    </w:p>
    <w:bookmarkStart w:id="89" w:name="page90"/>
    <w:bookmarkEnd w:id="89"/>
    <w:p>
      <w:pPr>
        <w:jc w:val="center"/>
        <w:ind w:left="540" w:right="18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Over the next 12 months, the Company estimates that $0.7 million will be reclassified as a decrease to interest expense. Cash flows associated with periodic settlements of interest rate swaps will be classified as operating activities in the consolidated statement of cash flows.</w:t>
      </w:r>
    </w:p>
    <w:p>
      <w:pPr>
        <w:spacing w:after="0" w:line="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240" w:top="121" w:right="539" w:bottom="1440" w:gutter="0" w:footer="0" w:header="0"/>
        </w:sectPr>
      </w:pPr>
    </w:p>
    <w:bookmarkStart w:id="90" w:name="page91"/>
    <w:bookmarkEnd w:id="9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On December 22, 2017, Public Law No. 115-97, commonly referred to as the 2017 Tax Act, was enacted into law. The 2017 Tax Act includes a number of changes to existing U.S. tax laws that impact the Company, most notably a reduction of the U.S. corporate income tax rate from 35% to 21% for tax years beginning after December 31, 2017. It also provides for a one-time transition tax on certain foreign earnings and the acceleration of depreciation for certain assets placed into service after September 27, 2017 as well as additional prospective changes beginning in 2018. Those include, but are not limited to: the implication of global intangible low-taxed income (GILTI) and foreign-derived intangible income (FDII), a repeal of the domestic manufacturing deduction, acceleration of tax revenue recognition, additional limitations on executive compensation and changes or limitations on certain tax deductions.</w:t>
      </w:r>
    </w:p>
    <w:p>
      <w:pPr>
        <w:spacing w:after="0" w:line="5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ASC 740 requires the Company to recognize the effect of the 2017 Tax Act in the first interim period including the date of enactment. The tax rate change was administratively effective at the beginning of the Company’s 2018 fiscal year utilizing a blended statutory federal rate for the annual period. As a result, the blended federal statutory tax rate for fiscal year 2018 is 31.5%. The lower federal corporate tax rate also required the Company to remeasure its U.S. deferred tax assets and liabilities as well as reassess the realizability of its deferred tax assets and liabilities. The Company recognized the income tax effects in its fiscal 2018 financial statements in accordance with SAB 118 as described in Note 2. At March 31, 2018, the Company has not completed its accounting for the tax effects of the 2017 Tax Act; however, as described below, the Company recorded a provisional amount for the estimated effects on its deferred tax balances.</w:t>
      </w:r>
    </w:p>
    <w:p>
      <w:pPr>
        <w:spacing w:after="0" w:line="8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The Company remeasured its deferred tax asset and liability balances as of the enactment date and at March 31, 2018 based upon the rates at which they are expected to reverse in the future, which is generally 21% for reversals after fiscal 2018 and a blended rate of 31.5% for reversals within fiscal 2018. The provisional amount recorded related to the re-measurement of the net deferred tax balances was a $9.1 million reduction to income tax expense in the fourth quarter of fiscal 2018. However, the Company is still analyzing certain aspects of the 2017 Tax Act and refining its deferred tax calculations, which may include the impact of interpretative guidance that may be issued by the IRS in the future. As such, the Company's accounting for the impact of the 2017 Tax Act is not yet complete primarily due to the following items: (1) acceleration of depreciation; and (2) limitation on the deductibility of certain executive compensation such as the effects of the adjustment to IRC 162(m). However, the Company was able to make reasonable estimates related to both of these and included these in its provisional amount. The Company continues to wait on additional guidance from the IRS as to the application of the transitional relief provided for under the 2017 Tax Act. As such, the Company will utilize the measurement period under SAB 118 to continue to monitor for any new developments or guidance related to the transitional relief. Upon the release of relevant and appropriate guidance, the Company will update its position accordingly and may make adjustments to its deferred tax assets and liabilities as necessary. These adjustments may result in an impairment or reversal of the assets or liabilities itself. In addition, as discussed in Note 2, a tax accounting method change was filed with the IRS on March 29, 2018 relating to how the Company recognizes revenue for income tax purposes in consideration of revenue changes stemming from ASC 606 and the 2017 Tax Act associated with unbilled receivables. If approved by the IRS, this will impact the deferred tax adjustment in the period it is approved, including the effects of the change in tax rate. The Company expects to finalize its assessment of all provisional amounts within the maximum one-year measurement period, provided for under SAB 118. These estimates are subject to further analysis and review which may result in further adjustments in fiscal 2019 as noted in Note 2.</w:t>
      </w:r>
    </w:p>
    <w:p>
      <w:pPr>
        <w:spacing w:after="0" w:line="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provision for income taxes and effective tax rate in fiscal 2018 included a $23.3 million favorable impact from the change in tax law. This impact is due primarily to the effects of the statutory federal rate provisions of the 2017 Tax Act and the provisional estimates for the re-measurement of the existing deferred tax asset and liability balances as described above. The other key provision that requires recognition in the period of enactment is the one-time transition tax resulting from the mandatory deemed repatriation of undistributed foreign-sourced earnings. As it relates to the Company's operations, there was no impact in fiscal 2018 from the mandatory deemed repatriation as there was no net undistributed foreign taxable income subject to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91" w:name="page92"/>
    <w:bookmarkEnd w:id="91"/>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expense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89,300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115,727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57,376</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20,480</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3,963</w:t>
            </w:r>
          </w:p>
        </w:tc>
      </w:tr>
      <w:tr>
        <w:trPr>
          <w:trHeight w:val="27"/>
        </w:trPr>
        <w:tc>
          <w:tcPr>
            <w:tcW w:w="5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119,388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81,819</w:t>
            </w:r>
          </w:p>
        </w:tc>
      </w:tr>
      <w:tr>
        <w:trPr>
          <w:trHeight w:val="223"/>
        </w:trPr>
        <w:tc>
          <w:tcPr>
            <w:tcW w:w="582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5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8,664</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3,549</w:t>
            </w:r>
          </w:p>
        </w:tc>
      </w:tr>
      <w:tr>
        <w:trPr>
          <w:trHeight w:val="27"/>
        </w:trPr>
        <w:tc>
          <w:tcPr>
            <w:tcW w:w="5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132,893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159,410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85,368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expense computed at U.S. federal statutory rate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138,181</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144,165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132,812</w:t>
            </w:r>
          </w:p>
        </w:tc>
      </w:tr>
      <w:tr>
        <w:trPr>
          <w:trHeight w:val="297"/>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(reductions) resulting from:</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Changes in uncertain tax positions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(56,428)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State and local income taxes, net of federal tax</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10,092</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Foreign income taxes, net of federal tax</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2,576</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Meals and entertainment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1,321</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Re-measurement of deferred taxes related to the Act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Federal tax credits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(4,286)</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7"/>
        </w:trPr>
        <w:tc>
          <w:tcPr>
            <w:tcW w:w="6060" w:type="dxa"/>
            <w:vAlign w:val="bottom"/>
          </w:tcPr>
          <w:p>
            <w:pPr>
              <w:ind w:left="1140"/>
              <w:spacing w:after="0"/>
              <w:rPr>
                <w:sz w:val="20"/>
                <w:szCs w:val="20"/>
                <w:color w:val="auto"/>
              </w:rPr>
            </w:pPr>
            <w:r>
              <w:rPr>
                <w:rFonts w:ascii="Arial" w:cs="Arial" w:eastAsia="Arial" w:hAnsi="Arial"/>
                <w:sz w:val="18"/>
                <w:szCs w:val="18"/>
                <w:color w:val="auto"/>
              </w:rPr>
              <w:t>Income tax expense from operations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132,893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159,410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85,368</w:t>
            </w: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3240" w:hanging="5532"/>
        <w:spacing w:after="0" w:line="559"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 federal statutory income tax rate for fiscal 2018 is a blended rate of 31.5% due to the 2017 Tax Act. F-25</w:t>
      </w:r>
    </w:p>
    <w:p>
      <w:pPr>
        <w:sectPr>
          <w:pgSz w:w="11900" w:h="16838" w:orient="portrait"/>
          <w:cols w:equalWidth="0" w:num="1">
            <w:col w:w="11400"/>
          </w:cols>
          <w:pgMar w:left="240" w:top="121" w:right="259" w:bottom="1440" w:gutter="0" w:footer="0" w:header="0"/>
        </w:sectPr>
      </w:pPr>
    </w:p>
    <w:bookmarkStart w:id="92" w:name="page93"/>
    <w:bookmarkEnd w:id="92"/>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components of the Company’s deferred income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53,322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85,459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15,326</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48,672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loss/Capital loss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rent and tenant allowance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20,931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25,167</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Extended disability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State tax credits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4,829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gross deferred income tax assets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165,144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235,853</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1460"/>
              <w:spacing w:after="0"/>
              <w:rPr>
                <w:sz w:val="20"/>
                <w:szCs w:val="20"/>
                <w:color w:val="auto"/>
              </w:rPr>
            </w:pPr>
            <w:r>
              <w:rPr>
                <w:rFonts w:ascii="Arial" w:cs="Arial" w:eastAsia="Arial" w:hAnsi="Arial"/>
                <w:sz w:val="18"/>
                <w:szCs w:val="18"/>
                <w:color w:val="auto"/>
              </w:rPr>
              <w:t>Total net deferred income tax assets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163,771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235,853</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Unbilled receivables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(105,498)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(141,357)</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(4,709)</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deferred income tax liabilities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(168,256)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(225,028)</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deferred income tax asset (liability)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March 31, 2018, the Company has available federal net operating loss and foreign net operating loss ("NOL carryforwards") of $2.6 million and $0.8 million, respectively, that may be applied against future taxable income. The net operating losses are primarily attributable to an acquisition and will begin to expire in fiscal 2037. A valuation allowance of $1.4 million related to net operating losses, has been recorded due to the uncertainty regarding the realization of the asset.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2018, 2017, and 2016, the Company has recorded $11.8 million, $11.6 million, and $1.5 million, respectively, of reserves for uncertain tax positions which includes potential tax benefits of $11.6 million, $1.4 million, and $1.4 million, respectively, that, when recognized, impact the effective tax rate.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121" w:right="299" w:bottom="1440" w:gutter="0" w:footer="0" w:header="0"/>
        </w:sectPr>
      </w:pPr>
    </w:p>
    <w:bookmarkStart w:id="93" w:name="page94"/>
    <w:bookmarkEnd w:id="9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the fiscal year ended March 31, 2016, the Company's reserves for uncertain tax positions decreased primarily as a result of expired statute of limitations for a prior tax year and management's conclusion that the uncertain tax positions related to the statute lapse were effectively settled. The Company released approximately $56.9 million of its pre-acquisition uncertain tax positions during fiscal 2016, including $3.2 million of net interest and penalties that were incurred by the Company subsequent to the acquisition. This resulted in a decrease in the Company's effective tax rate for fiscal 2016. As part of this settlement, an amount of $21.4 million, previously indemnified under the remaining available DPO was relieved. As of March 31, 2016, there were no estimated tax indemnified amounts recorded against the DPO.</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is as follows:</w:t>
      </w: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55,164</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Increases in prior year position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Increases in current year position</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(51,213)</w:t>
            </w:r>
          </w:p>
        </w:tc>
      </w:tr>
      <w:tr>
        <w:trPr>
          <w:trHeight w:val="237"/>
        </w:trPr>
        <w:tc>
          <w:tcPr>
            <w:tcW w:w="5300" w:type="dxa"/>
            <w:vAlign w:val="bottom"/>
          </w:tcPr>
          <w:p>
            <w:pPr>
              <w:ind w:left="700"/>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11,608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1,449</w:t>
            </w:r>
          </w:p>
        </w:tc>
      </w:tr>
      <w:tr>
        <w:trPr>
          <w:trHeight w:val="27"/>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recognized (released) accrued interest and penalties of $0.1 million, $(9) thousand and $(3.2) million for fiscal 2018, 2017, and 2016, respectively, related to the reserves for uncertain tax positions in the income tax provision. Included in the total reserve for uncertain tax positions are accrued penalties and interest of approximately $0.2 million, $0.1 million and $0.1 million at March 31, 2018, 2017, and 2016 respectively.</w:t>
      </w:r>
    </w:p>
    <w:p>
      <w:pPr>
        <w:spacing w:after="0" w:line="57"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As of March 31, 2018, the Company's tax years ended March 31, 2013 and forward are open and subject to examination by the federal tax authorities. The other jurisdictions currently open or under examination are not considered to be material.</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$11.5 million, net of associated tax benefits. The Company has taken similar tax positions with respect to subsequent fiscal years, totaling in aggregate $22.3 million. As of March 31, 2018, the Company does not maintain reserves for any uncertain tax positions related to the contested tax benefits and given the recoverable nature of the state tax expense it does not believe the resolution of these matters will have a material adverse effect on its results of operations, cash flows or financial condition.</w:t>
      </w:r>
    </w:p>
    <w:p>
      <w:pPr>
        <w:spacing w:after="0" w:line="200" w:lineRule="exact"/>
        <w:rPr>
          <w:sz w:val="20"/>
          <w:szCs w:val="20"/>
          <w:color w:val="auto"/>
        </w:rPr>
      </w:pPr>
    </w:p>
    <w:p>
      <w:pPr>
        <w:spacing w:after="0" w:line="386" w:lineRule="exact"/>
        <w:rPr>
          <w:sz w:val="20"/>
          <w:szCs w:val="20"/>
          <w:color w:val="auto"/>
        </w:rPr>
      </w:pPr>
    </w:p>
    <w:p>
      <w:pPr>
        <w:ind w:left="340" w:right="8640" w:hanging="332"/>
        <w:spacing w:after="0" w:line="378" w:lineRule="auto"/>
        <w:tabs>
          <w:tab w:leader="none" w:pos="286"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60" w:firstLine="405"/>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for fiscal 2018, 2017, and 2016 was $126.9 million, $116.6 million, and $108.7 million, respectively, and the Company-paid contributions were $123.9 million, $114.8 million, and $107.5 million, respectively.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w:t>
      </w:r>
    </w:p>
    <w:p>
      <w:pPr>
        <w:spacing w:after="0" w:line="7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cost.The components of net postretirement medical expense for the Officer Medical Plan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4,505</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3,536</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11,743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13,743</w:t>
            </w:r>
          </w:p>
        </w:tc>
      </w:tr>
      <w:tr>
        <w:trPr>
          <w:trHeight w:val="27"/>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discount rate used to determine the year-end benefit obligations was as follows:</w:t>
      </w:r>
    </w:p>
    <w:p>
      <w:pPr>
        <w:spacing w:after="0" w:line="23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Medical Plan</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Retired Officers’ Bonus Plan</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Retired Vice Presidents' Bonus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Assumed healthcare cost trend rates for the Officer Medical Plan at March 31,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Pre-65 initial rate</w:t>
            </w: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2024</w:t>
            </w:r>
          </w:p>
        </w:tc>
      </w:tr>
      <w:tr>
        <w:trPr>
          <w:trHeight w:val="399"/>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Post-65 initial rate</w:t>
            </w: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2024</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one-percentage-point change in assumed healthcare cost trend rates calculated as of March 31, 2018 would have the following effects: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1% Decrease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1440" w:type="dxa"/>
            <w:vAlign w:val="bottom"/>
            <w:tcBorders>
              <w:bottom w:val="single" w:sz="8" w:color="CCEEFF"/>
            </w:tcBorders>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21,514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(17,308)</w:t>
            </w:r>
          </w:p>
        </w:tc>
      </w:tr>
    </w:tbl>
    <w:p>
      <w:pPr>
        <w:spacing w:after="0" w:line="12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Total defined benefit plan expense, consisting of service, interest, and net actuarial gain associated with the Retired Officers' Bonus Plan was $0.7 million for fiscal 2018, 2017, and 2016. Benefits paid associated with the Retired Officers’ Bonus Plan were $1.5 million, $0.9 million, and $0.3 million for fiscal 2018, 2017, and 2016, respectively. The end-of-period benefit obligation of $3.8 million and $4.4 million as of March 31, 2018 and 2017, respectively, is included in postretirement obligations within other long-term liabilities in the accompanying consolidated balance sheets.</w:t>
      </w:r>
    </w:p>
    <w:p>
      <w:pPr>
        <w:spacing w:after="0" w:line="63"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Total defined benefit plan expense, consisting of service, interest, prior service cost, and net actuarial gain associated with the Retired Vice-President Bonus Plan was $0.2 million for fiscal 2018. There was no defined benefit plan expense associated with the Retired Vice-President Bonus Plan for fiscal 2017. There were no benefits paid associated with the Retired Vice-President Bonus Plan for fiscal 2018 and 2017, respectively. The end-of-period benefit obligation associated with the Retired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95" w:name="page96"/>
    <w:bookmarkEnd w:id="95"/>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Vice-President Bonus Plan was $0.9 million and $1.0 million as of March 31, 2018 and 2017, respectively, which are recorded as postretirement obligations within other long-term liabilities in the accompanying consolidated balance sheets.</w:t>
      </w:r>
    </w:p>
    <w:p>
      <w:pPr>
        <w:spacing w:after="0" w:line="6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Other comprehensive loss for fiscal 2018 includes unrecognized gross actuarial gain and prior service cost of $2.7 million, reduced by taxes of $1.0 million, that has not yet been recognized in net periodic pension cost for fiscal 2018 for the Retired Officers’ Bonus Plan, the Officer Medical Plan, and the Retired Vice-President Bonus Plan. Other comprehensive loss for fiscal 2017 includes unrecognized gross actuarial gain and prior service cost of $1.1 million, reduced by taxes of $0.4 million, that has not yet been recognized in net periodic pension cost for fiscal 2017 for the Retired Officers’ Bonus Plan, the Officer Medical Plan, and the Retired Vice-President Bonus Plan.</w:t>
      </w:r>
    </w:p>
    <w:p>
      <w:pPr>
        <w:spacing w:after="0" w:line="8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amounts in accumulated other comprehensive loss expected to be recognized as components of net periodic cost in fiscal 2019 are $2.1 million of net actuarial loss, $0.1 million of net prior service cost, and no net transition (asset) obligation.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the year</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118,089</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107,317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5,702</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Benefit obligation, end of the year</w:t>
            </w: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126,886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118,089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114,008</w:t>
            </w:r>
          </w:p>
        </w:tc>
      </w:tr>
      <w:tr>
        <w:trPr>
          <w:trHeight w:val="27"/>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87"/>
        </w:trPr>
        <w:tc>
          <w:tcPr>
            <w:tcW w:w="60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Fiscal Year Ended March 31,</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Changes in plan assets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 of the year</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Employer contributions</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3,020</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Fair value of plan assets, end of the year</w:t>
            </w: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of March 31, 2018 and 2017, the unfunded status of the Officer Medical Plan was $126.9 million and $118.1 million, respectively, which is included in other long-term liabilities in the accompanying consolidated balance sheets.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and the Retired Vice-President Bonus Plan are unfunded plans and contributions are made as benefits are paid. As of March 31, 2018 and 2017, there were no plan assets for either the Retired Officers’ Bonus Plan or the Retired Vice-President Bonus Plan and therefore, the accumulated liability of $4.7 million and $5.4 million, respectively, is unfunded. The liability will be distributed in a lump-sum payment as each officer or vice-president retires.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1" w:right="2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120" w:type="dxa"/>
            <w:vAlign w:val="bottom"/>
          </w:tcPr>
          <w:p>
            <w:pPr>
              <w:jc w:val="center"/>
              <w:ind w:left="1370"/>
              <w:spacing w:after="0"/>
              <w:rPr>
                <w:sz w:val="20"/>
                <w:szCs w:val="20"/>
                <w:color w:val="auto"/>
              </w:rPr>
            </w:pPr>
            <w:r>
              <w:rPr>
                <w:rFonts w:ascii="Arial" w:cs="Arial" w:eastAsia="Arial" w:hAnsi="Arial"/>
                <w:sz w:val="18"/>
                <w:szCs w:val="18"/>
                <w:b w:val="1"/>
                <w:bCs w:val="1"/>
                <w:color w:val="auto"/>
              </w:rPr>
              <w:t>BOOZ ALLEN HAMILTON HOLDING CORPORATION</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120" w:type="dxa"/>
            <w:vAlign w:val="bottom"/>
          </w:tcPr>
          <w:p>
            <w:pPr>
              <w:jc w:val="center"/>
              <w:ind w:left="1390"/>
              <w:spacing w:after="0"/>
              <w:rPr>
                <w:sz w:val="20"/>
                <w:szCs w:val="20"/>
                <w:color w:val="auto"/>
              </w:rPr>
            </w:pPr>
            <w:r>
              <w:rPr>
                <w:rFonts w:ascii="Arial" w:cs="Arial" w:eastAsia="Arial" w:hAnsi="Arial"/>
                <w:sz w:val="18"/>
                <w:szCs w:val="18"/>
                <w:b w:val="1"/>
                <w:bCs w:val="1"/>
                <w:color w:val="auto"/>
              </w:rPr>
              <w:t>NOTES TO CONSOLIDATED FINANCIAL STATEMENTS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120" w:type="dxa"/>
            <w:vAlign w:val="bottom"/>
          </w:tcPr>
          <w:p>
            <w:pPr>
              <w:jc w:val="center"/>
              <w:ind w:left="1370"/>
              <w:spacing w:after="0"/>
              <w:rPr>
                <w:sz w:val="20"/>
                <w:szCs w:val="20"/>
                <w:color w:val="auto"/>
              </w:rPr>
            </w:pPr>
            <w:r>
              <w:rPr>
                <w:rFonts w:ascii="Arial" w:cs="Arial" w:eastAsia="Arial" w:hAnsi="Arial"/>
                <w:sz w:val="18"/>
                <w:szCs w:val="18"/>
                <w:b w:val="1"/>
                <w:bCs w:val="1"/>
                <w:color w:val="auto"/>
                <w:w w:val="88"/>
              </w:rPr>
              <w:t>(Amounts in tables in thousands, except share and per share data or unless otherwise noted)</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67"/>
        </w:trPr>
        <w:tc>
          <w:tcPr>
            <w:tcW w:w="42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3"/>
        </w:trPr>
        <w:tc>
          <w:tcPr>
            <w:tcW w:w="954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9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3,585</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91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3,936</w:t>
            </w:r>
          </w:p>
        </w:tc>
      </w:tr>
      <w:tr>
        <w:trPr>
          <w:trHeight w:val="27"/>
        </w:trPr>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9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4,271</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2022</w:t>
            </w:r>
          </w:p>
        </w:tc>
        <w:tc>
          <w:tcPr>
            <w:tcW w:w="91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4,679</w:t>
            </w:r>
          </w:p>
        </w:tc>
      </w:tr>
      <w:tr>
        <w:trPr>
          <w:trHeight w:val="27"/>
        </w:trPr>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9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5,588</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2024</w:t>
            </w:r>
          </w:p>
        </w:tc>
        <w:tc>
          <w:tcPr>
            <w:tcW w:w="9120" w:type="dxa"/>
            <w:vAlign w:val="bottom"/>
          </w:tcPr>
          <w:p>
            <w:pPr>
              <w:ind w:left="20"/>
              <w:spacing w:after="0"/>
              <w:rPr>
                <w:sz w:val="20"/>
                <w:szCs w:val="20"/>
                <w:color w:val="auto"/>
              </w:rPr>
            </w:pPr>
            <w:r>
              <w:rPr>
                <w:rFonts w:ascii="Arial" w:cs="Arial" w:eastAsia="Arial" w:hAnsi="Arial"/>
                <w:sz w:val="18"/>
                <w:szCs w:val="18"/>
                <w:color w:val="auto"/>
              </w:rPr>
              <w:t>- 2028</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34,503</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$22.8 million and $22.5 million at March 31, 2018 and 2017, respectively, and are presented in other long-term liabilities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2018</w:t>
            </w:r>
          </w:p>
        </w:tc>
        <w:tc>
          <w:tcPr>
            <w:tcW w:w="104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Derivatives designated as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cash flow hedges</w:t>
            </w:r>
          </w:p>
        </w:tc>
        <w:tc>
          <w:tcPr>
            <w:tcW w:w="4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8"/>
              </w:rPr>
              <w:t>Totals</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4,993</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4,993</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Reclassification of AOCI due to the Act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5,849</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$2.9 million for the fiscal year ended March 31, 2018.</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to retained earnings from the adoption of ASU 2018-02 as discussed in Note 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2017</w:t>
            </w:r>
          </w:p>
        </w:tc>
        <w:tc>
          <w:tcPr>
            <w:tcW w:w="10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w w:val="88"/>
              </w:rPr>
              <w:t>Derivatives designated as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cash flow hedges</w:t>
            </w:r>
          </w:p>
        </w:tc>
        <w:tc>
          <w:tcPr>
            <w:tcW w:w="4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8"/>
              </w:rPr>
              <w:t>Totals</w:t>
            </w:r>
          </w:p>
        </w:tc>
      </w:tr>
      <w:tr>
        <w:trPr>
          <w:trHeight w:val="27"/>
        </w:trPr>
        <w:tc>
          <w:tcPr>
            <w:tcW w:w="5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7"/>
        </w:trPr>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Amounts reclassified from accumulated other comprehensive loss</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r>
      <w:tr>
        <w:trPr>
          <w:trHeight w:val="237"/>
        </w:trPr>
        <w:tc>
          <w:tcPr>
            <w:tcW w:w="524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1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w:t>
            </w:r>
          </w:p>
        </w:tc>
      </w:tr>
      <w:tr>
        <w:trPr>
          <w:trHeight w:val="27"/>
        </w:trPr>
        <w:tc>
          <w:tcPr>
            <w:tcW w:w="5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0"/>
        </w:trPr>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62"/>
        </w:trPr>
        <w:tc>
          <w:tcPr>
            <w:tcW w:w="5240" w:type="dxa"/>
            <w:vAlign w:val="bottom"/>
          </w:tcPr>
          <w:p>
            <w:pPr>
              <w:spacing w:after="0"/>
              <w:rPr>
                <w:sz w:val="24"/>
                <w:szCs w:val="24"/>
                <w:color w:val="auto"/>
              </w:rPr>
            </w:pPr>
          </w:p>
        </w:tc>
        <w:tc>
          <w:tcPr>
            <w:tcW w:w="1580" w:type="dxa"/>
            <w:vAlign w:val="bottom"/>
            <w:gridSpan w:val="2"/>
          </w:tcPr>
          <w:p>
            <w:pPr>
              <w:jc w:val="right"/>
              <w:ind w:right="850"/>
              <w:spacing w:after="0"/>
              <w:rPr>
                <w:sz w:val="20"/>
                <w:szCs w:val="20"/>
                <w:color w:val="auto"/>
              </w:rPr>
            </w:pPr>
            <w:r>
              <w:rPr>
                <w:rFonts w:ascii="Arial" w:cs="Arial" w:eastAsia="Arial" w:hAnsi="Arial"/>
                <w:sz w:val="18"/>
                <w:szCs w:val="18"/>
                <w:color w:val="auto"/>
              </w:rPr>
              <w:t>F-30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13"/>
          </w:tcPr>
          <w:p>
            <w:pPr>
              <w:ind w:left="780"/>
              <w:spacing w:after="0"/>
              <w:rPr>
                <w:sz w:val="20"/>
                <w:szCs w:val="20"/>
                <w:color w:val="auto"/>
              </w:rPr>
            </w:pPr>
            <w:r>
              <w:rPr>
                <w:rFonts w:ascii="Arial" w:cs="Arial" w:eastAsia="Arial" w:hAnsi="Arial"/>
                <w:sz w:val="18"/>
                <w:szCs w:val="18"/>
                <w:b w:val="1"/>
                <w:bCs w:val="1"/>
                <w:color w:val="auto"/>
                <w:w w:val="92"/>
              </w:rPr>
              <w:t>Fiscal Year Ended March 31, 2016</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940" w:type="dxa"/>
            <w:vAlign w:val="bottom"/>
            <w:gridSpan w:val="8"/>
          </w:tcPr>
          <w:p>
            <w:pPr>
              <w:jc w:val="right"/>
              <w:spacing w:after="0"/>
              <w:rPr>
                <w:sz w:val="20"/>
                <w:szCs w:val="20"/>
                <w:color w:val="auto"/>
              </w:rPr>
            </w:pPr>
            <w:r>
              <w:rPr>
                <w:rFonts w:ascii="Arial" w:cs="Arial" w:eastAsia="Arial" w:hAnsi="Arial"/>
                <w:sz w:val="18"/>
                <w:szCs w:val="18"/>
                <w:b w:val="1"/>
                <w:bCs w:val="1"/>
                <w:color w:val="auto"/>
                <w:w w:val="93"/>
              </w:rPr>
              <w:t>Derivatives designated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plans</w:t>
            </w:r>
          </w:p>
        </w:tc>
        <w:tc>
          <w:tcPr>
            <w:tcW w:w="180" w:type="dxa"/>
            <w:vAlign w:val="bottom"/>
          </w:tcPr>
          <w:p>
            <w:pPr>
              <w:spacing w:after="0"/>
              <w:rPr>
                <w:sz w:val="20"/>
                <w:szCs w:val="20"/>
                <w:color w:val="auto"/>
              </w:rPr>
            </w:pPr>
          </w:p>
        </w:tc>
        <w:tc>
          <w:tcPr>
            <w:tcW w:w="176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w w:val="87"/>
              </w:rPr>
              <w:t>as cash flow hedges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26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2,546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(19,613)</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gridSpan w:val="6"/>
          </w:tcPr>
          <w:p>
            <w:pPr>
              <w:ind w:left="80"/>
              <w:spacing w:after="0"/>
              <w:rPr>
                <w:sz w:val="20"/>
                <w:szCs w:val="20"/>
                <w:color w:val="auto"/>
              </w:rPr>
            </w:pPr>
            <w:r>
              <w:rPr>
                <w:rFonts w:ascii="Arial" w:cs="Arial" w:eastAsia="Arial" w:hAnsi="Arial"/>
                <w:sz w:val="18"/>
                <w:szCs w:val="18"/>
                <w:color w:val="auto"/>
                <w:w w:val="97"/>
              </w:rPr>
              <w:t>The following table presents the reclassifications out of accumulated other comprehensive loss to net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gridSpan w:val="2"/>
            <w:vMerge w:val="restart"/>
          </w:tcPr>
          <w:p>
            <w:pPr>
              <w:ind w:left="200"/>
              <w:spacing w:after="0"/>
              <w:rPr>
                <w:sz w:val="20"/>
                <w:szCs w:val="20"/>
                <w:color w:val="auto"/>
              </w:rPr>
            </w:pPr>
            <w:r>
              <w:rPr>
                <w:rFonts w:ascii="Arial" w:cs="Arial" w:eastAsia="Arial" w:hAnsi="Arial"/>
                <w:sz w:val="18"/>
                <w:szCs w:val="18"/>
                <w:color w:val="auto"/>
                <w:w w:val="96"/>
              </w:rPr>
              <w:t>Amortization of net actuarial loss included in net periodic benefit cost (See Note 14)</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50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16. OTHER LONG-TERM LIABILITIES</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Other long-term liabilities consisted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3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79,913</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131,526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123,492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29,382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28,946</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240,821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216,292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
        <w:spacing w:after="0" w:line="277"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Balances at March 31, 2018 and 2017 include the Company's long-term disability obligation of $22.8 million and $22.5 million, respectively, as well as contingent consideration of $3.6 million as discussed in Note 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Holders of Class A Common Stock and Class E Special Voting Common Stock are entitled to one vote for each share as a holder. The holders of the Voting Common Stock shall vote together as a single class.</w:t>
      </w:r>
    </w:p>
    <w:p>
      <w:pPr>
        <w:spacing w:after="0" w:line="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Class E Special Voting Common Stock represents the voting rights that accompany the Rollover Options. Rollover Options have a fixed vesting and exercise schedule to comply with IRS Section 409A. Upon exercise, the option will convert to Class A Common Stock, and the corresponding Class E Special Voting Common Stock will be repurchased by the Company and retired. 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80"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Each share of common stock, except for Class E Special Voting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authorized and unissued Class A Common Stock shares are available for future issuance upon share option exercises, without additional stockholder approval.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2018, 254,380 Class A Common Stock shares were purchased by employees under the ESPP. Since the program's inception, 2,189,287 shares have been purchased by employees.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On January 27, 2015, January 25, 2017, and November 2, 2017, the Board of Directors approved increases to the share repurchase authorization to $180.0 million, $410.0 million and $610.0 million, respectively. The share repurchase program may be suspended, modified or discontinued at any time at the Company’s discretion without prior notice. During fiscal 2018, the Company purchased 7.2 million shares of the Company’s Class A Common Stock in a series of open market transactions for $257.6 million. During fiscal 2017, the Company purchased 1.3 million shares of the Company’s Class A Common Stock in a series of open market transactions for $46.4 million. As of March 31, 2018, the Company had $197.9 million remaining under the repurchase program.</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103,411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80,015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31,802</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95,179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111,817</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represent recurring quarterly dividends that were declared and paid for during each quarter of fiscal 2018, 2017, and 2016.</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total payout of the dividend and the dividend equivalents have been presented as a financing activity within the consolidated statement of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17,991</w:t>
            </w:r>
          </w:p>
        </w:tc>
      </w:tr>
      <w:tr>
        <w:trPr>
          <w:trHeight w:val="27"/>
        </w:trPr>
        <w:tc>
          <w:tcPr>
            <w:tcW w:w="4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980" w:type="dxa"/>
            <w:vAlign w:val="bottom"/>
            <w:gridSpan w:val="2"/>
          </w:tcPr>
          <w:p>
            <w:pPr>
              <w:jc w:val="right"/>
              <w:ind w:right="1220"/>
              <w:spacing w:after="0"/>
              <w:rPr>
                <w:sz w:val="20"/>
                <w:szCs w:val="20"/>
                <w:color w:val="auto"/>
              </w:rPr>
            </w:pPr>
            <w:r>
              <w:rPr>
                <w:rFonts w:ascii="Arial" w:cs="Arial" w:eastAsia="Arial" w:hAnsi="Arial"/>
                <w:sz w:val="18"/>
                <w:szCs w:val="18"/>
                <w:color w:val="auto"/>
              </w:rPr>
              <w:t>F-32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21,290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As of March 31, 2018 and 2017, there was $17.3 million and $12.8 million, respectively, of total unrecognized compensation cost related to unvested stock-based compensation agreements. The unrecognized compensation cost as of March 31, 2018 is expected to be fully amortized over the next 4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60" w:type="dxa"/>
            <w:vAlign w:val="bottom"/>
            <w:gridSpan w:val="13"/>
          </w:tcPr>
          <w:p>
            <w:pPr>
              <w:ind w:left="200"/>
              <w:spacing w:after="0"/>
              <w:rPr>
                <w:sz w:val="20"/>
                <w:szCs w:val="20"/>
                <w:color w:val="auto"/>
              </w:rPr>
            </w:pPr>
            <w:r>
              <w:rPr>
                <w:rFonts w:ascii="Arial" w:cs="Arial" w:eastAsia="Arial" w:hAnsi="Arial"/>
                <w:sz w:val="18"/>
                <w:szCs w:val="18"/>
                <w:b w:val="1"/>
                <w:bCs w:val="1"/>
                <w:color w:val="auto"/>
              </w:rPr>
              <w:t>Unrecognized Compensation</w:t>
            </w:r>
          </w:p>
        </w:tc>
        <w:tc>
          <w:tcPr>
            <w:tcW w:w="2460" w:type="dxa"/>
            <w:vAlign w:val="bottom"/>
            <w:gridSpan w:val="8"/>
          </w:tcPr>
          <w:p>
            <w:pPr>
              <w:spacing w:after="0"/>
              <w:rPr>
                <w:sz w:val="20"/>
                <w:szCs w:val="20"/>
                <w:color w:val="auto"/>
              </w:rPr>
            </w:pPr>
            <w:r>
              <w:rPr>
                <w:rFonts w:ascii="Arial" w:cs="Arial" w:eastAsia="Arial" w:hAnsi="Arial"/>
                <w:sz w:val="18"/>
                <w:szCs w:val="18"/>
                <w:b w:val="1"/>
                <w:bCs w:val="1"/>
                <w:color w:val="auto"/>
                <w:w w:val="96"/>
              </w:rPr>
              <w:t>Weighted Average Remaining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Period to be Recognized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4"/>
          </w:tcPr>
          <w:p>
            <w:pPr>
              <w:ind w:left="2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3.60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1"/>
              </w:rPr>
              <w:t>2.84</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14,512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1.87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1.75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17,321</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15"/>
          </w:tcPr>
          <w:p>
            <w:pPr>
              <w:jc w:val="right"/>
              <w:ind w:right="450"/>
              <w:spacing w:after="0"/>
              <w:rPr>
                <w:sz w:val="20"/>
                <w:szCs w:val="20"/>
                <w:color w:val="auto"/>
              </w:rPr>
            </w:pPr>
            <w:r>
              <w:rPr>
                <w:rFonts w:ascii="Arial" w:cs="Arial" w:eastAsia="Arial" w:hAnsi="Arial"/>
                <w:sz w:val="18"/>
                <w:szCs w:val="18"/>
                <w:b w:val="1"/>
                <w:bCs w:val="1"/>
                <w:color w:val="auto"/>
                <w:w w:val="92"/>
              </w:rPr>
              <w:t>Total Unrecognized Compensation Cost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1,417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812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404</w:t>
            </w:r>
          </w:p>
        </w:tc>
        <w:tc>
          <w:tcPr>
            <w:tcW w:w="8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176</w:t>
            </w:r>
          </w:p>
        </w:tc>
        <w:tc>
          <w:tcPr>
            <w:tcW w:w="92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9,910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5,401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176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40" w:firstLine="243"/>
        <w:spacing w:after="0" w:line="279" w:lineRule="auto"/>
        <w:rPr>
          <w:sz w:val="20"/>
          <w:szCs w:val="20"/>
          <w:color w:val="auto"/>
        </w:rPr>
      </w:pPr>
      <w:r>
        <w:rPr>
          <w:rFonts w:ascii="Arial" w:cs="Arial" w:eastAsia="Arial" w:hAnsi="Arial"/>
          <w:sz w:val="17"/>
          <w:szCs w:val="17"/>
          <w:color w:val="auto"/>
        </w:rPr>
        <w:t>The Company's Equity Incentive Plan, or EIP, was adopted in connection with the Merger Agreement for employees and directors of Holding. The EIP was amended and restated in 2010 in connection with the Company’s initial public offering, and was again amended and restated on May 22, 2014. Awards under the EIP may be made in the form of stock options; stock purchase rights; restricted stock; restricted stock units; performance shares; performance units; stock appreciation rights; dividend equivalents; deferred share units; dividend equivalents; and other stock-based awards.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Stock options under the EIP are granted at the discretion of the Board of Directors or its Compensation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 The Company calculates the pool of additional paid-in capital associated with excess tax benefits using the “simplified method.”</w:t>
      </w:r>
    </w:p>
    <w:p>
      <w:pPr>
        <w:spacing w:after="0" w:line="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May 17, 2017, 211,822 options were granted under the EIP. The estimated fair value of the per-option grant was $9.32, resulting in a total fair value of $2.0 million.</w:t>
      </w:r>
    </w:p>
    <w:p>
      <w:pPr>
        <w:spacing w:after="0" w:line="6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May 19, 2017, 158,283 options were granted under the EIP. The estimated fair value of the per-option grant was $9.48, resulting in a total fair value of $1.5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August 2, 2017, 5,631 options were granted under the EIP. The estimated fair value of the per-option grant was $8.88, resulting in a total fair value of $0.05 million.</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January 31, 2018, 17,274 options were granted under the EIP. The estimated fair value of the per-option grant was $8.68, resulting in a total fair value of $0.1 million.</w:t>
      </w:r>
    </w:p>
    <w:p>
      <w:pPr>
        <w:spacing w:after="0" w:line="6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aggregate grant date fair value of the EIP Options issued during fiscal 2018 and 2017, was $3.7 million and $0.4 million, respectively, and is being recorded as expense over the vesting period. The total fair value of EIP Options vested during fiscal 2018 and 2017 was $2.7 million and $11.8 million, respectively. The total intrinsic value of EIP options exercised during fiscal 2018 and 2017 was $36.7 million and $49.0 million, respectively. As of March 31, 2018 and 2017, there were 11,433,883 and 12,026,970 options, respectively, available for future grant under the EIP.</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Incentive Plans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For bonus periods prior to the 2018 fiscal year, if the Board of Directors elected to make a portion of the payments in equity, the value of the portion of the AIP award paid in equity was increased by 20%. Such equity awards vest over a three-year period subject to the employee’s continued service to the Company. The portion paid in the form of equity was recognized in the accompanying consolidated statements of operations based on grant date fair value over the vesting period of three years. The portion paid in cash was accrued ratably during the fiscal year in which the employees provide service and paid out during the first quarter of the subsequent fiscal year.</w:t>
      </w:r>
    </w:p>
    <w:p>
      <w:pPr>
        <w:spacing w:after="0" w:line="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During fiscal 2018, the Company implemented a new annual incentive program for officers.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the Company's common stock. Dividend equivalents are paid in respect of the service-based restricted stock units when dividends are paid on the Company's common stock. Performance-based awards vest at the end of a three-year period subject to certain specified financial performance criteria and the grantee's continued service through the period. These awards are settled for Company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fiscal 2018, the Board of Directors granted an aggregate of 786,350 Restricted Stock Units with service-based and performance-based vesting conditions to existing officers and vice presidents of the Company, as well as to newly promoted and hired partners and vice presidents. A portion of these awards were issued in conjunction with the Annual Incentive Plan, whereby a portion of the incentive payment was paid in the form of Restricted Stock Units. The awards issued to newly hired and promoted employees will vest over a three-year period subject to the employees' continued employment with the Company.</w:t>
      </w:r>
    </w:p>
    <w:p>
      <w:pPr>
        <w:spacing w:after="0" w:line="29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Board of Directors also granted 58,735 shares of Class A Restricted Common Stock to members of the Board of Directors during fiscal 2018. These awards generally vest over one year.</w:t>
      </w:r>
    </w:p>
    <w:p>
      <w:pPr>
        <w:spacing w:after="0" w:line="27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The aggregate fair value of all awards issued during fiscal 2018 was $29.3 million and was based on the grant date stock price, which ranged from $32.55 to $39.18. This amount will be recognized in the accompanying consolidated statements of operations over the applicable vesting period of the awards.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fair value of restricted stock shares vested during fiscal 2018 and 2017 was $26.7 million and $30.2 million, respectively.</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Company repurchased 140,534 shares on June 30, 2017 and 190,295 shares on March 31, 2018 and recorded them as treasury shares at a total cost of $11.9 million in fiscal 2018.</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During fiscal 2018, the Company’s Board of Directors authorized and declared three regular quarterly cash dividends of $0.17 per share and one quarterly cash dividend of $0.19 per share. Therefore, an annualized dividend yield between 1.89% and 2.00% was used in the Black-Scholes option-pricing model for all grants issued during the fiscal year. The Company plans to continue paying recurring dividends in the near term and assessing its excess cash resources to determine the best way to utilize its excess cash flow to meet its objectives. One way the Company may utilize excess cash includes the payment of special dividends. The Company does not anticipate or forecast the payment of special dividends and therefore does not include special dividends in the annual dividend yield that the company uses to calculate the fair value of stock options, as the Company does not pay these special dividends on a regular basis.</w:t>
      </w:r>
    </w:p>
    <w:p>
      <w:pPr>
        <w:spacing w:after="0" w:line="8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Implied volatility is calculated as of each grant date based on our historical volatility. Other than the expected life of the option, volatility is the most sensitive input to our option grants.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Fiscal Year Ended March 31,</w:t>
            </w: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2018</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1.9%</w:t>
            </w:r>
          </w:p>
        </w:tc>
        <w:tc>
          <w:tcPr>
            <w:tcW w:w="23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0"/>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0"/>
              </w:rPr>
              <w:t>1.83%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ind w:left="450"/>
              <w:spacing w:after="0"/>
              <w:rPr>
                <w:sz w:val="20"/>
                <w:szCs w:val="20"/>
                <w:color w:val="auto"/>
              </w:rPr>
            </w:pPr>
            <w:r>
              <w:rPr>
                <w:rFonts w:ascii="Arial" w:cs="Arial" w:eastAsia="Arial" w:hAnsi="Arial"/>
                <w:sz w:val="18"/>
                <w:szCs w:val="18"/>
                <w:color w:val="auto"/>
                <w:w w:val="88"/>
              </w:rPr>
              <w:t>33.04%</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29.65%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center"/>
              <w:ind w:right="410"/>
              <w:spacing w:after="0"/>
              <w:rPr>
                <w:sz w:val="20"/>
                <w:szCs w:val="20"/>
                <w:color w:val="auto"/>
              </w:rPr>
            </w:pPr>
            <w:r>
              <w:rPr>
                <w:rFonts w:ascii="Arial" w:cs="Arial" w:eastAsia="Arial" w:hAnsi="Arial"/>
                <w:sz w:val="18"/>
                <w:szCs w:val="18"/>
                <w:color w:val="auto"/>
                <w:w w:val="91"/>
              </w:rPr>
              <w:t>29.85%</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1.81%</w:t>
            </w:r>
          </w:p>
        </w:tc>
        <w:tc>
          <w:tcPr>
            <w:tcW w:w="23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0"/>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0"/>
              </w:rPr>
              <w:t>1.33%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60" w:type="dxa"/>
            <w:vAlign w:val="bottom"/>
          </w:tcPr>
          <w:p>
            <w:pPr>
              <w:jc w:val="center"/>
              <w:ind w:left="450"/>
              <w:spacing w:after="0"/>
              <w:rPr>
                <w:sz w:val="20"/>
                <w:szCs w:val="20"/>
                <w:color w:val="auto"/>
              </w:rPr>
            </w:pPr>
            <w:r>
              <w:rPr>
                <w:rFonts w:ascii="Arial" w:cs="Arial" w:eastAsia="Arial" w:hAnsi="Arial"/>
                <w:sz w:val="18"/>
                <w:szCs w:val="18"/>
                <w:color w:val="auto"/>
                <w:w w:val="85"/>
              </w:rPr>
              <w:t>5.00</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center"/>
              <w:ind w:right="410"/>
              <w:spacing w:after="0"/>
              <w:rPr>
                <w:sz w:val="20"/>
                <w:szCs w:val="20"/>
                <w:color w:val="auto"/>
              </w:rPr>
            </w:pPr>
            <w:r>
              <w:rPr>
                <w:rFonts w:ascii="Arial" w:cs="Arial" w:eastAsia="Arial" w:hAnsi="Arial"/>
                <w:sz w:val="18"/>
                <w:szCs w:val="18"/>
                <w:color w:val="auto"/>
                <w:w w:val="91"/>
              </w:rPr>
              <w:t>5.08</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1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3"/>
              </w:rPr>
              <w:t>$9.35</w:t>
            </w:r>
          </w:p>
        </w:tc>
        <w:tc>
          <w:tcPr>
            <w:tcW w:w="236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88"/>
              </w:rPr>
              <w:t>$7.16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88"/>
              </w:rPr>
              <w:t>$6.67</w:t>
            </w:r>
          </w:p>
        </w:tc>
      </w:tr>
      <w:tr>
        <w:trPr>
          <w:trHeight w:val="27"/>
        </w:trPr>
        <w:tc>
          <w:tcPr>
            <w:tcW w:w="60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Compensation Committee, acting as the Administrator of the EIP, has discretion in how to effect the required adjustment to keep option holders whole in the event of a distribution of dividends that trigger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The stock-based compensation liability includes all special dividends declared for which eligible EIP option holders have not yet received a distribution.</w:t>
      </w:r>
    </w:p>
    <w:p>
      <w:pPr>
        <w:spacing w:after="0" w:line="30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June 30, 2017, vested EIP option holders received a payment of $0.9 million related to the special dividends declared in fiscal years, 2014, and 2015. On March 31, 2018, vested EIP option holders received a payment of $0.06 million related to the special dividends declared in fiscal years 2014 and 2015. Payment of the dividend equivalents were accounted for as modifications resulting in incremental benefit to the option holders resulting in additional compensation expense. Total compensation expense recorded in conjunction with the payment of all dividend equivalents to holders of unvested EIP options for the fiscal year ended March 31, 2018 was $0.03 million.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02" w:name="page103"/>
    <w:bookmarkEnd w:id="102"/>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unvested restricted stock activity for the periods presented: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Unvested Restricted Stock Awards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2017</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1,277,508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25.71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845,085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34.70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1,007,214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26.46</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158,273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28.66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2018</w:t>
            </w:r>
          </w:p>
        </w:tc>
        <w:tc>
          <w:tcPr>
            <w:tcW w:w="14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957,106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32.36</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ind w:left="420"/>
              <w:spacing w:after="0"/>
              <w:rPr>
                <w:sz w:val="20"/>
                <w:szCs w:val="20"/>
                <w:color w:val="auto"/>
              </w:rPr>
            </w:pPr>
            <w:r>
              <w:rPr>
                <w:rFonts w:ascii="Arial" w:cs="Arial" w:eastAsia="Arial" w:hAnsi="Arial"/>
                <w:sz w:val="18"/>
                <w:szCs w:val="18"/>
                <w:color w:val="auto"/>
              </w:rPr>
              <w:t>The following table summarizes stock option activity for the periods presented:</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Options outstanding at March 31, 2017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3,824,237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393,010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108,369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1,261,089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2018</w:t>
            </w: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2,799,954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80" w:type="dxa"/>
            <w:vAlign w:val="bottom"/>
            <w:gridSpan w:val="3"/>
          </w:tcPr>
          <w:p>
            <w:pPr>
              <w:spacing w:after="0"/>
              <w:rPr>
                <w:sz w:val="20"/>
                <w:szCs w:val="20"/>
                <w:color w:val="auto"/>
              </w:rPr>
            </w:pPr>
            <w:r>
              <w:rPr>
                <w:rFonts w:ascii="Arial" w:cs="Arial" w:eastAsia="Arial" w:hAnsi="Arial"/>
                <w:sz w:val="18"/>
                <w:szCs w:val="18"/>
                <w:color w:val="auto"/>
                <w:w w:val="94"/>
              </w:rPr>
              <w:t>* Reflects exercise price adjustment of $6.36 per grant for the $6.50 dividend per share issued July 30, 2012.</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unvested stock options for the periods presented: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2017</w:t>
            </w:r>
          </w:p>
        </w:tc>
        <w:tc>
          <w:tcPr>
            <w:tcW w:w="1140" w:type="dxa"/>
            <w:vAlign w:val="bottom"/>
          </w:tcPr>
          <w:p>
            <w:pPr>
              <w:jc w:val="center"/>
              <w:ind w:left="290"/>
              <w:spacing w:after="0"/>
              <w:rPr>
                <w:sz w:val="20"/>
                <w:szCs w:val="20"/>
                <w:color w:val="auto"/>
              </w:rPr>
            </w:pPr>
            <w:r>
              <w:rPr>
                <w:rFonts w:ascii="Arial" w:cs="Arial" w:eastAsia="Arial" w:hAnsi="Arial"/>
                <w:sz w:val="18"/>
                <w:szCs w:val="18"/>
                <w:color w:val="auto"/>
                <w:w w:val="92"/>
              </w:rPr>
              <w:t>812,561</w:t>
            </w:r>
          </w:p>
        </w:tc>
        <w:tc>
          <w:tcPr>
            <w:tcW w:w="1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393,010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140" w:type="dxa"/>
            <w:vAlign w:val="bottom"/>
          </w:tcPr>
          <w:p>
            <w:pPr>
              <w:jc w:val="center"/>
              <w:ind w:left="290"/>
              <w:spacing w:after="0"/>
              <w:rPr>
                <w:sz w:val="20"/>
                <w:szCs w:val="20"/>
                <w:color w:val="auto"/>
              </w:rPr>
            </w:pPr>
            <w:r>
              <w:rPr>
                <w:rFonts w:ascii="Arial" w:cs="Arial" w:eastAsia="Arial" w:hAnsi="Arial"/>
                <w:sz w:val="18"/>
                <w:szCs w:val="18"/>
                <w:color w:val="auto"/>
                <w:w w:val="92"/>
              </w:rPr>
              <w:t>459,335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108,369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Unvested at March 31, 2018</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637,867</w:t>
            </w:r>
          </w:p>
        </w:tc>
        <w:tc>
          <w:tcPr>
            <w:tcW w:w="12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180" w:type="dxa"/>
            <w:vAlign w:val="bottom"/>
            <w:gridSpan w:val="3"/>
          </w:tcPr>
          <w:p>
            <w:pPr>
              <w:ind w:left="5540"/>
              <w:spacing w:after="0"/>
              <w:rPr>
                <w:sz w:val="20"/>
                <w:szCs w:val="20"/>
                <w:color w:val="auto"/>
              </w:rPr>
            </w:pPr>
            <w:r>
              <w:rPr>
                <w:rFonts w:ascii="Arial" w:cs="Arial" w:eastAsia="Arial" w:hAnsi="Arial"/>
                <w:sz w:val="18"/>
                <w:szCs w:val="18"/>
                <w:color w:val="auto"/>
              </w:rPr>
              <w:t>F-36</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103" w:name="page104"/>
    <w:bookmarkEnd w:id="10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options outstanding at March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1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8"/>
              </w:rPr>
              <w:t>Intrinsic Value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200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4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00" w:type="dxa"/>
            <w:vAlign w:val="bottom"/>
          </w:tcPr>
          <w:p>
            <w:pPr>
              <w:jc w:val="right"/>
              <w:ind w:right="276"/>
              <w:spacing w:after="0"/>
              <w:rPr>
                <w:sz w:val="20"/>
                <w:szCs w:val="20"/>
                <w:color w:val="auto"/>
              </w:rPr>
            </w:pPr>
            <w:r>
              <w:rPr>
                <w:rFonts w:ascii="Arial" w:cs="Arial" w:eastAsia="Arial" w:hAnsi="Arial"/>
                <w:sz w:val="18"/>
                <w:szCs w:val="18"/>
                <w:color w:val="auto"/>
              </w:rPr>
              <w:t>$4.28 - $39.18</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2,799,954</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$18.55</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4.99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56,477</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2,162,087</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$14.96</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80" w:type="dxa"/>
            <w:vAlign w:val="bottom"/>
          </w:tcPr>
          <w:p>
            <w:pPr>
              <w:jc w:val="right"/>
              <w:ind w:right="179"/>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Reflects exercise price adjustment of $6.36 per grant for the $6.50 dividend per share issued July 30,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51,870</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Money market funds (1)</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235,088</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286,958</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Long-term derivative instruments (3)</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7,225</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r>
      <w:tr>
        <w:trPr>
          <w:trHeight w:val="243"/>
        </w:trPr>
        <w:tc>
          <w:tcPr>
            <w:tcW w:w="4180" w:type="dxa"/>
            <w:vAlign w:val="bottom"/>
          </w:tcPr>
          <w:p>
            <w:pPr>
              <w:ind w:left="160"/>
              <w:spacing w:after="0"/>
              <w:rPr>
                <w:sz w:val="20"/>
                <w:szCs w:val="20"/>
                <w:color w:val="auto"/>
              </w:rPr>
            </w:pPr>
            <w:r>
              <w:rPr>
                <w:rFonts w:ascii="Arial" w:cs="Arial" w:eastAsia="Arial" w:hAnsi="Arial"/>
                <w:sz w:val="18"/>
                <w:szCs w:val="18"/>
                <w:color w:val="auto"/>
              </w:rPr>
              <w:t>Money market funds (1)</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157,592</w:t>
            </w:r>
          </w:p>
        </w:tc>
      </w:tr>
      <w:tr>
        <w:trPr>
          <w:trHeight w:val="27"/>
        </w:trPr>
        <w:tc>
          <w:tcPr>
            <w:tcW w:w="4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2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217,417</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liability (2)</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82"/>
        </w:trPr>
        <w:tc>
          <w:tcPr>
            <w:tcW w:w="4180" w:type="dxa"/>
            <w:vAlign w:val="bottom"/>
          </w:tcPr>
          <w:p>
            <w:pPr>
              <w:spacing w:after="0"/>
              <w:rPr>
                <w:sz w:val="24"/>
                <w:szCs w:val="24"/>
                <w:color w:val="auto"/>
              </w:rPr>
            </w:pPr>
          </w:p>
        </w:tc>
        <w:tc>
          <w:tcPr>
            <w:tcW w:w="2520" w:type="dxa"/>
            <w:vAlign w:val="bottom"/>
            <w:gridSpan w:val="2"/>
          </w:tcPr>
          <w:p>
            <w:pPr>
              <w:jc w:val="right"/>
              <w:ind w:right="750"/>
              <w:spacing w:after="0"/>
              <w:rPr>
                <w:sz w:val="20"/>
                <w:szCs w:val="20"/>
                <w:color w:val="auto"/>
              </w:rPr>
            </w:pPr>
            <w:r>
              <w:rPr>
                <w:rFonts w:ascii="Arial" w:cs="Arial" w:eastAsia="Arial" w:hAnsi="Arial"/>
                <w:sz w:val="18"/>
                <w:szCs w:val="18"/>
                <w:color w:val="auto"/>
              </w:rPr>
              <w:t>F-37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21"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6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156" w:lineRule="exact"/>
        <w:rPr>
          <w:rFonts w:ascii="Arial" w:cs="Arial" w:eastAsia="Arial" w:hAnsi="Arial"/>
          <w:sz w:val="19"/>
          <w:szCs w:val="19"/>
          <w:color w:val="auto"/>
        </w:rPr>
      </w:pPr>
    </w:p>
    <w:p>
      <w:pPr>
        <w:ind w:right="40" w:firstLine="8"/>
        <w:spacing w:after="0" w:line="312"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discussed in Note 4, the Company recognized a contingent consideration liability in connection with the acquisition of Aquilent. As of March 31, 2018 and 2017, the estimated fair value of the contingent consideration liability was $3.6 million and was valued using probability-weighted cash flows, which is based on the use of Level 3 fair value measurement inputs. The liability is recorded in other long-term liabilities in the consolidated balance sheet.</w:t>
      </w:r>
    </w:p>
    <w:p>
      <w:pPr>
        <w:spacing w:after="0" w:line="38" w:lineRule="exact"/>
        <w:rPr>
          <w:rFonts w:ascii="Arial" w:cs="Arial" w:eastAsia="Arial" w:hAnsi="Arial"/>
          <w:sz w:val="16"/>
          <w:szCs w:val="16"/>
          <w:color w:val="auto"/>
        </w:rPr>
      </w:pPr>
    </w:p>
    <w:p>
      <w:pPr>
        <w:ind w:right="20" w:firstLine="8"/>
        <w:spacing w:after="0" w:line="26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12 to our consolidated financial statements for further discussion on the Company’s derivative instruments designated as cash flow hedges.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fair value of the Company's debt instruments approximated its carrying value at March 31, 2018 and 2017.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Senior Notes is determined using quoted prices or other market information from recent trading activity in the high-yield bond market (Level 2 inputs).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RELATED-PARTY TRANSACTIONS</w:t>
      </w:r>
    </w:p>
    <w:p>
      <w:pPr>
        <w:spacing w:after="0" w:line="121"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out of five of the Booz Allen Foundation’s directors and consent rights regarding certain extraordinary corporate actions approved by the board of directors. The Company has made a binding and irrevocable pledge of $5.0 million to the Booz Allen Foundation and recorded the pledge obligation in other current liabilities on the consolidated balance sheet of the Company in March 2017. As of March 31, 2018, $1.7 million of the pledge has been paid to the Booz Allen Foundation and is classified within operating activities in the consolidated statement of cash flows.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 leases office space under noncancelable operating leases that expire at various dates through 2031. The terms for the facility leases generally provide for rental payments on a graduated scale, which are recognized on a straight-line basis over the terms of the leases, including reasonably assured renewal periods, from the time the Company controls the leased property. Sometimes lease payments include payments for insurance, maintenance, and property taxes. There are no purchase options on operating leases at terms favorable to market rents. Lease incentives are recorded as a deferred credit and recognized as a reduction to rent expense on a straight-line basis over the lease term. Rent expense was approximately $81.2 million, net of $0.6 million of sublease income, $81.6 million, net of $0.5 million of sublease income, and $88.5 million, net of $0.5 million of sublease income, for fiscal 2018, 2017, and 2016,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income for noncancelable sublease rentals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Lease</w:t>
            </w: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66,879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141,889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As of March 31, 2018 and 2017, the Company was contingently liable under open standby letters of credit and bank guarantees issued by our banks in favor of third parties that totaled $6.3 million and $8.6 million, respectively. These letters of credit and bank guarantees primarily support insurance and bid and performance obligations. At March 31, 2018 and 2017, approximately $1.4 million and $1.7 million, respectively, of these instruments reduce the available borrowings under the Revolving Credit Facility. The remainder is guaranteed under a separate $15.0 million facility established in fiscal 2015 of which $10.1 million and $3.1 million, respectively, was available to the Company at March 31, 2018 and 2017.</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For fiscal 2018, 2017, and 2016, approximately 97%, 97%, and 97%, respectively, of the Company’s revenue was generated from contracts where the end user was an agency or department of the U.S. government, including contracts where the Company performed in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such audit, inquiry, or investigation of which it is aware. Management believes it has recorded the appropriate provision for the estimated losses that may be experienced from any such reductions and/or penalties. As of March 31, 2018 and 2017, the Company has recorded a liability of approximately $168.6 million and $175.7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2018 and 2017, there were no material amounts accrued in the consolidated financial statements related to these proceedings.</w:t>
      </w:r>
    </w:p>
    <w:p>
      <w:pPr>
        <w:spacing w:after="0" w:line="57"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the putative class, alleges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 A lead plaintiff has not been appointed.</w:t>
      </w:r>
    </w:p>
    <w:p>
      <w:pPr>
        <w:spacing w:after="0" w:line="2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March 31, 2018, the aggregate alleged damages that will be sought in the remaining suit is unknown. As of March 31, 2018,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580" w:firstLine="392"/>
        <w:spacing w:after="0" w:line="277"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71"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BUSINESS SEGMENT INFORMATION</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2018 Quarters</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1,493,570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1,542,085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1,499,914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1,636,284</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139,464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126,486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118,087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136,048</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112,422</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79,540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70,913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69,773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84,885</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0.59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0.58</w:t>
            </w:r>
          </w:p>
        </w:tc>
      </w:tr>
      <w:tr>
        <w:trPr>
          <w:trHeight w:val="56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2017 Quarters</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Fourth</w:t>
            </w: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1,422,722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1,394,853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1,404,638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1,582,071</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129,301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117,661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108,124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129,161</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108,174</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67,817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62,830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55,590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66,253</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0.44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r>
      <w:tr>
        <w:trPr>
          <w:trHeight w:val="4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F-41</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320" w:hanging="258"/>
        <w:spacing w:after="0"/>
        <w:tabs>
          <w:tab w:leader="none" w:pos="3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left="280" w:hanging="272"/>
        <w:spacing w:after="0"/>
        <w:tabs>
          <w:tab w:leader="none" w:pos="2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Fiscal Year Ended March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3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Charges against allowance</w:t>
            </w:r>
          </w:p>
        </w:tc>
        <w:tc>
          <w:tcPr>
            <w:tcW w:w="2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324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Tax valuation allowance</w:t>
            </w:r>
          </w:p>
        </w:tc>
        <w:tc>
          <w:tcPr>
            <w:tcW w:w="2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Deductions and other adjustments</w:t>
            </w:r>
          </w:p>
        </w:tc>
        <w:tc>
          <w:tcPr>
            <w:tcW w:w="2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3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3240" w:type="dxa"/>
            <w:vAlign w:val="bottom"/>
            <w:gridSpan w:val="2"/>
          </w:tcPr>
          <w:p>
            <w:pPr>
              <w:jc w:val="right"/>
              <w:ind w:right="1500"/>
              <w:spacing w:after="0"/>
              <w:rPr>
                <w:sz w:val="20"/>
                <w:szCs w:val="20"/>
                <w:color w:val="auto"/>
              </w:rPr>
            </w:pPr>
            <w:r>
              <w:rPr>
                <w:rFonts w:ascii="Arial" w:cs="Arial" w:eastAsia="Arial" w:hAnsi="Arial"/>
                <w:sz w:val="18"/>
                <w:szCs w:val="18"/>
                <w:color w:val="auto"/>
              </w:rPr>
              <w:t>F-42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9" w:name="page110"/>
    <w:bookmarkEnd w:id="109"/>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repurchased and withheld to cover taxes</w:t>
      </w:r>
    </w:p>
    <w:p>
      <w:pPr>
        <w:spacing w:after="0" w:line="90"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Company paid $1.8 million and $7.3 million during the first quarter of fiscal 2019, respectively, for 46,300 shares repurchased and 190,295 shares withheld to cover taxes related to Restricted Stock vesting during the fourth quarter of fiscal 2018 that had not settled in cash by March 31,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Declared</w:t>
      </w:r>
    </w:p>
    <w:p>
      <w:pPr>
        <w:spacing w:after="0" w:line="9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May 29, 2018, the Company announced that its Board of Directors had declared a quarterly cash dividend of $0.19 per share. Payment of the dividend will be made on June 29, 2018 to stockholders of record at the close of business on June 14,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Authorization</w:t>
      </w:r>
    </w:p>
    <w:p>
      <w:pPr>
        <w:spacing w:after="0" w:line="13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May 24, 2018, the Board of Directors approved an increase to our share repurchase authorization from $610.0 million to up to $910.0 million. As of May 24, 2018, taking into effect the increase in the share repurchase authorization, the Company may repurchase up to approximately $493.7 million of additional shares of common stock under its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121" w:right="299" w:bottom="1440" w:gutter="0" w:footer="0" w:header="0"/>
        </w:sectPr>
      </w:pPr>
    </w:p>
    <w:bookmarkStart w:id="110" w:name="page111"/>
    <w:bookmarkEnd w:id="110"/>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consolidated financial statements for external purposes.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Our management conducted an assessment of the effectiveness of our internal control over financial reporting as of March 31, 2018. This assessment was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 framework)</w:t>
      </w:r>
      <w:r>
        <w:rPr>
          <w:rFonts w:ascii="Arial" w:cs="Arial" w:eastAsia="Arial" w:hAnsi="Arial"/>
          <w:sz w:val="18"/>
          <w:szCs w:val="18"/>
          <w:color w:val="auto"/>
        </w:rPr>
        <w:t>. Based on this assessment, management has concluded that, as of March 31, 2018,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3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688" w:right="31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Regarding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have audited Booz Allen Hamilton Holding Corporation’s internal control over financial reporting as of March 31, 2018, based on criteria established in Internal Control - Integrated Framework issued by the Committee of Sponsoring Organizations of the Treadway Commission (2013 framework) (the COSO criteria). In our opinion, Booz Allen Hamilton Holding Corporation maintained, in all material respects, effective internal control over financial reporting as of March 31, 2018 based on the COSO criteria.</w:t>
      </w:r>
    </w:p>
    <w:p>
      <w:pPr>
        <w:spacing w:after="0" w:line="1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Booz Allen Hamilton Holding Corporation as of March 31, 2018 and March 31, 2017 and the related consolidated statements of operations, comprehensive income, stockholders’ equity, and cash flows for each of the three years in the period ended March 31, 2018 and related notes, of Booz Allen Hamilton Holding Corporation and our report dated May 29, 2018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29, 2018</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904" w:right="279" w:bottom="1440" w:gutter="0" w:footer="0" w:header="0"/>
        </w:sectPr>
      </w:pPr>
    </w:p>
    <w:bookmarkStart w:id="112" w:name="page113"/>
    <w:bookmarkEnd w:id="112"/>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On May 23, 2018, the Company’s compensation committee approved for the 2019 fiscal year certain changes to the incentive compensation opportunities for Horacio D. Rozanski, the Company’s President and Chief Executive Officer. Effective for fiscal year 2019, Mr. Rozanski’s target annual cash bonus and target annual equity grant value will be increased to $1.125 million and $4.0 million, respectively. His base salary will remain the same.</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660" w:firstLine="432"/>
        <w:spacing w:after="0" w:line="308" w:lineRule="auto"/>
        <w:rPr>
          <w:sz w:val="20"/>
          <w:szCs w:val="20"/>
          <w:color w:val="auto"/>
        </w:rPr>
      </w:pPr>
      <w:r>
        <w:rPr>
          <w:rFonts w:ascii="Arial" w:cs="Arial" w:eastAsia="Arial" w:hAnsi="Arial"/>
          <w:sz w:val="17"/>
          <w:szCs w:val="17"/>
          <w:color w:val="auto"/>
        </w:rPr>
        <w:t>Information related to our directors is set forth under the caption “Election of Directors” of our Proxy Statement for our Annual Meeting of Stockholders scheduled for July 26, 2018 (the "2018 Proxy Statement"). Such information is incorporated herein by reference.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our Executive Officers is included in Part I of this Annual Report under the caption “Executive Officers of the Registrant.”</w:t>
      </w:r>
    </w:p>
    <w:p>
      <w:pPr>
        <w:spacing w:after="0" w:line="1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is set forth under the caption “Section 16(a) Beneficial Ownership Reporting Compliance” of our 2018 Proxy Statement. Such information is incorporated herein by reference.</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2018 Proxy Statement. Such information is incorporated herein by reference.</w:t>
      </w:r>
    </w:p>
    <w:p>
      <w:pPr>
        <w:spacing w:after="0" w:line="11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2018 Proxy Statement. Such information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2018 Proxy Statement. Such information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688" w:right="539" w:bottom="1440" w:gutter="0" w:footer="0" w:header="0"/>
        </w:sectPr>
      </w:pPr>
    </w:p>
    <w:bookmarkStart w:id="113" w:name="page114"/>
    <w:bookmarkEnd w:id="113"/>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3,731,116</w:t>
            </w:r>
          </w:p>
        </w:tc>
        <w:tc>
          <w:tcPr>
            <w:tcW w:w="1700" w:type="dxa"/>
            <w:vAlign w:val="bottom"/>
          </w:tcPr>
          <w:p>
            <w:pPr>
              <w:jc w:val="right"/>
              <w:ind w:right="105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11,433,883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10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3,731,116</w:t>
            </w:r>
          </w:p>
        </w:tc>
        <w:tc>
          <w:tcPr>
            <w:tcW w:w="1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4"/>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11,433,883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17145</wp:posOffset>
            </wp:positionV>
            <wp:extent cx="1938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17145</wp:posOffset>
            </wp:positionV>
            <wp:extent cx="951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3" w:lineRule="exact"/>
        <w:rPr>
          <w:sz w:val="20"/>
          <w:szCs w:val="20"/>
          <w:color w:val="auto"/>
        </w:rPr>
      </w:pPr>
    </w:p>
    <w:p>
      <w:pPr>
        <w:ind w:left="540" w:right="80" w:hanging="316"/>
        <w:spacing w:after="0" w:line="308"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Column (a) includes: 931,162 shares that have been granted as restricted stock units (RSUs) and 2,799,954 shares granted as options under our equity compensation plans. The weighted average price in column (b) does not take into account shares issued pursuant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-317500</wp:posOffset>
            </wp:positionV>
            <wp:extent cx="1938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-317500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Information relating to the security ownership of certain beneficial owners and management is included in our 2018 Proxy Statement under the caption “Security Ownership of Certain Beneficial Owners and Management” and is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2018 Proxy Statement. Such information is incorporated herein by reference.</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this item is set forth under the caption “Independent Registered Public Accounting Firm Fees” of our 2018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consolidated financial statements filed herewith are set forth in Item 8 of this Annual Report.</w:t>
      </w:r>
    </w:p>
    <w:p>
      <w:pPr>
        <w:spacing w:after="0" w:line="117" w:lineRule="exact"/>
        <w:rPr>
          <w:sz w:val="20"/>
          <w:szCs w:val="20"/>
          <w:color w:val="auto"/>
        </w:rPr>
      </w:pPr>
    </w:p>
    <w:p>
      <w:pPr>
        <w:ind w:left="1460" w:hanging="480"/>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460" w:right="80" w:firstLine="648"/>
        <w:spacing w:after="0" w:line="277" w:lineRule="auto"/>
        <w:rPr>
          <w:sz w:val="20"/>
          <w:szCs w:val="20"/>
          <w:color w:val="auto"/>
        </w:rPr>
      </w:pPr>
      <w:r>
        <w:rPr>
          <w:rFonts w:ascii="Arial" w:cs="Arial" w:eastAsia="Arial" w:hAnsi="Arial"/>
          <w:sz w:val="18"/>
          <w:szCs w:val="18"/>
          <w:color w:val="auto"/>
        </w:rPr>
        <w:t>Consolidated financial statement schedules have been omitted because either they are not applicable or the required information is included in the consolidated financial statements or the notes thereto.</w:t>
      </w:r>
    </w:p>
    <w:p>
      <w:pPr>
        <w:spacing w:after="0" w:line="62" w:lineRule="exact"/>
        <w:rPr>
          <w:sz w:val="20"/>
          <w:szCs w:val="20"/>
          <w:color w:val="auto"/>
        </w:rPr>
      </w:pPr>
    </w:p>
    <w:p>
      <w:pPr>
        <w:ind w:left="1460" w:hanging="480"/>
        <w:spacing w:after="0"/>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88"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20" w:type="dxa"/>
            <w:vAlign w:val="bottom"/>
            <w:gridSpan w:val="26"/>
          </w:tcPr>
          <w:p>
            <w:pPr>
              <w:ind w:left="2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94"/>
              </w:rPr>
              <w:t>Description</w:t>
            </w:r>
          </w:p>
        </w:tc>
        <w:tc>
          <w:tcPr>
            <w:tcW w:w="9720" w:type="dxa"/>
            <w:vAlign w:val="bottom"/>
            <w:gridSpan w:val="2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9720" w:type="dxa"/>
            <w:vAlign w:val="bottom"/>
            <w:gridSpan w:val="2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580" w:type="dxa"/>
            <w:vAlign w:val="bottom"/>
            <w:gridSpan w:val="3"/>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60" w:type="dxa"/>
            <w:vAlign w:val="bottom"/>
            <w:tcBorders>
              <w:bottom w:val="single" w:sz="8" w:color="0000FF"/>
            </w:tcBorders>
            <w:gridSpan w:val="30"/>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Agreement and Plan of Merger, dated as of May 15, 2008, by and among Booz Allen Hamilton Inc., Booz Allen Hamilton Holding Corporation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(formerly known as Explorer Holding Corporation), Booz Allen Hamilton Investor Corporation (formerly known as Explorer Investor</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w w:val="97"/>
              </w:rPr>
            </w:pPr>
            <w:hyperlink r:id="rId32">
              <w:r>
                <w:rPr>
                  <w:rFonts w:ascii="Arial" w:cs="Arial" w:eastAsia="Arial" w:hAnsi="Arial"/>
                  <w:sz w:val="18"/>
                  <w:szCs w:val="18"/>
                  <w:color w:val="0000FF"/>
                  <w:w w:val="97"/>
                </w:rPr>
                <w:t>Corporation), Explorer Merger Sub Corporation and Booz &amp; Company Inc. (Incorporated by reference to Exhibit 2.1 to the Company’s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Registration Statement on Form S-1 (File No. 333- 167645))</w:t>
              </w:r>
            </w:hyperlink>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40" w:type="dxa"/>
            <w:vAlign w:val="bottom"/>
            <w:tcBorders>
              <w:bottom w:val="single" w:sz="8" w:color="0000FF"/>
            </w:tcBorders>
            <w:gridSpan w:val="29"/>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Spin Off Agreement, dated as of May 15, 2008, by and among Booz Allen Hamilton Inc., Booz &amp; Company Holdings, LLC, Booz &amp; Company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Inc., Booz &amp; Company Intermediate I Inc. and Booz &amp; Company Intermediate II Inc. (Incorporated by reference to Exhibit 2.2 to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Company’s Registration Statement on Form S-1 (File No. 333-167645))</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1"/>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Amendment to the Agreement and Plan of Merger and the Spin Off Agreement, dated as of July 30, 2008, by and among Booz Allen Hamilton</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tcBorders>
              <w:bottom w:val="single" w:sz="8" w:color="0000FF"/>
            </w:tcBorders>
            <w:gridSpan w:val="31"/>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Inc., Booz Allen Hamilton Holding Corporation (formerly known as Explorer Holding Corporation), Booz Allen Hamilton Investor Corporation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(formerly known as Explorer Investor Corporation), Explorer Merger Sub Corporation, Booz &amp; Company Holdings, LLC, Booz &amp; Company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tcBorders>
              <w:top w:val="single" w:sz="8" w:color="0000FF"/>
            </w:tcBorders>
            <w:gridSpan w:val="24"/>
          </w:tcPr>
          <w:p>
            <w:pPr>
              <w:spacing w:after="0" w:line="196"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Inc., Booz &amp; Company Intermediate I Inc. and Booz &amp; Company Intermediate II Inc. (Incorporated by reference to Exhibit 2.3 to the</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Company’s Registration Statement on Form S-1 (File No. 333-167645))</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0" w:type="dxa"/>
            <w:vAlign w:val="bottom"/>
            <w:tcBorders>
              <w:bottom w:val="single" w:sz="8" w:color="0000FF"/>
            </w:tcBorders>
            <w:gridSpan w:val="25"/>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Third Amended and Restated Certificate of Incorporation of Booz Allen Hamilton Holding Corporation (Incorporated by reference to Exhibit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Quarterly Report for the period ended September 30, 2014 on Form 10-Q (File No. 001-34972))</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1"/>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Third Amended and Restated Bylaws of Booz Allen Hamilton Holding Corporation (Incorporated by reference to Exhibit 3.2 to the Company’s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Quarterly Report for the period ended December 31, 2017 on Form 10-Q (File No. 001-34972))</w:t>
              </w:r>
            </w:hyperlink>
          </w:p>
        </w:tc>
        <w:tc>
          <w:tcPr>
            <w:tcW w:w="3440" w:type="dxa"/>
            <w:vAlign w:val="bottom"/>
            <w:tcBorders>
              <w:top w:val="single" w:sz="8" w:color="0000FF"/>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1"/>
          </w:tcPr>
          <w:p>
            <w:pPr>
              <w:spacing w:after="0"/>
              <w:rPr>
                <w:rFonts w:ascii="Arial" w:cs="Arial" w:eastAsia="Arial" w:hAnsi="Arial"/>
                <w:sz w:val="18"/>
                <w:szCs w:val="18"/>
                <w:color w:val="0000FF"/>
                <w:w w:val="96"/>
              </w:rPr>
            </w:pPr>
            <w:hyperlink r:id="rId37">
              <w:r>
                <w:rPr>
                  <w:rFonts w:ascii="Arial" w:cs="Arial" w:eastAsia="Arial" w:hAnsi="Arial"/>
                  <w:sz w:val="18"/>
                  <w:szCs w:val="18"/>
                  <w:color w:val="0000FF"/>
                  <w:w w:val="96"/>
                </w:rPr>
                <w:t>Form of Stock Certificate (Incorporated by reference to Exhibit 4.5 to the Company’s Registration Statement on Form S-1 (File No. 333-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167645)</w:t>
              </w:r>
              <w:r>
                <w:rPr>
                  <w:rFonts w:ascii="Arial" w:cs="Arial" w:eastAsia="Arial" w:hAnsi="Arial"/>
                  <w:sz w:val="18"/>
                  <w:szCs w:val="18"/>
                  <w:u w:val="single" w:color="auto"/>
                  <w:color w:val="0000FF"/>
                  <w:w w:val="88"/>
                </w:rPr>
                <w:t>)</w:t>
              </w:r>
            </w:hyperlink>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1"/>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Indenture, dated April 25, 2017, among Booz Allen Hamilton Inc., the Subsidiary Guarantors party thereto and Wilmington Trust, National</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Association (Incorporated by reference to Exhibit 4.1 to the Company’s Current Report on Form 8-K filed on April 25, 2017 (File No. 001-</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8">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1"/>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First Supplemental Indenture, dated April 25, 2017, among Booz Allen Hamilton Inc., the Subsidiary Guarantors party thereto and Wilmington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Trust, National Association (Incorporated by reference to Exhibit 4.2 to the Company’s Current Report on Form 8-K filed on April 25, 2017</w:t>
              </w:r>
            </w:hyperlink>
          </w:p>
        </w:tc>
        <w:tc>
          <w:tcPr>
            <w:tcW w:w="200" w:type="dxa"/>
            <w:vAlign w:val="bottom"/>
            <w:tcBorders>
              <w:top w:val="single" w:sz="8" w:color="0000FF"/>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(File No. 001-34972))</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80" w:type="dxa"/>
            <w:vAlign w:val="bottom"/>
            <w:tcBorders>
              <w:bottom w:val="single" w:sz="8" w:color="0000FF"/>
            </w:tcBorders>
            <w:gridSpan w:val="27"/>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5.125% Senior Note due 2025 (Incorporated by reference to Exhibit 4.3 to the Company’s Current Report on Form 8-K filed on April</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25, 2017 (File No. 001-34972) (included in Exhibit 4.1 thereto))</w:t>
              </w:r>
            </w:hyperlink>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1"/>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Second Amended and Restated Equity Incentive Plan of Booz Allen Hamilton Holding Corporation (Incorporated by reference to Exhibit 10.2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to the Company’s Quarterly Report for the period ended September 30, 2014 on Form 10-Q (File No. 001-34972))</w:t>
              </w:r>
            </w:hyperlink>
          </w:p>
        </w:tc>
        <w:tc>
          <w:tcPr>
            <w:tcW w:w="2040" w:type="dxa"/>
            <w:vAlign w:val="bottom"/>
            <w:tcBorders>
              <w:top w:val="single" w:sz="8" w:color="0000FF"/>
            </w:tcBorders>
            <w:gridSpan w:val="13"/>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10.2†</w:t>
            </w:r>
          </w:p>
        </w:tc>
        <w:tc>
          <w:tcPr>
            <w:tcW w:w="10240" w:type="dxa"/>
            <w:vAlign w:val="bottom"/>
            <w:tcBorders>
              <w:bottom w:val="single" w:sz="8" w:color="0000FF"/>
            </w:tcBorders>
            <w:gridSpan w:val="26"/>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10.10 to the Company’s Registration Statement on Form S-1 (File No. 333-167645))</w:t>
              </w:r>
            </w:hyperlink>
          </w:p>
        </w:tc>
        <w:tc>
          <w:tcPr>
            <w:tcW w:w="37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10.3†</w:t>
            </w:r>
          </w:p>
        </w:tc>
        <w:tc>
          <w:tcPr>
            <w:tcW w:w="10240" w:type="dxa"/>
            <w:vAlign w:val="bottom"/>
            <w:tcBorders>
              <w:bottom w:val="single" w:sz="8" w:color="0000FF"/>
            </w:tcBorders>
            <w:gridSpan w:val="26"/>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Exhibit 10.11 to the Company’s Registration Statement on Form S-1 (File No. 333-167645))</w:t>
              </w:r>
            </w:hyperlink>
          </w:p>
        </w:tc>
        <w:tc>
          <w:tcPr>
            <w:tcW w:w="3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10.4†</w:t>
            </w:r>
          </w:p>
        </w:tc>
        <w:tc>
          <w:tcPr>
            <w:tcW w:w="10400" w:type="dxa"/>
            <w:vAlign w:val="bottom"/>
            <w:gridSpan w:val="31"/>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Subscription Agreement (Incorporated by reference to Exhibit 10.12 to the Company’s Registration Statement on Form S-1 (File No.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333-167645))</w:t>
              </w:r>
            </w:hyperlink>
          </w:p>
        </w:tc>
        <w:tc>
          <w:tcPr>
            <w:tcW w:w="600" w:type="dxa"/>
            <w:vAlign w:val="bottom"/>
            <w:tcBorders>
              <w:top w:val="single" w:sz="8" w:color="0000FF"/>
            </w:tcBorders>
          </w:tcPr>
          <w:p>
            <w:pPr>
              <w:spacing w:after="0"/>
              <w:rPr>
                <w:sz w:val="17"/>
                <w:szCs w:val="17"/>
                <w:color w:val="auto"/>
              </w:rPr>
            </w:pPr>
          </w:p>
        </w:tc>
        <w:tc>
          <w:tcPr>
            <w:tcW w:w="2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10.5†</w:t>
            </w:r>
          </w:p>
        </w:tc>
        <w:tc>
          <w:tcPr>
            <w:tcW w:w="10400" w:type="dxa"/>
            <w:vAlign w:val="bottom"/>
            <w:gridSpan w:val="31"/>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Amended and Restated Booz Allen Hamilton Holding Corporation Annual Incentive Plan (Incorporated by reference to Exhibit 10.10 to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Company’s Quarterly Report for the period ended September 30, 2014 on Form 10-Q (File No. 001-34972))</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10.6†</w:t>
            </w:r>
          </w:p>
        </w:tc>
        <w:tc>
          <w:tcPr>
            <w:tcW w:w="7780" w:type="dxa"/>
            <w:vAlign w:val="bottom"/>
            <w:tcBorders>
              <w:top w:val="single" w:sz="8" w:color="0000FF"/>
            </w:tcBorders>
            <w:gridSpan w:val="13"/>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Booz Allen Hamilton Holding Corporation Officers’ Retirement Plan*</w:t>
              </w:r>
            </w:hyperlink>
          </w:p>
        </w:tc>
        <w:tc>
          <w:tcPr>
            <w:tcW w:w="26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10.7†</w:t>
            </w:r>
          </w:p>
        </w:tc>
        <w:tc>
          <w:tcPr>
            <w:tcW w:w="43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Officer’s Comprehensive Medical and Dental Choice Plans*</w:t>
              </w:r>
            </w:hyperlink>
          </w:p>
        </w:tc>
        <w:tc>
          <w:tcPr>
            <w:tcW w:w="720" w:type="dxa"/>
            <w:vAlign w:val="bottom"/>
            <w:tcBorders>
              <w:top w:val="single" w:sz="8" w:color="0000FF"/>
            </w:tcBorders>
            <w:gridSpan w:val="2"/>
          </w:tcPr>
          <w:p>
            <w:pPr>
              <w:spacing w:after="0"/>
              <w:rPr>
                <w:sz w:val="24"/>
                <w:szCs w:val="24"/>
                <w:color w:val="auto"/>
              </w:rPr>
            </w:pPr>
          </w:p>
        </w:tc>
        <w:tc>
          <w:tcPr>
            <w:tcW w:w="53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1337" w:right="29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20"/>
          </w:cols>
          <w:pgMar w:left="280" w:top="1337" w:right="2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49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86">
              <w:r>
                <w:rPr>
                  <w:rFonts w:ascii="Arial" w:cs="Arial" w:eastAsia="Arial" w:hAnsi="Arial"/>
                  <w:sz w:val="18"/>
                  <w:szCs w:val="18"/>
                  <w:color w:val="0000FF"/>
                  <w:w w:val="91"/>
                </w:rPr>
                <w:t>Retired Officer’s Comprehensive Medical and Dental Choice Plans*</w:t>
              </w:r>
            </w:hyperlink>
          </w:p>
        </w:tc>
        <w:tc>
          <w:tcPr>
            <w:tcW w:w="54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Borders>
              <w:bottom w:val="single" w:sz="8" w:color="0000FF"/>
            </w:tcBorders>
            <w:gridSpan w:val="34"/>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Group Variable Universal Life Insurance (Incorporated by reference to Exhibit 10.14 to the Company’s Annual Report for the year ended March</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3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31, 2015 on Form 10-K (File No. 001-34972))</w:t>
              </w:r>
            </w:hyperlink>
          </w:p>
        </w:tc>
        <w:tc>
          <w:tcPr>
            <w:tcW w:w="70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gridSpan w:val="34"/>
          </w:tcPr>
          <w:p>
            <w:pPr>
              <w:spacing w:after="0"/>
              <w:rPr>
                <w:rFonts w:ascii="Arial" w:cs="Arial" w:eastAsia="Arial" w:hAnsi="Arial"/>
                <w:sz w:val="18"/>
                <w:szCs w:val="18"/>
                <w:color w:val="0000FF"/>
              </w:rPr>
            </w:pPr>
            <w:hyperlink w:anchor="page286">
              <w:r>
                <w:rPr>
                  <w:rFonts w:ascii="Arial" w:cs="Arial" w:eastAsia="Arial" w:hAnsi="Arial"/>
                  <w:sz w:val="18"/>
                  <w:szCs w:val="18"/>
                  <w:color w:val="0000FF"/>
                </w:rPr>
                <w:t>Group Personal Excess Liability Insurance*</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3160" w:type="dxa"/>
            <w:vAlign w:val="bottom"/>
            <w:tcBorders>
              <w:top w:val="single" w:sz="8" w:color="0000FF"/>
            </w:tcBorders>
            <w:gridSpan w:val="7"/>
          </w:tcPr>
          <w:p>
            <w:pPr>
              <w:spacing w:after="0"/>
              <w:rPr>
                <w:rFonts w:ascii="Arial" w:cs="Arial" w:eastAsia="Arial" w:hAnsi="Arial"/>
                <w:sz w:val="18"/>
                <w:szCs w:val="18"/>
                <w:color w:val="0000FF"/>
                <w:w w:val="92"/>
              </w:rPr>
            </w:pPr>
            <w:hyperlink w:anchor="page309">
              <w:r>
                <w:rPr>
                  <w:rFonts w:ascii="Arial" w:cs="Arial" w:eastAsia="Arial" w:hAnsi="Arial"/>
                  <w:sz w:val="18"/>
                  <w:szCs w:val="18"/>
                  <w:color w:val="0000FF"/>
                  <w:w w:val="92"/>
                </w:rPr>
                <w:t>Officer Annual Performance Bonus Policy*</w:t>
              </w:r>
            </w:hyperlink>
          </w:p>
        </w:tc>
        <w:tc>
          <w:tcPr>
            <w:tcW w:w="726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020" w:type="dxa"/>
            <w:vAlign w:val="bottom"/>
            <w:tcBorders>
              <w:bottom w:val="single" w:sz="8" w:color="0000FF"/>
            </w:tcBorders>
            <w:gridSpan w:val="18"/>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Form of Booz Allen Hamilton Holding Corporation Director and Officer Indemnification Agreement (Incorporated by reference to Exhibit</w:t>
              </w:r>
            </w:hyperlink>
          </w:p>
        </w:tc>
        <w:tc>
          <w:tcPr>
            <w:tcW w:w="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23</w:t>
              </w:r>
              <w:r>
                <w:rPr>
                  <w:rFonts w:ascii="Arial" w:cs="Arial" w:eastAsia="Arial" w:hAnsi="Arial"/>
                  <w:sz w:val="18"/>
                  <w:szCs w:val="18"/>
                  <w:color w:val="0000FF"/>
                </w:rPr>
                <w:t xml:space="preserve"> to the Company’s Registration Statement on Form S-1 (File No. 333-167645))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gridSpan w:val="34"/>
          </w:tcPr>
          <w:p>
            <w:pPr>
              <w:spacing w:after="0"/>
              <w:rPr>
                <w:rFonts w:ascii="Arial" w:cs="Arial" w:eastAsia="Arial" w:hAnsi="Arial"/>
                <w:sz w:val="18"/>
                <w:szCs w:val="18"/>
                <w:color w:val="0000FF"/>
                <w:w w:val="97"/>
              </w:rPr>
            </w:pPr>
            <w:hyperlink r:id="rId47">
              <w:r>
                <w:rPr>
                  <w:rFonts w:ascii="Arial" w:cs="Arial" w:eastAsia="Arial" w:hAnsi="Arial"/>
                  <w:sz w:val="18"/>
                  <w:szCs w:val="18"/>
                  <w:color w:val="0000FF"/>
                  <w:w w:val="97"/>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96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(Incorporated by reference to Exhibit 10.23 to the Company’s Annual Report for the year ended March 31, 2011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34972)</w:t>
              </w:r>
              <w:r>
                <w:rPr>
                  <w:rFonts w:ascii="Arial" w:cs="Arial" w:eastAsia="Arial" w:hAnsi="Arial"/>
                  <w:sz w:val="18"/>
                  <w:szCs w:val="18"/>
                  <w:u w:val="single" w:color="auto"/>
                  <w:color w:val="0000FF"/>
                  <w:w w:val="90"/>
                </w:rPr>
                <w:t>)</w:t>
              </w:r>
            </w:hyperlink>
          </w:p>
        </w:tc>
        <w:tc>
          <w:tcPr>
            <w:tcW w:w="3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gridSpan w:val="34"/>
          </w:tcPr>
          <w:p>
            <w:pPr>
              <w:spacing w:after="0"/>
              <w:rPr>
                <w:rFonts w:ascii="Arial" w:cs="Arial" w:eastAsia="Arial" w:hAnsi="Arial"/>
                <w:sz w:val="18"/>
                <w:szCs w:val="18"/>
                <w:color w:val="0000FF"/>
              </w:rPr>
            </w:pPr>
            <w:hyperlink w:anchor="page311">
              <w:r>
                <w:rPr>
                  <w:rFonts w:ascii="Arial" w:cs="Arial" w:eastAsia="Arial" w:hAnsi="Arial"/>
                  <w:sz w:val="18"/>
                  <w:szCs w:val="18"/>
                  <w:color w:val="0000FF"/>
                </w:rPr>
                <w:t>Officer Transition Policy*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gridSpan w:val="34"/>
          </w:tcPr>
          <w:p>
            <w:pPr>
              <w:spacing w:after="0"/>
              <w:rPr>
                <w:rFonts w:ascii="Arial" w:cs="Arial" w:eastAsia="Arial" w:hAnsi="Arial"/>
                <w:sz w:val="18"/>
                <w:szCs w:val="18"/>
                <w:color w:val="0000FF"/>
                <w:w w:val="97"/>
              </w:rPr>
            </w:pPr>
            <w:hyperlink r:id="rId48">
              <w:r>
                <w:rPr>
                  <w:rFonts w:ascii="Arial" w:cs="Arial" w:eastAsia="Arial" w:hAnsi="Arial"/>
                  <w:sz w:val="18"/>
                  <w:szCs w:val="18"/>
                  <w:color w:val="0000FF"/>
                  <w:w w:val="97"/>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96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(Incorporated by reference to Exhibit 10.25 to the Company’s Quarterly Report for the period ended December 31, 2011 on Form 10-Q (File No.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001-34972))</w:t>
              </w:r>
            </w:hyperlink>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tcBorders>
              <w:bottom w:val="single" w:sz="8" w:color="0000FF"/>
            </w:tcBorders>
            <w:gridSpan w:val="25"/>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Credit Agreement among Booz Allen Hamilton Inc., as the Borrower, the several lenders from time to time parties thereto, Bank of America,</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N.A., as Administrative Agent, Collateral Agent and Issuing Lender, Merrill Lynch, Pierce, Fenner &amp; Smith Incorporated and Credit Suisse</w:t>
              </w:r>
            </w:hyperlink>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Securities (USA) LLC, as Joint Lead Arrangers, Merrill Lynch, Pierce, Fenner &amp; Smith Incorporated, Credit Suisse Securities (USA)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96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Barclays Bank PLC, Citigroup Global Markets Inc., HSBC Securities (USA) Inc., J.P. Morgan Securities LLC, Morgan Stanley Senior Funding,</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80" w:type="dxa"/>
            <w:vAlign w:val="bottom"/>
            <w:tcBorders>
              <w:top w:val="single" w:sz="8" w:color="0000FF"/>
            </w:tcBorders>
            <w:gridSpan w:val="32"/>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Inc. and Sumimoto Mitsui Banking Corporation, as Joint Bookrunners, Credit Suisse Securities (USA) LLC, as Syndication Agent, Barclays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Bank PLC, Citigroup Global Markets Inc., HSBC Securities (USA) Inc., J.P. Morgan Securities LLC, Morgan Stanley Senior Funding, Inc.,</w:t>
              </w:r>
            </w:hyperlink>
          </w:p>
        </w:tc>
        <w:tc>
          <w:tcPr>
            <w:tcW w:w="40" w:type="dxa"/>
            <w:vAlign w:val="bottom"/>
            <w:tcBorders>
              <w:top w:val="single" w:sz="8" w:color="0000FF"/>
            </w:tcBorders>
            <w:gridSpan w:val="2"/>
          </w:tcPr>
          <w:p>
            <w:pPr>
              <w:spacing w:after="0"/>
              <w:rPr>
                <w:sz w:val="17"/>
                <w:szCs w:val="17"/>
                <w:color w:val="auto"/>
              </w:rPr>
            </w:pPr>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Sumimoto Mitsui Banking Corporation and The Bank of Tokyo-Mitsubishi UFJ, Ltd., as Co-Documentation Agents, dated as of July 31, 2012</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(Incorporated by reference to Exhibit 10.1 to the Company’s Current Report on Form 8-K filed on August 1, 2012 (File No. 001-34972))</w:t>
              </w:r>
            </w:hyperlink>
          </w:p>
        </w:tc>
        <w:tc>
          <w:tcPr>
            <w:tcW w:w="380" w:type="dxa"/>
            <w:vAlign w:val="bottom"/>
            <w:tcBorders>
              <w:top w:val="single" w:sz="8" w:color="0000FF"/>
            </w:tcBorders>
            <w:gridSpan w:val="12"/>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300" w:type="dxa"/>
            <w:vAlign w:val="bottom"/>
            <w:tcBorders>
              <w:bottom w:val="single" w:sz="8" w:color="0000FF"/>
            </w:tcBorders>
            <w:gridSpan w:val="29"/>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Guarantee and Collateral Agreement, among Booz Allen Hamilton Investor Corporation, Booz Allen Hamilton Inc., ASE, Inc. and Booz Allen</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0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Hamilton International, Inc., in favor of Bank of America, N.A., as Collateral Agent, dated as of July 31, 2012 (Incorporated by reference to</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Exhibit 10.2 to the Company’s Current Report on Form 8-K filed on August 1, 2012 (File No. 001-34972))</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0020" w:type="dxa"/>
            <w:vAlign w:val="bottom"/>
            <w:gridSpan w:val="18"/>
            <w:vMerge w:val="restart"/>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First Amendment to Credit Agreement, dated as of August 16, 2013, among Booz Allen Hamilton Inc., as Borrower, Booz Allen Hamilton</w:t>
              </w:r>
            </w:hyperlink>
          </w:p>
        </w:tc>
        <w:tc>
          <w:tcPr>
            <w:tcW w:w="40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20" w:type="dxa"/>
            <w:vAlign w:val="bottom"/>
          </w:tcPr>
          <w:p>
            <w:pPr>
              <w:spacing w:after="0"/>
              <w:rPr>
                <w:sz w:val="3"/>
                <w:szCs w:val="3"/>
                <w:color w:val="auto"/>
              </w:rPr>
            </w:pPr>
          </w:p>
        </w:tc>
        <w:tc>
          <w:tcPr>
            <w:tcW w:w="10020" w:type="dxa"/>
            <w:vAlign w:val="bottom"/>
            <w:tcBorders>
              <w:bottom w:val="single" w:sz="8" w:color="0000FF"/>
            </w:tcBorders>
            <w:gridSpan w:val="18"/>
            <w:vMerge w:val="continue"/>
          </w:tcPr>
          <w:p>
            <w:pPr>
              <w:spacing w:after="0"/>
              <w:rPr>
                <w:sz w:val="3"/>
                <w:szCs w:val="3"/>
                <w:color w:val="auto"/>
              </w:rPr>
            </w:pPr>
          </w:p>
        </w:tc>
        <w:tc>
          <w:tcPr>
            <w:tcW w:w="40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8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Corporation, and Booz Allen Hamilton International, Inc., as Guarantors,, Bank of America, N.A., as Administrative Agent, Collateral Agent</w:t>
              </w:r>
            </w:hyperlink>
          </w:p>
        </w:tc>
        <w:tc>
          <w:tcPr>
            <w:tcW w:w="160" w:type="dxa"/>
            <w:vAlign w:val="bottom"/>
            <w:tcBorders>
              <w:top w:val="single" w:sz="8" w:color="0000FF"/>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and New Refinancing Tranche B Term Lender, and the other Lenders and financial institutions from time to time party thereto.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reference to Exhibit 10.1 to the Company’s Current Report on Form 8-K filed on August 20, 2013 (File No. 001-34972))</w:t>
              </w:r>
            </w:hyperlink>
          </w:p>
        </w:tc>
        <w:tc>
          <w:tcPr>
            <w:tcW w:w="1660" w:type="dxa"/>
            <w:vAlign w:val="bottom"/>
            <w:tcBorders>
              <w:top w:val="single" w:sz="8" w:color="0000FF"/>
            </w:tcBorders>
            <w:gridSpan w:val="18"/>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Employment Agreement (Incorporated by reference to Exhibit 10.27 to the Company’s Annual Report for the year ended March 31,</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2014 on Form 10-K (File No. 001-34972))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Form of Restricted Stock Agreement under the Amended and Restated Equity Incentive Plan of Booz Allen Hamilton Holding Corporation</w:t>
              </w:r>
            </w:hyperlink>
          </w:p>
        </w:tc>
        <w:tc>
          <w:tcPr>
            <w:tcW w:w="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(Incorporated by reference to Exhibit 10.28 to the Company’s Annual Report for the year ended March 31, 2014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34972)</w:t>
              </w:r>
              <w:r>
                <w:rPr>
                  <w:rFonts w:ascii="Arial" w:cs="Arial" w:eastAsia="Arial" w:hAnsi="Arial"/>
                  <w:sz w:val="18"/>
                  <w:szCs w:val="18"/>
                  <w:u w:val="single" w:color="auto"/>
                  <w:color w:val="0000FF"/>
                  <w:w w:val="90"/>
                </w:rPr>
                <w:t>)</w:t>
              </w:r>
            </w:hyperlink>
          </w:p>
        </w:tc>
        <w:tc>
          <w:tcPr>
            <w:tcW w:w="3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Borders>
              <w:bottom w:val="single" w:sz="8" w:color="0000FF"/>
            </w:tcBorders>
            <w:gridSpan w:val="34"/>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Form of Restricted Stock Unit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(Incorporated by reference to Exhibit 10.29 to the Company’s Annual Report for the year ended March 31, 2014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Second Amendment to Credit Agreement, dated as of May 7, 2014, among Booz Allen Hamilton Inc., as Borrower, Booz Allen Hamilton</w:t>
              </w:r>
            </w:hyperlink>
          </w:p>
        </w:tc>
        <w:tc>
          <w:tcPr>
            <w:tcW w:w="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20" w:type="dxa"/>
            <w:vAlign w:val="bottom"/>
            <w:gridSpan w:val="11"/>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15"/>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00" w:type="dxa"/>
            <w:vAlign w:val="bottom"/>
            <w:tcBorders>
              <w:bottom w:val="single" w:sz="8" w:color="0000FF"/>
            </w:tcBorders>
            <w:gridSpan w:val="33"/>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Corporation, ASE, Inc. and Booz Allen Hamilton International, Inc., as Guarantors, Bank of America, N.A., as Administrative Agent, Collateral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Agent and Issuing Lender, and the other Lenders and financial institutions from time to time party thereto (Incorporated by reference to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May 13, 2014 (File No. 001-34972))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20" w:type="dxa"/>
            <w:vAlign w:val="bottom"/>
            <w:gridSpan w:val="11"/>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gridSpan w:val="34"/>
          </w:tcPr>
          <w:p>
            <w:pPr>
              <w:spacing w:after="0"/>
              <w:rPr>
                <w:rFonts w:ascii="Arial" w:cs="Arial" w:eastAsia="Arial" w:hAnsi="Arial"/>
                <w:sz w:val="18"/>
                <w:szCs w:val="18"/>
                <w:color w:val="0000FF"/>
                <w:w w:val="97"/>
              </w:rPr>
            </w:pPr>
            <w:hyperlink r:id="rId56">
              <w:r>
                <w:rPr>
                  <w:rFonts w:ascii="Arial" w:cs="Arial" w:eastAsia="Arial" w:hAnsi="Arial"/>
                  <w:sz w:val="18"/>
                  <w:szCs w:val="18"/>
                  <w:color w:val="0000FF"/>
                  <w:w w:val="97"/>
                </w:rPr>
                <w:t>Third Amendment to Credit Agreement, dated as of July 13, 2016, among Booz Allen Hamilton Inc., as Borrower, Booz Allen Hamilton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840" w:type="dxa"/>
            <w:vAlign w:val="bottom"/>
            <w:gridSpan w:val="15"/>
            <w:shd w:val="clear" w:color="auto" w:fill="0000FF"/>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340" w:type="dxa"/>
            <w:vAlign w:val="bottom"/>
            <w:tcBorders>
              <w:right w:val="single" w:sz="8" w:color="0000FF"/>
            </w:tcBorders>
            <w:gridSpan w:val="30"/>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Corporation, ASE, Inc. and Booz Allen Hamilton International, Inc., as Guarantors, Bank of America, N.A., as Administrative Agent, Collateral</w:t>
              </w:r>
            </w:hyperlink>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right="700"/>
        <w:spacing w:after="0" w:line="342" w:lineRule="auto"/>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Agent and New Refinancing Tranche B Term Lender, and the other Lenders and financial institutions from time to time party thereto</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(Incorporated by reference to Exhibit 10.1 to the Company’s Current Report on Form 8-K filed on July 18, 2016 (File No. 001-34972))</w:t>
        </w:r>
      </w:hyperlink>
    </w:p>
    <w:p>
      <w:pPr>
        <w:sectPr>
          <w:pgSz w:w="11900" w:h="16838" w:orient="portrait"/>
          <w:cols w:equalWidth="0" w:num="1">
            <w:col w:w="11340"/>
          </w:cols>
          <w:pgMar w:left="280" w:top="837" w:right="27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40"/>
          </w:cols>
          <w:pgMar w:left="280" w:top="837" w:right="279" w:bottom="1440" w:gutter="0" w:footer="0" w:header="0"/>
          <w:type w:val="continuous"/>
        </w:sectPr>
      </w:pPr>
    </w:p>
    <w:bookmarkStart w:id="116" w:name="page117"/>
    <w:bookmarkEnd w:id="116"/>
    <w:p>
      <w:pPr>
        <w:ind w:left="920" w:right="240" w:hanging="917"/>
        <w:spacing w:after="0" w:line="276"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ab/>
      </w:r>
      <w:hyperlink r:id="rId57">
        <w:r>
          <w:rPr>
            <w:rFonts w:ascii="Arial" w:cs="Arial" w:eastAsia="Arial" w:hAnsi="Arial"/>
            <w:sz w:val="17"/>
            <w:szCs w:val="17"/>
            <w:u w:val="single" w:color="auto"/>
            <w:color w:val="0000FF"/>
          </w:rPr>
          <w:t>Fourth Amendment to Credit Agreement, dated as of February 6, 2017, among Booz Allen Hamilton Inc., as Borrower, Booz Allen Hamilton</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Investor Corporation, Booz Allen Hamilton Engineering Holding Co., LLC, Booz Allen Hamilton Engineering Services, LLC and SDI</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Technology Corporation, as Guarantors, Bank of America, N.A., as Administrative Agent, Collateral Agent and New Refinancing Tranche B</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Term Lender, and the other Lenders and financial institutions from time to time party thereto (Incorporated by reference to Exhibit 10.1 to the</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Company’s Current Report on Form 8-K filed on February 7, 2017 (File No. 001-34972))</w:t>
        </w:r>
      </w:hyperlink>
    </w:p>
    <w:p>
      <w:pPr>
        <w:spacing w:after="0" w:line="132" w:lineRule="exact"/>
        <w:rPr>
          <w:rFonts w:ascii="Arial" w:cs="Arial" w:eastAsia="Arial" w:hAnsi="Arial"/>
          <w:sz w:val="17"/>
          <w:szCs w:val="17"/>
          <w:u w:val="single" w:color="auto"/>
          <w:color w:val="0000FF"/>
        </w:rPr>
      </w:pPr>
    </w:p>
    <w:p>
      <w:pPr>
        <w:ind w:left="920" w:right="100" w:hanging="917"/>
        <w:spacing w:after="0" w:line="297"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58">
        <w:r>
          <w:rPr>
            <w:rFonts w:ascii="Arial" w:cs="Arial" w:eastAsia="Arial" w:hAnsi="Arial"/>
            <w:sz w:val="16"/>
            <w:szCs w:val="16"/>
            <w:u w:val="single" w:color="auto"/>
            <w:color w:val="0000FF"/>
          </w:rPr>
          <w:t>Fifth Amendment to Credit Agreement, dated as of March 7, 2018, among Booz Allen Hamilton Inc., as Borrower, Booz Allen Hamilton</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Investor Corporation, Booz Allen Hamilton Engineering Holding Co., LLC, Booz Allen Hamilton Engineering Services, LLC, SDI Technology</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Corporation, eGov Holdings, Inc. and Aquilent, Inc., as Guarantors, Bank of America, N.A., as Administrative Agent, Collateral Agent,</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Exchanging Lender and New Refinancing Tranche B Term Lender, and the other Lenders and financial institutions from time to time party</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thereto (Incorporated by reference to Exhibit 10.1 to the Company’s Current Report on Form 8-K filed on March 7, 2018 (File No. 001-34972))</w:t>
        </w:r>
      </w:hyperlink>
    </w:p>
    <w:p>
      <w:pPr>
        <w:spacing w:after="0" w:line="118" w:lineRule="exact"/>
        <w:rPr>
          <w:rFonts w:ascii="Arial" w:cs="Arial" w:eastAsia="Arial" w:hAnsi="Arial"/>
          <w:sz w:val="16"/>
          <w:szCs w:val="16"/>
          <w:u w:val="single" w:color="auto"/>
          <w:color w:val="0000FF"/>
        </w:rPr>
      </w:pPr>
    </w:p>
    <w:p>
      <w:pPr>
        <w:ind w:left="920" w:right="320" w:hanging="917"/>
        <w:spacing w:after="0" w:line="25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9">
        <w:r>
          <w:rPr>
            <w:rFonts w:ascii="Arial" w:cs="Arial" w:eastAsia="Arial" w:hAnsi="Arial"/>
            <w:sz w:val="18"/>
            <w:szCs w:val="18"/>
            <w:u w:val="single" w:color="auto"/>
            <w:color w:val="0000FF"/>
          </w:rPr>
          <w:t>ISDA 2002 Master Agreement, by and between Booz Allen Hamilton Inc. and Bank of America, N.A., dated as of December 17, 2014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“Bank of America Master Agreement”), and the Amended and Restated Schedule to the Bank of America Master Agreement, dated as of</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February 6, 2017 (Incorporated by reference to Exhibit 10.1 to the Company’s Current Report on Form 8-K filed on April 11, 2017 (File No.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jc w:val="both"/>
        <w:ind w:left="920" w:hanging="917"/>
        <w:spacing w:after="0" w:line="31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60">
        <w:r>
          <w:rPr>
            <w:rFonts w:ascii="Arial" w:cs="Arial" w:eastAsia="Arial" w:hAnsi="Arial"/>
            <w:sz w:val="16"/>
            <w:szCs w:val="16"/>
            <w:u w:val="single" w:color="auto"/>
            <w:color w:val="0000FF"/>
          </w:rPr>
          <w:t>ISDA 2002 Master Agreement, by and between Booz Allen Hamilton Inc. and JPMorgan Chase Bank, N.A., dated as of December 17, 2014 (the</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“JPM Master Agreement”), and the Amended and Restated Schedule to the JPM Master Agreement, dated as of February 8, 2017 (Incorporated</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by reference to Exhibit 10.2 to the Company’s Current Report on Form 8-K filed on April 11, 2017 (File No. 001-34972))</w:t>
        </w:r>
      </w:hyperlink>
    </w:p>
    <w:p>
      <w:pPr>
        <w:spacing w:after="0" w:line="106" w:lineRule="exact"/>
        <w:rPr>
          <w:rFonts w:ascii="Arial" w:cs="Arial" w:eastAsia="Arial" w:hAnsi="Arial"/>
          <w:sz w:val="16"/>
          <w:szCs w:val="16"/>
          <w:u w:val="single" w:color="auto"/>
          <w:color w:val="0000FF"/>
        </w:rPr>
      </w:pPr>
    </w:p>
    <w:p>
      <w:pPr>
        <w:ind w:left="920" w:right="400" w:hanging="917"/>
        <w:spacing w:after="0" w:line="31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61">
        <w:r>
          <w:rPr>
            <w:rFonts w:ascii="Arial" w:cs="Arial" w:eastAsia="Arial" w:hAnsi="Arial"/>
            <w:sz w:val="16"/>
            <w:szCs w:val="16"/>
            <w:u w:val="single" w:color="auto"/>
            <w:color w:val="0000FF"/>
          </w:rPr>
          <w:t>ISDA 2002 Master Agreement, by and between Booz Allen Hamilton Inc. and Fifth Third Bank, dated as of December 16, 2014 (the “Fifth</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Third Master Agreement”), and the Amended and Restated Schedule to the Fifth Third Master Agreement, dated as of February 7, 2017</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(Incorporated by reference to Exhibit 10.3 to the Company’s Current Report on Form 8-K filed on April 11, 2017 (File No. 001-34972))</w:t>
        </w:r>
      </w:hyperlink>
    </w:p>
    <w:p>
      <w:pPr>
        <w:spacing w:after="0" w:line="106" w:lineRule="exact"/>
        <w:rPr>
          <w:rFonts w:ascii="Arial" w:cs="Arial" w:eastAsia="Arial" w:hAnsi="Arial"/>
          <w:sz w:val="16"/>
          <w:szCs w:val="16"/>
          <w:u w:val="single" w:color="auto"/>
          <w:color w:val="0000FF"/>
        </w:rPr>
      </w:pPr>
    </w:p>
    <w:p>
      <w:pPr>
        <w:ind w:left="920" w:right="80" w:hanging="917"/>
        <w:spacing w:after="0" w:line="25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2">
        <w:r>
          <w:rPr>
            <w:rFonts w:ascii="Arial" w:cs="Arial" w:eastAsia="Arial" w:hAnsi="Arial"/>
            <w:sz w:val="18"/>
            <w:szCs w:val="18"/>
            <w:u w:val="single" w:color="auto"/>
            <w:color w:val="0000FF"/>
          </w:rPr>
          <w:t>ISDA Master Agreement, by and between Booz Allen Hamilton Inc. and The Bank of Tokyo-Mitsubishi UFJ, Ltd. dated as of January 13, 2015</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(the “Bank of Tokyo-Mitsubishi Master Agreement”), and the Amendment to the Bank of Tokyo-Mitsubishi Master Agreement, dated as of</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April 18, 2017 (including the Schedule thereto)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on May 31, 2017 (File No. 001-34972))</w:t>
        </w:r>
      </w:hyperlink>
    </w:p>
    <w:p>
      <w:pPr>
        <w:spacing w:after="0" w:line="146" w:lineRule="exact"/>
        <w:rPr>
          <w:rFonts w:ascii="Arial" w:cs="Arial" w:eastAsia="Arial" w:hAnsi="Arial"/>
          <w:sz w:val="18"/>
          <w:szCs w:val="18"/>
          <w:u w:val="single" w:color="auto"/>
          <w:color w:val="0000FF"/>
        </w:rPr>
      </w:pPr>
    </w:p>
    <w:p>
      <w:pPr>
        <w:ind w:left="920" w:right="220" w:hanging="917"/>
        <w:spacing w:after="0" w:line="25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63">
        <w:r>
          <w:rPr>
            <w:rFonts w:ascii="Arial" w:cs="Arial" w:eastAsia="Arial" w:hAnsi="Arial"/>
            <w:sz w:val="18"/>
            <w:szCs w:val="18"/>
            <w:u w:val="single" w:color="auto"/>
            <w:color w:val="0000FF"/>
          </w:rPr>
          <w:t>ISDA Master Agreement, by and between Booz Allen Hamilton Inc. and Barclays Bank Plc, dated as of December 11, 2014 (the “Barclays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Master Agreement”), and the Amendment to the Barclays Master Agreement, dated as of May 18, 2017 (including the Amended and Restated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Schedule thereto) (Incorporated by reference to Exhibit 10.2 to the Company's Current Report on Form 8-K filed on May 31, 2017 (File No.</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ind w:left="920" w:right="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64">
        <w:r>
          <w:rPr>
            <w:rFonts w:ascii="Arial" w:cs="Arial" w:eastAsia="Arial" w:hAnsi="Arial"/>
            <w:sz w:val="18"/>
            <w:szCs w:val="18"/>
            <w:u w:val="single" w:color="auto"/>
            <w:color w:val="0000FF"/>
          </w:rPr>
          <w:t>ISDA Master Agreement, by and between Booz Allen Hamilton Inc. and Wells Fargo Bank, N.A., dated as of February 13, 2017 (the “Wells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Fargo Master Agreement”), including the Schedule thereto (Incorporated by reference to Exhibit 10.3 to the Company's Current Report on Form</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8-K filed on May 31, 2017 (File No. 001-34972))</w:t>
        </w:r>
      </w:hyperlink>
    </w:p>
    <w:p>
      <w:pPr>
        <w:spacing w:after="0" w:line="141" w:lineRule="exact"/>
        <w:rPr>
          <w:rFonts w:ascii="Arial" w:cs="Arial" w:eastAsia="Arial" w:hAnsi="Arial"/>
          <w:sz w:val="18"/>
          <w:szCs w:val="18"/>
          <w:u w:val="single" w:color="auto"/>
          <w:color w:val="0000FF"/>
        </w:rPr>
      </w:pPr>
    </w:p>
    <w:p>
      <w:pPr>
        <w:ind w:left="920" w:right="16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10.32</w:t>
      </w:r>
      <w:r>
        <w:rPr>
          <w:sz w:val="20"/>
          <w:szCs w:val="20"/>
          <w:color w:val="auto"/>
        </w:rPr>
        <w:tab/>
      </w:r>
      <w:hyperlink r:id="rId65">
        <w:r>
          <w:rPr>
            <w:rFonts w:ascii="Arial" w:cs="Arial" w:eastAsia="Arial" w:hAnsi="Arial"/>
            <w:sz w:val="17"/>
            <w:szCs w:val="17"/>
            <w:u w:val="single" w:color="auto"/>
            <w:color w:val="0000FF"/>
          </w:rPr>
          <w:t>Confirmation of transaction, by and between Booz Allen Hamilton Inc. and Bank of America, N.A., dated as of April 6, 2017 (Incorporated by</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reference to Exhibit 10.4 to the Company’s Current Report on Form 8-K filed on April 11, 2017 (File No. 001-34972))</w:t>
        </w:r>
      </w:hyperlink>
    </w:p>
    <w:p>
      <w:pPr>
        <w:spacing w:after="0" w:line="106" w:lineRule="exact"/>
        <w:rPr>
          <w:sz w:val="20"/>
          <w:szCs w:val="20"/>
          <w:color w:val="auto"/>
        </w:rPr>
      </w:pPr>
    </w:p>
    <w:p>
      <w:pPr>
        <w:ind w:left="920" w:right="64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66">
        <w:r>
          <w:rPr>
            <w:rFonts w:ascii="Arial" w:cs="Arial" w:eastAsia="Arial" w:hAnsi="Arial"/>
            <w:sz w:val="16"/>
            <w:szCs w:val="16"/>
            <w:u w:val="single" w:color="auto"/>
            <w:color w:val="0000FF"/>
          </w:rPr>
          <w:t>Confirmation of transaction, by and between Booz Allen Hamilton Inc. and JPMorgan Chase Bank, N.A., dated as of April 6, 2017</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(Incorporated by reference to Exhibit 10.5 to the Company’s Current Report on Form 8-K filed on April 11, 2017 (File No. 001-34972))</w:t>
        </w:r>
      </w:hyperlink>
    </w:p>
    <w:p>
      <w:pPr>
        <w:spacing w:after="0" w:line="83" w:lineRule="exact"/>
        <w:rPr>
          <w:sz w:val="20"/>
          <w:szCs w:val="20"/>
          <w:color w:val="auto"/>
        </w:rPr>
      </w:pPr>
    </w:p>
    <w:p>
      <w:pPr>
        <w:ind w:left="920" w:right="62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10.34</w:t>
      </w:r>
      <w:r>
        <w:rPr>
          <w:sz w:val="20"/>
          <w:szCs w:val="20"/>
          <w:color w:val="auto"/>
        </w:rPr>
        <w:tab/>
      </w:r>
      <w:hyperlink r:id="rId67">
        <w:r>
          <w:rPr>
            <w:rFonts w:ascii="Arial" w:cs="Arial" w:eastAsia="Arial" w:hAnsi="Arial"/>
            <w:sz w:val="17"/>
            <w:szCs w:val="17"/>
            <w:u w:val="single" w:color="auto"/>
            <w:color w:val="0000FF"/>
          </w:rPr>
          <w:t>Confirmation of transaction, by and between Booz Allen Hamilton Inc. and Fifth Third Bank, dated as of April 6, 2017 (Incorporated by</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reference to Exhibit 10.6 to the Company’s Current Report on Form 8-K filed on April 11, 2017 (File No. 001-34972))</w:t>
        </w:r>
      </w:hyperlink>
    </w:p>
    <w:p>
      <w:pPr>
        <w:spacing w:after="0" w:line="106" w:lineRule="exact"/>
        <w:rPr>
          <w:sz w:val="20"/>
          <w:szCs w:val="20"/>
          <w:color w:val="auto"/>
        </w:rPr>
      </w:pPr>
    </w:p>
    <w:p>
      <w:pPr>
        <w:ind w:left="920" w:right="8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hyperlink r:id="rId68">
        <w:r>
          <w:rPr>
            <w:rFonts w:ascii="Arial" w:cs="Arial" w:eastAsia="Arial" w:hAnsi="Arial"/>
            <w:sz w:val="16"/>
            <w:szCs w:val="16"/>
            <w:u w:val="single" w:color="auto"/>
            <w:color w:val="0000FF"/>
          </w:rPr>
          <w:t>Confirmation of transaction, by and between Booz Allen Hamilton Inc. and The Bank of Tokyo-Mitsubishi UFJ, Ltd., dated as of May 26, 2017</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(Incorporated by reference to Exhibit 10.4 to the Company's Current Report on Form 8-K filed on May 31, 2017 (File No. 001-34972))</w:t>
        </w:r>
      </w:hyperlink>
    </w:p>
    <w:p>
      <w:pPr>
        <w:spacing w:after="0" w:line="83" w:lineRule="exact"/>
        <w:rPr>
          <w:sz w:val="20"/>
          <w:szCs w:val="20"/>
          <w:color w:val="auto"/>
        </w:rPr>
      </w:pPr>
    </w:p>
    <w:p>
      <w:pPr>
        <w:ind w:left="920" w:right="4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69">
        <w:r>
          <w:rPr>
            <w:rFonts w:ascii="Arial" w:cs="Arial" w:eastAsia="Arial" w:hAnsi="Arial"/>
            <w:sz w:val="16"/>
            <w:szCs w:val="16"/>
            <w:u w:val="single" w:color="auto"/>
            <w:color w:val="0000FF"/>
          </w:rPr>
          <w:t>Confirmation of transaction, by and between Booz Allen Hamilton Inc. and Barclays Bank Plc, dated as of May 30, 2017 (Incorporated by</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reference to Exhibit 10.5 to the Company's Current Report on Form 8-K filed on May 31, 2017 (File No. 001-34972))</w:t>
        </w:r>
      </w:hyperlink>
    </w:p>
    <w:p>
      <w:pPr>
        <w:spacing w:after="0" w:line="83" w:lineRule="exact"/>
        <w:rPr>
          <w:sz w:val="20"/>
          <w:szCs w:val="20"/>
          <w:color w:val="auto"/>
        </w:rPr>
      </w:pPr>
    </w:p>
    <w:p>
      <w:pPr>
        <w:ind w:left="920" w:right="6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70">
        <w:r>
          <w:rPr>
            <w:rFonts w:ascii="Arial" w:cs="Arial" w:eastAsia="Arial" w:hAnsi="Arial"/>
            <w:sz w:val="17"/>
            <w:szCs w:val="17"/>
            <w:u w:val="single" w:color="auto"/>
            <w:color w:val="0000FF"/>
          </w:rPr>
          <w:t>Confirmation of transaction, by and between Booz Allen Hamilton Inc. and Wells Fargo Bank, N.A., dated as of May 25, 2017 (Incorporated by</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reference to Exhibit 10.6 to the Company's Current Report on Form 8-K filed on May 31, 2017 (File No. 001-34972))</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80" w:top="976" w:right="259" w:bottom="1440" w:gutter="0" w:footer="0" w:header="0"/>
        </w:sectPr>
      </w:pPr>
    </w:p>
    <w:bookmarkStart w:id="117" w:name="page118"/>
    <w:bookmarkEnd w:id="117"/>
    <w:p>
      <w:pPr>
        <w:jc w:val="both"/>
        <w:ind w:left="960" w:right="100" w:hanging="917"/>
        <w:spacing w:after="0" w:line="286"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10.38</w:t>
      </w:r>
      <w:r>
        <w:rPr>
          <w:sz w:val="20"/>
          <w:szCs w:val="20"/>
          <w:color w:val="auto"/>
        </w:rPr>
        <w:tab/>
      </w:r>
      <w:hyperlink r:id="rId71">
        <w:r>
          <w:rPr>
            <w:rFonts w:ascii="Arial" w:cs="Arial" w:eastAsia="Arial" w:hAnsi="Arial"/>
            <w:sz w:val="17"/>
            <w:szCs w:val="17"/>
            <w:u w:val="single" w:color="auto"/>
            <w:color w:val="0000FF"/>
          </w:rPr>
          <w:t>Assumption Agreement, dated as of April 14, 2017, by eGov Holdings, Inc. and Aquilent, Inc. in favor of Bank of America, N.A., as collateral</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agent for the banks and other financial institutions or entities party to the Credit Agreement, as amended (Incorporated by reference to Exhibit</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10.10 to the Company’s Quarterly Report for the period ended June 30, 2017 on Form 10-Q (File No. 001-34972))</w:t>
        </w:r>
      </w:hyperlink>
    </w:p>
    <w:p>
      <w:pPr>
        <w:spacing w:after="0" w:line="125" w:lineRule="exact"/>
        <w:rPr>
          <w:rFonts w:ascii="Arial" w:cs="Arial" w:eastAsia="Arial" w:hAnsi="Arial"/>
          <w:sz w:val="17"/>
          <w:szCs w:val="17"/>
          <w:u w:val="single" w:color="auto"/>
          <w:color w:val="0000FF"/>
        </w:rPr>
      </w:pPr>
    </w:p>
    <w:p>
      <w:pPr>
        <w:ind w:left="960" w:right="32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72">
        <w:r>
          <w:rPr>
            <w:rFonts w:ascii="Arial" w:cs="Arial" w:eastAsia="Arial" w:hAnsi="Arial"/>
            <w:sz w:val="18"/>
            <w:szCs w:val="18"/>
            <w:u w:val="single" w:color="auto"/>
            <w:color w:val="0000FF"/>
          </w:rPr>
          <w:t>Booz Allen Hamilton Inc. Nonqualified Deferred Compensation Plan (Incorporated by reference to Exhibit 10.35 to the Company’s Annual</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Report for the year ended March 31, 2017 on Form 10-K (File No. 001-34972))</w:t>
        </w:r>
      </w:hyperlink>
    </w:p>
    <w:p>
      <w:pPr>
        <w:spacing w:after="0" w:line="130" w:lineRule="exact"/>
        <w:rPr>
          <w:sz w:val="20"/>
          <w:szCs w:val="20"/>
          <w:color w:val="auto"/>
        </w:rPr>
      </w:pPr>
    </w:p>
    <w:p>
      <w:pPr>
        <w:ind w:left="96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73">
        <w:r>
          <w:rPr>
            <w:rFonts w:ascii="Arial" w:cs="Arial" w:eastAsia="Arial" w:hAnsi="Arial"/>
            <w:sz w:val="18"/>
            <w:szCs w:val="18"/>
            <w:u w:val="single" w:color="auto"/>
            <w:color w:val="0000FF"/>
          </w:rPr>
          <w:t>Form of Stock Option Agreement under the Second Amended and Restated Equity Incentive Plan of Booz Allen Hamilton Holding Corporation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(Incorporated by reference to Exhibit 10.36 to the Company’s Annual Report for the year ended March 31, 2017 of Form 10-K (File No. 001-</w:t>
        </w:r>
      </w:hyperlink>
      <w:hyperlink r:id="rId73">
        <w:r>
          <w:rPr>
            <w:rFonts w:ascii="Arial" w:cs="Arial" w:eastAsia="Arial" w:hAnsi="Arial"/>
            <w:sz w:val="18"/>
            <w:szCs w:val="18"/>
            <w:u w:val="single" w:color="auto"/>
            <w:color w:val="0000FF"/>
          </w:rPr>
          <w:t>34972))</w:t>
        </w:r>
      </w:hyperlink>
    </w:p>
    <w:p>
      <w:pPr>
        <w:spacing w:after="0" w:line="141" w:lineRule="exact"/>
        <w:rPr>
          <w:rFonts w:ascii="Arial" w:cs="Arial" w:eastAsia="Arial" w:hAnsi="Arial"/>
          <w:sz w:val="18"/>
          <w:szCs w:val="18"/>
          <w:u w:val="single" w:color="auto"/>
          <w:color w:val="0000FF"/>
        </w:rPr>
      </w:pPr>
    </w:p>
    <w:p>
      <w:pPr>
        <w:jc w:val="both"/>
        <w:ind w:left="96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74">
        <w:r>
          <w:rPr>
            <w:rFonts w:ascii="Arial" w:cs="Arial" w:eastAsia="Arial" w:hAnsi="Arial"/>
            <w:sz w:val="18"/>
            <w:szCs w:val="18"/>
            <w:u w:val="single" w:color="auto"/>
            <w:color w:val="0000FF"/>
          </w:rPr>
          <w:t>Form of Performance Restricted Stock Unit Agreement under the Second Amended and Restated Equity Incentive Plan of Booz Allen Hamilton</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Holding Corporation (Incorporated by reference to Exhibit 10.37 to the Company’s Annual Report for the year ended March 31, 2017 on Form</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10-K (File No. 001-34972))</w:t>
        </w:r>
      </w:hyperlink>
    </w:p>
    <w:p>
      <w:pPr>
        <w:spacing w:after="0" w:line="141" w:lineRule="exact"/>
        <w:rPr>
          <w:rFonts w:ascii="Arial" w:cs="Arial" w:eastAsia="Arial" w:hAnsi="Arial"/>
          <w:sz w:val="18"/>
          <w:szCs w:val="18"/>
          <w:u w:val="single" w:color="auto"/>
          <w:color w:val="0000FF"/>
        </w:rPr>
      </w:pPr>
    </w:p>
    <w:p>
      <w:pPr>
        <w:jc w:val="both"/>
        <w:ind w:left="960" w:right="30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75">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Corporation (Incorporated by reference to Exhibit 10.38 to the Company’s Annual Report for the year ended March 31, 2017 on Form 10-K</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(File No. 001-34972))</w:t>
        </w:r>
      </w:hyperlink>
    </w:p>
    <w:p>
      <w:pPr>
        <w:spacing w:after="0" w:line="141" w:lineRule="exact"/>
        <w:rPr>
          <w:rFonts w:ascii="Arial" w:cs="Arial" w:eastAsia="Arial" w:hAnsi="Arial"/>
          <w:sz w:val="18"/>
          <w:szCs w:val="18"/>
          <w:u w:val="single" w:color="auto"/>
          <w:color w:val="0000FF"/>
        </w:rPr>
      </w:pPr>
    </w:p>
    <w:p>
      <w:pPr>
        <w:jc w:val="both"/>
        <w:ind w:left="960" w:right="30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76">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Corporation (Incorporated by reference to Exhibit 10.39 to the Company’s Annual Report for the year ended March 31, 2017 on Form 10-K</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(File No. 001-34972))</w:t>
        </w:r>
      </w:hyperlink>
    </w:p>
    <w:p>
      <w:pPr>
        <w:spacing w:after="0" w:line="141" w:lineRule="exact"/>
        <w:rPr>
          <w:rFonts w:ascii="Arial" w:cs="Arial" w:eastAsia="Arial" w:hAnsi="Arial"/>
          <w:sz w:val="18"/>
          <w:szCs w:val="18"/>
          <w:u w:val="single" w:color="auto"/>
          <w:color w:val="0000FF"/>
        </w:rPr>
      </w:pPr>
    </w:p>
    <w:p>
      <w:pPr>
        <w:ind w:left="960" w:right="3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w:anchor="page314">
        <w:r>
          <w:rPr>
            <w:rFonts w:ascii="Arial" w:cs="Arial" w:eastAsia="Arial" w:hAnsi="Arial"/>
            <w:sz w:val="18"/>
            <w:szCs w:val="18"/>
            <w:u w:val="single" w:color="auto"/>
            <w:color w:val="0000FF"/>
          </w:rPr>
          <w:t>Form of Restricted Stock Agreement for Directors under the Second Amended and Restated Equity Incentive Plan of Booz Allen Hamilton</w:t>
        </w:r>
      </w:hyperlink>
      <w:r>
        <w:rPr>
          <w:rFonts w:ascii="Arial" w:cs="Arial" w:eastAsia="Arial" w:hAnsi="Arial"/>
          <w:sz w:val="18"/>
          <w:szCs w:val="18"/>
          <w:u w:val="single" w:color="auto"/>
          <w:color w:val="0000FF"/>
        </w:rPr>
        <w:t xml:space="preserve"> </w:t>
      </w:r>
      <w:hyperlink w:anchor="page314">
        <w:r>
          <w:rPr>
            <w:rFonts w:ascii="Arial" w:cs="Arial" w:eastAsia="Arial" w:hAnsi="Arial"/>
            <w:sz w:val="18"/>
            <w:szCs w:val="18"/>
            <w:u w:val="single" w:color="auto"/>
            <w:color w:val="0000FF"/>
          </w:rPr>
          <w:t>Holding Corporation*</w:t>
        </w:r>
      </w:hyperlink>
    </w:p>
    <w:p>
      <w:pPr>
        <w:spacing w:after="0" w:line="8" w:lineRule="exact"/>
        <w:rPr>
          <w:sz w:val="20"/>
          <w:szCs w:val="20"/>
          <w:color w:val="auto"/>
        </w:rPr>
      </w:pPr>
    </w:p>
    <w:p>
      <w:pPr>
        <w:ind w:left="4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w:anchor="page319">
        <w:r>
          <w:rPr>
            <w:rFonts w:ascii="Arial" w:cs="Arial" w:eastAsia="Arial" w:hAnsi="Arial"/>
            <w:sz w:val="16"/>
            <w:szCs w:val="16"/>
            <w:u w:val="single" w:color="auto"/>
            <w:color w:val="0000FF"/>
          </w:rPr>
          <w:t>Officer Perquisites Policy*</w:t>
        </w:r>
      </w:hyperlink>
    </w:p>
    <w:p>
      <w:pPr>
        <w:spacing w:after="0" w:line="185" w:lineRule="exact"/>
        <w:rPr>
          <w:sz w:val="20"/>
          <w:szCs w:val="20"/>
          <w:color w:val="auto"/>
        </w:rPr>
      </w:pPr>
    </w:p>
    <w:p>
      <w:pPr>
        <w:ind w:left="960" w:hanging="925"/>
        <w:spacing w:after="0"/>
        <w:tabs>
          <w:tab w:leader="none" w:pos="960" w:val="left"/>
        </w:tabs>
        <w:numPr>
          <w:ilvl w:val="0"/>
          <w:numId w:val="80"/>
        </w:numPr>
        <w:rPr>
          <w:rFonts w:ascii="Arial" w:cs="Arial" w:eastAsia="Arial" w:hAnsi="Arial"/>
          <w:sz w:val="18"/>
          <w:szCs w:val="18"/>
          <w:u w:val="single" w:color="auto"/>
          <w:color w:val="0000FF"/>
        </w:rPr>
      </w:pPr>
      <w:hyperlink w:anchor="page324">
        <w:r>
          <w:rPr>
            <w:rFonts w:ascii="Arial" w:cs="Arial" w:eastAsia="Arial" w:hAnsi="Arial"/>
            <w:sz w:val="18"/>
            <w:szCs w:val="18"/>
            <w:u w:val="single" w:color="auto"/>
            <w:color w:val="0000FF"/>
          </w:rPr>
          <w:t>Subsidiaries of the registrant*</w:t>
        </w:r>
      </w:hyperlink>
    </w:p>
    <w:p>
      <w:pPr>
        <w:spacing w:after="0" w:line="185" w:lineRule="exact"/>
        <w:rPr>
          <w:sz w:val="20"/>
          <w:szCs w:val="20"/>
          <w:color w:val="auto"/>
        </w:rPr>
      </w:pPr>
    </w:p>
    <w:p>
      <w:pPr>
        <w:ind w:left="960" w:hanging="925"/>
        <w:spacing w:after="0"/>
        <w:tabs>
          <w:tab w:leader="none" w:pos="960" w:val="left"/>
        </w:tabs>
        <w:numPr>
          <w:ilvl w:val="0"/>
          <w:numId w:val="81"/>
        </w:numPr>
        <w:rPr>
          <w:rFonts w:ascii="Arial" w:cs="Arial" w:eastAsia="Arial" w:hAnsi="Arial"/>
          <w:sz w:val="18"/>
          <w:szCs w:val="18"/>
          <w:u w:val="single" w:color="auto"/>
          <w:color w:val="0000FF"/>
        </w:rPr>
      </w:pPr>
      <w:hyperlink w:anchor="page325">
        <w:r>
          <w:rPr>
            <w:rFonts w:ascii="Arial" w:cs="Arial" w:eastAsia="Arial" w:hAnsi="Arial"/>
            <w:sz w:val="18"/>
            <w:szCs w:val="18"/>
            <w:u w:val="single" w:color="auto"/>
            <w:color w:val="0000FF"/>
          </w:rPr>
          <w:t>Consent of Ernst &amp; Young LLP, Independent Registered Public Accounting Firm*</w:t>
        </w:r>
      </w:hyperlink>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512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326">
              <w:r>
                <w:rPr>
                  <w:rFonts w:ascii="Arial" w:cs="Arial" w:eastAsia="Arial" w:hAnsi="Arial"/>
                  <w:sz w:val="18"/>
                  <w:szCs w:val="18"/>
                  <w:color w:val="0000FF"/>
                  <w:w w:val="93"/>
                </w:rPr>
                <w:t>Rule 13a-14(a)/15d-14(a) Certification of the Chief Executive Officer*</w:t>
              </w:r>
            </w:hyperlink>
          </w:p>
        </w:tc>
        <w:tc>
          <w:tcPr>
            <w:tcW w:w="4960" w:type="dxa"/>
            <w:vAlign w:val="bottom"/>
            <w:gridSpan w:val="2"/>
          </w:tcPr>
          <w:p>
            <w:pPr>
              <w:spacing w:after="0"/>
              <w:rPr>
                <w:sz w:val="18"/>
                <w:szCs w:val="18"/>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10080" w:type="dxa"/>
            <w:vAlign w:val="bottom"/>
            <w:gridSpan w:val="5"/>
          </w:tcPr>
          <w:p>
            <w:pPr>
              <w:spacing w:after="0"/>
              <w:rPr>
                <w:rFonts w:ascii="Arial" w:cs="Arial" w:eastAsia="Arial" w:hAnsi="Arial"/>
                <w:sz w:val="18"/>
                <w:szCs w:val="18"/>
                <w:color w:val="0000FF"/>
              </w:rPr>
            </w:pPr>
            <w:hyperlink w:anchor="page327">
              <w:r>
                <w:rPr>
                  <w:rFonts w:ascii="Arial" w:cs="Arial" w:eastAsia="Arial" w:hAnsi="Arial"/>
                  <w:sz w:val="18"/>
                  <w:szCs w:val="18"/>
                  <w:color w:val="0000FF"/>
                </w:rPr>
                <w:t>Rule 13a-14(a)/15d-14(a) Certification of the Chief Financial Officer*</w:t>
              </w:r>
            </w:hyperlink>
          </w:p>
        </w:tc>
      </w:tr>
      <w:tr>
        <w:trPr>
          <w:trHeight w:val="20"/>
        </w:trPr>
        <w:tc>
          <w:tcPr>
            <w:tcW w:w="9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32.1</w:t>
            </w:r>
          </w:p>
        </w:tc>
        <w:tc>
          <w:tcPr>
            <w:tcW w:w="100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328">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r>
      <w:tr>
        <w:trPr>
          <w:trHeight w:val="196"/>
        </w:trPr>
        <w:tc>
          <w:tcPr>
            <w:tcW w:w="92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328">
              <w:r>
                <w:rPr>
                  <w:rFonts w:ascii="Arial" w:cs="Arial" w:eastAsia="Arial" w:hAnsi="Arial"/>
                  <w:sz w:val="18"/>
                  <w:szCs w:val="18"/>
                  <w:color w:val="0000FF"/>
                  <w:w w:val="90"/>
                </w:rPr>
                <w:t>United States Code (18 U.S.C. 1350)*</w:t>
              </w:r>
            </w:hyperlink>
          </w:p>
        </w:tc>
        <w:tc>
          <w:tcPr>
            <w:tcW w:w="7320" w:type="dxa"/>
            <w:vAlign w:val="bottom"/>
            <w:gridSpan w:val="4"/>
          </w:tcPr>
          <w:p>
            <w:pPr>
              <w:spacing w:after="0"/>
              <w:rPr>
                <w:sz w:val="17"/>
                <w:szCs w:val="17"/>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32.2</w:t>
            </w:r>
          </w:p>
        </w:tc>
        <w:tc>
          <w:tcPr>
            <w:tcW w:w="10080" w:type="dxa"/>
            <w:vAlign w:val="bottom"/>
            <w:gridSpan w:val="5"/>
          </w:tcPr>
          <w:p>
            <w:pPr>
              <w:spacing w:after="0"/>
              <w:rPr>
                <w:rFonts w:ascii="Arial" w:cs="Arial" w:eastAsia="Arial" w:hAnsi="Arial"/>
                <w:sz w:val="18"/>
                <w:szCs w:val="18"/>
                <w:color w:val="0000FF"/>
                <w:w w:val="92"/>
              </w:rPr>
            </w:pPr>
            <w:hyperlink w:anchor="page329">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r>
      <w:tr>
        <w:trPr>
          <w:trHeight w:val="196"/>
        </w:trPr>
        <w:tc>
          <w:tcPr>
            <w:tcW w:w="920" w:type="dxa"/>
            <w:vAlign w:val="bottom"/>
          </w:tcPr>
          <w:p>
            <w:pPr>
              <w:spacing w:after="0"/>
              <w:rPr>
                <w:sz w:val="17"/>
                <w:szCs w:val="17"/>
                <w:color w:val="auto"/>
              </w:rPr>
            </w:pPr>
          </w:p>
        </w:tc>
        <w:tc>
          <w:tcPr>
            <w:tcW w:w="27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329">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bl>
    <w:p>
      <w:pPr>
        <w:spacing w:after="0" w:line="188" w:lineRule="exact"/>
        <w:rPr>
          <w:sz w:val="20"/>
          <w:szCs w:val="20"/>
          <w:color w:val="auto"/>
        </w:rPr>
      </w:pPr>
    </w:p>
    <w:p>
      <w:pPr>
        <w:ind w:left="960" w:right="220" w:hanging="925"/>
        <w:spacing w:after="0" w:line="270" w:lineRule="auto"/>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2018, formatted in XBRL (eXtensible Business Reporting Language): (i) Consolidated Balance Sheets as of March 31, 2018 and 2017; (ii) Consolidated Statements of Operations for the fiscal years ended March 31, 2018, 2017 and 2016; (iii) Consolidated Statements of Comprehensive Income for the fiscal years ended March 31, 2018, 2017 and 2016; (iv) Consolidated Statements of Cash Flows for the fiscal years ended March 31, 2018, 2017 and 2016; (v) Consolidated Statements of Stockholders' Equity for the fiscal years ended March 31, 2018, 2017 and 2016;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Form 10-K Summary.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854" w:right="319" w:bottom="1440" w:gutter="0" w:footer="0" w:header="0"/>
        </w:sectPr>
      </w:pPr>
    </w:p>
    <w:bookmarkStart w:id="118" w:name="page119"/>
    <w:bookmarkEnd w:id="118"/>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29th day of May,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Horacio D. Rozanski</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President and Chief Executive Officer</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jc w:val="center"/>
              <w:ind w:left="47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65"/>
        </w:trPr>
        <w:tc>
          <w:tcPr>
            <w:tcW w:w="4240" w:type="dxa"/>
            <w:vAlign w:val="bottom"/>
          </w:tcPr>
          <w:p>
            <w:pPr>
              <w:ind w:left="40"/>
              <w:spacing w:after="0"/>
              <w:rPr>
                <w:sz w:val="20"/>
                <w:szCs w:val="20"/>
                <w:color w:val="auto"/>
              </w:rPr>
            </w:pPr>
            <w:r>
              <w:rPr>
                <w:rFonts w:ascii="Arial" w:cs="Arial" w:eastAsia="Arial" w:hAnsi="Arial"/>
                <w:sz w:val="18"/>
                <w:szCs w:val="18"/>
                <w:color w:val="auto"/>
              </w:rPr>
              <w:t>/s/ Horacio D. Rozanski</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Horacio D. Rozanski</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Lloyd W. Howell, Jr.</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and</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2"/>
              </w:rPr>
              <w:t>Treasurer (Principal Financial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Lloyd W. Howell, Jr.</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Laura S. Adams</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 and Chief</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 (Principal Accounting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Laura S. Adams</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Ralph W. Shrader</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Joan Lordi C. Amble</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Melody C. Barnes</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Melody C. Barnes</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Mark Gaumond</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Mark Gaumond</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688"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00"/>
          </w:cols>
          <w:pgMar w:left="240" w:top="688" w:right="45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/s/ Gretchen W. McClain</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29, 2018</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Gretchen W. McClain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Philip A. Odeen</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29, 2018</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Philip A. Odeen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29, 2018</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702"/>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Arial" w:cs="Arial" w:eastAsia="Arial" w:hAnsi="Arial"/>
                <w:sz w:val="18"/>
                <w:szCs w:val="18"/>
                <w:color w:val="auto"/>
              </w:rPr>
              <w:t>74</w:t>
            </w:r>
          </w:p>
        </w:tc>
        <w:tc>
          <w:tcPr>
            <w:tcW w:w="2400" w:type="dxa"/>
            <w:vAlign w:val="bottom"/>
          </w:tcPr>
          <w:p>
            <w:pPr>
              <w:spacing w:after="0"/>
              <w:rPr>
                <w:sz w:val="24"/>
                <w:szCs w:val="24"/>
                <w:color w:val="auto"/>
              </w:rPr>
            </w:pPr>
          </w:p>
        </w:tc>
      </w:tr>
    </w:tbl>
    <w:p>
      <w:pPr>
        <w:sectPr>
          <w:pgSz w:w="11900" w:h="16838" w:orient="portrait"/>
          <w:cols w:equalWidth="0" w:num="1">
            <w:col w:w="10900"/>
          </w:cols>
          <w:pgMar w:left="240" w:top="1246" w:right="7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10.6</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5487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extLst>
                    </a:blip>
                    <a:srcRect/>
                    <a:stretch>
                      <a:fillRect/>
                    </a:stretch>
                  </pic:blipFill>
                  <pic:spPr bwMode="auto">
                    <a:xfrm>
                      <a:off x="0" y="0"/>
                      <a:ext cx="7254875" cy="26606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Retirement</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SCOPE:</w:t>
      </w:r>
    </w:p>
    <w:p>
      <w:pPr>
        <w:spacing w:after="0" w:line="154" w:lineRule="exact"/>
        <w:rPr>
          <w:sz w:val="20"/>
          <w:szCs w:val="20"/>
          <w:color w:val="auto"/>
        </w:rPr>
      </w:pPr>
    </w:p>
    <w:p>
      <w:pPr>
        <w:jc w:val="both"/>
        <w:ind w:right="220"/>
        <w:spacing w:after="0" w:line="242" w:lineRule="auto"/>
        <w:rPr>
          <w:sz w:val="20"/>
          <w:szCs w:val="20"/>
          <w:color w:val="auto"/>
        </w:rPr>
      </w:pPr>
      <w:r>
        <w:rPr>
          <w:rFonts w:ascii="Arial" w:cs="Arial" w:eastAsia="Arial" w:hAnsi="Arial"/>
          <w:sz w:val="20"/>
          <w:szCs w:val="20"/>
          <w:color w:val="auto"/>
        </w:rPr>
        <w:t>Retirement for an Officer implies significant change in a relationship — typically of considerable duration — involving substantial commitment by and benefit to both the Officer and the firm. The retirement process and program should reflect the nature of this relationship. It is expected that both the Officer and the firm will feel a strong mutual obligation to conduct the retirement process with respect, dignity, and generosity.</w:t>
      </w:r>
    </w:p>
    <w:p>
      <w:pPr>
        <w:spacing w:after="0" w:line="220" w:lineRule="exact"/>
        <w:rPr>
          <w:sz w:val="20"/>
          <w:szCs w:val="20"/>
          <w:color w:val="auto"/>
        </w:rPr>
      </w:pPr>
    </w:p>
    <w:p>
      <w:pPr>
        <w:ind w:right="580"/>
        <w:spacing w:after="0" w:line="247" w:lineRule="auto"/>
        <w:rPr>
          <w:sz w:val="20"/>
          <w:szCs w:val="20"/>
          <w:color w:val="auto"/>
        </w:rPr>
      </w:pPr>
      <w:r>
        <w:rPr>
          <w:rFonts w:ascii="Arial" w:cs="Arial" w:eastAsia="Arial" w:hAnsi="Arial"/>
          <w:sz w:val="20"/>
          <w:szCs w:val="20"/>
          <w:color w:val="auto"/>
        </w:rPr>
        <w:t>To be most effective, the retirement process should be characterized by openness, honesty, clarity, and equitability. Both the process and post-retirement programs should foster close continuing relations between the retired Officer and the firm.</w:t>
      </w:r>
    </w:p>
    <w:p>
      <w:pPr>
        <w:spacing w:after="0" w:line="242" w:lineRule="exact"/>
        <w:rPr>
          <w:sz w:val="20"/>
          <w:szCs w:val="20"/>
          <w:color w:val="auto"/>
        </w:rPr>
      </w:pPr>
    </w:p>
    <w:p>
      <w:pPr>
        <w:ind w:right="800"/>
        <w:spacing w:after="0" w:line="289" w:lineRule="auto"/>
        <w:rPr>
          <w:sz w:val="20"/>
          <w:szCs w:val="20"/>
          <w:color w:val="auto"/>
        </w:rPr>
      </w:pPr>
      <w:r>
        <w:rPr>
          <w:rFonts w:ascii="Arial" w:cs="Arial" w:eastAsia="Arial" w:hAnsi="Arial"/>
          <w:sz w:val="20"/>
          <w:szCs w:val="20"/>
          <w:color w:val="auto"/>
        </w:rPr>
        <w:t>The retirement program is intended to facilitate transition to retirement. Performance issues will be treated independent of retirement considerations.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GENERAL POLICY STATEMENT: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An Officer is eligible to retire, with full retirement benefits, after a minimum of:</w:t>
      </w:r>
    </w:p>
    <w:p>
      <w:pPr>
        <w:spacing w:after="0" w:line="108" w:lineRule="exact"/>
        <w:rPr>
          <w:sz w:val="20"/>
          <w:szCs w:val="20"/>
          <w:color w:val="auto"/>
        </w:rPr>
      </w:pPr>
    </w:p>
    <w:p>
      <w:pPr>
        <w:ind w:left="460" w:hanging="128"/>
        <w:spacing w:after="0"/>
        <w:tabs>
          <w:tab w:leader="none" w:pos="4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Five years of service as an Officer and upon reaching age 60, or</w:t>
      </w:r>
    </w:p>
    <w:p>
      <w:pPr>
        <w:spacing w:after="0" w:line="107" w:lineRule="exact"/>
        <w:rPr>
          <w:rFonts w:ascii="Arial" w:cs="Arial" w:eastAsia="Arial" w:hAnsi="Arial"/>
          <w:sz w:val="20"/>
          <w:szCs w:val="20"/>
          <w:color w:val="auto"/>
        </w:rPr>
      </w:pPr>
    </w:p>
    <w:p>
      <w:pPr>
        <w:ind w:left="460" w:hanging="128"/>
        <w:spacing w:after="0"/>
        <w:tabs>
          <w:tab w:leader="none" w:pos="4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Ten years of service as an Officer and upon reaching age 50.</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20"/>
          <w:szCs w:val="20"/>
          <w:color w:val="auto"/>
        </w:rPr>
        <w:t>For business continuity and succession planning, an Officer is requested to provide written notification of intention to retire at least one year prior to the Officer’s anticipated retirement date to the Chief Personnel Officer. In order for a retirement to become effective and for the Officer to become entitled to the benefits described in this Policy a minimum of 6 months is required. In some cases additional notification time may be necessary for business reasons and appropriate planning. During this notification period, the Officer shall retain the Officer’s current compensation and benefits. All or any portion of the notification period may be waived by the firm, but only upon the written approval of the Chief Personnel Officer. Former Officers rehired within five years from the date of the termination of their previous employment will be granted credit for prior service with the firm in determining eligibility for retirement benefits. Officers with more than a five-year break-in-service will not be given credit for prior service.</w:t>
      </w:r>
    </w:p>
    <w:p>
      <w:pPr>
        <w:spacing w:after="0" w:line="240"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color w:val="auto"/>
        </w:rPr>
        <w:t>At the firm’s discretion, retiring officers may receive the firm’s transition benefits as outlined in the Transition Policy in lieu of all retirement benefits. Officers must make this request in writing to the Chief Personnel Officer.</w:t>
      </w:r>
    </w:p>
    <w:p>
      <w:pPr>
        <w:spacing w:after="0" w:line="215"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At the firm’s discretion, Officers departing the firm who do not meet the eligibility criteria to retire as an Officer but have been with the firm for at least 25 years, in either an Officer or staff position, may be offered continued health and dental coverage in concert with the U.S. Retired Officer Medical and Dental Plan.</w:t>
      </w:r>
    </w:p>
    <w:p>
      <w:pPr>
        <w:spacing w:after="0" w:line="237" w:lineRule="auto"/>
        <w:rPr>
          <w:sz w:val="20"/>
          <w:szCs w:val="20"/>
          <w:color w:val="auto"/>
        </w:rPr>
      </w:pPr>
      <w:r>
        <w:rPr>
          <w:rFonts w:ascii="Arial" w:cs="Arial" w:eastAsia="Arial" w:hAnsi="Arial"/>
          <w:sz w:val="21"/>
          <w:szCs w:val="21"/>
          <w:b w:val="1"/>
          <w:bCs w:val="1"/>
          <w:u w:val="single" w:color="auto"/>
          <w:color w:val="auto"/>
        </w:rPr>
        <w:t>Approaching Retirement</w:t>
      </w:r>
    </w:p>
    <w:p>
      <w:pPr>
        <w:spacing w:after="0" w:line="1"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When an Officer is within one year of retirement eligibility, he/she will be provided with an overview of retirement policies and benefits. Beginning at age 55, formal appraisals may specifically address the issue of the Officer’s future role. Officers are expected to inform their team/management of intentions regarding retirement well in advance to allow adequate time for transition planning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10.6</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Retirement may be staged in one of two ways:</w:t>
      </w:r>
    </w:p>
    <w:p>
      <w:pPr>
        <w:spacing w:after="0" w:line="108" w:lineRule="exact"/>
        <w:rPr>
          <w:sz w:val="20"/>
          <w:szCs w:val="20"/>
          <w:color w:val="auto"/>
        </w:rPr>
      </w:pPr>
    </w:p>
    <w:p>
      <w:pPr>
        <w:ind w:left="460" w:hanging="128"/>
        <w:spacing w:after="0"/>
        <w:tabs>
          <w:tab w:leader="none" w:pos="4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From full engagement to full retirement on an agreed date</w:t>
      </w:r>
    </w:p>
    <w:p>
      <w:pPr>
        <w:spacing w:after="0" w:line="107" w:lineRule="exact"/>
        <w:rPr>
          <w:rFonts w:ascii="Arial" w:cs="Arial" w:eastAsia="Arial" w:hAnsi="Arial"/>
          <w:sz w:val="20"/>
          <w:szCs w:val="20"/>
          <w:color w:val="auto"/>
        </w:rPr>
      </w:pPr>
    </w:p>
    <w:p>
      <w:pPr>
        <w:ind w:left="500" w:right="380" w:hanging="168"/>
        <w:spacing w:after="0" w:line="243" w:lineRule="auto"/>
        <w:tabs>
          <w:tab w:leader="none" w:pos="462" w:val="left"/>
        </w:tabs>
        <w:numPr>
          <w:ilvl w:val="0"/>
          <w:numId w:val="86"/>
        </w:numPr>
        <w:rPr>
          <w:rFonts w:ascii="Arial" w:cs="Arial" w:eastAsia="Arial" w:hAnsi="Arial"/>
          <w:sz w:val="20"/>
          <w:szCs w:val="20"/>
          <w:color w:val="auto"/>
        </w:rPr>
      </w:pPr>
      <w:r>
        <w:rPr>
          <w:rFonts w:ascii="Arial" w:cs="Arial" w:eastAsia="Arial" w:hAnsi="Arial"/>
          <w:sz w:val="20"/>
          <w:szCs w:val="20"/>
          <w:color w:val="auto"/>
        </w:rPr>
        <w:t>“Phase down” with reduced points, objectives, and level of effort over a period that is not expected to exceed three years. (The Flexible Work Arrangements Policy, which allows Officers and staff to work at less than 100% with compensation reduced accordingly, continues to be an option and is not affected by the Retirement Policy.)</w:t>
      </w:r>
    </w:p>
    <w:p>
      <w:pPr>
        <w:spacing w:after="0" w:line="98" w:lineRule="exact"/>
        <w:rPr>
          <w:sz w:val="20"/>
          <w:szCs w:val="20"/>
          <w:color w:val="auto"/>
        </w:rPr>
      </w:pPr>
    </w:p>
    <w:p>
      <w:pPr>
        <w:ind w:right="1380"/>
        <w:spacing w:after="0" w:line="247" w:lineRule="auto"/>
        <w:rPr>
          <w:sz w:val="20"/>
          <w:szCs w:val="20"/>
          <w:color w:val="auto"/>
        </w:rPr>
      </w:pPr>
      <w:r>
        <w:rPr>
          <w:rFonts w:ascii="Arial" w:cs="Arial" w:eastAsia="Arial" w:hAnsi="Arial"/>
          <w:sz w:val="20"/>
          <w:szCs w:val="20"/>
          <w:color w:val="auto"/>
        </w:rPr>
        <w:t>Level of involvement, role, and activities of Officers in “phase down” mode will be agreed upon with the appropriate team/management and reviewed annually.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Retirement Payment</w:t>
      </w:r>
    </w:p>
    <w:p>
      <w:pPr>
        <w:spacing w:after="0" w:line="24"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For each year of service as an Officer, an Officer is eligible for a retirement payment of $10,000, pro-rated as appropriate. An Officer’s eligibility to receive the retirement payment shall be determined on the following basis:</w:t>
      </w:r>
    </w:p>
    <w:p>
      <w:pPr>
        <w:spacing w:after="0" w:line="215" w:lineRule="exact"/>
        <w:rPr>
          <w:sz w:val="20"/>
          <w:szCs w:val="20"/>
          <w:color w:val="auto"/>
        </w:rPr>
      </w:pPr>
    </w:p>
    <w:p>
      <w:pPr>
        <w:ind w:left="500" w:right="420" w:hanging="168"/>
        <w:spacing w:after="0" w:line="247" w:lineRule="auto"/>
        <w:tabs>
          <w:tab w:leader="none" w:pos="4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Officer has retired on his/her own volition, his/her employment with the firm has not been terminated by the firm, and he/she has not received severance benefits to which an Officer who has been terminated would be entitled, and</w:t>
      </w:r>
    </w:p>
    <w:p>
      <w:pPr>
        <w:spacing w:after="0" w:line="93" w:lineRule="exact"/>
        <w:rPr>
          <w:rFonts w:ascii="Arial" w:cs="Arial" w:eastAsia="Arial" w:hAnsi="Arial"/>
          <w:sz w:val="20"/>
          <w:szCs w:val="20"/>
          <w:color w:val="auto"/>
        </w:rPr>
      </w:pPr>
    </w:p>
    <w:p>
      <w:pPr>
        <w:ind w:left="460" w:hanging="128"/>
        <w:spacing w:after="0"/>
        <w:tabs>
          <w:tab w:leader="none" w:pos="4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Officer has completed at least five years of service as an Officer and has reached the age of 60, or</w:t>
      </w:r>
    </w:p>
    <w:p>
      <w:pPr>
        <w:spacing w:after="0" w:line="107" w:lineRule="exact"/>
        <w:rPr>
          <w:rFonts w:ascii="Arial" w:cs="Arial" w:eastAsia="Arial" w:hAnsi="Arial"/>
          <w:sz w:val="20"/>
          <w:szCs w:val="20"/>
          <w:color w:val="auto"/>
        </w:rPr>
      </w:pPr>
    </w:p>
    <w:p>
      <w:pPr>
        <w:ind w:left="460" w:hanging="128"/>
        <w:spacing w:after="0"/>
        <w:tabs>
          <w:tab w:leader="none" w:pos="4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Officer has completed at least 10 years of service as an Officer and has reached the age of 50.</w:t>
      </w:r>
    </w:p>
    <w:p>
      <w:pPr>
        <w:spacing w:after="0" w:line="107" w:lineRule="exact"/>
        <w:rPr>
          <w:rFonts w:ascii="Arial" w:cs="Arial" w:eastAsia="Arial" w:hAnsi="Arial"/>
          <w:sz w:val="20"/>
          <w:szCs w:val="20"/>
          <w:color w:val="auto"/>
        </w:rPr>
      </w:pPr>
    </w:p>
    <w:p>
      <w:pPr>
        <w:ind w:left="460" w:hanging="128"/>
        <w:spacing w:after="0"/>
        <w:tabs>
          <w:tab w:leader="none" w:pos="4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Officer terminated for cause will be ineligible to receive this payment.</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Retirement-related Policies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The firm has established other Officer Policies that include provisions applicable to Officers upon retirement:</w:t>
      </w:r>
    </w:p>
    <w:p>
      <w:pPr>
        <w:spacing w:after="0" w:line="229" w:lineRule="exact"/>
        <w:rPr>
          <w:sz w:val="20"/>
          <w:szCs w:val="20"/>
          <w:color w:val="auto"/>
        </w:rPr>
      </w:pPr>
    </w:p>
    <w:p>
      <w:pPr>
        <w:ind w:left="140" w:hanging="132"/>
        <w:spacing w:after="0"/>
        <w:tabs>
          <w:tab w:leader="none" w:pos="1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Bonus Awards for Departing Officers</w:t>
      </w:r>
    </w:p>
    <w:p>
      <w:pPr>
        <w:ind w:left="140" w:hanging="132"/>
        <w:spacing w:after="0"/>
        <w:tabs>
          <w:tab w:leader="none" w:pos="1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Officer Perquisites - Financial Counseling (Pre-retirement)</w:t>
      </w:r>
    </w:p>
    <w:p>
      <w:pPr>
        <w:ind w:left="140" w:hanging="132"/>
        <w:spacing w:after="0"/>
        <w:tabs>
          <w:tab w:leader="none" w:pos="1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Retirement Celebration and Gift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Benefits in Retirement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Counseling and Annual Physical Examinations</w:t>
      </w:r>
    </w:p>
    <w:p>
      <w:pPr>
        <w:ind w:right="260"/>
        <w:spacing w:after="0" w:line="272" w:lineRule="auto"/>
        <w:rPr>
          <w:sz w:val="20"/>
          <w:szCs w:val="20"/>
          <w:color w:val="auto"/>
        </w:rPr>
      </w:pPr>
      <w:r>
        <w:rPr>
          <w:rFonts w:ascii="Arial" w:cs="Arial" w:eastAsia="Arial" w:hAnsi="Arial"/>
          <w:sz w:val="19"/>
          <w:szCs w:val="19"/>
          <w:color w:val="auto"/>
        </w:rPr>
        <w:t>Upon retirement, $4,000 is available each year as a combined amount to be applied toward financial counseling/tax preparation assistance and/or an annual physical examination if not covered under the retired Officer’s medical insurance plan.</w:t>
      </w:r>
    </w:p>
    <w:p>
      <w:pPr>
        <w:spacing w:after="0" w:line="194" w:lineRule="exact"/>
        <w:rPr>
          <w:sz w:val="20"/>
          <w:szCs w:val="20"/>
          <w:color w:val="auto"/>
        </w:rPr>
      </w:pPr>
    </w:p>
    <w:p>
      <w:pPr>
        <w:ind w:right="760"/>
        <w:spacing w:after="0" w:line="247" w:lineRule="auto"/>
        <w:rPr>
          <w:sz w:val="20"/>
          <w:szCs w:val="20"/>
          <w:color w:val="auto"/>
        </w:rPr>
      </w:pPr>
      <w:r>
        <w:rPr>
          <w:rFonts w:ascii="Arial" w:cs="Arial" w:eastAsia="Arial" w:hAnsi="Arial"/>
          <w:sz w:val="20"/>
          <w:szCs w:val="20"/>
          <w:color w:val="auto"/>
        </w:rPr>
        <w:t>These benefits will be provided to non-U.S. citizen, non-U.S. based, retired Officers at the same pre-tax cost to the firm as incurred for U.S.-citizen/U.S.-based retired Officers.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Medical Insurance</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Comprehensive medical insurance coverage will continue for U.S.-based/U.S.-citizen Officers in retirement under the U.S. Retired Officer Medical and Dental Insurance Plan or a successor plan (the “Retired Officer Medical Plan”); premiums are paid by the firm. If a retired Officer pre-deceases his/her spouse or domestic partner, the spouse/domestic partner can remain in the Retired Officer Medical Plan for life at the firm’s expense. Officers based outside the U. S. will be provided comparable coverage. (Coverage in the Medical Plus plan ends on the date of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10.6</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If during the five-year period after a “change in control” (as defined in the Amended and Restated Equity Incentive Plan) the Retired Officer Medical Plan is terminated or modified in a manner that is materially adverse to Officers or retired Officers, all Officers (and their spouses/domestic partners) and all retired Officers (and their spouses/domestic partners) who are covered by the Retired Officer Medical Plan will be guaranteed continued benefits under the Retired Officer Medical Plan through the fifth anniversary of the change in control. In addition, each Officer (or their spouse/domestic partner) and each retired Officer (or their spouse/domestic partner) who is covered by the Retired Officer Medical Plan shall be paid, during the 90-day period following the fifth anniversary of the change in control, an amount equal to the excess of the actuarial cost of the Officer’s (and their spouse’s/domestic partner’s) or retired Officer’s (and spouse’s/domestic partner’s) benefits under the Retired Officer Medical Plan that would be accrued on the firm’s financial statements on the fifth anniversary of the change in control in the absence of such termination or modification of the Retired Officer Medical Plan over the amount that is accrued on the firm’s financial statements on the fifth anniversary of the change in control giving effect to the termination or modification (but excluding any accrual for the payment itself). The actuarial and other assumptions used in calculating the accruals will be the same assumptions as those used to calculate the accrual immediately prior to the change in control, with such changes as are required under generally accepted accounting principles or as otherwise approved by a majority of the members of the firm’s leadership team, as constituted immediately prior to the change in control (the “CIC Team”).</w:t>
      </w:r>
    </w:p>
    <w:p>
      <w:pPr>
        <w:spacing w:after="0" w:line="22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The firm will notify the Officers of any termination or modification that will result in a payment under this policy within 30 days after a decision to terminate or modify the Retired Officer Medical Plan is approved and in any event no later than 90 days prior to the fifth anniversary of the change in control. Within 30 days after the fifth anniversary of the change in control, the firm will prepare and deliver to the CIC Team a statement setting forth the calculation of the aggregate payments to the Officers. The CIC Team, acting by majority vote, will have 30 days following receipt of the calculation to deliver a written notice that the Officers dispute the calculation of the payments, which notice will set forth in reasonable detail the basis for the dispute (e.g., mathematical errors or a change in assumptions other than as required by generally accepted accounting principles). If the CIC Team does not submit a notice of dispute prior to the end of the 30-day period, the calculation will be deemed final and binding. The firm and the CIC Team will work in good faith to resolve any dispute as promptly as possible. Any portion of the accruals that are not in dispute (i.e., the payment as originally calculated by the firm) will be paid to the Officers on or before the 90th day following the fifth anniversary of the change in control.</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20"/>
          <w:szCs w:val="20"/>
          <w:color w:val="auto"/>
        </w:rPr>
        <w:t>If the firm and the CIC Team are unable to resolve a dispute on or before the 30th day following receipt by the firm of the notice of dispute, the firm will retain a nationally recognized independent public accounting firm (the “Accounting Firm”) selected by the CIC Team to resolve any remaining disputes contained in the notice of dispute. The Accounting Firm will return a determination to the firm and the CIC Team as soon as practicable and no later than 60 days after being engaged to resolve the disputes. The determination of the Accounting Firm will be final and binding with respect to all disputes presented to it. The firm will pay any remaining amount within 30 days of the resolution of the dispute and, in any event, no later than December 31 of the year in which the Accounting Firm delivers its final determination. For purposes of this provision, “Officer” shall include those Vice Presidents of the firm who were Senior Directors as of 10/1/2009.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Plan</w:t>
      </w:r>
    </w:p>
    <w:p>
      <w:pPr>
        <w:spacing w:after="0" w:line="24"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Retired Officers are eligible for a distribution of vested benefits from their firm-sponsored capital accumulation/retirement/pension plan, subject to plan distribution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24" w:lineRule="exact"/>
        <w:rPr>
          <w:sz w:val="20"/>
          <w:szCs w:val="20"/>
          <w:color w:val="auto"/>
        </w:rPr>
      </w:pPr>
    </w:p>
    <w:p>
      <w:pPr>
        <w:ind w:right="480"/>
        <w:spacing w:after="0" w:line="247" w:lineRule="auto"/>
        <w:rPr>
          <w:sz w:val="20"/>
          <w:szCs w:val="20"/>
          <w:color w:val="auto"/>
        </w:rPr>
      </w:pPr>
      <w:r>
        <w:rPr>
          <w:rFonts w:ascii="Arial" w:cs="Arial" w:eastAsia="Arial" w:hAnsi="Arial"/>
          <w:sz w:val="20"/>
          <w:szCs w:val="20"/>
          <w:color w:val="auto"/>
        </w:rPr>
        <w:t>The $10,000 per year retirement payment and the $4,000 annual combined financial counseling/physical exam payments are based on current economics and purchasing power. In the future, the Board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10.6</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expected to revise these amounts, at its discretion, to reflect purchasing power, point values, and the like.</w:t>
      </w:r>
    </w:p>
    <w:p>
      <w:pPr>
        <w:spacing w:after="0" w:line="229"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Income taxes payable with respect to payments made under this policy are subject to determination based on the tax residence of the retired Officer.</w:t>
      </w:r>
    </w:p>
    <w:p>
      <w:pPr>
        <w:spacing w:after="0" w:line="21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Matters related to equity in Booz Allen Hamilton Holding Corporation from terminated Officers shall be under the authority of the Compensation Committee of the Board of Directors of Booz Allen Hamilton Holding Corporation, and shall be governed generally by the Amended and Restated Stockholders Agreement, applicable Stock Option Agreements and Restricted Stock Agreements, Amended and Restated Equity Incentive Plan (EIP), Rollover Stock Option Agreement, and Officers’ Rollover Stock Plan,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Release of Claims</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Retirement payments and benefits shall be contingent upon the Officer’s execution and non-revocation of a release of claims in the form provided by the firm. Any payment that would otherwise have been made during such execution and revocation period shall be paid in a lump sum on the first payment date to occur after the release becomes irrevocable, provided that, if such execution and revocation period spans more than one calendar year, no such payments shall be made until the first payroll date in the second calendar year. Failure by an Officer to execute an irrevocable release of claims within the time frame established by the firm will result in the Officer’s forfeiture of all payments and benefits otherwise due under this Policy.</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POINTS OF CONTACT AND ADDITIONAL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Any request for variations from this policy must be reviewed and approved by the Chief Personnel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7254875" cy="2032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725487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333333"/>
        </w:rPr>
        <w:t>DISCLAIMER</w:t>
      </w:r>
    </w:p>
    <w:p>
      <w:pPr>
        <w:spacing w:after="0" w:line="187" w:lineRule="exact"/>
        <w:rPr>
          <w:sz w:val="20"/>
          <w:szCs w:val="20"/>
          <w:color w:val="auto"/>
        </w:rPr>
      </w:pPr>
    </w:p>
    <w:p>
      <w:pPr>
        <w:jc w:val="both"/>
        <w:ind w:left="40" w:right="180"/>
        <w:spacing w:after="0" w:line="262" w:lineRule="auto"/>
        <w:rPr>
          <w:sz w:val="20"/>
          <w:szCs w:val="20"/>
          <w:color w:val="auto"/>
        </w:rPr>
      </w:pPr>
      <w:r>
        <w:rPr>
          <w:rFonts w:ascii="Arial" w:cs="Arial" w:eastAsia="Arial" w:hAnsi="Arial"/>
          <w:sz w:val="16"/>
          <w:szCs w:val="16"/>
          <w:color w:val="333333"/>
        </w:rPr>
        <w:t>Please note that this policy and any other firm policies are not a contract and do not create any contractual relationship of any kind between the firm and any of its employees, including without limitation any right to continued employment for any period of time with the firm. Rather, this policy and other firm policies provide general guidance as to the firm's policies and procedures.</w:t>
      </w:r>
    </w:p>
    <w:p>
      <w:pPr>
        <w:spacing w:after="0" w:line="181" w:lineRule="exact"/>
        <w:rPr>
          <w:sz w:val="20"/>
          <w:szCs w:val="20"/>
          <w:color w:val="auto"/>
        </w:rPr>
      </w:pPr>
    </w:p>
    <w:p>
      <w:pPr>
        <w:ind w:left="40" w:right="280"/>
        <w:spacing w:after="0" w:line="278" w:lineRule="auto"/>
        <w:rPr>
          <w:sz w:val="20"/>
          <w:szCs w:val="20"/>
          <w:color w:val="auto"/>
        </w:rPr>
      </w:pPr>
      <w:r>
        <w:rPr>
          <w:rFonts w:ascii="Arial" w:cs="Arial" w:eastAsia="Arial" w:hAnsi="Arial"/>
          <w:sz w:val="16"/>
          <w:szCs w:val="16"/>
          <w:color w:val="333333"/>
        </w:rPr>
        <w:t>All employees are employed at all times "at-will," which means that either the employee or the firm has the right to terminate the employee's employment at any time for any or no reason with or without notice.</w:t>
      </w:r>
    </w:p>
    <w:p>
      <w:pPr>
        <w:spacing w:after="0" w:line="168" w:lineRule="exact"/>
        <w:rPr>
          <w:sz w:val="20"/>
          <w:szCs w:val="20"/>
          <w:color w:val="auto"/>
        </w:rPr>
      </w:pPr>
    </w:p>
    <w:p>
      <w:pPr>
        <w:ind w:left="40" w:right="140"/>
        <w:spacing w:after="0" w:line="257" w:lineRule="auto"/>
        <w:rPr>
          <w:sz w:val="20"/>
          <w:szCs w:val="20"/>
          <w:color w:val="auto"/>
        </w:rPr>
      </w:pPr>
      <w:r>
        <w:rPr>
          <w:rFonts w:ascii="Arial" w:cs="Arial" w:eastAsia="Arial" w:hAnsi="Arial"/>
          <w:sz w:val="16"/>
          <w:szCs w:val="16"/>
          <w:color w:val="333333"/>
        </w:rPr>
        <w:t>The policy applies to all directors, officers, and employees of the firm; the failure of any of these individuals to comply with the policy may result in disciplinary action up to and including termination of employment. In accordance with the Code of Business Ethics and Conduct (Green Book), all such individuals also are obligated to report any observed or reasonably suspected violations of this policy. The firm's non-retaliation policy applies to anyone making a report and is strictly enforced.</w:t>
      </w:r>
    </w:p>
    <w:p>
      <w:pPr>
        <w:spacing w:after="0" w:line="184" w:lineRule="exact"/>
        <w:rPr>
          <w:sz w:val="20"/>
          <w:szCs w:val="20"/>
          <w:color w:val="auto"/>
        </w:rPr>
      </w:pPr>
    </w:p>
    <w:p>
      <w:pPr>
        <w:jc w:val="both"/>
        <w:ind w:left="40" w:right="80"/>
        <w:spacing w:after="0" w:line="260" w:lineRule="auto"/>
        <w:rPr>
          <w:sz w:val="20"/>
          <w:szCs w:val="20"/>
          <w:color w:val="auto"/>
        </w:rPr>
      </w:pPr>
      <w:r>
        <w:rPr>
          <w:rFonts w:ascii="Arial" w:cs="Arial" w:eastAsia="Arial" w:hAnsi="Arial"/>
          <w:sz w:val="16"/>
          <w:szCs w:val="16"/>
          <w:color w:val="333333"/>
        </w:rPr>
        <w:t>This policy is proprietary and confidential. The firm reserves the right to change, amend, or discontinue any or all of its policies and procedures, at any time in its discretion with or without notice. This policy supersedes any and all previous such firm policies that may at any time have been applicable to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80"/>
        <w:spacing w:after="0"/>
        <w:rPr>
          <w:sz w:val="20"/>
          <w:szCs w:val="20"/>
          <w:color w:val="auto"/>
        </w:rPr>
      </w:pPr>
      <w:r>
        <w:rPr>
          <w:rFonts w:ascii="Arial" w:cs="Arial" w:eastAsia="Arial" w:hAnsi="Arial"/>
          <w:sz w:val="30"/>
          <w:szCs w:val="30"/>
          <w:b w:val="1"/>
          <w:bCs w:val="1"/>
          <w:color w:val="auto"/>
        </w:rPr>
        <w:t>U.S. Officer Medical and</w:t>
      </w:r>
    </w:p>
    <w:p>
      <w:pPr>
        <w:spacing w:after="0" w:line="69"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Dental Insurance Plan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Insured by: Aetna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Booz | Allen | Hamilton</w:t>
      </w:r>
    </w:p>
    <w:p>
      <w:pPr>
        <w:sectPr>
          <w:pgSz w:w="11900" w:h="16838" w:orient="portrait"/>
          <w:cols w:equalWidth="0" w:num="1">
            <w:col w:w="10220"/>
          </w:cols>
          <w:pgMar w:left="1440" w:top="40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Arial" w:cs="Arial" w:eastAsia="Arial" w:hAnsi="Arial"/>
                <w:sz w:val="18"/>
                <w:szCs w:val="18"/>
                <w:i w:val="1"/>
                <w:iCs w:val="1"/>
                <w:color w:val="auto"/>
              </w:rPr>
              <w:t>U.S. Officer Medical and Dental Plan</w:t>
            </w: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20" w:type="dxa"/>
            <w:vAlign w:val="bottom"/>
            <w:vMerge w:val="restart"/>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940" w:type="dxa"/>
            <w:vAlign w:val="bottom"/>
            <w:shd w:val="clear" w:color="auto" w:fill="BEBEBE"/>
          </w:tcPr>
          <w:p>
            <w:pPr>
              <w:spacing w:after="0" w:line="202" w:lineRule="exact"/>
              <w:rPr>
                <w:sz w:val="20"/>
                <w:szCs w:val="20"/>
                <w:color w:val="auto"/>
              </w:rPr>
            </w:pPr>
            <w:r>
              <w:rPr>
                <w:rFonts w:ascii="Arial" w:cs="Arial" w:eastAsia="Arial" w:hAnsi="Arial"/>
                <w:sz w:val="18"/>
                <w:szCs w:val="18"/>
                <w:b w:val="1"/>
                <w:bCs w:val="1"/>
                <w:color w:val="auto"/>
                <w:highlight w:val="lightGray"/>
                <w:w w:val="98"/>
              </w:rPr>
              <w:t>TABLE OF CONTENTS</w:t>
            </w:r>
          </w:p>
        </w:tc>
        <w:tc>
          <w:tcPr>
            <w:tcW w:w="562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INTRODUCTION</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YOUR PLAN-AT-A-GLANCE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Medical Plan</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State-Mandated Benefits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Emergency Care and Urgent Care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Dental Plan</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ELIGIBILITY FOR PLAN COVERAGE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Your Eligibility for Plan Coverage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Your Dependents’ Eligibility for Plan Coverage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When You Can Enroll for Coverage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Making Changes During the Year</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Qualified status changes that allow you to change your Plan election include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Qualified status changes may also include changes to certain benefits resulting from other</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events, such as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Special Enrollment Events Under HIPAA</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When Coverage Begins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When Coverage Ends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HOW THE PLAN WORKS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Coinsurance and Deductibles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WHAT THE MEDICAL PLAN PAYS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Your Lifetime Benefit Maximum</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WHAT THE MEDICAL PLAN COVERS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Prescription Drugs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Mail Order Prescription Drugs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Annual Routine Physical Exams/Immunizations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Annual Routine Eye Exam</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Annual Routine Hearing Exam</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Annual Routine Prostate Screening</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Routine Mammograms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Routine OB/GYN Services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Maternity Care—Pre- and Post-Natal Care, Delivery, Newborn Nursery Care</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Routine Baby Care/Immunizations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Infertility, In Vitro and Artificial Insemination Services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Services and Supplies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Mental Health Services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560" w:type="dxa"/>
            <w:vAlign w:val="bottom"/>
            <w:gridSpan w:val="2"/>
          </w:tcPr>
          <w:p>
            <w:pPr>
              <w:ind w:left="80"/>
              <w:spacing w:after="0"/>
              <w:rPr>
                <w:sz w:val="20"/>
                <w:szCs w:val="20"/>
                <w:color w:val="auto"/>
              </w:rPr>
            </w:pPr>
            <w:r>
              <w:rPr>
                <w:rFonts w:ascii="Arial" w:cs="Arial" w:eastAsia="Arial" w:hAnsi="Arial"/>
                <w:sz w:val="18"/>
                <w:szCs w:val="18"/>
                <w:color w:val="auto"/>
              </w:rPr>
              <w:t>Substance Abuse Services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OTHER COVERED SERVICES AND SUPPLIES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STATE-MANDATED BENEFITS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436"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Arial" w:cs="Arial" w:eastAsia="Arial" w:hAnsi="Arial"/>
                <w:sz w:val="18"/>
                <w:szCs w:val="18"/>
                <w:b w:val="1"/>
                <w:bCs w:val="1"/>
                <w:color w:val="auto"/>
              </w:rPr>
              <w:t>WHAT THE DENTAL PLAN PAYS</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Calendar Year Maximum Benefit</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WHAT THE DENTAL PLAN COVERS</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Preventive Services</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Basic Services</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Major Services</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Advance Claim Review</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Prosthesis Replacement Rule</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Alternate Treatment</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Restorative</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Prosthodontics</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WHAT THE DENTAL PLAN DOES NOT COVER</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WHAT HAPPENS IF</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Go On an Approved Leave of Absence?</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Become Totally Disabled and Can No Longer work?</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Take an Unpaid Family and Medical Leave (FML)?</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Get Married, or Meet the Requirements for Domestic Partnership?</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Gain/Lose a Dependent?</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Retire?</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 Leave the Firm?</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IF YOU OR YOUR DEPENDENTS HAVE OTHER COVERAGE EXCLUDING MEDICARE</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IF YOU ARE ELIGIBLE FOR MEDICARE</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About Medicare</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Your Eligibility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Coordination of Benefits with Medicare</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HOW TO FILE A CLAIM</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Filing Health Claims Under the Plan</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If Your Claim Is Denied</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Health Claims—Standard Appeals</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Health Claims—Voluntary Appeals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External Review</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9180" w:type="dxa"/>
            <w:vAlign w:val="bottom"/>
          </w:tcPr>
          <w:p>
            <w:pPr>
              <w:spacing w:after="0"/>
              <w:rPr>
                <w:sz w:val="20"/>
                <w:szCs w:val="20"/>
                <w:color w:val="auto"/>
              </w:rPr>
            </w:pPr>
            <w:r>
              <w:rPr>
                <w:rFonts w:ascii="Arial" w:cs="Arial" w:eastAsia="Arial" w:hAnsi="Arial"/>
                <w:sz w:val="18"/>
                <w:szCs w:val="18"/>
                <w:b w:val="1"/>
                <w:bCs w:val="1"/>
                <w:color w:val="auto"/>
              </w:rPr>
              <w:t>GENERAL NOTICE OF COBRA CONTINUATION COVERAGE RIGHTS</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Your Right To Continue Coverage</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COBRA Continuation Coverage</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Qualifying Events</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Notice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Election Period</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Duration of COBRA Coverage</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9180" w:type="dxa"/>
            <w:vAlign w:val="bottom"/>
          </w:tcPr>
          <w:p>
            <w:pPr>
              <w:ind w:left="140"/>
              <w:spacing w:after="0"/>
              <w:rPr>
                <w:sz w:val="20"/>
                <w:szCs w:val="20"/>
                <w:color w:val="auto"/>
              </w:rPr>
            </w:pPr>
            <w:r>
              <w:rPr>
                <w:rFonts w:ascii="Arial" w:cs="Arial" w:eastAsia="Arial" w:hAnsi="Arial"/>
                <w:sz w:val="18"/>
                <w:szCs w:val="18"/>
                <w:color w:val="auto"/>
              </w:rPr>
              <w:t>COBRA Termination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80" w:top="526"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IMPORTANT INFORMATION</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Conversion Privileges</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Special Rights for Mothers and Newborn Children</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Women’s Health and Cancer Rights Act</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Type of Coverage</w:t>
            </w:r>
          </w:p>
        </w:tc>
        <w:tc>
          <w:tcPr>
            <w:tcW w:w="3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Who Pays for Your Benefits</w:t>
            </w:r>
          </w:p>
        </w:tc>
        <w:tc>
          <w:tcPr>
            <w:tcW w:w="3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Recovery of Benefits Paid (Reimbursement Provision)</w:t>
            </w:r>
          </w:p>
        </w:tc>
        <w:tc>
          <w:tcPr>
            <w:tcW w:w="3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Recovery of Overpayment</w:t>
            </w:r>
          </w:p>
        </w:tc>
        <w:tc>
          <w:tcPr>
            <w:tcW w:w="3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Legal Action</w:t>
            </w:r>
          </w:p>
        </w:tc>
        <w:tc>
          <w:tcPr>
            <w:tcW w:w="3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7580" w:type="dxa"/>
            <w:vAlign w:val="bottom"/>
          </w:tcPr>
          <w:p>
            <w:pPr>
              <w:ind w:left="140"/>
              <w:spacing w:after="0"/>
              <w:rPr>
                <w:sz w:val="20"/>
                <w:szCs w:val="20"/>
                <w:color w:val="auto"/>
              </w:rPr>
            </w:pPr>
            <w:r>
              <w:rPr>
                <w:rFonts w:ascii="Arial" w:cs="Arial" w:eastAsia="Arial" w:hAnsi="Arial"/>
                <w:sz w:val="18"/>
                <w:szCs w:val="18"/>
                <w:color w:val="auto"/>
              </w:rPr>
              <w:t>Amending or Terminating the Plan</w:t>
            </w:r>
          </w:p>
        </w:tc>
        <w:tc>
          <w:tcPr>
            <w:tcW w:w="3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7580" w:type="dxa"/>
            <w:vAlign w:val="bottom"/>
          </w:tcPr>
          <w:p>
            <w:pPr>
              <w:spacing w:after="0"/>
              <w:rPr>
                <w:sz w:val="20"/>
                <w:szCs w:val="20"/>
                <w:color w:val="auto"/>
              </w:rPr>
            </w:pPr>
            <w:r>
              <w:rPr>
                <w:rFonts w:ascii="Arial" w:cs="Arial" w:eastAsia="Arial" w:hAnsi="Arial"/>
                <w:sz w:val="18"/>
                <w:szCs w:val="18"/>
                <w:b w:val="1"/>
                <w:bCs w:val="1"/>
                <w:color w:val="auto"/>
              </w:rPr>
              <w:t>ABOUT THE PLAN</w:t>
            </w:r>
          </w:p>
        </w:tc>
        <w:tc>
          <w:tcPr>
            <w:tcW w:w="3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7580" w:type="dxa"/>
            <w:vAlign w:val="bottom"/>
          </w:tcPr>
          <w:p>
            <w:pPr>
              <w:spacing w:after="0"/>
              <w:rPr>
                <w:sz w:val="20"/>
                <w:szCs w:val="20"/>
                <w:color w:val="auto"/>
              </w:rPr>
            </w:pPr>
            <w:r>
              <w:rPr>
                <w:rFonts w:ascii="Arial" w:cs="Arial" w:eastAsia="Arial" w:hAnsi="Arial"/>
                <w:sz w:val="18"/>
                <w:szCs w:val="18"/>
                <w:b w:val="1"/>
                <w:bCs w:val="1"/>
                <w:color w:val="auto"/>
              </w:rPr>
              <w:t>HIPAA PRIVACY RULE</w:t>
            </w:r>
          </w:p>
        </w:tc>
        <w:tc>
          <w:tcPr>
            <w:tcW w:w="3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7580" w:type="dxa"/>
            <w:vAlign w:val="bottom"/>
          </w:tcPr>
          <w:p>
            <w:pPr>
              <w:spacing w:after="0"/>
              <w:rPr>
                <w:sz w:val="20"/>
                <w:szCs w:val="20"/>
                <w:color w:val="auto"/>
              </w:rPr>
            </w:pPr>
            <w:r>
              <w:rPr>
                <w:rFonts w:ascii="Arial" w:cs="Arial" w:eastAsia="Arial" w:hAnsi="Arial"/>
                <w:sz w:val="18"/>
                <w:szCs w:val="18"/>
                <w:b w:val="1"/>
                <w:bCs w:val="1"/>
                <w:color w:val="auto"/>
              </w:rPr>
              <w:t>GLOSSARY</w:t>
            </w:r>
          </w:p>
        </w:tc>
        <w:tc>
          <w:tcPr>
            <w:tcW w:w="37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80" w:top="52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i w:val="1"/>
          <w:iCs w:val="1"/>
          <w:color w:val="auto"/>
        </w:rPr>
        <w:t>U.S. Officer Medical and Dental Plan</w:t>
      </w: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-119380</wp:posOffset>
            </wp:positionV>
            <wp:extent cx="102933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extLst>
                        <a:ext uri="{28A0092B-C50C-407E-A947-70E740481C1C}"/>
                      </a:extLst>
                    </a:blip>
                    <a:srcRect/>
                    <a:stretch>
                      <a:fillRect/>
                    </a:stretch>
                  </pic:blipFill>
                  <pic:spPr bwMode="auto">
                    <a:xfrm>
                      <a:off x="0" y="0"/>
                      <a:ext cx="1029335" cy="128905"/>
                    </a:xfrm>
                    <a:prstGeom prst="rect">
                      <a:avLst/>
                    </a:prstGeom>
                    <a:noFill/>
                  </pic:spPr>
                </pic:pic>
              </a:graphicData>
            </a:graphic>
          </wp:anchor>
        </w:drawing>
      </w:r>
    </w:p>
    <w:p>
      <w:pPr>
        <w:spacing w:after="0" w:line="209" w:lineRule="exact"/>
        <w:rPr>
          <w:sz w:val="20"/>
          <w:szCs w:val="20"/>
          <w:color w:val="auto"/>
        </w:rPr>
      </w:pPr>
    </w:p>
    <w:p>
      <w:pPr>
        <w:ind w:left="200" w:right="140"/>
        <w:spacing w:after="0" w:line="258" w:lineRule="auto"/>
        <w:rPr>
          <w:sz w:val="20"/>
          <w:szCs w:val="20"/>
          <w:color w:val="auto"/>
        </w:rPr>
      </w:pPr>
      <w:r>
        <w:rPr>
          <w:rFonts w:ascii="Arial" w:cs="Arial" w:eastAsia="Arial" w:hAnsi="Arial"/>
          <w:sz w:val="18"/>
          <w:szCs w:val="18"/>
          <w:color w:val="auto"/>
        </w:rPr>
        <w:t>Cost-effective, quality health care is a concern for all of us today. Without adequate medical coverage, the expenses resulting from an illness or injury can be a significant financial burden.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Officer Medical and Dental Insurance Plan (the “Plan”)</w:t>
      </w:r>
      <w:r>
        <w:rPr>
          <w:rFonts w:ascii="Arial" w:cs="Arial" w:eastAsia="Arial" w:hAnsi="Arial"/>
          <w:sz w:val="11"/>
          <w:szCs w:val="11"/>
          <w:color w:val="auto"/>
        </w:rPr>
        <w:t>*</w:t>
      </w:r>
      <w:r>
        <w:rPr>
          <w:rFonts w:ascii="Arial" w:cs="Arial" w:eastAsia="Arial" w:hAnsi="Arial"/>
          <w:sz w:val="18"/>
          <w:szCs w:val="18"/>
          <w:color w:val="auto"/>
        </w:rPr>
        <w:t xml:space="preserve"> covers a variety of services and supplies</w:t>
      </w:r>
    </w:p>
    <w:p>
      <w:pPr>
        <w:spacing w:after="0" w:line="9" w:lineRule="exact"/>
        <w:rPr>
          <w:sz w:val="20"/>
          <w:szCs w:val="20"/>
          <w:color w:val="auto"/>
        </w:rPr>
      </w:pPr>
    </w:p>
    <w:p>
      <w:pPr>
        <w:ind w:left="200" w:right="100"/>
        <w:spacing w:after="0" w:line="276" w:lineRule="auto"/>
        <w:rPr>
          <w:sz w:val="20"/>
          <w:szCs w:val="20"/>
          <w:color w:val="auto"/>
        </w:rPr>
      </w:pPr>
      <w:r>
        <w:rPr>
          <w:rFonts w:ascii="Arial" w:cs="Arial" w:eastAsia="Arial" w:hAnsi="Arial"/>
          <w:sz w:val="18"/>
          <w:szCs w:val="18"/>
          <w:color w:val="auto"/>
        </w:rPr>
        <w:t>for your immediate medical needs as well as protection against long-term or catastrophic health care costs. With Plan coverage, you can enjoy the security of knowing that you and your family are well prepared to meet most health care needs.</w:t>
      </w:r>
    </w:p>
    <w:p>
      <w:pPr>
        <w:spacing w:after="0" w:line="17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This booklet is the Plan document</w:t>
      </w:r>
      <w:r>
        <w:rPr>
          <w:rFonts w:ascii="Arial" w:cs="Arial" w:eastAsia="Arial" w:hAnsi="Arial"/>
          <w:sz w:val="17"/>
          <w:szCs w:val="17"/>
          <w:i w:val="1"/>
          <w:iCs w:val="1"/>
          <w:color w:val="auto"/>
        </w:rPr>
        <w:t>.</w:t>
      </w:r>
      <w:r>
        <w:rPr>
          <w:rFonts w:ascii="Arial" w:cs="Arial" w:eastAsia="Arial" w:hAnsi="Arial"/>
          <w:sz w:val="17"/>
          <w:szCs w:val="17"/>
          <w:color w:val="auto"/>
        </w:rPr>
        <w:t xml:space="preserve"> It is also available at http://people.bah.com (accessible outside the firewall via https://secure.bah.com). This booklet explains who is eligible for coverage, when coverage begins and ends, what expenses are covered, and how to file a claim. In the back of this booklet you will find a glossary of significant definitions. You should familiarize yourself with the Plan and keep this booklet for future reference.</w:t>
      </w:r>
    </w:p>
    <w:p>
      <w:pPr>
        <w:spacing w:after="0" w:line="166"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Although this booklet provides essential information about the Plan, you should understand that it is not a complete description of the insurance policy under which benefits are provided. If there is ever a conflict between this booklet and the insurance policy, the insurance policy will take precedence. If you have questions about the Plan, please contact your Human Resources Representative.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benefits described in this booklet are provided under an insurance policy underwritten by Aetna Inc.</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YOUR PLAN-AT-A-GLANCE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-119380</wp:posOffset>
            </wp:positionV>
            <wp:extent cx="161226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3">
                      <a:extLst>
                        <a:ext uri="{28A0092B-C50C-407E-A947-70E740481C1C}"/>
                      </a:extLst>
                    </a:blip>
                    <a:srcRect/>
                    <a:stretch>
                      <a:fillRect/>
                    </a:stretch>
                  </pic:blipFill>
                  <pic:spPr bwMode="auto">
                    <a:xfrm>
                      <a:off x="0" y="0"/>
                      <a:ext cx="1612265" cy="128905"/>
                    </a:xfrm>
                    <a:prstGeom prst="rect">
                      <a:avLst/>
                    </a:prstGeom>
                    <a:noFill/>
                  </pic:spPr>
                </pic:pic>
              </a:graphicData>
            </a:graphic>
          </wp:anchor>
        </w:drawing>
      </w:r>
    </w:p>
    <w:p>
      <w:pPr>
        <w:spacing w:after="0" w:line="20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This section provides an overview of the key features of the Plan. See the pages that follow for further details, applicable limitations, and exclusions that are not shown here.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Medical Plan</w:t>
      </w:r>
    </w:p>
    <w:p>
      <w:pPr>
        <w:spacing w:after="0" w:line="392" w:lineRule="exact"/>
        <w:rPr>
          <w:sz w:val="20"/>
          <w:szCs w:val="20"/>
          <w:color w:val="auto"/>
        </w:rPr>
      </w:pPr>
    </w:p>
    <w:tbl>
      <w:tblPr>
        <w:tblLayout w:type="fixed"/>
        <w:tblInd w:w="90" w:type="dxa"/>
        <w:tblCellMar>
          <w:top w:w="0" w:type="dxa"/>
          <w:left w:w="0" w:type="dxa"/>
          <w:bottom w:w="0" w:type="dxa"/>
          <w:right w:w="0" w:type="dxa"/>
        </w:tblCellMar>
      </w:tblPr>
      <w:tr>
        <w:trPr>
          <w:trHeight w:val="264"/>
        </w:trPr>
        <w:tc>
          <w:tcPr>
            <w:tcW w:w="5560" w:type="dxa"/>
            <w:vAlign w:val="bottom"/>
            <w:tcBorders>
              <w:left w:val="single" w:sz="8" w:color="auto"/>
              <w:bottom w:val="single" w:sz="8" w:color="auto"/>
              <w:right w:val="single" w:sz="8" w:color="auto"/>
            </w:tcBorders>
            <w:shd w:val="clear" w:color="auto" w:fill="000000"/>
          </w:tcPr>
          <w:p>
            <w:pPr>
              <w:ind w:left="180"/>
              <w:spacing w:after="0"/>
              <w:rPr>
                <w:sz w:val="20"/>
                <w:szCs w:val="20"/>
                <w:color w:val="auto"/>
              </w:rPr>
            </w:pPr>
            <w:r>
              <w:rPr>
                <w:rFonts w:ascii="Arial" w:cs="Arial" w:eastAsia="Arial" w:hAnsi="Arial"/>
                <w:sz w:val="18"/>
                <w:szCs w:val="18"/>
                <w:b w:val="1"/>
                <w:bCs w:val="1"/>
                <w:color w:val="FFFFFF"/>
              </w:rPr>
              <w:t>Plan Features</w:t>
            </w:r>
          </w:p>
        </w:tc>
        <w:tc>
          <w:tcPr>
            <w:tcW w:w="550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8"/>
                <w:szCs w:val="18"/>
                <w:b w:val="1"/>
                <w:bCs w:val="1"/>
                <w:color w:val="FFFFFF"/>
              </w:rPr>
              <w:t>Benefits</w:t>
            </w:r>
          </w:p>
        </w:tc>
        <w:tc>
          <w:tcPr>
            <w:tcW w:w="20" w:type="dxa"/>
            <w:vAlign w:val="bottom"/>
            <w:tcBorders>
              <w:bottom w:val="single" w:sz="8" w:color="auto"/>
            </w:tcBorders>
          </w:tcPr>
          <w:p>
            <w:pPr>
              <w:spacing w:after="0"/>
              <w:rPr>
                <w:sz w:val="22"/>
                <w:szCs w:val="22"/>
                <w:color w:val="auto"/>
              </w:rPr>
            </w:pPr>
          </w:p>
        </w:tc>
      </w:tr>
      <w:tr>
        <w:trPr>
          <w:trHeight w:val="243"/>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Calendar Year Deductible</w:t>
            </w:r>
          </w:p>
        </w:tc>
        <w:tc>
          <w:tcPr>
            <w:tcW w:w="5500" w:type="dxa"/>
            <w:vAlign w:val="bottom"/>
          </w:tcPr>
          <w:p>
            <w:pPr>
              <w:ind w:left="100"/>
              <w:spacing w:after="0"/>
              <w:rPr>
                <w:sz w:val="20"/>
                <w:szCs w:val="20"/>
                <w:color w:val="auto"/>
              </w:rPr>
            </w:pPr>
            <w:r>
              <w:rPr>
                <w:rFonts w:ascii="Arial" w:cs="Arial" w:eastAsia="Arial" w:hAnsi="Arial"/>
                <w:sz w:val="18"/>
                <w:szCs w:val="18"/>
                <w:color w:val="auto"/>
              </w:rPr>
              <w:t>None</w:t>
            </w:r>
          </w:p>
        </w:tc>
        <w:tc>
          <w:tcPr>
            <w:tcW w:w="20" w:type="dxa"/>
            <w:vAlign w:val="bottom"/>
            <w:shd w:val="clear" w:color="auto" w:fill="000000"/>
          </w:tcPr>
          <w:p>
            <w:pPr>
              <w:spacing w:after="0"/>
              <w:rPr>
                <w:sz w:val="21"/>
                <w:szCs w:val="2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Out-of-Pocket Maximum per Calendar Year</w:t>
            </w:r>
          </w:p>
        </w:tc>
        <w:tc>
          <w:tcPr>
            <w:tcW w:w="5500" w:type="dxa"/>
            <w:vAlign w:val="bottom"/>
          </w:tcPr>
          <w:p>
            <w:pPr>
              <w:ind w:left="100"/>
              <w:spacing w:after="0"/>
              <w:rPr>
                <w:sz w:val="20"/>
                <w:szCs w:val="20"/>
                <w:color w:val="auto"/>
              </w:rPr>
            </w:pPr>
            <w:r>
              <w:rPr>
                <w:rFonts w:ascii="Arial" w:cs="Arial" w:eastAsia="Arial" w:hAnsi="Arial"/>
                <w:sz w:val="18"/>
                <w:szCs w:val="18"/>
                <w:color w:val="auto"/>
              </w:rPr>
              <w:t>N/A</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1"/>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Lifetime Maximum benefit</w:t>
            </w:r>
          </w:p>
        </w:tc>
        <w:tc>
          <w:tcPr>
            <w:tcW w:w="5500" w:type="dxa"/>
            <w:vAlign w:val="bottom"/>
          </w:tcPr>
          <w:p>
            <w:pPr>
              <w:ind w:left="100"/>
              <w:spacing w:after="0"/>
              <w:rPr>
                <w:sz w:val="20"/>
                <w:szCs w:val="20"/>
                <w:color w:val="auto"/>
              </w:rPr>
            </w:pPr>
            <w:r>
              <w:rPr>
                <w:rFonts w:ascii="Arial" w:cs="Arial" w:eastAsia="Arial" w:hAnsi="Arial"/>
                <w:sz w:val="18"/>
                <w:szCs w:val="18"/>
                <w:color w:val="auto"/>
              </w:rPr>
              <w:t>Unlimited</w:t>
            </w:r>
          </w:p>
        </w:tc>
        <w:tc>
          <w:tcPr>
            <w:tcW w:w="20" w:type="dxa"/>
            <w:vAlign w:val="bottom"/>
            <w:tcBorders>
              <w:bottom w:val="single" w:sz="8" w:color="auto"/>
            </w:tcBorders>
            <w:shd w:val="clear" w:color="auto" w:fill="000000"/>
          </w:tcPr>
          <w:p>
            <w:pPr>
              <w:spacing w:after="0"/>
              <w:rPr>
                <w:sz w:val="23"/>
                <w:szCs w:val="23"/>
                <w:color w:val="auto"/>
              </w:rPr>
            </w:pPr>
          </w:p>
        </w:tc>
      </w:tr>
      <w:tr>
        <w:trPr>
          <w:trHeight w:val="243"/>
        </w:trPr>
        <w:tc>
          <w:tcPr>
            <w:tcW w:w="5560" w:type="dxa"/>
            <w:vAlign w:val="bottom"/>
            <w:tcBorders>
              <w:top w:val="single" w:sz="8" w:color="BEBEBE"/>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Hospital Services</w:t>
            </w:r>
          </w:p>
        </w:tc>
        <w:tc>
          <w:tcPr>
            <w:tcW w:w="5500" w:type="dxa"/>
            <w:vAlign w:val="bottom"/>
            <w:tcBorders>
              <w:top w:val="single" w:sz="8" w:color="BEBEBE"/>
            </w:tcBorders>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r>
      <w:tr>
        <w:trPr>
          <w:trHeight w:val="270"/>
        </w:trPr>
        <w:tc>
          <w:tcPr>
            <w:tcW w:w="55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Inpatient coverage</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3"/>
                <w:szCs w:val="23"/>
                <w:color w:val="auto"/>
              </w:rPr>
            </w:pPr>
          </w:p>
        </w:tc>
      </w:tr>
      <w:tr>
        <w:trPr>
          <w:trHeight w:val="270"/>
        </w:trPr>
        <w:tc>
          <w:tcPr>
            <w:tcW w:w="55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Outpatient coverage</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3"/>
                <w:szCs w:val="23"/>
                <w:color w:val="auto"/>
              </w:rPr>
            </w:pPr>
          </w:p>
        </w:tc>
      </w:tr>
      <w:tr>
        <w:trPr>
          <w:trHeight w:val="270"/>
        </w:trPr>
        <w:tc>
          <w:tcPr>
            <w:tcW w:w="55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Emergency Room</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3"/>
                <w:szCs w:val="23"/>
                <w:color w:val="auto"/>
              </w:rPr>
            </w:pPr>
          </w:p>
        </w:tc>
      </w:tr>
      <w:tr>
        <w:trPr>
          <w:trHeight w:val="270"/>
        </w:trPr>
        <w:tc>
          <w:tcPr>
            <w:tcW w:w="55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Non-emergency use of the Emergency Room</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3"/>
                <w:szCs w:val="23"/>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Outpatient Surgical Expenses</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Second Surgical Opinion</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Maternity Care</w:t>
            </w:r>
          </w:p>
        </w:tc>
        <w:tc>
          <w:tcPr>
            <w:tcW w:w="5500" w:type="dxa"/>
            <w:vAlign w:val="bottom"/>
          </w:tcPr>
          <w:p>
            <w:pPr>
              <w:ind w:left="100"/>
              <w:spacing w:after="0"/>
              <w:rPr>
                <w:sz w:val="20"/>
                <w:szCs w:val="20"/>
                <w:color w:val="auto"/>
              </w:rPr>
            </w:pPr>
            <w:r>
              <w:rPr>
                <w:rFonts w:ascii="Arial" w:cs="Arial" w:eastAsia="Arial" w:hAnsi="Arial"/>
                <w:sz w:val="18"/>
                <w:szCs w:val="18"/>
                <w:color w:val="auto"/>
              </w:rPr>
              <w:t>100%, pre- and post-natal care, delivery, new-born nursery</w:t>
            </w:r>
          </w:p>
        </w:tc>
        <w:tc>
          <w:tcPr>
            <w:tcW w:w="20" w:type="dxa"/>
            <w:vAlign w:val="bottom"/>
            <w:shd w:val="clear" w:color="auto" w:fill="000000"/>
          </w:tcPr>
          <w:p>
            <w:pPr>
              <w:spacing w:after="0"/>
              <w:rPr>
                <w:sz w:val="19"/>
                <w:szCs w:val="19"/>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care</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Physician Office visits</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Prescription Drug</w:t>
            </w:r>
          </w:p>
        </w:tc>
        <w:tc>
          <w:tcPr>
            <w:tcW w:w="5500" w:type="dxa"/>
            <w:vAlign w:val="bottom"/>
          </w:tcPr>
          <w:p>
            <w:pPr>
              <w:ind w:left="100"/>
              <w:spacing w:after="0"/>
              <w:rPr>
                <w:sz w:val="20"/>
                <w:szCs w:val="20"/>
                <w:color w:val="auto"/>
              </w:rPr>
            </w:pPr>
            <w:r>
              <w:rPr>
                <w:rFonts w:ascii="Arial" w:cs="Arial" w:eastAsia="Arial" w:hAnsi="Arial"/>
                <w:sz w:val="18"/>
                <w:szCs w:val="18"/>
                <w:color w:val="auto"/>
              </w:rPr>
              <w:t>100%, including oral contraceptives</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Mail Order Prescription Drug</w:t>
            </w:r>
          </w:p>
        </w:tc>
        <w:tc>
          <w:tcPr>
            <w:tcW w:w="5500" w:type="dxa"/>
            <w:vAlign w:val="bottom"/>
          </w:tcPr>
          <w:p>
            <w:pPr>
              <w:ind w:left="100"/>
              <w:spacing w:after="0"/>
              <w:rPr>
                <w:sz w:val="20"/>
                <w:szCs w:val="20"/>
                <w:color w:val="auto"/>
              </w:rPr>
            </w:pPr>
            <w:r>
              <w:rPr>
                <w:rFonts w:ascii="Arial" w:cs="Arial" w:eastAsia="Arial" w:hAnsi="Arial"/>
                <w:sz w:val="18"/>
                <w:szCs w:val="18"/>
                <w:color w:val="auto"/>
              </w:rPr>
              <w:t>100%, including oral contraceptives</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Allergy Testing</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18"/>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Allergy serum, allergy injections, and injectable</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8"/>
                <w:szCs w:val="18"/>
                <w:color w:val="auto"/>
              </w:rPr>
            </w:pPr>
          </w:p>
        </w:tc>
      </w:tr>
      <w:tr>
        <w:trPr>
          <w:trHeight w:val="234"/>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drugs</w:t>
            </w:r>
          </w:p>
        </w:tc>
        <w:tc>
          <w:tcPr>
            <w:tcW w:w="5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Routine Baby Care/Immunizations</w:t>
            </w:r>
          </w:p>
        </w:tc>
        <w:tc>
          <w:tcPr>
            <w:tcW w:w="5500" w:type="dxa"/>
            <w:vAlign w:val="bottom"/>
          </w:tcPr>
          <w:p>
            <w:pPr>
              <w:ind w:left="100"/>
              <w:spacing w:after="0"/>
              <w:rPr>
                <w:sz w:val="20"/>
                <w:szCs w:val="20"/>
                <w:color w:val="auto"/>
              </w:rPr>
            </w:pPr>
            <w:r>
              <w:rPr>
                <w:rFonts w:ascii="Arial" w:cs="Arial" w:eastAsia="Arial" w:hAnsi="Arial"/>
                <w:sz w:val="18"/>
                <w:szCs w:val="18"/>
                <w:color w:val="auto"/>
              </w:rPr>
              <w:t>100%, 7 visits 1st year of life, 2 visits 2nd year,</w:t>
            </w:r>
          </w:p>
        </w:tc>
        <w:tc>
          <w:tcPr>
            <w:tcW w:w="20" w:type="dxa"/>
            <w:vAlign w:val="bottom"/>
            <w:shd w:val="clear" w:color="auto" w:fill="000000"/>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rPr>
          <w:sz w:val="20"/>
          <w:szCs w:val="20"/>
          <w:color w:val="auto"/>
        </w:rPr>
      </w:pPr>
      <w:r>
        <w:rPr>
          <w:rFonts w:ascii="Arial" w:cs="Arial" w:eastAsia="Arial" w:hAnsi="Arial"/>
          <w:sz w:val="22"/>
          <w:szCs w:val="22"/>
          <w:b w:val="1"/>
          <w:bCs w:val="1"/>
          <w:color w:val="auto"/>
        </w:rPr>
        <w:t>______________________</w:t>
      </w:r>
    </w:p>
    <w:p>
      <w:pPr>
        <w:spacing w:after="0" w:line="66" w:lineRule="exact"/>
        <w:rPr>
          <w:sz w:val="20"/>
          <w:szCs w:val="20"/>
          <w:color w:val="auto"/>
        </w:rPr>
      </w:pPr>
    </w:p>
    <w:p>
      <w:pPr>
        <w:ind w:left="200" w:right="340" w:hanging="3"/>
        <w:spacing w:after="0" w:line="414" w:lineRule="auto"/>
        <w:tabs>
          <w:tab w:leader="none" w:pos="31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This plan is a separate plan, which covers only eligible officers of Booz Allen Hamilton Inc. The Plan is not a part of the Booz Allen Hamilton Inc. Employee Medical Plan, or any other medical plan covering non-officer employees of Booz Allen Hamilton Inc. or its affiliates.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36" w:right="23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64"/>
        </w:trPr>
        <w:tc>
          <w:tcPr>
            <w:tcW w:w="5560" w:type="dxa"/>
            <w:vAlign w:val="bottom"/>
            <w:tcBorders>
              <w:left w:val="single" w:sz="8" w:color="auto"/>
              <w:bottom w:val="single" w:sz="8" w:color="auto"/>
              <w:right w:val="single" w:sz="8" w:color="auto"/>
            </w:tcBorders>
            <w:shd w:val="clear" w:color="auto" w:fill="000000"/>
          </w:tcPr>
          <w:p>
            <w:pPr>
              <w:ind w:left="180"/>
              <w:spacing w:after="0"/>
              <w:rPr>
                <w:sz w:val="20"/>
                <w:szCs w:val="20"/>
                <w:color w:val="auto"/>
              </w:rPr>
            </w:pPr>
            <w:r>
              <w:rPr>
                <w:rFonts w:ascii="Arial" w:cs="Arial" w:eastAsia="Arial" w:hAnsi="Arial"/>
                <w:sz w:val="18"/>
                <w:szCs w:val="18"/>
                <w:b w:val="1"/>
                <w:bCs w:val="1"/>
                <w:color w:val="FFFFFF"/>
              </w:rPr>
              <w:t>Plan Features</w:t>
            </w:r>
          </w:p>
        </w:tc>
        <w:tc>
          <w:tcPr>
            <w:tcW w:w="550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8"/>
                <w:szCs w:val="18"/>
                <w:b w:val="1"/>
                <w:bCs w:val="1"/>
                <w:color w:val="FFFFFF"/>
              </w:rPr>
              <w:t>Benefits</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spacing w:after="0"/>
              <w:rPr>
                <w:sz w:val="21"/>
                <w:szCs w:val="21"/>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1 exam per year thereafter</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Annual Routine Physicals/ Immunizations</w:t>
            </w:r>
          </w:p>
        </w:tc>
        <w:tc>
          <w:tcPr>
            <w:tcW w:w="5500" w:type="dxa"/>
            <w:vAlign w:val="bottom"/>
          </w:tcPr>
          <w:p>
            <w:pPr>
              <w:ind w:left="100"/>
              <w:spacing w:after="0"/>
              <w:rPr>
                <w:sz w:val="20"/>
                <w:szCs w:val="20"/>
                <w:color w:val="auto"/>
              </w:rPr>
            </w:pPr>
            <w:r>
              <w:rPr>
                <w:rFonts w:ascii="Arial" w:cs="Arial" w:eastAsia="Arial" w:hAnsi="Arial"/>
                <w:sz w:val="18"/>
                <w:szCs w:val="18"/>
                <w:color w:val="auto"/>
              </w:rPr>
              <w:t>100%, age 2+ and adults one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Routine Ob/GYN visits, pap smears</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Routine Mammograms</w:t>
            </w:r>
          </w:p>
        </w:tc>
        <w:tc>
          <w:tcPr>
            <w:tcW w:w="5500" w:type="dxa"/>
            <w:vAlign w:val="bottom"/>
          </w:tcPr>
          <w:p>
            <w:pPr>
              <w:ind w:left="100"/>
              <w:spacing w:after="0"/>
              <w:rPr>
                <w:sz w:val="20"/>
                <w:szCs w:val="20"/>
                <w:color w:val="auto"/>
              </w:rPr>
            </w:pPr>
            <w:r>
              <w:rPr>
                <w:rFonts w:ascii="Arial" w:cs="Arial" w:eastAsia="Arial" w:hAnsi="Arial"/>
                <w:sz w:val="18"/>
                <w:szCs w:val="18"/>
                <w:color w:val="auto"/>
              </w:rPr>
              <w:t>100%, females Ages 35 – 40: one baseline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mammogram; Age 40+ one mammogram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Annual Routine Prostate Screening</w:t>
            </w:r>
          </w:p>
        </w:tc>
        <w:tc>
          <w:tcPr>
            <w:tcW w:w="5500" w:type="dxa"/>
            <w:vAlign w:val="bottom"/>
          </w:tcPr>
          <w:p>
            <w:pPr>
              <w:ind w:left="100"/>
              <w:spacing w:after="0"/>
              <w:rPr>
                <w:sz w:val="20"/>
                <w:szCs w:val="20"/>
                <w:color w:val="auto"/>
              </w:rPr>
            </w:pPr>
            <w:r>
              <w:rPr>
                <w:rFonts w:ascii="Arial" w:cs="Arial" w:eastAsia="Arial" w:hAnsi="Arial"/>
                <w:sz w:val="18"/>
                <w:szCs w:val="18"/>
                <w:color w:val="auto"/>
              </w:rPr>
              <w:t>100%, Males Age 40+ one PSA test per calendar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Annual Routine Hearing Exam</w:t>
            </w:r>
          </w:p>
        </w:tc>
        <w:tc>
          <w:tcPr>
            <w:tcW w:w="5500" w:type="dxa"/>
            <w:vAlign w:val="bottom"/>
          </w:tcPr>
          <w:p>
            <w:pPr>
              <w:ind w:left="100"/>
              <w:spacing w:after="0"/>
              <w:rPr>
                <w:sz w:val="20"/>
                <w:szCs w:val="20"/>
                <w:color w:val="auto"/>
              </w:rPr>
            </w:pPr>
            <w:r>
              <w:rPr>
                <w:rFonts w:ascii="Arial" w:cs="Arial" w:eastAsia="Arial" w:hAnsi="Arial"/>
                <w:sz w:val="18"/>
                <w:szCs w:val="18"/>
                <w:color w:val="auto"/>
              </w:rPr>
              <w:t>100%, one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Hearing Aids</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a maximum of $1,000 each ear per 36</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month period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Annual Routine Eye Exam</w:t>
            </w:r>
          </w:p>
        </w:tc>
        <w:tc>
          <w:tcPr>
            <w:tcW w:w="5500" w:type="dxa"/>
            <w:vAlign w:val="bottom"/>
          </w:tcPr>
          <w:p>
            <w:pPr>
              <w:ind w:left="100"/>
              <w:spacing w:after="0"/>
              <w:rPr>
                <w:sz w:val="20"/>
                <w:szCs w:val="20"/>
                <w:color w:val="auto"/>
              </w:rPr>
            </w:pPr>
            <w:r>
              <w:rPr>
                <w:rFonts w:ascii="Arial" w:cs="Arial" w:eastAsia="Arial" w:hAnsi="Arial"/>
                <w:sz w:val="18"/>
                <w:szCs w:val="18"/>
                <w:color w:val="auto"/>
              </w:rPr>
              <w:t>100%, one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Physical and Occupational Therapy</w:t>
            </w:r>
          </w:p>
        </w:tc>
        <w:tc>
          <w:tcPr>
            <w:tcW w:w="5500" w:type="dxa"/>
            <w:vAlign w:val="bottom"/>
          </w:tcPr>
          <w:p>
            <w:pPr>
              <w:ind w:left="100"/>
              <w:spacing w:after="0"/>
              <w:rPr>
                <w:sz w:val="20"/>
                <w:szCs w:val="20"/>
                <w:color w:val="auto"/>
              </w:rPr>
            </w:pPr>
            <w:r>
              <w:rPr>
                <w:rFonts w:ascii="Arial" w:cs="Arial" w:eastAsia="Arial" w:hAnsi="Arial"/>
                <w:sz w:val="18"/>
                <w:szCs w:val="18"/>
                <w:color w:val="auto"/>
                <w:w w:val="96"/>
              </w:rPr>
              <w:t>100%, up to 90 visits per calendar year (excludes spinal manipulation)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Spinal Disorders</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20 visits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Acupuncture</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Speech Therapy</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90 visits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Advanced Reproductive Services</w:t>
            </w:r>
          </w:p>
        </w:tc>
        <w:tc>
          <w:tcPr>
            <w:tcW w:w="5500" w:type="dxa"/>
            <w:vAlign w:val="bottom"/>
          </w:tcPr>
          <w:p>
            <w:pPr>
              <w:ind w:left="100"/>
              <w:spacing w:after="0"/>
              <w:rPr>
                <w:sz w:val="20"/>
                <w:szCs w:val="20"/>
                <w:color w:val="auto"/>
              </w:rPr>
            </w:pPr>
            <w:r>
              <w:rPr>
                <w:rFonts w:ascii="Arial" w:cs="Arial" w:eastAsia="Arial" w:hAnsi="Arial"/>
                <w:sz w:val="18"/>
                <w:szCs w:val="18"/>
                <w:color w:val="auto"/>
              </w:rPr>
              <w:t>100%, covered when infertility is certified by the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Plan. Includes artificial insemination, IVF, GIFT, ZIFT, ICSI</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Diagnostic x-ray and Laboratory</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Mental Health Services</w:t>
            </w:r>
          </w:p>
        </w:tc>
        <w:tc>
          <w:tcPr>
            <w:tcW w:w="55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Inpatient Coverage Outpatient Coverage</w:t>
            </w: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Alcohol and Drug Abuse Services</w:t>
            </w:r>
          </w:p>
        </w:tc>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60" w:type="dxa"/>
            <w:vAlign w:val="bottom"/>
            <w:tcBorders>
              <w:left w:val="single" w:sz="8" w:color="auto"/>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Inpatient Coverage Outpatient Coverage</w:t>
            </w:r>
          </w:p>
        </w:tc>
        <w:tc>
          <w:tcPr>
            <w:tcW w:w="55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60 visits per calendar year, including 20 family visits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Convalescent Facility</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120 days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Health Care</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120 visits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Hospice Care</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a maximum benefit of 210 days per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color w:val="auto"/>
              </w:rPr>
              <w:t>period of care and 5 bereavement visits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Private Duty Nursing</w:t>
            </w:r>
          </w:p>
        </w:tc>
        <w:tc>
          <w:tcPr>
            <w:tcW w:w="5500" w:type="dxa"/>
            <w:vAlign w:val="bottom"/>
          </w:tcPr>
          <w:p>
            <w:pPr>
              <w:ind w:left="100"/>
              <w:spacing w:after="0"/>
              <w:rPr>
                <w:sz w:val="20"/>
                <w:szCs w:val="20"/>
                <w:color w:val="auto"/>
              </w:rPr>
            </w:pPr>
            <w:r>
              <w:rPr>
                <w:rFonts w:ascii="Arial" w:cs="Arial" w:eastAsia="Arial" w:hAnsi="Arial"/>
                <w:sz w:val="18"/>
                <w:szCs w:val="18"/>
                <w:color w:val="auto"/>
              </w:rPr>
              <w:t>100%, up to 70 eight hour shifts per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5560" w:type="dxa"/>
            <w:vAlign w:val="bottom"/>
          </w:tcPr>
          <w:p>
            <w:pPr>
              <w:ind w:left="120"/>
              <w:spacing w:after="0"/>
              <w:rPr>
                <w:sz w:val="20"/>
                <w:szCs w:val="20"/>
                <w:color w:val="auto"/>
              </w:rPr>
            </w:pPr>
            <w:r>
              <w:rPr>
                <w:rFonts w:ascii="Arial" w:cs="Arial" w:eastAsia="Arial" w:hAnsi="Arial"/>
                <w:sz w:val="18"/>
                <w:szCs w:val="18"/>
                <w:b w:val="1"/>
                <w:bCs w:val="1"/>
                <w:color w:val="auto"/>
              </w:rPr>
              <w:t>State-Mandated Benefits</w:t>
            </w: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Since the Medical Plan is fully insured by Aetna Inc., certain states mandate that benefits be offered to plan participants. If you reside in one of the following states, please see the State-Mandated Benefits Section of this booklet for additional benefits that may be available to you:</w:t>
      </w:r>
    </w:p>
    <w:p>
      <w:pPr>
        <w:sectPr>
          <w:pgSz w:w="11900" w:h="16838" w:orient="portrait"/>
          <w:cols w:equalWidth="0" w:num="1">
            <w:col w:w="11340"/>
          </w:cols>
          <w:pgMar w:left="320" w:top="518" w:right="239" w:bottom="1440" w:gutter="0" w:footer="0" w:header="0"/>
        </w:sect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California</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New Mexico</w:t>
      </w:r>
    </w:p>
    <w:p>
      <w:pPr>
        <w:spacing w:after="0" w:line="75"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Colorado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w:t>
      </w:r>
    </w:p>
    <w:p>
      <w:pPr>
        <w:spacing w:after="0" w:line="75"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jc w:val="center"/>
        <w:ind w:left="640"/>
        <w:spacing w:after="0"/>
        <w:rPr>
          <w:sz w:val="20"/>
          <w:szCs w:val="20"/>
          <w:color w:val="auto"/>
        </w:rPr>
      </w:pPr>
      <w:r>
        <w:rPr>
          <w:rFonts w:ascii="Arial" w:cs="Arial" w:eastAsia="Arial" w:hAnsi="Arial"/>
          <w:sz w:val="16"/>
          <w:szCs w:val="16"/>
          <w:color w:val="auto"/>
        </w:rPr>
        <w:t>Connecticut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Ohio</w:t>
      </w:r>
    </w:p>
    <w:p>
      <w:pPr>
        <w:spacing w:after="0" w:line="75"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ind w:left="1780"/>
        <w:spacing w:after="0"/>
        <w:rPr>
          <w:sz w:val="20"/>
          <w:szCs w:val="20"/>
          <w:color w:val="auto"/>
        </w:rPr>
      </w:pPr>
      <w:r>
        <w:rPr>
          <w:rFonts w:ascii="Arial" w:cs="Arial" w:eastAsia="Arial" w:hAnsi="Arial"/>
          <w:sz w:val="17"/>
          <w:szCs w:val="17"/>
          <w:color w:val="auto"/>
        </w:rPr>
        <w:t>Florida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 Carolina</w:t>
      </w:r>
    </w:p>
    <w:p>
      <w:pPr>
        <w:spacing w:after="0" w:line="86"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w:t>
      </w:r>
    </w:p>
    <w:p>
      <w:pPr>
        <w:spacing w:after="0" w:line="97"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ind w:left="1780"/>
        <w:spacing w:after="0"/>
        <w:rPr>
          <w:sz w:val="20"/>
          <w:szCs w:val="20"/>
          <w:color w:val="auto"/>
        </w:rPr>
      </w:pPr>
      <w:r>
        <w:rPr>
          <w:rFonts w:ascii="Arial" w:cs="Arial" w:eastAsia="Arial" w:hAnsi="Arial"/>
          <w:sz w:val="17"/>
          <w:szCs w:val="17"/>
          <w:color w:val="auto"/>
        </w:rPr>
        <w:t>Maryland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Utah</w:t>
      </w:r>
    </w:p>
    <w:p>
      <w:pPr>
        <w:spacing w:after="0" w:line="75"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jc w:val="center"/>
        <w:ind w:left="820"/>
        <w:spacing w:after="0"/>
        <w:rPr>
          <w:sz w:val="20"/>
          <w:szCs w:val="20"/>
          <w:color w:val="auto"/>
        </w:rPr>
      </w:pPr>
      <w:r>
        <w:rPr>
          <w:rFonts w:ascii="Arial" w:cs="Arial" w:eastAsia="Arial" w:hAnsi="Arial"/>
          <w:sz w:val="15"/>
          <w:szCs w:val="15"/>
          <w:color w:val="auto"/>
        </w:rPr>
        <w:t>Massachusetts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Virginia</w:t>
      </w:r>
    </w:p>
    <w:p>
      <w:pPr>
        <w:spacing w:after="0" w:line="75"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New Hampshire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Washington</w:t>
      </w:r>
    </w:p>
    <w:p>
      <w:pPr>
        <w:spacing w:after="0" w:line="200" w:lineRule="exact"/>
        <w:rPr>
          <w:sz w:val="20"/>
          <w:szCs w:val="20"/>
          <w:color w:val="auto"/>
        </w:rPr>
      </w:pPr>
    </w:p>
    <w:p>
      <w:pPr>
        <w:sectPr>
          <w:pgSz w:w="11900" w:h="16838" w:orient="portrait"/>
          <w:cols w:equalWidth="0" w:num="2">
            <w:col w:w="3780" w:space="720"/>
            <w:col w:w="6840"/>
          </w:cols>
          <w:pgMar w:left="320" w:top="518" w:right="239" w:bottom="1440" w:gutter="0" w:footer="0" w:header="0"/>
          <w:type w:val="continuous"/>
        </w:sect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40"/>
          </w:cols>
          <w:pgMar w:left="320" w:top="518" w:right="2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Aetna Navigator</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Under the Plan, you can access Aetna Navigator, an online tool that provides you with health and benefit information 24/7. You will have online access to: InteliHealth, Aetna’s consumer information Web site backed by Harvard Medical School; DocFind (provider directory) and up-to-date information on hospitals, physicians, and specialists; pharmacy benefits information (e.g., Rx Formulary and Aetna Rx Home Delivery to refill mail-order prescriptions). For personalized information, you can register for Aetna Navigator and gain access to Healthwise Knowledgebase, a comprehensive resource to help you make more informed health care decisions. When you register at www.aetna.com, you can perform a number of self-service functions related to your benefits plan such as claim status information, health information, and e-mail communication with Member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Identification Cards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Plan identification card will be issued to you and each of your covered dependents. This card provides the Member Services Number, the Officer’s name, and unique identifier. Please note that Officers enrolling in Family coverage will be issued two identification cards, both of which will include the Officer’s name and unique identifier. Additional ID cards for dependent children are available upon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Informed Health Line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Anytime, day or night, 365 days a year, you can speak to a registered nurse to get information about your health questions. The registered nurse can provide you and your family with health information to help you make more informed health care decisions. You can also call to listen to your topic of interest confidentially through the audio health library. The number for Aetna’s Informed Health Line is 1-800-556-1555.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Programs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Under the Plan, you have the opportunity to take advantage of special discount arrangements that Aetna has made available to Plan members. Go to www.aetna.com under Products and Programs for information in your geographic 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 One Eye Care Program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Vision One Program offers discounts on eyeglasses, contact lenses and Lasik—a laser vision corrective procedure, available through participating providers. Savings on non-prescription items, such as sunglasses, contact lens solutions and accessories are also available. To choose a Vision One Provider near you, and view program details, visit www.aetna.com or call the Vision Care service line at 1-800-793-8616 with your questions. At the time of service, present your Aetna ID card to the optical staff and Vision One discounts will apply.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 Health Care Programs</w:t>
      </w:r>
    </w:p>
    <w:p>
      <w:pPr>
        <w:spacing w:after="0" w:line="239" w:lineRule="exact"/>
        <w:rPr>
          <w:sz w:val="20"/>
          <w:szCs w:val="20"/>
          <w:color w:val="auto"/>
        </w:rPr>
      </w:pPr>
    </w:p>
    <w:p>
      <w:pPr>
        <w:ind w:left="660" w:right="100" w:hanging="327"/>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—members have access to reduced rates from natural therapy professionals which include acupuncturists, chiropractors,</w:t>
      </w:r>
      <w:r>
        <w:rPr>
          <w:rFonts w:ascii="Arial" w:cs="Arial" w:eastAsia="Arial" w:hAnsi="Arial"/>
          <w:sz w:val="18"/>
          <w:szCs w:val="18"/>
          <w:i w:val="1"/>
          <w:iCs w:val="1"/>
          <w:color w:val="auto"/>
        </w:rPr>
        <w:t xml:space="preserve"> </w:t>
      </w:r>
      <w:r>
        <w:rPr>
          <w:rFonts w:ascii="Arial" w:cs="Arial" w:eastAsia="Arial" w:hAnsi="Arial"/>
          <w:sz w:val="18"/>
          <w:szCs w:val="18"/>
          <w:color w:val="auto"/>
        </w:rPr>
        <w:t>massage therapists and dietetic counselors. Natural therapy professionals are available to members through direct access. Aetna members will receive at least a 25% discount off the provider’s standard charges for the services rendered from a natural therapy professional who participates in the vendor’s provider network.</w:t>
      </w:r>
    </w:p>
    <w:p>
      <w:pPr>
        <w:spacing w:after="0" w:line="186" w:lineRule="exact"/>
        <w:rPr>
          <w:rFonts w:ascii="Arial" w:cs="Arial" w:eastAsia="Arial" w:hAnsi="Arial"/>
          <w:sz w:val="18"/>
          <w:szCs w:val="18"/>
          <w:color w:val="auto"/>
        </w:rPr>
      </w:pPr>
    </w:p>
    <w:p>
      <w:pPr>
        <w:ind w:left="660" w:right="360" w:hanging="327"/>
        <w:spacing w:after="0" w:line="34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Products—</w:t>
      </w:r>
      <w:r>
        <w:rPr>
          <w:rFonts w:ascii="Arial" w:cs="Arial" w:eastAsia="Arial" w:hAnsi="Arial"/>
          <w:sz w:val="16"/>
          <w:szCs w:val="16"/>
          <w:color w:val="auto"/>
        </w:rPr>
        <w:t>members have access to discounts on over 2,400 health-related products, including over-the-counter vitamins, herbal and nutritional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supplements and natural products. Members will receive at least a 15% discount off the MSRP on all products offered by the vendor as well</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436"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as free standard shipping. Go to www.aetna.com to find the most current listing of participating providers and vendors.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Fitness Program</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GlobalFit offers discounts on membership rates at independent health clubs contracted with GlobalFit. Go to www.globalfit.com/fitness or call 1-800-298-7800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Advantage Program (NAP)</w:t>
      </w:r>
    </w:p>
    <w:p>
      <w:pPr>
        <w:spacing w:after="0" w:line="22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NAP provides access to contracted rates for many medical claims from providers that are part of the National Advantage Program. For a list of providers participating in NAP, go to www.aetna.com.</w:t>
      </w:r>
    </w:p>
    <w:p>
      <w:pPr>
        <w:spacing w:after="0" w:line="1"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 xml:space="preserve">Search for NAP providers under DocFind. Providers should bill Aetna directly for Covered Services. </w:t>
      </w:r>
      <w:r>
        <w:rPr>
          <w:rFonts w:ascii="Arial" w:cs="Arial" w:eastAsia="Arial" w:hAnsi="Arial"/>
          <w:sz w:val="17"/>
          <w:szCs w:val="17"/>
          <w:i w:val="1"/>
          <w:iCs w:val="1"/>
          <w:color w:val="auto"/>
        </w:rPr>
        <w:t>If your provider is in agreement, you should not make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at the time of service. </w:t>
      </w:r>
      <w:r>
        <w:rPr>
          <w:rFonts w:ascii="Arial" w:cs="Arial" w:eastAsia="Arial" w:hAnsi="Arial"/>
          <w:sz w:val="17"/>
          <w:szCs w:val="17"/>
          <w:color w:val="auto"/>
        </w:rPr>
        <w:t>When the Provider submits the claim, Aetna will process it at the contracted rate (when applicable) and reflect the contracted</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on your Explanation of Benefits (EOB). You are responsible for any applicable non-covered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Care and Urgent Care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Knowing how to handle medical emergencies will not only help you and your dependents receive the care you (or they) may need, but it will also help you take full advantage of the coverage provided by the Plan.</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Plan covers emergency room services for conditions that reasonably appear to constitute an emergency, based on the patient’s presenting symptoms. An emergency medical condition is a medical condition manifesting itself by acute symptoms of sufficient severity (including severe pain) such that a prudent layperson, who possesses an average knowledge of health and medicine, could reasonably expect the absence of immediate medical attention to result in:</w:t>
      </w:r>
    </w:p>
    <w:p>
      <w:pPr>
        <w:spacing w:after="0" w:line="147" w:lineRule="exact"/>
        <w:rPr>
          <w:sz w:val="20"/>
          <w:szCs w:val="20"/>
          <w:color w:val="auto"/>
        </w:rPr>
      </w:pPr>
    </w:p>
    <w:p>
      <w:pPr>
        <w:ind w:left="820" w:hanging="487"/>
        <w:spacing w:after="0"/>
        <w:tabs>
          <w:tab w:leader="none" w:pos="8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placing the health of the individual (or, with respect to a pregnant woman, the health of the woman and her unborn child) in serious jeopardy,</w:t>
      </w:r>
    </w:p>
    <w:p>
      <w:pPr>
        <w:spacing w:after="0" w:line="248" w:lineRule="exact"/>
        <w:rPr>
          <w:rFonts w:ascii="Arial" w:cs="Arial" w:eastAsia="Arial" w:hAnsi="Arial"/>
          <w:sz w:val="16"/>
          <w:szCs w:val="16"/>
          <w:color w:val="auto"/>
        </w:rPr>
      </w:pPr>
    </w:p>
    <w:p>
      <w:pPr>
        <w:ind w:left="820" w:hanging="487"/>
        <w:spacing w:after="0"/>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serious impairment to bodily functions, or</w:t>
      </w:r>
    </w:p>
    <w:p>
      <w:pPr>
        <w:spacing w:after="0" w:line="225" w:lineRule="exact"/>
        <w:rPr>
          <w:rFonts w:ascii="Arial" w:cs="Arial" w:eastAsia="Arial" w:hAnsi="Arial"/>
          <w:sz w:val="18"/>
          <w:szCs w:val="18"/>
          <w:color w:val="auto"/>
        </w:rPr>
      </w:pPr>
    </w:p>
    <w:p>
      <w:pPr>
        <w:ind w:left="820" w:right="260" w:hanging="487"/>
        <w:spacing w:after="0" w:line="277"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serious dysfunction of any bodily organ or part. Examples of medical emergencies are: severe chest pains, insulin shock, seizures/convulsions, and severe shortness of breath.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Emergency Room Services are covered at 100%.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Claims involving non-emergency use of the emergency room will be paid at 100%.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Emergency Care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an emergency, if possible, you should attempt to call your Physician, explain the symptoms, and provide any other important information. You should go, as soon as possible, to the nearest emergency facility, if:</w:t>
      </w:r>
    </w:p>
    <w:p>
      <w:pPr>
        <w:spacing w:after="0" w:line="170" w:lineRule="exact"/>
        <w:rPr>
          <w:sz w:val="20"/>
          <w:szCs w:val="20"/>
          <w:color w:val="auto"/>
        </w:rPr>
      </w:pPr>
    </w:p>
    <w:p>
      <w:pPr>
        <w:ind w:left="820" w:hanging="487"/>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Directed by your Physician; or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cannot reach the Physician or covering Physician; or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believe a delay would be detrimental to your health.</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436" w:right="239" w:bottom="1440" w:gutter="0" w:footer="0" w:header="0"/>
        </w:sectPr>
      </w:pPr>
    </w:p>
    <w:bookmarkStart w:id="132" w:name="page133"/>
    <w:bookmarkEnd w:id="132"/>
    <w:p>
      <w:pPr>
        <w:ind w:left="120"/>
        <w:spacing w:after="0"/>
        <w:rPr>
          <w:sz w:val="20"/>
          <w:szCs w:val="20"/>
          <w:color w:val="auto"/>
        </w:rPr>
      </w:pPr>
      <w:r>
        <w:rPr>
          <w:rFonts w:ascii="Arial" w:cs="Arial" w:eastAsia="Arial" w:hAnsi="Arial"/>
          <w:sz w:val="18"/>
          <w:szCs w:val="18"/>
          <w:b w:val="1"/>
          <w:bCs w:val="1"/>
          <w:i w:val="1"/>
          <w:iCs w:val="1"/>
          <w:color w:val="auto"/>
        </w:rPr>
        <w:t>Urgent Care</w:t>
      </w:r>
    </w:p>
    <w:p>
      <w:pPr>
        <w:spacing w:after="0" w:line="225"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color w:val="auto"/>
        </w:rPr>
        <w:t>The Plan covers urgent care if the services are medically necessary and immediately required because of unforeseen illness, injury, or condition and it is not reasonable given the circumstances to obtain the services through your Physician. Examples of urgent care needs include: respiratory or flu like symptoms with high fever, sprains or fractures, severe abdominal cramps, vomiting, or diarrhea.</w:t>
      </w:r>
    </w:p>
    <w:p>
      <w:pPr>
        <w:spacing w:after="0" w:line="181" w:lineRule="exact"/>
        <w:rPr>
          <w:sz w:val="20"/>
          <w:szCs w:val="20"/>
          <w:color w:val="auto"/>
        </w:rPr>
      </w:pPr>
    </w:p>
    <w:p>
      <w:pPr>
        <w:jc w:val="both"/>
        <w:ind w:left="120" w:right="220"/>
        <w:spacing w:after="0" w:line="264" w:lineRule="auto"/>
        <w:rPr>
          <w:sz w:val="20"/>
          <w:szCs w:val="20"/>
          <w:color w:val="auto"/>
        </w:rPr>
      </w:pPr>
      <w:r>
        <w:rPr>
          <w:rFonts w:ascii="Arial" w:cs="Arial" w:eastAsia="Arial" w:hAnsi="Arial"/>
          <w:sz w:val="18"/>
          <w:szCs w:val="18"/>
          <w:color w:val="auto"/>
        </w:rPr>
        <w:t>For a list of Urgent Care Facilities near you, go to www.aetna.com. Under DocFind, search for Urgent Care Facilities. The urgent care facility or treating Physician should try to contact your Physician to allow the Physician to contribute to the treatment you require. If this is not possible, you should notify your Physician of the treatment received as soon as possible.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Travel</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Members traveling overseas who need to contact Member Services may dial the Corporate Contact Center’s direct line: 860-273-0123 or can use the Toll free number on their ID card.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Corporate Contact Center is available Monday – Friday, 7 a.m. – 7 p.m. EST. Members will be routed to a Service Center that handles their account.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National Medical Excellence (NME) Program</w:t>
      </w:r>
    </w:p>
    <w:p>
      <w:pPr>
        <w:spacing w:after="0" w:line="225" w:lineRule="exact"/>
        <w:rPr>
          <w:sz w:val="20"/>
          <w:szCs w:val="20"/>
          <w:color w:val="auto"/>
        </w:rPr>
      </w:pPr>
    </w:p>
    <w:p>
      <w:pPr>
        <w:ind w:left="120" w:right="80"/>
        <w:spacing w:after="0" w:line="297" w:lineRule="auto"/>
        <w:rPr>
          <w:sz w:val="20"/>
          <w:szCs w:val="20"/>
          <w:color w:val="auto"/>
        </w:rPr>
      </w:pPr>
      <w:r>
        <w:rPr>
          <w:rFonts w:ascii="Arial" w:cs="Arial" w:eastAsia="Arial" w:hAnsi="Arial"/>
          <w:sz w:val="16"/>
          <w:szCs w:val="16"/>
          <w:color w:val="auto"/>
        </w:rPr>
        <w:t>Aetna’s National Medical Excellence (NME) Program was established to provide access to Physicians and Hospitals demonstrating continual achievement in the delivery of complex care when local care is not available. NME coordinates all solid organ and bone marrow transplants and other specialized care with nationally respected doctors and medical facilities. The Plan will pay a benefit for travel and lodging expenses between home and the medical facility for you and a companion if the medical facility is located more than 100 miles from your home. Lodging expenses cannot exceed the maximum of $50 per person per night. Expenses are subject to IRS Guidelines and are payable up to a maximum of $10,000 per episode, for all travel and lodging expenses.</w:t>
      </w:r>
    </w:p>
    <w:p>
      <w:pPr>
        <w:spacing w:after="0" w:line="15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Benefits will only be payable for such expenses incurred during a period which begins on the day you become an NME patient and ends either one year after the day the procedure is performed or, the date you cease to receive any services from the facility in connection with the procedure, whichever occurs first. Travel and lodging expenses do not include expenses incurred by more than one companion per night.</w:t>
      </w:r>
    </w:p>
    <w:p>
      <w:pPr>
        <w:spacing w:after="0" w:line="166"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Note: Overseas members with acute illness should call NME at 877-212-8811 during normal business hours. After hours, members with an acute illness may call 215-775-6445. If you are treated outside the U.S., you must pay for the services up front and then submit the invoice to Aetna for reimbursement.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Dental Plan</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560" w:type="dxa"/>
            <w:vAlign w:val="bottom"/>
            <w:tcBorders>
              <w:left w:val="single" w:sz="8" w:color="auto"/>
              <w:bottom w:val="single" w:sz="8" w:color="auto"/>
              <w:right w:val="single" w:sz="8" w:color="auto"/>
            </w:tcBorders>
            <w:shd w:val="clear" w:color="auto" w:fill="000000"/>
          </w:tcPr>
          <w:p>
            <w:pPr>
              <w:ind w:left="1920"/>
              <w:spacing w:after="0"/>
              <w:rPr>
                <w:sz w:val="20"/>
                <w:szCs w:val="20"/>
                <w:color w:val="auto"/>
              </w:rPr>
            </w:pPr>
            <w:r>
              <w:rPr>
                <w:rFonts w:ascii="Arial" w:cs="Arial" w:eastAsia="Arial" w:hAnsi="Arial"/>
                <w:sz w:val="18"/>
                <w:szCs w:val="18"/>
                <w:b w:val="1"/>
                <w:bCs w:val="1"/>
                <w:color w:val="FFFFFF"/>
              </w:rPr>
              <w:t>General Plan Provisions</w:t>
            </w:r>
          </w:p>
        </w:tc>
        <w:tc>
          <w:tcPr>
            <w:tcW w:w="5500" w:type="dxa"/>
            <w:vAlign w:val="bottom"/>
            <w:tcBorders>
              <w:bottom w:val="single" w:sz="8" w:color="auto"/>
            </w:tcBorders>
            <w:shd w:val="clear" w:color="auto" w:fill="000000"/>
          </w:tcPr>
          <w:p>
            <w:pPr>
              <w:ind w:left="2420"/>
              <w:spacing w:after="0"/>
              <w:rPr>
                <w:sz w:val="20"/>
                <w:szCs w:val="20"/>
                <w:color w:val="auto"/>
              </w:rPr>
            </w:pPr>
            <w:r>
              <w:rPr>
                <w:rFonts w:ascii="Arial" w:cs="Arial" w:eastAsia="Arial" w:hAnsi="Arial"/>
                <w:sz w:val="18"/>
                <w:szCs w:val="18"/>
                <w:b w:val="1"/>
                <w:bCs w:val="1"/>
                <w:color w:val="FFFFFF"/>
              </w:rPr>
              <w:t>Benefits</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Calendar Year Deductible</w:t>
            </w:r>
          </w:p>
        </w:tc>
        <w:tc>
          <w:tcPr>
            <w:tcW w:w="5500" w:type="dxa"/>
            <w:vAlign w:val="bottom"/>
          </w:tcPr>
          <w:p>
            <w:pPr>
              <w:ind w:left="100"/>
              <w:spacing w:after="0"/>
              <w:rPr>
                <w:sz w:val="20"/>
                <w:szCs w:val="20"/>
                <w:color w:val="auto"/>
              </w:rPr>
            </w:pPr>
            <w:r>
              <w:rPr>
                <w:rFonts w:ascii="Arial" w:cs="Arial" w:eastAsia="Arial" w:hAnsi="Arial"/>
                <w:sz w:val="18"/>
                <w:szCs w:val="18"/>
                <w:color w:val="auto"/>
              </w:rPr>
              <w:t>None</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Calendar Year Benefit Maximum</w:t>
            </w:r>
          </w:p>
        </w:tc>
        <w:tc>
          <w:tcPr>
            <w:tcW w:w="5500" w:type="dxa"/>
            <w:vAlign w:val="bottom"/>
          </w:tcPr>
          <w:p>
            <w:pPr>
              <w:ind w:left="100"/>
              <w:spacing w:after="0"/>
              <w:rPr>
                <w:sz w:val="20"/>
                <w:szCs w:val="20"/>
                <w:color w:val="auto"/>
              </w:rPr>
            </w:pPr>
            <w:r>
              <w:rPr>
                <w:rFonts w:ascii="Arial" w:cs="Arial" w:eastAsia="Arial" w:hAnsi="Arial"/>
                <w:sz w:val="18"/>
                <w:szCs w:val="18"/>
                <w:color w:val="auto"/>
              </w:rPr>
              <w:t>$1,500 per individual</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right w:val="single" w:sz="8" w:color="auto"/>
            </w:tcBorders>
            <w:shd w:val="clear" w:color="auto" w:fill="000000"/>
          </w:tcPr>
          <w:p>
            <w:pPr>
              <w:ind w:left="2300"/>
              <w:spacing w:after="0"/>
              <w:rPr>
                <w:sz w:val="20"/>
                <w:szCs w:val="20"/>
                <w:color w:val="auto"/>
              </w:rPr>
            </w:pPr>
            <w:r>
              <w:rPr>
                <w:rFonts w:ascii="Arial" w:cs="Arial" w:eastAsia="Arial" w:hAnsi="Arial"/>
                <w:sz w:val="18"/>
                <w:szCs w:val="18"/>
                <w:b w:val="1"/>
                <w:bCs w:val="1"/>
                <w:color w:val="FFFFFF"/>
              </w:rPr>
              <w:t>Plan Features</w:t>
            </w:r>
          </w:p>
        </w:tc>
        <w:tc>
          <w:tcPr>
            <w:tcW w:w="5500" w:type="dxa"/>
            <w:vAlign w:val="bottom"/>
            <w:shd w:val="clear" w:color="auto" w:fill="000000"/>
          </w:tcPr>
          <w:p>
            <w:pPr>
              <w:ind w:left="2420"/>
              <w:spacing w:after="0"/>
              <w:rPr>
                <w:sz w:val="20"/>
                <w:szCs w:val="20"/>
                <w:color w:val="auto"/>
              </w:rPr>
            </w:pPr>
            <w:r>
              <w:rPr>
                <w:rFonts w:ascii="Arial" w:cs="Arial" w:eastAsia="Arial" w:hAnsi="Arial"/>
                <w:sz w:val="18"/>
                <w:szCs w:val="18"/>
                <w:b w:val="1"/>
                <w:bCs w:val="1"/>
                <w:color w:val="FFFFFF"/>
              </w:rPr>
              <w:t>Benefits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shd w:val="clear" w:color="auto" w:fill="000000"/>
          </w:tcPr>
          <w:p>
            <w:pPr>
              <w:spacing w:after="0"/>
              <w:rPr>
                <w:sz w:val="2"/>
                <w:szCs w:val="2"/>
                <w:color w:val="auto"/>
              </w:rPr>
            </w:pPr>
          </w:p>
        </w:tc>
        <w:tc>
          <w:tcPr>
            <w:tcW w:w="550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Preventive Services</w:t>
            </w:r>
          </w:p>
        </w:tc>
        <w:tc>
          <w:tcPr>
            <w:tcW w:w="5500" w:type="dxa"/>
            <w:vAlign w:val="bottom"/>
            <w:vMerge w:val="restart"/>
          </w:tcPr>
          <w:p>
            <w:pPr>
              <w:ind w:left="240"/>
              <w:spacing w:after="0"/>
              <w:rPr>
                <w:sz w:val="20"/>
                <w:szCs w:val="20"/>
                <w:color w:val="auto"/>
              </w:rPr>
            </w:pPr>
            <w:r>
              <w:rPr>
                <w:rFonts w:ascii="Arial" w:cs="Arial" w:eastAsia="Arial" w:hAnsi="Arial"/>
                <w:sz w:val="18"/>
                <w:szCs w:val="18"/>
                <w:color w:val="auto"/>
              </w:rPr>
              <w:t>100% up to the Calendar Year Benefit Maximum as shown above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vMerge w:val="continue"/>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Basic Services (e.g., fillings, extractions, oral</w:t>
            </w:r>
          </w:p>
        </w:tc>
        <w:tc>
          <w:tcPr>
            <w:tcW w:w="55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560" w:type="dxa"/>
            <w:vAlign w:val="bottom"/>
            <w:tcBorders>
              <w:left w:val="single" w:sz="8" w:color="auto"/>
              <w:right w:val="single" w:sz="8" w:color="auto"/>
            </w:tcBorders>
            <w:vMerge w:val="continue"/>
          </w:tcPr>
          <w:p>
            <w:pPr>
              <w:spacing w:after="0"/>
              <w:rPr>
                <w:sz w:val="4"/>
                <w:szCs w:val="4"/>
                <w:color w:val="auto"/>
              </w:rPr>
            </w:pPr>
          </w:p>
        </w:tc>
        <w:tc>
          <w:tcPr>
            <w:tcW w:w="55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surgery)</w:t>
            </w:r>
          </w:p>
        </w:tc>
        <w:tc>
          <w:tcPr>
            <w:tcW w:w="5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Major Services (e.g., crowns, bridgework)</w:t>
            </w:r>
          </w:p>
        </w:tc>
        <w:tc>
          <w:tcPr>
            <w:tcW w:w="5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6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Note: Orthodontia and dental implants are covered under the Executive Medical Plan only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left w:val="single" w:sz="8" w:color="auto"/>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436" w:right="239" w:bottom="1440" w:gutter="0" w:footer="0" w:header="0"/>
        </w:sectPr>
      </w:pPr>
    </w:p>
    <w:bookmarkStart w:id="133" w:name="page134"/>
    <w:bookmarkEnd w:id="133"/>
    <w:p>
      <w:pPr>
        <w:ind w:left="120"/>
        <w:spacing w:after="0"/>
        <w:rPr>
          <w:sz w:val="20"/>
          <w:szCs w:val="20"/>
          <w:color w:val="auto"/>
        </w:rPr>
      </w:pPr>
      <w:r>
        <w:rPr>
          <w:rFonts w:ascii="Arial" w:cs="Arial" w:eastAsia="Arial" w:hAnsi="Arial"/>
          <w:sz w:val="18"/>
          <w:szCs w:val="18"/>
          <w:b w:val="1"/>
          <w:bCs w:val="1"/>
          <w:color w:val="auto"/>
        </w:rPr>
        <w:t>ELIGIBILITY FOR PLAN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21437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4">
                      <a:extLst>
                        <a:ext uri="{28A0092B-C50C-407E-A947-70E740481C1C}"/>
                      </a:extLst>
                    </a:blip>
                    <a:srcRect/>
                    <a:stretch>
                      <a:fillRect/>
                    </a:stretch>
                  </pic:blipFill>
                  <pic:spPr bwMode="auto">
                    <a:xfrm>
                      <a:off x="0" y="0"/>
                      <a:ext cx="2143760" cy="1289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Eligibility for Plan Coverage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Booz Allen Officer, you are eligible for coverage if you are in a Covered Class. You are considered to be in a Covered Class if:</w:t>
      </w:r>
    </w:p>
    <w:p>
      <w:pPr>
        <w:spacing w:after="0" w:line="225" w:lineRule="exact"/>
        <w:rPr>
          <w:sz w:val="20"/>
          <w:szCs w:val="20"/>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live in the U.S. and are on the U.S. payroll; and</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are not covered by another firm-sponsored basic medical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belonging to a Covered Class, to be eligible for coverage you must be either a:</w:t>
      </w:r>
    </w:p>
    <w:p>
      <w:pPr>
        <w:spacing w:after="0" w:line="225"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Full-time employee; or</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Part-time* employee working on a regular basis.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Plan does not cover temporary employees, contract consultants, and employees hired pursuant to an agreement providing that such employees shall not participate in the Plan.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Dependents’ Eligibility for Plan Coverage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long as you are eligible for Plan coverage, your dependent(s) will be eligible for Plan coverage if they are:</w:t>
      </w:r>
    </w:p>
    <w:p>
      <w:pPr>
        <w:spacing w:after="0" w:line="225" w:lineRule="exact"/>
        <w:rPr>
          <w:sz w:val="20"/>
          <w:szCs w:val="20"/>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Your spouse or eligible domestic partner** (regardless of gender);</w:t>
      </w:r>
    </w:p>
    <w:p>
      <w:pPr>
        <w:spacing w:after="0" w:line="225" w:lineRule="exact"/>
        <w:rPr>
          <w:rFonts w:ascii="Arial" w:cs="Arial" w:eastAsia="Arial" w:hAnsi="Arial"/>
          <w:sz w:val="18"/>
          <w:szCs w:val="18"/>
          <w:color w:val="auto"/>
        </w:rPr>
      </w:pPr>
    </w:p>
    <w:p>
      <w:pPr>
        <w:ind w:left="780" w:right="80" w:hanging="326"/>
        <w:spacing w:after="0" w:line="25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Your and your spouse’s or domestic partner’s children who are unmarried, under age 26, not working full-time, and who can qualify as dependents under the provisions of the Internal Revenue Code.</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Your children include:</w:t>
      </w:r>
    </w:p>
    <w:p>
      <w:pPr>
        <w:spacing w:after="0" w:line="210" w:lineRule="exact"/>
        <w:rPr>
          <w:rFonts w:ascii="Arial" w:cs="Arial" w:eastAsia="Arial" w:hAnsi="Arial"/>
          <w:sz w:val="18"/>
          <w:szCs w:val="18"/>
          <w:color w:val="auto"/>
        </w:rPr>
      </w:pPr>
    </w:p>
    <w:p>
      <w:pPr>
        <w:ind w:left="1260" w:hanging="482"/>
        <w:spacing w:after="0"/>
        <w:tabs>
          <w:tab w:leader="none" w:pos="1260" w:val="left"/>
        </w:tabs>
        <w:numPr>
          <w:ilvl w:val="1"/>
          <w:numId w:val="95"/>
        </w:numPr>
        <w:rPr>
          <w:rFonts w:ascii="Arial" w:cs="Arial" w:eastAsia="Arial" w:hAnsi="Arial"/>
          <w:sz w:val="16"/>
          <w:szCs w:val="16"/>
          <w:color w:val="auto"/>
        </w:rPr>
      </w:pPr>
      <w:r>
        <w:rPr>
          <w:rFonts w:ascii="Arial" w:cs="Arial" w:eastAsia="Arial" w:hAnsi="Arial"/>
          <w:sz w:val="18"/>
          <w:szCs w:val="18"/>
          <w:color w:val="auto"/>
        </w:rPr>
        <w:t>Your biological children</w:t>
      </w:r>
    </w:p>
    <w:p>
      <w:pPr>
        <w:spacing w:after="0" w:line="225" w:lineRule="exact"/>
        <w:rPr>
          <w:rFonts w:ascii="Arial" w:cs="Arial" w:eastAsia="Arial" w:hAnsi="Arial"/>
          <w:sz w:val="16"/>
          <w:szCs w:val="16"/>
          <w:color w:val="auto"/>
        </w:rPr>
      </w:pPr>
    </w:p>
    <w:p>
      <w:pPr>
        <w:ind w:left="1260" w:right="200" w:hanging="482"/>
        <w:spacing w:after="0" w:line="277" w:lineRule="auto"/>
        <w:tabs>
          <w:tab w:leader="none" w:pos="1260" w:val="left"/>
        </w:tabs>
        <w:numPr>
          <w:ilvl w:val="1"/>
          <w:numId w:val="95"/>
        </w:numPr>
        <w:rPr>
          <w:rFonts w:ascii="Arial" w:cs="Arial" w:eastAsia="Arial" w:hAnsi="Arial"/>
          <w:sz w:val="16"/>
          <w:szCs w:val="16"/>
          <w:color w:val="auto"/>
        </w:rPr>
      </w:pPr>
      <w:r>
        <w:rPr>
          <w:rFonts w:ascii="Arial" w:cs="Arial" w:eastAsia="Arial" w:hAnsi="Arial"/>
          <w:sz w:val="18"/>
          <w:szCs w:val="18"/>
          <w:color w:val="auto"/>
        </w:rPr>
        <w:t>Your adopted children (as of the date the child is “placed for adoption” which means the assumption and retention of a legal obligation for total or partial support of a child in anticipation of adoption of the child)</w:t>
      </w:r>
    </w:p>
    <w:p>
      <w:pPr>
        <w:spacing w:after="0" w:line="170" w:lineRule="exact"/>
        <w:rPr>
          <w:rFonts w:ascii="Arial" w:cs="Arial" w:eastAsia="Arial" w:hAnsi="Arial"/>
          <w:sz w:val="16"/>
          <w:szCs w:val="16"/>
          <w:color w:val="auto"/>
        </w:rPr>
      </w:pPr>
    </w:p>
    <w:p>
      <w:pPr>
        <w:ind w:left="1260" w:hanging="482"/>
        <w:spacing w:after="0"/>
        <w:tabs>
          <w:tab w:leader="none" w:pos="1260" w:val="left"/>
        </w:tabs>
        <w:numPr>
          <w:ilvl w:val="1"/>
          <w:numId w:val="95"/>
        </w:numPr>
        <w:rPr>
          <w:rFonts w:ascii="Arial" w:cs="Arial" w:eastAsia="Arial" w:hAnsi="Arial"/>
          <w:sz w:val="16"/>
          <w:szCs w:val="16"/>
          <w:color w:val="auto"/>
        </w:rPr>
      </w:pPr>
      <w:r>
        <w:rPr>
          <w:rFonts w:ascii="Arial" w:cs="Arial" w:eastAsia="Arial" w:hAnsi="Arial"/>
          <w:sz w:val="18"/>
          <w:szCs w:val="18"/>
          <w:color w:val="auto"/>
        </w:rPr>
        <w:t>Your stepchildren</w:t>
      </w:r>
    </w:p>
    <w:p>
      <w:pPr>
        <w:spacing w:after="0" w:line="225" w:lineRule="exact"/>
        <w:rPr>
          <w:rFonts w:ascii="Arial" w:cs="Arial" w:eastAsia="Arial" w:hAnsi="Arial"/>
          <w:sz w:val="16"/>
          <w:szCs w:val="16"/>
          <w:color w:val="auto"/>
        </w:rPr>
      </w:pPr>
    </w:p>
    <w:p>
      <w:pPr>
        <w:ind w:left="1260" w:hanging="482"/>
        <w:spacing w:after="0"/>
        <w:tabs>
          <w:tab w:leader="none" w:pos="1260" w:val="left"/>
        </w:tabs>
        <w:numPr>
          <w:ilvl w:val="1"/>
          <w:numId w:val="95"/>
        </w:numPr>
        <w:rPr>
          <w:rFonts w:ascii="Arial" w:cs="Arial" w:eastAsia="Arial" w:hAnsi="Arial"/>
          <w:sz w:val="16"/>
          <w:szCs w:val="16"/>
          <w:color w:val="auto"/>
        </w:rPr>
      </w:pPr>
      <w:r>
        <w:rPr>
          <w:rFonts w:ascii="Arial" w:cs="Arial" w:eastAsia="Arial" w:hAnsi="Arial"/>
          <w:sz w:val="18"/>
          <w:szCs w:val="18"/>
          <w:color w:val="auto"/>
        </w:rPr>
        <w:t>Any other child you support who lives with you in a parent-child relationship</w:t>
      </w:r>
    </w:p>
    <w:p>
      <w:pPr>
        <w:spacing w:after="0" w:line="225" w:lineRule="exact"/>
        <w:rPr>
          <w:rFonts w:ascii="Arial" w:cs="Arial" w:eastAsia="Arial" w:hAnsi="Arial"/>
          <w:sz w:val="16"/>
          <w:szCs w:val="16"/>
          <w:color w:val="auto"/>
        </w:rPr>
      </w:pPr>
    </w:p>
    <w:p>
      <w:pPr>
        <w:ind w:left="780" w:right="120" w:hanging="326"/>
        <w:spacing w:after="0" w:line="286" w:lineRule="auto"/>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Your and your spouse’s or domestic partner’s children (as defined above) age 26 or older, if they are primarily supported by you or your spouse or domestic partner and incapable of self- sustaining employment by reasons of mental or physical handicap. The dependent must have become incapable of self-support before age 26. You must give Aetna proof that the child meets these conditions when requested.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47" w:lineRule="exact"/>
        <w:rPr>
          <w:sz w:val="20"/>
          <w:szCs w:val="20"/>
          <w:color w:val="auto"/>
        </w:rPr>
      </w:pPr>
    </w:p>
    <w:p>
      <w:pPr>
        <w:ind w:left="620" w:right="20" w:hanging="490"/>
        <w:spacing w:after="0" w:line="273" w:lineRule="auto"/>
        <w:tabs>
          <w:tab w:leader="none" w:pos="6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be considered a part-time employee working on a regular basis, you must work at least 50% of the standard number of hours per week as defined for your business unit. For example, if the standard number of hours per week for your business unit is 40 hours, you must work at least 20 hours per week to be benefits eligible.</w:t>
      </w:r>
    </w:p>
    <w:p>
      <w:pPr>
        <w:spacing w:after="0" w:line="66" w:lineRule="exact"/>
        <w:rPr>
          <w:sz w:val="20"/>
          <w:szCs w:val="20"/>
          <w:color w:val="auto"/>
        </w:rPr>
      </w:pPr>
    </w:p>
    <w:p>
      <w:pPr>
        <w:ind w:left="620" w:right="20" w:hanging="490"/>
        <w:spacing w:after="0" w:line="273" w:lineRule="auto"/>
        <w:tabs>
          <w:tab w:leader="none" w:pos="6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If you have completed and signed a “Declaration of Domestic Partnership” and the Declaration is acceptable to the firm, you may cover as your dependent the person who is the “domestic partner” named in your Declaration.</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32" w:right="239" w:bottom="1440" w:gutter="0" w:footer="0" w:header="0"/>
        </w:sectPr>
      </w:pPr>
    </w:p>
    <w:bookmarkStart w:id="134" w:name="page135"/>
    <w:bookmarkEnd w:id="134"/>
    <w:p>
      <w:pPr>
        <w:ind w:right="60"/>
        <w:spacing w:after="0" w:line="277" w:lineRule="auto"/>
        <w:rPr>
          <w:sz w:val="20"/>
          <w:szCs w:val="20"/>
          <w:color w:val="auto"/>
        </w:rPr>
      </w:pPr>
      <w:r>
        <w:rPr>
          <w:rFonts w:ascii="Arial" w:cs="Arial" w:eastAsia="Arial" w:hAnsi="Arial"/>
          <w:sz w:val="18"/>
          <w:szCs w:val="18"/>
          <w:color w:val="auto"/>
        </w:rPr>
        <w:t>Your dependents are not eligible for coverage if they are on active duty in the armed forces of any country. In addition, no person may be covered both as an employee and dependent and no person may be covered as a dependent of more than one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Can Enroll for Coverage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only four periods of time during which you can enroll for coverage:</w:t>
      </w:r>
    </w:p>
    <w:p>
      <w:pPr>
        <w:spacing w:after="0" w:line="225" w:lineRule="exact"/>
        <w:rPr>
          <w:sz w:val="20"/>
          <w:szCs w:val="20"/>
          <w:color w:val="auto"/>
        </w:rPr>
      </w:pPr>
    </w:p>
    <w:p>
      <w:pPr>
        <w:ind w:left="820" w:hanging="487"/>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Within 31 days after first becoming eligible to enroll;</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the annual open enrollment period;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Within 31 days after a qualified status change; or</w:t>
      </w:r>
    </w:p>
    <w:p>
      <w:pPr>
        <w:spacing w:after="0" w:line="225" w:lineRule="exact"/>
        <w:rPr>
          <w:rFonts w:ascii="Arial" w:cs="Arial" w:eastAsia="Arial" w:hAnsi="Arial"/>
          <w:sz w:val="18"/>
          <w:szCs w:val="18"/>
          <w:color w:val="auto"/>
        </w:rPr>
      </w:pPr>
    </w:p>
    <w:p>
      <w:pPr>
        <w:ind w:left="820" w:right="280" w:hanging="487"/>
        <w:spacing w:after="0" w:line="277"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may defer enrollment if you have coverage from your prior employer that extends beyond your initial date of hire with the firm. You may enroll at a future date provided it is within 31 days after the coverage 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Making Changes During the Year</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Federal law limits the types of coverage changes employers can allow employees to make to their medical plan elections during the year. Generally, you may make a change only if you experience a qualified status change that affects eligibility for coverage under the Plan, or in certain other limited situations such as a significant change in cost or coverage of a benefit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status changes that allow you to change your Plan election include:</w:t>
      </w:r>
    </w:p>
    <w:p>
      <w:pPr>
        <w:spacing w:after="0" w:line="229" w:lineRule="exact"/>
        <w:rPr>
          <w:sz w:val="20"/>
          <w:szCs w:val="20"/>
          <w:color w:val="auto"/>
        </w:rPr>
      </w:pPr>
    </w:p>
    <w:p>
      <w:pPr>
        <w:ind w:left="660" w:hanging="327"/>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marry, legally separate (in states where legal separation equals divorce), have your marriage annulled, or get divorced;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Your unmarried dependent is no longer eligibility for plan coverage;</w:t>
      </w:r>
    </w:p>
    <w:p>
      <w:pPr>
        <w:spacing w:after="0" w:line="225" w:lineRule="exact"/>
        <w:rPr>
          <w:rFonts w:ascii="Arial" w:cs="Arial" w:eastAsia="Arial" w:hAnsi="Arial"/>
          <w:sz w:val="18"/>
          <w:szCs w:val="18"/>
          <w:color w:val="auto"/>
        </w:rPr>
      </w:pPr>
    </w:p>
    <w:p>
      <w:pPr>
        <w:ind w:left="660" w:right="520" w:hanging="327"/>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have a baby, adopt a child, have a child placed with you for adoption, or have a child live with you that you can claim as a dependent for federal tax purposes;</w:t>
      </w:r>
    </w:p>
    <w:p>
      <w:pPr>
        <w:spacing w:after="0" w:line="170" w:lineRule="exact"/>
        <w:rPr>
          <w:rFonts w:ascii="Arial" w:cs="Arial" w:eastAsia="Arial" w:hAnsi="Arial"/>
          <w:sz w:val="18"/>
          <w:szCs w:val="18"/>
          <w:color w:val="auto"/>
        </w:rPr>
      </w:pPr>
    </w:p>
    <w:p>
      <w:pPr>
        <w:ind w:left="660" w:right="160" w:hanging="327"/>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 your spouse, or your dependent experiences a change in employment status (for example, loss of a job, start of a new job, a strike or lockout, commencement of or return from a leave of absence, or going from full-time to part-time employment or vice versa);</w:t>
      </w:r>
    </w:p>
    <w:p>
      <w:pPr>
        <w:spacing w:after="0" w:line="146" w:lineRule="exact"/>
        <w:rPr>
          <w:rFonts w:ascii="Arial" w:cs="Arial" w:eastAsia="Arial" w:hAnsi="Arial"/>
          <w:sz w:val="17"/>
          <w:szCs w:val="17"/>
          <w:color w:val="auto"/>
        </w:rPr>
      </w:pPr>
    </w:p>
    <w:p>
      <w:pPr>
        <w:ind w:left="660" w:hanging="327"/>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your spouse, or your dependent(s) move;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Your spouse or dependent(s) dies.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status changes may also include changes to certain benefits resulting from other events, such as:</w:t>
      </w:r>
    </w:p>
    <w:p>
      <w:pPr>
        <w:spacing w:after="0" w:line="229" w:lineRule="exact"/>
        <w:rPr>
          <w:sz w:val="20"/>
          <w:szCs w:val="20"/>
          <w:color w:val="auto"/>
        </w:rPr>
      </w:pPr>
    </w:p>
    <w:p>
      <w:pPr>
        <w:ind w:left="660" w:right="140" w:hanging="327"/>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another employer’s medical plan allows for a change in your family member’s coverage (either during that plan’s open enrollment period or due to a mid-year election change permitted under the Internal Revenue Code), you may be able to make a corresponding election change under the Plan. For example, if your spouse elects family coverage during that plan’s open enrollment period, you may drop your coverage under the Plan.</w:t>
      </w:r>
    </w:p>
    <w:p>
      <w:pPr>
        <w:spacing w:after="0" w:line="146" w:lineRule="exact"/>
        <w:rPr>
          <w:rFonts w:ascii="Arial" w:cs="Arial" w:eastAsia="Arial" w:hAnsi="Arial"/>
          <w:sz w:val="16"/>
          <w:szCs w:val="16"/>
          <w:color w:val="auto"/>
        </w:rPr>
      </w:pPr>
    </w:p>
    <w:p>
      <w:pPr>
        <w:ind w:left="660" w:right="340" w:hanging="327"/>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Plan receives a judgment, decree, or order (including a Qualified Medical Child Support Order, or QMCSO) requiring the Plan to provide accident or health coverage to your child or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436" w:right="239" w:bottom="1440" w:gutter="0" w:footer="0" w:header="0"/>
        </w:sectPr>
      </w:pPr>
    </w:p>
    <w:bookmarkStart w:id="135" w:name="page136"/>
    <w:bookmarkEnd w:id="135"/>
    <w:p>
      <w:pPr>
        <w:ind w:left="660" w:right="180"/>
        <w:spacing w:after="0" w:line="276" w:lineRule="auto"/>
        <w:rPr>
          <w:sz w:val="20"/>
          <w:szCs w:val="20"/>
          <w:color w:val="auto"/>
        </w:rPr>
      </w:pPr>
      <w:r>
        <w:rPr>
          <w:rFonts w:ascii="Arial" w:cs="Arial" w:eastAsia="Arial" w:hAnsi="Arial"/>
          <w:sz w:val="17"/>
          <w:szCs w:val="17"/>
          <w:color w:val="auto"/>
        </w:rPr>
        <w:t>foster child who is your dependent. In this instance, the Plan will automatically change your benefit elections to provide coverage for the child. In the case of a child whom you are required to cover pursuant to a QMCSO, coverage will begin on the date specified in the order, or if none is specified, the date of the order. You may decrease your coverage for that child, if the court order requires the child’s other parent to provide coverage, and your spouse’s or former spouse’s plan actually provides that coverage. You may also make other corresponding changes to your benefit elections under the Plan, to the extent permitted by the Internal Revenue Code and the Plan.</w:t>
      </w:r>
    </w:p>
    <w:p>
      <w:pPr>
        <w:spacing w:after="0" w:line="173" w:lineRule="exact"/>
        <w:rPr>
          <w:sz w:val="20"/>
          <w:szCs w:val="20"/>
          <w:color w:val="auto"/>
        </w:rPr>
      </w:pPr>
    </w:p>
    <w:p>
      <w:pPr>
        <w:ind w:left="660" w:right="280" w:hanging="327"/>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you, your spouse or a dependent becomes entitled to, or loses entitlement to, coverage under a government institution, Medicare, Medicaid, or state children’s health program, you may make corresponding changes to your benefit elections under the Plan.</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Your change in coverage must be consistent with your qualified status change. In addition, your status change must cause a gain or loss of eligibility in the program or another employer’s plan, and your new election must correspond with the event. For example, if you have a new dependent as a result of marriage, birth, adoption, or placement for adoption, you may be able to enroll yourself and your dependent(s), provided you request enrollment within 31 days, after the marriage, birth, adoption, or placement for adoption.</w:t>
      </w:r>
    </w:p>
    <w:p>
      <w:pPr>
        <w:spacing w:after="0" w:line="18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If you experience a qualified status change, you must inform Booz Allen of your new election within 31 days of the change and provide proof of the change upon request. Otherwise, you will lose your</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right to change your election—until open enrollment. Your new election shall take effect prospectively only, but not earlier than the date of the change in status.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Enrollment Events Under HIPAA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person, including yourself, will not be considered to be a Late Enrollee if all of the following are met:</w:t>
      </w:r>
    </w:p>
    <w:p>
      <w:pPr>
        <w:spacing w:after="0" w:line="225" w:lineRule="exact"/>
        <w:rPr>
          <w:sz w:val="20"/>
          <w:szCs w:val="20"/>
          <w:color w:val="auto"/>
        </w:rPr>
      </w:pPr>
    </w:p>
    <w:p>
      <w:pPr>
        <w:ind w:left="660" w:right="120" w:hanging="327"/>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You did not elect Health Expense Coverage for yourself or any eligible dependent during the Initial Enrollment Period (or during a subsequent late enrollment period) because at that time:</w:t>
      </w:r>
    </w:p>
    <w:p>
      <w:pPr>
        <w:spacing w:after="0" w:line="170" w:lineRule="exact"/>
        <w:rPr>
          <w:rFonts w:ascii="Arial" w:cs="Arial" w:eastAsia="Arial" w:hAnsi="Arial"/>
          <w:sz w:val="18"/>
          <w:szCs w:val="18"/>
          <w:color w:val="auto"/>
        </w:rPr>
      </w:pPr>
    </w:p>
    <w:p>
      <w:pPr>
        <w:ind w:left="1140" w:hanging="483"/>
        <w:spacing w:after="0"/>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person was covered under another group health plan or other health insurance coverage; and</w:t>
      </w:r>
    </w:p>
    <w:p>
      <w:pPr>
        <w:spacing w:after="0" w:line="225" w:lineRule="exact"/>
        <w:rPr>
          <w:rFonts w:ascii="Arial" w:cs="Arial" w:eastAsia="Arial" w:hAnsi="Arial"/>
          <w:sz w:val="18"/>
          <w:szCs w:val="18"/>
          <w:color w:val="auto"/>
        </w:rPr>
      </w:pPr>
    </w:p>
    <w:p>
      <w:pPr>
        <w:ind w:left="1140" w:right="260" w:hanging="483"/>
        <w:spacing w:after="0" w:line="264"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You stated, in writing, at the time you refused coverage that the reason for the refusal was because the person had such coverage, but such written statement is required only if the firm requires the statement and gives you notice of the requirement; and the person loses such coverage because:</w:t>
      </w:r>
    </w:p>
    <w:p>
      <w:pPr>
        <w:spacing w:after="0" w:line="181" w:lineRule="exact"/>
        <w:rPr>
          <w:rFonts w:ascii="Arial" w:cs="Arial" w:eastAsia="Arial" w:hAnsi="Arial"/>
          <w:sz w:val="18"/>
          <w:szCs w:val="18"/>
          <w:color w:val="auto"/>
        </w:rPr>
      </w:pPr>
    </w:p>
    <w:p>
      <w:pPr>
        <w:ind w:left="1620" w:hanging="476"/>
        <w:spacing w:after="0"/>
        <w:tabs>
          <w:tab w:leader="none" w:pos="1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It was provided under a COBRA continuation provision, and coverage under that provision was exhausted; or</w:t>
      </w:r>
    </w:p>
    <w:p>
      <w:pPr>
        <w:spacing w:after="0" w:line="225" w:lineRule="exact"/>
        <w:rPr>
          <w:rFonts w:ascii="Arial" w:cs="Arial" w:eastAsia="Arial" w:hAnsi="Arial"/>
          <w:sz w:val="18"/>
          <w:szCs w:val="18"/>
          <w:color w:val="auto"/>
        </w:rPr>
      </w:pPr>
    </w:p>
    <w:p>
      <w:pPr>
        <w:ind w:left="1620" w:right="20" w:hanging="476"/>
        <w:spacing w:after="0" w:line="277" w:lineRule="auto"/>
        <w:tabs>
          <w:tab w:leader="none" w:pos="1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It was not provided under a COBRA continuation provision, and either the coverage was terminated as a result of loss of eligibility for the coverage, including loss of eligibility as a result of:</w:t>
      </w:r>
    </w:p>
    <w:p>
      <w:pPr>
        <w:spacing w:after="0" w:line="170" w:lineRule="exact"/>
        <w:rPr>
          <w:rFonts w:ascii="Arial" w:cs="Arial" w:eastAsia="Arial" w:hAnsi="Arial"/>
          <w:sz w:val="18"/>
          <w:szCs w:val="18"/>
          <w:color w:val="auto"/>
        </w:rPr>
      </w:pPr>
    </w:p>
    <w:p>
      <w:pPr>
        <w:ind w:left="2120" w:hanging="490"/>
        <w:spacing w:after="0"/>
        <w:tabs>
          <w:tab w:leader="none" w:pos="21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Legal separation or divorce;</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Death;</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Reduction in the number of hours of employment;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436" w:right="239" w:bottom="1440" w:gutter="0" w:footer="0" w:header="0"/>
        </w:sectPr>
      </w:pPr>
    </w:p>
    <w:bookmarkStart w:id="136" w:name="page137"/>
    <w:bookmarkEnd w:id="136"/>
    <w:p>
      <w:pPr>
        <w:ind w:left="2120" w:hanging="490"/>
        <w:spacing w:after="0"/>
        <w:tabs>
          <w:tab w:leader="none" w:pos="2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employer’s decision to stop offering the group health plan to the Eligible Class to which the employee belongs;</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Cessation of a dependent’s status as an eligible dependent as such is defined under this Plan;</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operation of another Plan’s lifetime maximum on all benefits, if applicable; or</w:t>
      </w:r>
    </w:p>
    <w:p>
      <w:pPr>
        <w:spacing w:after="0" w:line="225" w:lineRule="exact"/>
        <w:rPr>
          <w:rFonts w:ascii="Arial" w:cs="Arial" w:eastAsia="Arial" w:hAnsi="Arial"/>
          <w:sz w:val="18"/>
          <w:szCs w:val="18"/>
          <w:color w:val="auto"/>
        </w:rPr>
      </w:pPr>
    </w:p>
    <w:p>
      <w:pPr>
        <w:ind w:left="2120" w:hanging="490"/>
        <w:spacing w:after="0"/>
        <w:tabs>
          <w:tab w:leader="none" w:pos="21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Employer contributions toward the coverage were terminated.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 elect coverage within 31 days of the date the person loses coverage for one of the above reasons.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you and any eligible dependents will not be considered to be Late Enrollees if the firm offers multiple health benefit plans and you elect a different plan during the open enrollment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the following persons will not be considered to be Late Enrollees given any of the following circumstances:</w:t>
      </w:r>
    </w:p>
    <w:p>
      <w:pPr>
        <w:spacing w:after="0" w:line="225" w:lineRule="exact"/>
        <w:rPr>
          <w:sz w:val="20"/>
          <w:szCs w:val="20"/>
          <w:color w:val="auto"/>
        </w:rPr>
      </w:pPr>
    </w:p>
    <w:p>
      <w:pPr>
        <w:ind w:left="660" w:right="620" w:hanging="327"/>
        <w:spacing w:after="0" w:line="291"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You, if you are eligible, but not enrolled, and your newly acquired dependents through marriage, birth, adoption, or placement for adoption. However, you must request enrollment for your newly acquired dependent(s) and yourself, if you are not already enrolled, within</w:t>
      </w:r>
    </w:p>
    <w:p>
      <w:pPr>
        <w:ind w:left="660"/>
        <w:spacing w:after="0"/>
        <w:rPr>
          <w:rFonts w:ascii="Arial" w:cs="Arial" w:eastAsia="Arial" w:hAnsi="Arial"/>
          <w:sz w:val="16"/>
          <w:szCs w:val="16"/>
          <w:color w:val="auto"/>
        </w:rPr>
      </w:pPr>
      <w:r>
        <w:rPr>
          <w:rFonts w:ascii="Arial" w:cs="Arial" w:eastAsia="Arial" w:hAnsi="Arial"/>
          <w:sz w:val="18"/>
          <w:szCs w:val="18"/>
          <w:color w:val="auto"/>
        </w:rPr>
        <w:t>31 days of the marriage, birth, adoption, or placement for adoption.</w:t>
      </w:r>
    </w:p>
    <w:p>
      <w:pPr>
        <w:spacing w:after="0" w:line="210" w:lineRule="exact"/>
        <w:rPr>
          <w:rFonts w:ascii="Arial" w:cs="Arial" w:eastAsia="Arial" w:hAnsi="Arial"/>
          <w:sz w:val="16"/>
          <w:szCs w:val="16"/>
          <w:color w:val="auto"/>
        </w:rPr>
      </w:pPr>
    </w:p>
    <w:p>
      <w:pPr>
        <w:ind w:left="660" w:right="40" w:hanging="327"/>
        <w:spacing w:after="0" w:line="34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Your spouse from whom you are separated or divorced, or child who would meet the definition of a dependent, if you are subject to a court order requiring you to provide health expense coverage for such spouse or child. However, you must request enrollment within 31 days of the court order.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Coverage will be effective:</w:t>
      </w:r>
    </w:p>
    <w:p>
      <w:pPr>
        <w:spacing w:after="0" w:line="225" w:lineRule="exact"/>
        <w:rPr>
          <w:sz w:val="20"/>
          <w:szCs w:val="20"/>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marriage, on the date the completed request for enrollment is received;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 newborn, on the date of birth;</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adoption, on the date of the child’s adoption or placement for adoption;</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court ordered coverage of a spouse or child, on the date of the court order;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loss of coverage under COBRA continuation, on the date COBRA continuation ended; and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loss of coverage for other reasons, the date on which the applicable event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Under the firm’s policy, qualified change in status rules will apply to domestic partnerships.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Coverage Begins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Your and your dependents’ medical and dental coverage will begin on the first day of active employment, the first day you are eligible to participate in the Plan, or the day of the Qualified status change, provided that you sign the benefit enrollment forms within 31 days from the date of the event. Newborns are automatically covered under the Plan for the first 31 days following their birth. For</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436" w:right="239" w:bottom="1440" w:gutter="0" w:footer="0" w:header="0"/>
        </w:sectPr>
      </w:pPr>
    </w:p>
    <w:bookmarkStart w:id="137" w:name="page138"/>
    <w:bookmarkEnd w:id="137"/>
    <w:p>
      <w:pPr>
        <w:ind w:right="720"/>
        <w:spacing w:after="0" w:line="277" w:lineRule="auto"/>
        <w:rPr>
          <w:sz w:val="20"/>
          <w:szCs w:val="20"/>
          <w:color w:val="auto"/>
        </w:rPr>
      </w:pPr>
      <w:r>
        <w:rPr>
          <w:rFonts w:ascii="Arial" w:cs="Arial" w:eastAsia="Arial" w:hAnsi="Arial"/>
          <w:sz w:val="18"/>
          <w:szCs w:val="18"/>
          <w:color w:val="auto"/>
        </w:rPr>
        <w:t>coverage to continue beyond the first 31 days, you must enroll your newborn in the Plan. Please contact your Human Resources Representative for enrollment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enroll for coverage for the first time during open enrollment, your coverage will begin on January 1 of the following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Coverage 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 coverage under the Plan will end on the day after:</w:t>
      </w:r>
    </w:p>
    <w:p>
      <w:pPr>
        <w:spacing w:after="0" w:line="225" w:lineRule="exact"/>
        <w:rPr>
          <w:sz w:val="20"/>
          <w:szCs w:val="20"/>
          <w:color w:val="auto"/>
        </w:rPr>
      </w:pPr>
    </w:p>
    <w:p>
      <w:pPr>
        <w:ind w:left="660" w:hanging="32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are no longer employed by the firm;</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are no longer a part of a Covered Class (see page 6);</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Plan ends; or</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are covered as a dependent and you lose your dependent status.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You and your dependents may also lose eligibility if your I.D. card is given to and used by a non- eligible person, or if you or your dependents supply incorrect or incomplete information to the firm or Aetna to receive coverage.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You or your dependents may be eligible to extend coverage through COBRA after the date the Plan would otherwise end. See page 41 for details.</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Medical coverage may be extended, for up to 12 months, after the date that COBRA coverage would end if, on that date, the covered person is Totally Disabled from a sickness or injury and is under a Physician’s care. Dental coverage will be available while disabled for up to 12 months. The benefits will be available only if expenses are for covered services and supplies which have been rendered and received, including delivered and installed, if these apply, prior to the end of that 12 month period.</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the Dental Plan only, if coverage ends and the covered person is not Totally Disabled, expenses for dentures, fixed bridgework, and crowns will be deemed to be incurred when ordered. This applies only if the item is finally installed or delivered, no more than 30 days after coverage ends. “Ordered” means impressions have been taken from which the dentures, crowns, or fixed bridgework will be made and, as to fixed bridgework and crowns, the teeth must have been fully prepared if they will serve as retainers or support, or they are being restored.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PLAN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833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extLst>
                        <a:ext uri="{28A0092B-C50C-407E-A947-70E740481C1C}"/>
                      </a:extLst>
                    </a:blip>
                    <a:srcRect/>
                    <a:stretch>
                      <a:fillRect/>
                    </a:stretch>
                  </pic:blipFill>
                  <pic:spPr bwMode="auto">
                    <a:xfrm>
                      <a:off x="0" y="0"/>
                      <a:ext cx="1483360" cy="128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Plan gives you complete freedom to choose any Physician, Dentist or Hospital. There are no requirements for referrals or pre-certification.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Coinsurance and Deductibles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are not required to pay coinsurance and deductibles as part of the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THE MEDICAL PLAN PAYS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96405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extLst>
                        <a:ext uri="{28A0092B-C50C-407E-A947-70E740481C1C}"/>
                      </a:extLst>
                    </a:blip>
                    <a:srcRect/>
                    <a:stretch>
                      <a:fillRect/>
                    </a:stretch>
                  </pic:blipFill>
                  <pic:spPr bwMode="auto">
                    <a:xfrm>
                      <a:off x="0" y="0"/>
                      <a:ext cx="1964055" cy="128905"/>
                    </a:xfrm>
                    <a:prstGeom prst="rect">
                      <a:avLst/>
                    </a:prstGeom>
                    <a:noFill/>
                  </pic:spPr>
                </pic:pic>
              </a:graphicData>
            </a:graphic>
          </wp:anchor>
        </w:drawing>
      </w:r>
    </w:p>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Medical Plan pays 100% of most eligible hospital charges and 100% of other eligible charges such as preventive and routine care, second surgical opinions, outpatient surgical expenses, National Medical Excellence travel and lodging expenses, and prescription drugs. All eligible charges are subject to Plan limitations, exclusions, and maximums.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60" w:top="436"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Your Lifetime Benefit Maximum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specific lifetime maximums for the following benefits:</w:t>
      </w:r>
    </w:p>
    <w:p>
      <w:pPr>
        <w:spacing w:after="0" w:line="225" w:lineRule="exact"/>
        <w:rPr>
          <w:sz w:val="20"/>
          <w:szCs w:val="20"/>
          <w:color w:val="auto"/>
        </w:rPr>
      </w:pPr>
    </w:p>
    <w:p>
      <w:pPr>
        <w:ind w:left="660" w:hanging="32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Hospice care—210 days per period of care</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Hospice care bereavement counseling—5 days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THE MEDICAL PLAN COVERS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160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7">
                      <a:extLst>
                        <a:ext uri="{28A0092B-C50C-407E-A947-70E740481C1C}"/>
                      </a:extLst>
                    </a:blip>
                    <a:srcRect/>
                    <a:stretch>
                      <a:fillRect/>
                    </a:stretch>
                  </pic:blipFill>
                  <pic:spPr bwMode="auto">
                    <a:xfrm>
                      <a:off x="0" y="0"/>
                      <a:ext cx="2160905" cy="128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section of the booklet explains the covered medical expenses. Refer to the “Plan-At-A-Glance” or “How the Plan Works” sections for details.</w:t>
      </w:r>
    </w:p>
    <w:p>
      <w:pPr>
        <w:spacing w:after="0" w:line="2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be eligible for coverage under the Medical Plan, services and supplies must be considered Necessary and not Experimental or Investigational. (See “Glossary” and “What the Medical Plan Does Not Cover” for definitions of these terms.) All other applicable Medical Plan provisions and exclusions apply.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Prescription Drugs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prescription drug program covers prescriptions, including oral contraceptives and diaphragms, that are filled by a licensed pharmacist. Some injectables, such as insulin and injectable drugs used to treat infertility, are covered under the prescription drug program. The Medical Plan treats most other injectables as a medical service and supply and will cover eligible charges. Diabetic testing supplies (lancets and test strips) are covered. To receive testing supplies, a prescription from your Physician is required. Prescriptions for smoking cessation are also covered. Certain drugs such as Claritin are now available over the counter. Over-the-counter drugs are not covered by the Medical Plan.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Your prescription will be paid at 100% whether you choose to have your prescription filled at a participating Aetna pharmacy or at a non-participating pharmacy. If you choose to have your prescription filled at a participating Aetna pharmacy, you only need to show your Aetna identification card to the pharmacist and your prescription will be filled at 100%. Aetna contracts with most major pharmacy chains and some local pharmacies as well. For a list of participating Aetna pharmacies please refer to the Aetna web site at www.aetna.com.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you choose to have your prescription filled at a non-participating pharmacy, you will need to file a claim for reimbursement.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 Order Prescription Drugs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Maintenance drugs can be purchased by ordering through Aetna Rx Home Delivery. To take advantage of the mail order benefit, you will need to complete a mail order form along with your original prescription(s). Be sure your Physician has specified </w:t>
      </w:r>
      <w:r>
        <w:rPr>
          <w:rFonts w:ascii="Arial" w:cs="Arial" w:eastAsia="Arial" w:hAnsi="Arial"/>
          <w:sz w:val="16"/>
          <w:szCs w:val="16"/>
          <w:i w:val="1"/>
          <w:iCs w:val="1"/>
          <w:color w:val="auto"/>
        </w:rPr>
        <w:t>more than</w:t>
      </w:r>
      <w:r>
        <w:rPr>
          <w:rFonts w:ascii="Arial" w:cs="Arial" w:eastAsia="Arial" w:hAnsi="Arial"/>
          <w:sz w:val="16"/>
          <w:szCs w:val="16"/>
          <w:color w:val="auto"/>
        </w:rPr>
        <w:t xml:space="preserve"> a 30 day supply on your prescription.</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After the initial form has been submitted, you can order refills online at http://www.aetnarxhomedelivery.com, call in refills at 1-866-612-3862, or mail request for a refill. New prescriptions must be mailed. Prescription orders are typically processed and shipped via U.S. mail within a few days for all prescriptions that do not require additional information. When requesting medications by mail, make sure you order a refill about 14 days before your medicine runs out to allow sufficient time for processing the order. Keep in mind there is an additional expense for overnight delivery of medications, which will be charged to you. If you need a mail order form, please go to http://people.bah.com (accessible outside the firewall via https://secure.bah.com).</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60" w:top="432"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Annual Routine Physical Exams/Immunizations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covers eligible charges for routine physical exams for you and your dependents. (A routine physical exam is a medical exam given by a Physician for a reason other than to diagnose or treat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 injury or disease.) Expenses covered include x-rays, laboratory, immunizations for infectious disease, testing for tuberculosis, and other tests given in connection with the exam.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Routine Eye Exam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Plan covers eligible charges for a complete eye exam, including refraction, which is furnished by a legally qualified ophthalmologist or optometrist.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Routine Hearing Exam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covers eligible charges for an audiometric exam given by a certified otolaryngologist or otologist; or a qualified audiologist who performs the exam at the written direction of the otolaryngologist or otologist.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Routine Prostate Screening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Plan covers screening for cancer of the prostate for males age 40 and above, including a digital rectal exam, and a Prostate Specific Antigen (PSA) test.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Routine Mammograms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covers eligible charges for routine mammograms according to the schedule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 w:type="dxa"/>
            <w:vAlign w:val="bottom"/>
            <w:tcBorders>
              <w:right w:val="single" w:sz="8" w:color="auto"/>
            </w:tcBorders>
          </w:tcPr>
          <w:p>
            <w:pPr>
              <w:spacing w:after="0"/>
              <w:rPr>
                <w:sz w:val="22"/>
                <w:szCs w:val="22"/>
                <w:color w:val="auto"/>
              </w:rPr>
            </w:pPr>
          </w:p>
        </w:tc>
        <w:tc>
          <w:tcPr>
            <w:tcW w:w="4520" w:type="dxa"/>
            <w:vAlign w:val="bottom"/>
            <w:tcBorders>
              <w:bottom w:val="single" w:sz="8" w:color="auto"/>
              <w:right w:val="single" w:sz="8" w:color="auto"/>
            </w:tcBorders>
            <w:shd w:val="clear" w:color="auto" w:fill="000000"/>
          </w:tcPr>
          <w:p>
            <w:pPr>
              <w:ind w:left="620"/>
              <w:spacing w:after="0"/>
              <w:rPr>
                <w:sz w:val="20"/>
                <w:szCs w:val="20"/>
                <w:color w:val="auto"/>
              </w:rPr>
            </w:pPr>
            <w:r>
              <w:rPr>
                <w:rFonts w:ascii="Arial" w:cs="Arial" w:eastAsia="Arial" w:hAnsi="Arial"/>
                <w:sz w:val="18"/>
                <w:szCs w:val="18"/>
                <w:b w:val="1"/>
                <w:bCs w:val="1"/>
                <w:color w:val="FFFFFF"/>
              </w:rPr>
              <w:t>If You Are a Woman Who Is…</w:t>
            </w:r>
          </w:p>
        </w:tc>
        <w:tc>
          <w:tcPr>
            <w:tcW w:w="5300" w:type="dxa"/>
            <w:vAlign w:val="bottom"/>
            <w:tcBorders>
              <w:bottom w:val="single" w:sz="8" w:color="auto"/>
              <w:right w:val="single" w:sz="8" w:color="auto"/>
            </w:tcBorders>
            <w:shd w:val="clear" w:color="auto" w:fill="000000"/>
          </w:tcPr>
          <w:p>
            <w:pPr>
              <w:ind w:left="1120"/>
              <w:spacing w:after="0"/>
              <w:rPr>
                <w:sz w:val="20"/>
                <w:szCs w:val="20"/>
                <w:color w:val="auto"/>
              </w:rPr>
            </w:pPr>
            <w:r>
              <w:rPr>
                <w:rFonts w:ascii="Arial" w:cs="Arial" w:eastAsia="Arial" w:hAnsi="Arial"/>
                <w:sz w:val="18"/>
                <w:szCs w:val="18"/>
                <w:b w:val="1"/>
                <w:bCs w:val="1"/>
                <w:color w:val="FFFFFF"/>
              </w:rPr>
              <w:t>You Will Be Covered for:</w:t>
            </w:r>
          </w:p>
        </w:tc>
      </w:tr>
      <w:tr>
        <w:trPr>
          <w:trHeight w:val="243"/>
        </w:trPr>
        <w:tc>
          <w:tcPr>
            <w:tcW w:w="600" w:type="dxa"/>
            <w:vAlign w:val="bottom"/>
            <w:tcBorders>
              <w:right w:val="single" w:sz="8" w:color="auto"/>
            </w:tcBorders>
          </w:tcPr>
          <w:p>
            <w:pPr>
              <w:spacing w:after="0"/>
              <w:rPr>
                <w:sz w:val="21"/>
                <w:szCs w:val="21"/>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Age 35 – 39</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One baseline mammogram</w:t>
            </w:r>
          </w:p>
        </w:tc>
      </w:tr>
      <w:tr>
        <w:trPr>
          <w:trHeight w:val="27"/>
        </w:trPr>
        <w:tc>
          <w:tcPr>
            <w:tcW w:w="600" w:type="dxa"/>
            <w:vAlign w:val="bottom"/>
            <w:tcBorders>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Age 40+</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One baseline mammogram per calendar year</w:t>
            </w:r>
          </w:p>
        </w:tc>
      </w:tr>
      <w:tr>
        <w:trPr>
          <w:trHeight w:val="27"/>
        </w:trPr>
        <w:tc>
          <w:tcPr>
            <w:tcW w:w="600" w:type="dxa"/>
            <w:vAlign w:val="bottom"/>
            <w:tcBorders>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Any age</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Mammograms as recommended by your Physician</w:t>
            </w:r>
          </w:p>
        </w:tc>
      </w:tr>
      <w:tr>
        <w:trPr>
          <w:trHeight w:val="27"/>
        </w:trPr>
        <w:tc>
          <w:tcPr>
            <w:tcW w:w="600" w:type="dxa"/>
            <w:vAlign w:val="bottom"/>
            <w:tcBorders>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41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Routine OB/GYN Services</w:t>
            </w:r>
          </w:p>
        </w:tc>
        <w:tc>
          <w:tcPr>
            <w:tcW w:w="53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Plan covers eligible charges for obstetrical and gynecological services including routine GYN visits, pap smears and gynecological problems.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Maternity Care—Pre- and Post-Natal Care, Delivery, Newborn Nursery Care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Benefits are payable for pregnancy-related expenses and newborn nursery baby care. For Hospital inpatient care, there is a minimum of 48 hours following a vaginal delivery; and a minimum of 96 hours following a cesarean delivery. If discharged sooner, benefits will be payable for 2 post-delivery home visits by a health care provider.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Plan also pays for charges made by a Birthing Center to include pre-natal care, delivery, and post- partum care rendered within 24 hours after the delivery. Charges for the initial post-delivery home visit will be paid at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Routine Baby Care/Immunizations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Plan covers seven routine well baby care visits (exams and immunizations) in the first 12 months of your child’s life, and two visits in the 13th – 24th month of your child’s life, for reasons other than to diagnose or treat an injury or disease.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320" w:top="432"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Infertility, In Vitro and Artificial Insemination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charges made for the diagnosis and/or treatment of the underlying cause of infertility may be included as Covered Medical Expenses. Examples of these charges include but are not limited to:</w:t>
      </w:r>
    </w:p>
    <w:p>
      <w:pPr>
        <w:spacing w:after="0" w:line="170" w:lineRule="exact"/>
        <w:rPr>
          <w:sz w:val="20"/>
          <w:szCs w:val="20"/>
          <w:color w:val="auto"/>
        </w:rPr>
      </w:pPr>
    </w:p>
    <w:p>
      <w:pPr>
        <w:ind w:left="660" w:right="1040" w:hanging="327"/>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Initial evaluation, which may include medical, surgical, and sexual histories as well as a physical exam, psychological evaluation, and accompanying diagnostic testing;</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Hormonal and related services for the external augmentation of ovulatory cycles to achieve pregnancy;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Subsequent visits, including follow-up exams and diagnostic procedures;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Injectable drugs used to treat infertility, payable under the prescription drug benefit.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the following services and supplies, even though they are not incurred in connection with the diagnosis or treatment of a disease or injury, furnished to you or your spouse, are eligible charges, but only if:</w:t>
      </w:r>
    </w:p>
    <w:p>
      <w:pPr>
        <w:spacing w:after="0" w:line="170" w:lineRule="exact"/>
        <w:rPr>
          <w:sz w:val="20"/>
          <w:szCs w:val="20"/>
          <w:color w:val="auto"/>
        </w:rPr>
      </w:pPr>
    </w:p>
    <w:p>
      <w:pPr>
        <w:ind w:left="660" w:hanging="327"/>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person shows that she or her spouse has a history of infertility which has lasted at least</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 months; or provides a Physician’s certification that a physical disorder caused the infertility.</w:t>
      </w:r>
    </w:p>
    <w:p>
      <w:pPr>
        <w:spacing w:after="0" w:line="210" w:lineRule="exact"/>
        <w:rPr>
          <w:rFonts w:ascii="Arial" w:cs="Arial" w:eastAsia="Arial" w:hAnsi="Arial"/>
          <w:sz w:val="18"/>
          <w:szCs w:val="18"/>
          <w:color w:val="auto"/>
        </w:rPr>
      </w:pPr>
    </w:p>
    <w:p>
      <w:pPr>
        <w:ind w:left="660" w:hanging="327"/>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person and her spouse has not had voluntary sterilization (with or without surgical reversal); or a hysterectomy.</w:t>
      </w:r>
    </w:p>
    <w:p>
      <w:pPr>
        <w:spacing w:after="0" w:line="225" w:lineRule="exact"/>
        <w:rPr>
          <w:rFonts w:ascii="Arial" w:cs="Arial" w:eastAsia="Arial" w:hAnsi="Arial"/>
          <w:sz w:val="18"/>
          <w:szCs w:val="18"/>
          <w:color w:val="auto"/>
        </w:rPr>
      </w:pPr>
    </w:p>
    <w:p>
      <w:pPr>
        <w:ind w:left="660" w:right="280" w:hanging="327"/>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person’s Physician must certify that all of the necessary tests have been given to find the cause of the infertility; and no less costly treatment will result in pregnancy.</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09"/>
        </w:numPr>
        <w:rPr>
          <w:rFonts w:ascii="Arial" w:cs="Arial" w:eastAsia="Arial" w:hAnsi="Arial"/>
          <w:sz w:val="18"/>
          <w:szCs w:val="18"/>
          <w:i w:val="1"/>
          <w:iCs w:val="1"/>
          <w:color w:val="auto"/>
        </w:rPr>
      </w:pPr>
      <w:r>
        <w:rPr>
          <w:rFonts w:ascii="Arial" w:cs="Arial" w:eastAsia="Arial" w:hAnsi="Arial"/>
          <w:sz w:val="18"/>
          <w:szCs w:val="18"/>
          <w:color w:val="auto"/>
        </w:rPr>
        <w:t xml:space="preserve">Successful pregnancy cannot be attained through less costly treatment </w:t>
      </w:r>
      <w:r>
        <w:rPr>
          <w:rFonts w:ascii="Arial" w:cs="Arial" w:eastAsia="Arial" w:hAnsi="Arial"/>
          <w:sz w:val="18"/>
          <w:szCs w:val="18"/>
          <w:i w:val="1"/>
          <w:iCs w:val="1"/>
          <w:color w:val="auto"/>
        </w:rPr>
        <w:t>for which there is coverage on the plan.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procedures must be performed in medical facilities that conform to guidelines set forth by the American College of Obstetrics and Gynecology or The American Fertility Society.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Supplies</w:t>
      </w:r>
    </w:p>
    <w:p>
      <w:pPr>
        <w:spacing w:after="0" w:line="229" w:lineRule="exact"/>
        <w:rPr>
          <w:sz w:val="20"/>
          <w:szCs w:val="20"/>
          <w:color w:val="auto"/>
        </w:rPr>
      </w:pPr>
    </w:p>
    <w:p>
      <w:pPr>
        <w:ind w:left="660" w:hanging="327"/>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Artificial insemination, including analysis and preparation of the semen with which such person is to be inseminated.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Implementation of an embryo of such person, but only in connection with in vitro fertilization or other embryo transfer procedures, including:</w:t>
      </w:r>
    </w:p>
    <w:p>
      <w:pPr>
        <w:spacing w:after="0" w:line="236" w:lineRule="exact"/>
        <w:rPr>
          <w:rFonts w:ascii="Arial" w:cs="Arial" w:eastAsia="Arial" w:hAnsi="Arial"/>
          <w:sz w:val="17"/>
          <w:szCs w:val="17"/>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egg retrieval;</w:t>
      </w:r>
    </w:p>
    <w:p>
      <w:pPr>
        <w:spacing w:after="0" w:line="225" w:lineRule="exact"/>
        <w:rPr>
          <w:rFonts w:ascii="Arial" w:cs="Arial" w:eastAsia="Arial" w:hAnsi="Arial"/>
          <w:sz w:val="16"/>
          <w:szCs w:val="16"/>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semen analysis and preparation;</w:t>
      </w:r>
    </w:p>
    <w:p>
      <w:pPr>
        <w:spacing w:after="0" w:line="225" w:lineRule="exact"/>
        <w:rPr>
          <w:rFonts w:ascii="Arial" w:cs="Arial" w:eastAsia="Arial" w:hAnsi="Arial"/>
          <w:sz w:val="16"/>
          <w:szCs w:val="16"/>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embryo culture; embryo transfer;</w:t>
      </w:r>
    </w:p>
    <w:p>
      <w:pPr>
        <w:spacing w:after="0" w:line="225" w:lineRule="exact"/>
        <w:rPr>
          <w:rFonts w:ascii="Arial" w:cs="Arial" w:eastAsia="Arial" w:hAnsi="Arial"/>
          <w:sz w:val="16"/>
          <w:szCs w:val="16"/>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Gamete Intrafallopian Transfer (GIFT);</w:t>
      </w:r>
    </w:p>
    <w:p>
      <w:pPr>
        <w:spacing w:after="0" w:line="225" w:lineRule="exact"/>
        <w:rPr>
          <w:rFonts w:ascii="Arial" w:cs="Arial" w:eastAsia="Arial" w:hAnsi="Arial"/>
          <w:sz w:val="16"/>
          <w:szCs w:val="16"/>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Zygote Intrafallopian Transfer (ZIFT);</w:t>
      </w:r>
    </w:p>
    <w:p>
      <w:pPr>
        <w:spacing w:after="0" w:line="225" w:lineRule="exact"/>
        <w:rPr>
          <w:rFonts w:ascii="Arial" w:cs="Arial" w:eastAsia="Arial" w:hAnsi="Arial"/>
          <w:sz w:val="16"/>
          <w:szCs w:val="16"/>
          <w:color w:val="auto"/>
        </w:rPr>
      </w:pPr>
    </w:p>
    <w:p>
      <w:pPr>
        <w:ind w:left="1140" w:hanging="483"/>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Intracytoplasmic Sperm Injection (ICSI).</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432" w:right="239" w:bottom="1440" w:gutter="0" w:footer="0" w:header="0"/>
        </w:sectPr>
      </w:pPr>
    </w:p>
    <w:bookmarkStart w:id="141" w:name="page142"/>
    <w:bookmarkEnd w:id="141"/>
    <w:p>
      <w:pPr>
        <w:ind w:left="660" w:right="20" w:hanging="326"/>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Surrogate and Gestational Carrier—In both cases, the plan covers only those tests and procedures that are to be performed on the member. In no event will any of these procedures, tests or charges be covered if the person is acting as a surrogate mother and no procedures or tests performed on the carrier will be covered.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Expenses that are not covered include charges for:</w:t>
      </w:r>
    </w:p>
    <w:p>
      <w:pPr>
        <w:spacing w:after="0" w:line="225" w:lineRule="exact"/>
        <w:rPr>
          <w:sz w:val="20"/>
          <w:szCs w:val="20"/>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 of donor sperm</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Care of donor egg retrievals or transfers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Cryopreservation or storage of cryopreserved embryos—except in the case of Testicular Cancer HCPCS Codes S4030 &amp; S4031</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Prescription drugs including injectable fertility medications—covered through pharmacy benefit</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Home ovulation predictor kits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Gestational carrier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Mental Health Services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Medical Plan covers eligible charges for the treatment of mental disorders. A mental disorder is understood to be a disease whether or not it has a physiological or organic basis. Treatment is provided by or under the direction of a mental health professional such as a psychiatrist, a psychologist or a psychiatric social worker. A mental disorder includes, but is not limited to, schizophrenia, bipolar disorder, autism, panic disorder, major depressive disorder, psychotic depression, and obsessive compulsive disorder.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Substance Abuse Services</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Medical expenses related to the effective treatment of substance abuse are covered if they are for a program of alcoholism or drug abuse therapy that is prescribed and supervised by a Physician and either has a follow-up therapy program directed by a Physician on at least a monthly basis or includes meetings at least twice a month with organizations devoted to the treatment of alcoholism or drug abuse. Treatments that are not covered include:</w:t>
      </w:r>
    </w:p>
    <w:p>
      <w:pPr>
        <w:spacing w:after="0" w:line="147" w:lineRule="exact"/>
        <w:rPr>
          <w:sz w:val="20"/>
          <w:szCs w:val="20"/>
          <w:color w:val="auto"/>
        </w:rPr>
      </w:pPr>
    </w:p>
    <w:p>
      <w:pPr>
        <w:ind w:left="660" w:hanging="32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Detoxification. This means mainly treating the after effects of a specific episode of alcoholism or drug abuse.</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Maintenance care. This means providing an environment free of alcohol or drugs.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Outpatient coverage is limited to 60 visits per calendar year, including 20 family visits. Intensive outpatient care (3 - 5 hours per day in a treatment facility) is considered one outpatient visit.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COVERED SERVICES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5730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a:extLst>
                        <a:ext uri="{28A0092B-C50C-407E-A947-70E740481C1C}"/>
                      </a:extLst>
                    </a:blip>
                    <a:srcRect/>
                    <a:stretch>
                      <a:fillRect/>
                    </a:stretch>
                  </pic:blipFill>
                  <pic:spPr bwMode="auto">
                    <a:xfrm>
                      <a:off x="0" y="0"/>
                      <a:ext cx="2573020" cy="128905"/>
                    </a:xfrm>
                    <a:prstGeom prst="rect">
                      <a:avLst/>
                    </a:prstGeom>
                    <a:noFill/>
                  </pic:spPr>
                </pic:pic>
              </a:graphicData>
            </a:graphic>
          </wp:anchor>
        </w:drawing>
      </w:r>
    </w:p>
    <w:p>
      <w:pPr>
        <w:spacing w:after="0" w:line="20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Acupuncture </w:t>
      </w:r>
      <w:r>
        <w:rPr>
          <w:rFonts w:ascii="Arial" w:cs="Arial" w:eastAsia="Arial" w:hAnsi="Arial"/>
          <w:sz w:val="18"/>
          <w:szCs w:val="18"/>
          <w:color w:val="auto"/>
        </w:rPr>
        <w:t>by a certified acupuncturist will be provided if it is used as a form of anesthesia in connection with surgery that is covered under the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treat a disease or injury, or to alleviate chronic pain.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Allergy serum, </w:t>
      </w:r>
      <w:r>
        <w:rPr>
          <w:rFonts w:ascii="Arial" w:cs="Arial" w:eastAsia="Arial" w:hAnsi="Arial"/>
          <w:sz w:val="18"/>
          <w:szCs w:val="18"/>
          <w:color w:val="auto"/>
        </w:rPr>
        <w:t>allergy injections and injectable drugs.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360" w:top="436" w:right="2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 xml:space="preserve">Ambulance use </w:t>
      </w:r>
      <w:r>
        <w:rPr>
          <w:rFonts w:ascii="Arial" w:cs="Arial" w:eastAsia="Arial" w:hAnsi="Arial"/>
          <w:sz w:val="17"/>
          <w:szCs w:val="17"/>
          <w:color w:val="auto"/>
        </w:rPr>
        <w:t>to transport a person from the place where he or she is injured or stricken by disease to the first Hospital where treatment is given.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Anesthetics </w:t>
      </w:r>
      <w:r>
        <w:rPr>
          <w:rFonts w:ascii="Arial" w:cs="Arial" w:eastAsia="Arial" w:hAnsi="Arial"/>
          <w:sz w:val="18"/>
          <w:szCs w:val="18"/>
          <w:color w:val="auto"/>
        </w:rPr>
        <w:t>and oxygen.</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Artificial limbs and eyes </w:t>
      </w:r>
      <w:r>
        <w:rPr>
          <w:rFonts w:ascii="Arial" w:cs="Arial" w:eastAsia="Arial" w:hAnsi="Arial"/>
          <w:sz w:val="18"/>
          <w:szCs w:val="18"/>
          <w:color w:val="auto"/>
        </w:rPr>
        <w:t>as well as larynx, heart pacemakers, casts, splints, trusses, and braces. Not covered are eye glasses, vision aids, communication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aids, and orthopedic shoes, foot orthotics, or other devices to support the feet.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 and blood plasma</w:t>
      </w:r>
      <w:r>
        <w:rPr>
          <w:rFonts w:ascii="Arial" w:cs="Arial" w:eastAsia="Arial" w:hAnsi="Arial"/>
          <w:sz w:val="18"/>
          <w:szCs w:val="18"/>
          <w:color w:val="auto"/>
        </w:rPr>
        <w:t>—Aetna covers medically necessary transfusion of blood and blood products, regardless of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Chemotherapy</w:t>
      </w:r>
      <w:r>
        <w:rPr>
          <w:rFonts w:ascii="Arial" w:cs="Arial" w:eastAsia="Arial" w:hAnsi="Arial"/>
          <w:sz w:val="18"/>
          <w:szCs w:val="18"/>
          <w:color w:val="auto"/>
        </w:rPr>
        <w:t>, or treatment by X-ray, radium, or any other radioactive substance.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Contraceptives </w:t>
      </w:r>
      <w:r>
        <w:rPr>
          <w:rFonts w:ascii="Arial" w:cs="Arial" w:eastAsia="Arial" w:hAnsi="Arial"/>
          <w:sz w:val="18"/>
          <w:szCs w:val="18"/>
          <w:color w:val="auto"/>
        </w:rPr>
        <w:t>covered under the prescription drug program and drugs and devices not obtainable at a pharmacy.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Convalescent facility</w:t>
      </w:r>
      <w:r>
        <w:rPr>
          <w:rFonts w:ascii="Arial" w:cs="Arial" w:eastAsia="Arial" w:hAnsi="Arial"/>
          <w:sz w:val="17"/>
          <w:szCs w:val="17"/>
          <w:color w:val="auto"/>
        </w:rPr>
        <w:t>—Convalescent care is provided by a convalescent facility on an inpatient basis to patients recovering from a disease or injury.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 room, board, X-ray and lab work; physical, occupational or speech therapy; oxygen and other gas therapy; and other medical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Confinement in a convalescent facility is covered when:</w:t>
      </w:r>
    </w:p>
    <w:p>
      <w:pPr>
        <w:spacing w:after="0" w:line="225" w:lineRule="exact"/>
        <w:rPr>
          <w:sz w:val="20"/>
          <w:szCs w:val="20"/>
          <w:color w:val="auto"/>
        </w:rPr>
      </w:pPr>
    </w:p>
    <w:p>
      <w:pPr>
        <w:ind w:left="820" w:hanging="487"/>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confinement is recommended by a doctor and begins during a convalescent period;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patient is under the continuing care of a doctor;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patient receives necessary skilled nursing care, physical rehabilitation services, or both, and;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is expected that the care received will improve the patient’s condition and facilitate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To Convalescent Facility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section does not cover charges made for treatment of:</w:t>
      </w:r>
    </w:p>
    <w:p>
      <w:pPr>
        <w:spacing w:after="0" w:line="225" w:lineRule="exact"/>
        <w:rPr>
          <w:sz w:val="20"/>
          <w:szCs w:val="20"/>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Drug addiction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Chronic brain syndrome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Alcoholism</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Senility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Mental retardation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mental disorder</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Cosmetic surgery </w:t>
      </w:r>
      <w:r>
        <w:rPr>
          <w:rFonts w:ascii="Arial" w:cs="Arial" w:eastAsia="Arial" w:hAnsi="Arial"/>
          <w:sz w:val="18"/>
          <w:szCs w:val="18"/>
          <w:i w:val="1"/>
          <w:iCs w:val="1"/>
          <w:color w:val="auto"/>
        </w:rPr>
        <w:t>only</w:t>
      </w:r>
      <w:r>
        <w:rPr>
          <w:rFonts w:ascii="Arial" w:cs="Arial" w:eastAsia="Arial" w:hAnsi="Arial"/>
          <w:sz w:val="18"/>
          <w:szCs w:val="18"/>
          <w:b w:val="1"/>
          <w:bCs w:val="1"/>
          <w:color w:val="auto"/>
        </w:rPr>
        <w:t xml:space="preserve"> </w:t>
      </w:r>
      <w:r>
        <w:rPr>
          <w:rFonts w:ascii="Arial" w:cs="Arial" w:eastAsia="Arial" w:hAnsi="Arial"/>
          <w:sz w:val="18"/>
          <w:szCs w:val="18"/>
          <w:color w:val="auto"/>
        </w:rPr>
        <w:t>if needed to correct the result of an accident, treat a condition that impairs the function of a body organ, or reconstruct a breast after</w:t>
      </w:r>
      <w:r>
        <w:rPr>
          <w:rFonts w:ascii="Arial" w:cs="Arial" w:eastAsia="Arial" w:hAnsi="Arial"/>
          <w:sz w:val="18"/>
          <w:szCs w:val="18"/>
          <w:b w:val="1"/>
          <w:bCs w:val="1"/>
          <w:color w:val="auto"/>
        </w:rPr>
        <w:t xml:space="preserve"> </w:t>
      </w:r>
      <w:r>
        <w:rPr>
          <w:rFonts w:ascii="Arial" w:cs="Arial" w:eastAsia="Arial" w:hAnsi="Arial"/>
          <w:sz w:val="18"/>
          <w:szCs w:val="18"/>
          <w:color w:val="auto"/>
        </w:rPr>
        <w:t>a mastectomy. See Reconstructive Surgery on page 19.</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432" w:right="239" w:bottom="1440" w:gutter="0" w:footer="0" w:header="0"/>
        </w:sectPr>
      </w:pPr>
    </w:p>
    <w:bookmarkStart w:id="143" w:name="page144"/>
    <w:bookmarkEnd w:id="143"/>
    <w:p>
      <w:pPr>
        <w:ind w:right="60"/>
        <w:spacing w:after="0" w:line="282" w:lineRule="auto"/>
        <w:rPr>
          <w:sz w:val="20"/>
          <w:szCs w:val="20"/>
          <w:color w:val="auto"/>
        </w:rPr>
      </w:pPr>
      <w:r>
        <w:rPr>
          <w:rFonts w:ascii="Arial" w:cs="Arial" w:eastAsia="Arial" w:hAnsi="Arial"/>
          <w:sz w:val="18"/>
          <w:szCs w:val="18"/>
          <w:b w:val="1"/>
          <w:bCs w:val="1"/>
          <w:color w:val="auto"/>
        </w:rPr>
        <w:t xml:space="preserve">Dental </w:t>
      </w:r>
      <w:r>
        <w:rPr>
          <w:rFonts w:ascii="Arial" w:cs="Arial" w:eastAsia="Arial" w:hAnsi="Arial"/>
          <w:sz w:val="18"/>
          <w:szCs w:val="18"/>
          <w:color w:val="auto"/>
        </w:rPr>
        <w:t>expenses for the treatment of the mouth, jaws, and teeth are Covered Medical Expenses, but only those for services rendered and supplies needed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treatment of or related to conditions of the:</w:t>
      </w:r>
    </w:p>
    <w:p>
      <w:pPr>
        <w:spacing w:after="0" w:line="166" w:lineRule="exact"/>
        <w:rPr>
          <w:sz w:val="20"/>
          <w:szCs w:val="20"/>
          <w:color w:val="auto"/>
        </w:rPr>
      </w:pPr>
    </w:p>
    <w:p>
      <w:pPr>
        <w:ind w:left="660" w:hanging="327"/>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teeth, mouth, jaws, jaw joints;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supporting tissues (this includes bones, muscles, and nerves).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these expenses,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includes a </w:t>
      </w:r>
      <w:r>
        <w:rPr>
          <w:rFonts w:ascii="Arial" w:cs="Arial" w:eastAsia="Arial" w:hAnsi="Arial"/>
          <w:sz w:val="18"/>
          <w:szCs w:val="18"/>
          <w:b w:val="1"/>
          <w:bCs w:val="1"/>
          <w:color w:val="auto"/>
        </w:rPr>
        <w:t>dentist</w:t>
      </w:r>
      <w:r>
        <w:rPr>
          <w:rFonts w:ascii="Arial" w:cs="Arial" w:eastAsia="Arial" w:hAnsi="Arial"/>
          <w:sz w:val="18"/>
          <w:szCs w:val="18"/>
          <w:color w:val="auto"/>
        </w:rPr>
        <w:t>. Surgery needed to:</w:t>
      </w:r>
    </w:p>
    <w:p>
      <w:pPr>
        <w:spacing w:after="0" w:line="121" w:lineRule="exact"/>
        <w:rPr>
          <w:sz w:val="20"/>
          <w:szCs w:val="20"/>
          <w:color w:val="auto"/>
        </w:rPr>
      </w:pPr>
    </w:p>
    <w:p>
      <w:pPr>
        <w:ind w:left="660" w:hanging="327"/>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Treat a fracture, dislocation, or wound;</w:t>
      </w:r>
    </w:p>
    <w:p>
      <w:pPr>
        <w:spacing w:after="0" w:line="225" w:lineRule="exact"/>
        <w:rPr>
          <w:rFonts w:ascii="Arial" w:cs="Arial" w:eastAsia="Arial" w:hAnsi="Arial"/>
          <w:sz w:val="18"/>
          <w:szCs w:val="18"/>
          <w:color w:val="auto"/>
        </w:rPr>
      </w:pPr>
    </w:p>
    <w:p>
      <w:pPr>
        <w:ind w:left="660" w:right="340" w:hanging="327"/>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Cut out teeth partly or completely impacted in the bone of the jaw; teeth that will not erupt through the gum; other teeth that cannot be removed without cutting into bone; the roots of a tooth without removing the entire tooth; cysts, tumors, or other diseased tissues.</w:t>
      </w:r>
    </w:p>
    <w:p>
      <w:pPr>
        <w:spacing w:after="0" w:line="146" w:lineRule="exact"/>
        <w:rPr>
          <w:rFonts w:ascii="Arial" w:cs="Arial" w:eastAsia="Arial" w:hAnsi="Arial"/>
          <w:sz w:val="17"/>
          <w:szCs w:val="17"/>
          <w:color w:val="auto"/>
        </w:rPr>
      </w:pPr>
    </w:p>
    <w:p>
      <w:pPr>
        <w:ind w:left="660" w:hanging="327"/>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Cut into gums and tissues of the mouth. This is only covered when not done in connection with the removal, replacement, or repair of teeth.</w:t>
      </w:r>
    </w:p>
    <w:p>
      <w:pPr>
        <w:spacing w:after="0" w:line="236" w:lineRule="exact"/>
        <w:rPr>
          <w:rFonts w:ascii="Arial" w:cs="Arial" w:eastAsia="Arial" w:hAnsi="Arial"/>
          <w:sz w:val="17"/>
          <w:szCs w:val="17"/>
          <w:color w:val="auto"/>
        </w:rPr>
      </w:pPr>
    </w:p>
    <w:p>
      <w:pPr>
        <w:ind w:right="620" w:firstLine="333"/>
        <w:spacing w:after="0" w:line="501"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Alter the jaw, jaw joints, or bite relationships by a cutting procedure when appliance therapy alone cannot result in functional improvement. Non-surgical treatment of infections or diseases. This does not include those of or related to the teeth.</w:t>
      </w:r>
    </w:p>
    <w:p>
      <w:pPr>
        <w:jc w:val="both"/>
        <w:ind w:right="300"/>
        <w:spacing w:after="0" w:line="264" w:lineRule="auto"/>
        <w:rPr>
          <w:sz w:val="20"/>
          <w:szCs w:val="20"/>
          <w:color w:val="auto"/>
        </w:rPr>
      </w:pPr>
      <w:r>
        <w:rPr>
          <w:rFonts w:ascii="Arial" w:cs="Arial" w:eastAsia="Arial" w:hAnsi="Arial"/>
          <w:sz w:val="18"/>
          <w:szCs w:val="18"/>
          <w:color w:val="auto"/>
        </w:rPr>
        <w:t>Dental work, surgery, and orthodontic treatment needed to remove, repair, replace, restore, or reposition natural teeth damaged, lost, or removed; or other body tissues of the mouth fractured or cut due to injury. Any such teeth must have been free from decay; or in good repair; and firmly attached to the jaw bone at the time of the injury.</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treatment must be done in the calendar year of the accident or the next one if crowns (caps); or dentures (false teeth); or bridgework; or in-mouth appliances are installed due to such injury, Covered Medical Expenses include only charges for:</w:t>
      </w:r>
    </w:p>
    <w:p>
      <w:pPr>
        <w:spacing w:after="0" w:line="170" w:lineRule="exact"/>
        <w:rPr>
          <w:sz w:val="20"/>
          <w:szCs w:val="20"/>
          <w:color w:val="auto"/>
        </w:rPr>
      </w:pPr>
    </w:p>
    <w:p>
      <w:pPr>
        <w:ind w:left="660" w:hanging="32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first denture or fixed bridgework to replace lost teeth;</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first crown needed to repair each damaged tooth;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in-mouth appliance used in the first course of orthodontic treatment after the injury.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 lab work and x-rays.</w:t>
      </w:r>
    </w:p>
    <w:p>
      <w:pPr>
        <w:spacing w:after="0" w:line="22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Donors</w:t>
      </w:r>
      <w:r>
        <w:rPr>
          <w:rFonts w:ascii="Arial" w:cs="Arial" w:eastAsia="Arial" w:hAnsi="Arial"/>
          <w:sz w:val="18"/>
          <w:szCs w:val="18"/>
          <w:color w:val="auto"/>
        </w:rPr>
        <w:t>, including any of the medical services and supplies listed here that are required for an organ, sperm, or egg donor as a result of a surgical transplant</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This applies whether the covered person is the donor or the recipient of the transplant. In the case of a covered person who is the recipient of the transplant, both of the following will apply:</w:t>
      </w:r>
    </w:p>
    <w:p>
      <w:pPr>
        <w:spacing w:after="0" w:line="180" w:lineRule="exact"/>
        <w:rPr>
          <w:sz w:val="20"/>
          <w:szCs w:val="20"/>
          <w:color w:val="auto"/>
        </w:rPr>
      </w:pPr>
    </w:p>
    <w:p>
      <w:pPr>
        <w:ind w:left="820" w:hanging="487"/>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services and supplies will be considered to be furnished on account of the recipient’s sickness or injury.</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432" w:right="239" w:bottom="1440" w:gutter="0" w:footer="0" w:header="0"/>
        </w:sectPr>
      </w:pPr>
    </w:p>
    <w:bookmarkStart w:id="144" w:name="page145"/>
    <w:bookmarkEnd w:id="144"/>
    <w:p>
      <w:pPr>
        <w:ind w:left="820" w:right="20" w:hanging="487"/>
        <w:spacing w:after="0" w:line="277" w:lineRule="auto"/>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 is an eligible charge limit on the charges for those services and supplies. That limit is the extent to which benefits for charges, services and supplies are not provided by reason of the donor’s coverage under one or more of the following:</w:t>
      </w:r>
    </w:p>
    <w:p>
      <w:pPr>
        <w:spacing w:after="0" w:line="170" w:lineRule="exact"/>
        <w:rPr>
          <w:rFonts w:ascii="Arial" w:cs="Arial" w:eastAsia="Arial" w:hAnsi="Arial"/>
          <w:sz w:val="18"/>
          <w:szCs w:val="18"/>
          <w:color w:val="auto"/>
        </w:rPr>
      </w:pPr>
    </w:p>
    <w:p>
      <w:pPr>
        <w:ind w:left="1300" w:hanging="481"/>
        <w:spacing w:after="0"/>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group contract, or any other group or individual contract;</w:t>
      </w:r>
    </w:p>
    <w:p>
      <w:pPr>
        <w:spacing w:after="0" w:line="225" w:lineRule="exact"/>
        <w:rPr>
          <w:rFonts w:ascii="Arial" w:cs="Arial" w:eastAsia="Arial" w:hAnsi="Arial"/>
          <w:sz w:val="18"/>
          <w:szCs w:val="18"/>
          <w:color w:val="auto"/>
        </w:rPr>
      </w:pPr>
    </w:p>
    <w:p>
      <w:pPr>
        <w:ind w:left="1300" w:hanging="481"/>
        <w:spacing w:after="0"/>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arrangement of coverage for individuals in a group (whether on an insured or uninsured basis), including any prepayment coverage.</w:t>
      </w:r>
    </w:p>
    <w:p>
      <w:pPr>
        <w:spacing w:after="0" w:line="2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Durable medical and surgical equipment </w:t>
      </w:r>
      <w:r>
        <w:rPr>
          <w:rFonts w:ascii="Arial" w:cs="Arial" w:eastAsia="Arial" w:hAnsi="Arial"/>
          <w:sz w:val="18"/>
          <w:szCs w:val="18"/>
          <w:color w:val="auto"/>
        </w:rPr>
        <w:t>in lieu of rental. The initial purchase of such equipment is appropriate if Aetna is shown that long term care is</w:t>
      </w:r>
      <w:r>
        <w:rPr>
          <w:rFonts w:ascii="Arial" w:cs="Arial" w:eastAsia="Arial" w:hAnsi="Arial"/>
          <w:sz w:val="18"/>
          <w:szCs w:val="18"/>
          <w:b w:val="1"/>
          <w:bCs w:val="1"/>
          <w:color w:val="auto"/>
        </w:rPr>
        <w:t xml:space="preserve"> </w:t>
      </w:r>
      <w:r>
        <w:rPr>
          <w:rFonts w:ascii="Arial" w:cs="Arial" w:eastAsia="Arial" w:hAnsi="Arial"/>
          <w:sz w:val="18"/>
          <w:szCs w:val="18"/>
          <w:color w:val="auto"/>
        </w:rPr>
        <w:t>planned, and that such equipment either cannot be rented or is likely to cost less to purchase than to rent. Repair of purchased equipment or replacement of purchased equipment is also covered if Aetna is shown that it is needed due to a change in the person’s physical condition, or it is likely to cost less to purchase a replacement than to repair existing equipment or to rent like equipment.</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Durable medical and surgical equipment means no more than one item of equipment for the same or similar purpose, and the accessories needed to operate it, that is: made to withstand prolonged use; made for and mainly used in the treatment of a disease or injury; suited for use in the home; not normally of use to persons who do not have a disease or injury; not for use in altering air quality or temperature; not for exercise or training. Not included is equipment such as: whirlpools; portable whirlpool pumps; sauna baths; massage devices; overbed tables; elevators; communication aids; vision aids; and telephone alert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Family planning </w:t>
      </w:r>
      <w:r>
        <w:rPr>
          <w:rFonts w:ascii="Arial" w:cs="Arial" w:eastAsia="Arial" w:hAnsi="Arial"/>
          <w:sz w:val="18"/>
          <w:szCs w:val="18"/>
          <w:color w:val="auto"/>
        </w:rPr>
        <w:t>expenses for a vasectomy for voluntary sterilization; a tubal ligation for voluntary sterilization; and voluntary abortions.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Glucose strips and lancets </w:t>
      </w:r>
      <w:r>
        <w:rPr>
          <w:rFonts w:ascii="Arial" w:cs="Arial" w:eastAsia="Arial" w:hAnsi="Arial"/>
          <w:sz w:val="18"/>
          <w:szCs w:val="18"/>
          <w:color w:val="auto"/>
        </w:rPr>
        <w:t>for persons who are insulin dependent whether or not they are diagnosed with diabetes.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Hearing aids </w:t>
      </w:r>
      <w:r>
        <w:rPr>
          <w:rFonts w:ascii="Arial" w:cs="Arial" w:eastAsia="Arial" w:hAnsi="Arial"/>
          <w:sz w:val="18"/>
          <w:szCs w:val="18"/>
          <w:color w:val="auto"/>
        </w:rPr>
        <w:t>are covered up to a maximum of $1,000 each ear per 36 month period.</w:t>
      </w:r>
    </w:p>
    <w:p>
      <w:pPr>
        <w:spacing w:after="0" w:line="22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Home health care </w:t>
      </w:r>
      <w:r>
        <w:rPr>
          <w:rFonts w:ascii="Arial" w:cs="Arial" w:eastAsia="Arial" w:hAnsi="Arial"/>
          <w:sz w:val="16"/>
          <w:szCs w:val="16"/>
          <w:color w:val="auto"/>
        </w:rPr>
        <w:t>expenses if the charge is made by a Home Health Care Agency, and the care is given under a Home Health Care Plan, and the care is</w:t>
      </w:r>
      <w:r>
        <w:rPr>
          <w:rFonts w:ascii="Arial" w:cs="Arial" w:eastAsia="Arial" w:hAnsi="Arial"/>
          <w:sz w:val="16"/>
          <w:szCs w:val="16"/>
          <w:b w:val="1"/>
          <w:bCs w:val="1"/>
          <w:color w:val="auto"/>
        </w:rPr>
        <w:t xml:space="preserve"> </w:t>
      </w:r>
      <w:r>
        <w:rPr>
          <w:rFonts w:ascii="Arial" w:cs="Arial" w:eastAsia="Arial" w:hAnsi="Arial"/>
          <w:sz w:val="16"/>
          <w:szCs w:val="16"/>
          <w:color w:val="auto"/>
        </w:rPr>
        <w:t>given to a person in his or her home. Home health care expenses are charges for: part-time or intermittent care given or supervised by an R.N.; part- time or intermittent home health aide services for patient care; Physician, occupational, and speech therapy from a Home Health Care Agency; the following to the extent they would have been covered under this Plan if the person had been confined in a Hospital or skilled nursing facility as defined in Title XVIII of the Social Security Act: medical supplies; drugs and medications prescribed by a Physician; and lab services provided by or for a Home Health Care Agency. Each four hours of home health aide services is one visit. Not covered are charges for transportation and custodial care.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Hospice care and bereavement </w:t>
      </w:r>
      <w:r>
        <w:rPr>
          <w:rFonts w:ascii="Arial" w:cs="Arial" w:eastAsia="Arial" w:hAnsi="Arial"/>
          <w:sz w:val="16"/>
          <w:szCs w:val="16"/>
          <w:color w:val="auto"/>
        </w:rPr>
        <w:t>counseling expenses furnished to a terminally ill person for Hospice Care when given as a part of a Hospice Care Program.</w:t>
      </w:r>
    </w:p>
    <w:p>
      <w:pPr>
        <w:spacing w:after="0" w:line="25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Facility expenses</w:t>
      </w:r>
      <w:r>
        <w:rPr>
          <w:rFonts w:ascii="Arial" w:cs="Arial" w:eastAsia="Arial" w:hAnsi="Arial"/>
          <w:sz w:val="17"/>
          <w:szCs w:val="17"/>
          <w:color w:val="auto"/>
        </w:rPr>
        <w:t>—The charges made in its own behalf by a Hospice Facility, Hospital, or Convalescent Facility which are for board and room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supplies furnished to a person while a full-time inpatient for pain control and other acute and chronic symptom management.</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Other expenses</w:t>
      </w:r>
      <w:r>
        <w:rPr>
          <w:rFonts w:ascii="Arial" w:cs="Arial" w:eastAsia="Arial" w:hAnsi="Arial"/>
          <w:sz w:val="16"/>
          <w:szCs w:val="16"/>
          <w:color w:val="auto"/>
        </w:rPr>
        <w:t>—The charges may be a Hospice Care Agency for part-time or intermittent nursing care by an R.N. or L.P.N. for up to 8 hours in any one</w:t>
      </w:r>
      <w:r>
        <w:rPr>
          <w:rFonts w:ascii="Arial" w:cs="Arial" w:eastAsia="Arial" w:hAnsi="Arial"/>
          <w:sz w:val="16"/>
          <w:szCs w:val="16"/>
          <w:i w:val="1"/>
          <w:iCs w:val="1"/>
          <w:color w:val="auto"/>
        </w:rPr>
        <w:t xml:space="preserve"> </w:t>
      </w:r>
      <w:r>
        <w:rPr>
          <w:rFonts w:ascii="Arial" w:cs="Arial" w:eastAsia="Arial" w:hAnsi="Arial"/>
          <w:sz w:val="16"/>
          <w:szCs w:val="16"/>
          <w:color w:val="auto"/>
        </w:rPr>
        <w:t>day; medical social services under the direction of a Physician. These include assessment of the person’s social, emotional and medical needs; the home and family situation; identification of the community resources which are available to the person; and assisting the person to obtain those resources needed to meet the person’s assessed needs; psychological and dietary counseling; bereavement counseling; consultation or case management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436" w:right="239" w:bottom="1440" w:gutter="0" w:footer="0" w:header="0"/>
        </w:sectPr>
      </w:pPr>
    </w:p>
    <w:bookmarkStart w:id="145" w:name="page146"/>
    <w:bookmarkEnd w:id="145"/>
    <w:p>
      <w:pPr>
        <w:ind w:right="520"/>
        <w:spacing w:after="0" w:line="277" w:lineRule="auto"/>
        <w:rPr>
          <w:sz w:val="20"/>
          <w:szCs w:val="20"/>
          <w:color w:val="auto"/>
        </w:rPr>
      </w:pPr>
      <w:r>
        <w:rPr>
          <w:rFonts w:ascii="Arial" w:cs="Arial" w:eastAsia="Arial" w:hAnsi="Arial"/>
          <w:sz w:val="18"/>
          <w:szCs w:val="18"/>
          <w:color w:val="auto"/>
        </w:rPr>
        <w:t>services by a Physician; physical and occupational therapy; part-time or intermittent home health aide services for up to 8 hours in any one day. These consist mainly of caring for the person, medical supplies, drugs and medicines prescribed by the Physician.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Charges made by the providers below (but only if the provider is not an employee of a Hospice Care Agency and such Agency retains responsibility for the care of the person): a Physician for consultant or case management services, a physical or occupational therapist, a Home Health Care Agency for physical and occupational therapy, part-time or intermittent home health aide services for up to 8 hours in any one day. These consist mainly of caring for the person, medical supplies, drugs and medicines prescribed by a Physician, and psychological and dietary counseling.</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 included are charges made for funeral arrangements; for pastoral counseling; for financial or legal counseling including estate planning and the drafting of a will; for homemaker or caretaker services such as sitter or companion services for either the person who is ill or other members of the family; for transportation; for housecleaning and maintenance of the home; and for respite care furnished during a period of time when the person’s family or usual caretaker cannot, or will not, attend to the person’s needs.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Hospital room and board charges at the semiprivate rate. If a private room is used, the daily charge will be covered if the person’s Physician requests the private room and the request is approved by Aetna.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 supplies and non-professional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Inpatient hospital expenses</w:t>
      </w:r>
      <w:r>
        <w:rPr>
          <w:rFonts w:ascii="Arial" w:cs="Arial" w:eastAsia="Arial" w:hAnsi="Arial"/>
          <w:sz w:val="18"/>
          <w:szCs w:val="18"/>
          <w:color w:val="auto"/>
        </w:rPr>
        <w:t>—Charges made by a hospital for giving board and room and other hospital services and supplies to a person who is confined as a</w:t>
      </w:r>
      <w:r>
        <w:rPr>
          <w:rFonts w:ascii="Arial" w:cs="Arial" w:eastAsia="Arial" w:hAnsi="Arial"/>
          <w:sz w:val="18"/>
          <w:szCs w:val="18"/>
          <w:i w:val="1"/>
          <w:iCs w:val="1"/>
          <w:color w:val="auto"/>
        </w:rPr>
        <w:t xml:space="preserve"> </w:t>
      </w:r>
      <w:r>
        <w:rPr>
          <w:rFonts w:ascii="Arial" w:cs="Arial" w:eastAsia="Arial" w:hAnsi="Arial"/>
          <w:sz w:val="18"/>
          <w:szCs w:val="18"/>
          <w:color w:val="auto"/>
        </w:rPr>
        <w:t>full-time inpatient. Not included is any charge for daily board and room in a private room over the Private Room Limit.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Outpatient hospital expenses</w:t>
      </w:r>
      <w:r>
        <w:rPr>
          <w:rFonts w:ascii="Arial" w:cs="Arial" w:eastAsia="Arial" w:hAnsi="Arial"/>
          <w:sz w:val="18"/>
          <w:szCs w:val="18"/>
          <w:color w:val="auto"/>
        </w:rPr>
        <w:t>—Charges made by a hospital for hospital services and supplies which are given to a person who is not confined as a full-time</w:t>
      </w:r>
      <w:r>
        <w:rPr>
          <w:rFonts w:ascii="Arial" w:cs="Arial" w:eastAsia="Arial" w:hAnsi="Arial"/>
          <w:sz w:val="18"/>
          <w:szCs w:val="18"/>
          <w:i w:val="1"/>
          <w:iCs w:val="1"/>
          <w:color w:val="auto"/>
        </w:rPr>
        <w:t xml:space="preserve"> </w:t>
      </w:r>
      <w:r>
        <w:rPr>
          <w:rFonts w:ascii="Arial" w:cs="Arial" w:eastAsia="Arial" w:hAnsi="Arial"/>
          <w:sz w:val="18"/>
          <w:szCs w:val="18"/>
          <w:color w:val="auto"/>
        </w:rPr>
        <w:t>inpatient.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Inhalation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Injectables </w:t>
      </w:r>
      <w:r>
        <w:rPr>
          <w:rFonts w:ascii="Arial" w:cs="Arial" w:eastAsia="Arial" w:hAnsi="Arial"/>
          <w:sz w:val="18"/>
          <w:szCs w:val="18"/>
          <w:color w:val="auto"/>
        </w:rPr>
        <w:t>not covered by the pharmacy benefit.</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Outpatient surgical expense charges </w:t>
      </w:r>
      <w:r>
        <w:rPr>
          <w:rFonts w:ascii="Arial" w:cs="Arial" w:eastAsia="Arial" w:hAnsi="Arial"/>
          <w:sz w:val="16"/>
          <w:szCs w:val="16"/>
          <w:color w:val="auto"/>
        </w:rPr>
        <w:t>made in its own behalf by a surgery center or the outpatient department of a Hospital; or by a Physician for outpatient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and supplies furnished in connection with a surgical procedure performed in the center or in a Hospital. The procedure must meet these tests: it is not expected to result in extensive blood loss, require major or prolonged invasion of a body cavity, or involve any major blood vessels. It can safely and adequately be performed only in a surgery center or in a Hospital, and it is not normally performed in the office of a Physician or a Dentist.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Outpatient services and supplies furnished by the surgery center or by a hospital on the day of the procedures:</w:t>
      </w:r>
    </w:p>
    <w:p>
      <w:pPr>
        <w:spacing w:after="0" w:line="225" w:lineRule="exact"/>
        <w:rPr>
          <w:sz w:val="20"/>
          <w:szCs w:val="20"/>
          <w:color w:val="auto"/>
        </w:rPr>
      </w:pPr>
    </w:p>
    <w:p>
      <w:pPr>
        <w:ind w:left="820" w:right="680" w:hanging="487"/>
        <w:spacing w:after="0" w:line="277" w:lineRule="auto"/>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Services of the operating Physician for performing the procedure and for related pre- and post-operative care and the administering of an anesthetic;</w:t>
      </w:r>
    </w:p>
    <w:p>
      <w:pPr>
        <w:spacing w:after="0" w:line="170" w:lineRule="exact"/>
        <w:rPr>
          <w:rFonts w:ascii="Arial" w:cs="Arial" w:eastAsia="Arial" w:hAnsi="Arial"/>
          <w:sz w:val="18"/>
          <w:szCs w:val="18"/>
          <w:color w:val="auto"/>
        </w:rPr>
      </w:pPr>
    </w:p>
    <w:p>
      <w:pPr>
        <w:ind w:left="820" w:hanging="487"/>
        <w:spacing w:after="0"/>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Services of any other Physician for the administering of an anesthetic; this does not include a local anesthetic.</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benefit is paid for charges incurred for the services of a Physician who renders technical assistance to the operating Physician or while the person is confined as a full-time inpatient in a Hospital.</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436"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Oxygen and anesthetics.</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Physical or occupational therapy</w:t>
      </w:r>
      <w:r>
        <w:rPr>
          <w:rFonts w:ascii="Arial" w:cs="Arial" w:eastAsia="Arial" w:hAnsi="Arial"/>
          <w:sz w:val="18"/>
          <w:szCs w:val="18"/>
          <w:color w:val="auto"/>
        </w:rPr>
        <w:t>, up to 90 combined visits provided by a physical or occupational therapist, which is expected to result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or maintenance of a body function, which has been lost or impaired due to an injury, a disease, or a congenital defect. Not covered are any services, unless they are provided in accordance with a specific treatment plan, which details the treatment to be rendered and the frequency and duration of the treatment and provides for ongoing reviews and is renewed only if therapy is still necessary.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Private duty nursing care </w:t>
      </w:r>
      <w:r>
        <w:rPr>
          <w:rFonts w:ascii="Arial" w:cs="Arial" w:eastAsia="Arial" w:hAnsi="Arial"/>
          <w:sz w:val="18"/>
          <w:szCs w:val="18"/>
          <w:color w:val="auto"/>
        </w:rPr>
        <w:t>provided by an R.N. or L.P.N. will be covered, if the care is not mainly custodial, and:</w:t>
      </w:r>
    </w:p>
    <w:p>
      <w:pPr>
        <w:spacing w:after="0" w:line="229" w:lineRule="exact"/>
        <w:rPr>
          <w:sz w:val="20"/>
          <w:szCs w:val="20"/>
          <w:color w:val="auto"/>
        </w:rPr>
      </w:pPr>
    </w:p>
    <w:p>
      <w:pPr>
        <w:ind w:left="820" w:hanging="487"/>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require intensive nursing care for treatment of an acute sickness or injury; and</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are not in a Hospital or other health care facility that supplies nursing care.</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Visiting nursing care by an R.N. or L.P.N. means a visit of not more than 4 hours for the purpose of performing specific skilled nursing tasks.</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Benefits will not be paid during a calendar year for private duty nursing for any shifts in excess of the Private Duty Nursing Care Maximum Shifts. Each period of private duty nursing of up to 8 hours will be deemed to be one private duty nursing shift.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Reconstructive Surgery </w:t>
      </w:r>
      <w:r>
        <w:rPr>
          <w:rFonts w:ascii="Arial" w:cs="Arial" w:eastAsia="Arial" w:hAnsi="Arial"/>
          <w:sz w:val="18"/>
          <w:szCs w:val="18"/>
          <w:color w:val="auto"/>
        </w:rPr>
        <w:t>expenses for:</w:t>
      </w:r>
    </w:p>
    <w:p>
      <w:pPr>
        <w:spacing w:after="0" w:line="229" w:lineRule="exact"/>
        <w:rPr>
          <w:sz w:val="20"/>
          <w:szCs w:val="20"/>
          <w:color w:val="auto"/>
        </w:rPr>
      </w:pPr>
    </w:p>
    <w:p>
      <w:pPr>
        <w:ind w:left="820" w:hanging="487"/>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Breast reconstruction—if elected after the mastectomy for:</w:t>
      </w:r>
    </w:p>
    <w:p>
      <w:pPr>
        <w:spacing w:after="0" w:line="225" w:lineRule="exact"/>
        <w:rPr>
          <w:rFonts w:ascii="Arial" w:cs="Arial" w:eastAsia="Arial" w:hAnsi="Arial"/>
          <w:sz w:val="18"/>
          <w:szCs w:val="18"/>
          <w:color w:val="auto"/>
        </w:rPr>
      </w:pPr>
    </w:p>
    <w:p>
      <w:pPr>
        <w:ind w:left="1300" w:hanging="481"/>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Reconstruction of the breast on which a mastectomy has been performed;</w:t>
      </w:r>
    </w:p>
    <w:p>
      <w:pPr>
        <w:spacing w:after="0" w:line="225" w:lineRule="exact"/>
        <w:rPr>
          <w:rFonts w:ascii="Arial" w:cs="Arial" w:eastAsia="Arial" w:hAnsi="Arial"/>
          <w:sz w:val="18"/>
          <w:szCs w:val="18"/>
          <w:color w:val="auto"/>
        </w:rPr>
      </w:pPr>
    </w:p>
    <w:p>
      <w:pPr>
        <w:ind w:left="1300" w:hanging="481"/>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Surgery and reconstruction of the other breast to produce a symmetrical appearance;</w:t>
      </w:r>
    </w:p>
    <w:p>
      <w:pPr>
        <w:spacing w:after="0" w:line="225" w:lineRule="exact"/>
        <w:rPr>
          <w:rFonts w:ascii="Arial" w:cs="Arial" w:eastAsia="Arial" w:hAnsi="Arial"/>
          <w:sz w:val="18"/>
          <w:szCs w:val="18"/>
          <w:color w:val="auto"/>
        </w:rPr>
      </w:pPr>
    </w:p>
    <w:p>
      <w:pPr>
        <w:ind w:left="1300" w:hanging="481"/>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Prostheses; and</w:t>
      </w:r>
    </w:p>
    <w:p>
      <w:pPr>
        <w:spacing w:after="0" w:line="225" w:lineRule="exact"/>
        <w:rPr>
          <w:rFonts w:ascii="Arial" w:cs="Arial" w:eastAsia="Arial" w:hAnsi="Arial"/>
          <w:sz w:val="18"/>
          <w:szCs w:val="18"/>
          <w:color w:val="auto"/>
        </w:rPr>
      </w:pPr>
    </w:p>
    <w:p>
      <w:pPr>
        <w:ind w:left="1300" w:hanging="481"/>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Treatment of physical complications of all stages of mastectomy, including lymphedemas.</w:t>
      </w:r>
    </w:p>
    <w:p>
      <w:pPr>
        <w:spacing w:after="0" w:line="225" w:lineRule="exact"/>
        <w:rPr>
          <w:rFonts w:ascii="Arial" w:cs="Arial" w:eastAsia="Arial" w:hAnsi="Arial"/>
          <w:sz w:val="18"/>
          <w:szCs w:val="18"/>
          <w:color w:val="auto"/>
        </w:rPr>
      </w:pPr>
    </w:p>
    <w:p>
      <w:pPr>
        <w:ind w:left="820" w:right="680" w:hanging="487"/>
        <w:spacing w:after="0" w:line="308" w:lineRule="auto"/>
        <w:tabs>
          <w:tab w:leader="none" w:pos="8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Cleft lip/cleft palate—covers charges for oral and facial surgery, obturators, orthodontic appliances, orthodontic treatment, prosthodontic treatment, habilitative speech therapy, otolaryngology treatment and audiological assessment and treatments.</w:t>
      </w:r>
    </w:p>
    <w:p>
      <w:pPr>
        <w:spacing w:after="0" w:line="146" w:lineRule="exact"/>
        <w:rPr>
          <w:rFonts w:ascii="Arial" w:cs="Arial" w:eastAsia="Arial" w:hAnsi="Arial"/>
          <w:sz w:val="17"/>
          <w:szCs w:val="17"/>
          <w:color w:val="auto"/>
        </w:rPr>
      </w:pPr>
    </w:p>
    <w:p>
      <w:pPr>
        <w:ind w:left="820" w:right="100" w:hanging="487"/>
        <w:spacing w:after="0" w:line="286" w:lineRule="auto"/>
        <w:tabs>
          <w:tab w:leader="none" w:pos="8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Craniofacial disorders—Covers dependent children to age 18 and includes charges for partially or fully removable dentures or fixed bridgework; replacement of dentures by denture or fixed bridgework when required as a result of structural changes in the mouth or jaw due to growth; prosthodontic treatment such as obturators; speech appliances and feeding appliances, and cleft orthodontic therapy.</w:t>
      </w:r>
    </w:p>
    <w:p>
      <w:pPr>
        <w:spacing w:after="0" w:line="1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Second Surgical Opinion </w:t>
      </w:r>
      <w:r>
        <w:rPr>
          <w:rFonts w:ascii="Arial" w:cs="Arial" w:eastAsia="Arial" w:hAnsi="Arial"/>
          <w:sz w:val="18"/>
          <w:szCs w:val="18"/>
          <w:color w:val="auto"/>
        </w:rPr>
        <w:t>charges of a Physician for a second surgical opinion on the need or advisability of performing a surgical procedure. A benefit is</w:t>
      </w:r>
      <w:r>
        <w:rPr>
          <w:rFonts w:ascii="Arial" w:cs="Arial" w:eastAsia="Arial" w:hAnsi="Arial"/>
          <w:sz w:val="18"/>
          <w:szCs w:val="18"/>
          <w:b w:val="1"/>
          <w:bCs w:val="1"/>
          <w:color w:val="auto"/>
        </w:rPr>
        <w:t xml:space="preserve"> </w:t>
      </w:r>
      <w:r>
        <w:rPr>
          <w:rFonts w:ascii="Arial" w:cs="Arial" w:eastAsia="Arial" w:hAnsi="Arial"/>
          <w:sz w:val="18"/>
          <w:szCs w:val="18"/>
          <w:color w:val="auto"/>
        </w:rPr>
        <w:t>also paid for charges made for a third surgical opinion. This will be done when the second opinion does not confirm the recommendation of the first Physician who proposed to perform the surgery. A surgical opinion is an exam of the person, an X-ray and lab work and a written report by the Physician who renders the opinion. The surgical opinion must both be performed by a Physician who is certified by the American Board of Surgery, or other specialty board and takes place before the date the proposed surgery is scheduled to be done. Benefits are not paid for a surgical opinion if the Physician who renders the surgical opinion is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320" w:top="432" w:right="239" w:bottom="1440" w:gutter="0" w:footer="0" w:header="0"/>
        </w:sectPr>
      </w:pPr>
    </w:p>
    <w:bookmarkStart w:id="147" w:name="page148"/>
    <w:bookmarkEnd w:id="147"/>
    <w:p>
      <w:pPr>
        <w:ind w:left="120"/>
        <w:spacing w:after="0"/>
        <w:rPr>
          <w:sz w:val="20"/>
          <w:szCs w:val="20"/>
          <w:color w:val="auto"/>
        </w:rPr>
      </w:pPr>
      <w:r>
        <w:rPr>
          <w:rFonts w:ascii="Arial" w:cs="Arial" w:eastAsia="Arial" w:hAnsi="Arial"/>
          <w:sz w:val="18"/>
          <w:szCs w:val="18"/>
          <w:color w:val="auto"/>
        </w:rPr>
        <w:t>associated or in practice with the first Physician who recommended and proposed to perform the surgery.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rehabilitation</w:t>
      </w:r>
      <w:r>
        <w:rPr>
          <w:rFonts w:ascii="Arial" w:cs="Arial" w:eastAsia="Arial" w:hAnsi="Arial"/>
          <w:sz w:val="18"/>
          <w:szCs w:val="18"/>
          <w:color w:val="auto"/>
        </w:rPr>
        <w:t>—includes charges for Developmental Delay with the same terms and conditions as for other diagnoses.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Speech therapy* </w:t>
      </w:r>
      <w:r>
        <w:rPr>
          <w:rFonts w:ascii="Arial" w:cs="Arial" w:eastAsia="Arial" w:hAnsi="Arial"/>
          <w:sz w:val="17"/>
          <w:szCs w:val="17"/>
          <w:color w:val="auto"/>
        </w:rPr>
        <w:t>charges incurred up to 90 visits for the following services for diagnostic or nonsurgical treatment of loss or impairment of speech.</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Covered medical expenses include:</w:t>
      </w:r>
    </w:p>
    <w:p>
      <w:pPr>
        <w:spacing w:after="0" w:line="211" w:lineRule="exact"/>
        <w:rPr>
          <w:sz w:val="20"/>
          <w:szCs w:val="20"/>
          <w:color w:val="auto"/>
        </w:rPr>
      </w:pPr>
    </w:p>
    <w:p>
      <w:pPr>
        <w:ind w:left="920" w:right="340" w:hanging="480"/>
        <w:spacing w:after="0" w:line="277"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Diagnostic speech evaluations to find out if, and to what extent, the person’s ability is to speak. Not included are charges for speaking aids or training in their use;</w:t>
      </w:r>
    </w:p>
    <w:p>
      <w:pPr>
        <w:spacing w:after="0" w:line="170" w:lineRule="exact"/>
        <w:rPr>
          <w:rFonts w:ascii="Arial" w:cs="Arial" w:eastAsia="Arial" w:hAnsi="Arial"/>
          <w:sz w:val="18"/>
          <w:szCs w:val="18"/>
          <w:color w:val="auto"/>
        </w:rPr>
      </w:pPr>
    </w:p>
    <w:p>
      <w:pPr>
        <w:ind w:left="920" w:hanging="480"/>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Services given to treat delays in speech development only if resulting from disease, injury or birth defect;</w:t>
      </w:r>
    </w:p>
    <w:p>
      <w:pPr>
        <w:spacing w:after="0" w:line="225" w:lineRule="exact"/>
        <w:rPr>
          <w:rFonts w:ascii="Arial" w:cs="Arial" w:eastAsia="Arial" w:hAnsi="Arial"/>
          <w:sz w:val="18"/>
          <w:szCs w:val="18"/>
          <w:color w:val="auto"/>
        </w:rPr>
      </w:pPr>
    </w:p>
    <w:p>
      <w:pPr>
        <w:ind w:left="920" w:right="560" w:hanging="480"/>
        <w:spacing w:after="0" w:line="277"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Rehabilitative speech and language therapy to restore or improve a person’s ability to speak if the loss of speech is not caused by a mental disorder.</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Not included are charges for special education to teach a person whose ability to speak has been lost or impaired to function without that ability. This includes lessons in sign language.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Sperm banking </w:t>
      </w:r>
      <w:r>
        <w:rPr>
          <w:rFonts w:ascii="Arial" w:cs="Arial" w:eastAsia="Arial" w:hAnsi="Arial"/>
          <w:sz w:val="18"/>
          <w:szCs w:val="18"/>
          <w:color w:val="auto"/>
        </w:rPr>
        <w:t>is covered in the case of testicular cancer only. Sperm collection and storage will be paid for by the Plan.</w:t>
      </w:r>
    </w:p>
    <w:p>
      <w:pPr>
        <w:spacing w:after="0" w:line="225"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 xml:space="preserve">Spinal disorder treatment </w:t>
      </w:r>
      <w:r>
        <w:rPr>
          <w:rFonts w:ascii="Arial" w:cs="Arial" w:eastAsia="Arial" w:hAnsi="Arial"/>
          <w:sz w:val="18"/>
          <w:szCs w:val="18"/>
          <w:color w:val="auto"/>
        </w:rPr>
        <w:t>covers manipulative (adjustive) treatment or other physical treatment of any condition caused by or related to biomechanical or</w:t>
      </w:r>
      <w:r>
        <w:rPr>
          <w:rFonts w:ascii="Arial" w:cs="Arial" w:eastAsia="Arial" w:hAnsi="Arial"/>
          <w:sz w:val="18"/>
          <w:szCs w:val="18"/>
          <w:b w:val="1"/>
          <w:bCs w:val="1"/>
          <w:color w:val="auto"/>
        </w:rPr>
        <w:t xml:space="preserve"> </w:t>
      </w:r>
      <w:r>
        <w:rPr>
          <w:rFonts w:ascii="Arial" w:cs="Arial" w:eastAsia="Arial" w:hAnsi="Arial"/>
          <w:sz w:val="18"/>
          <w:szCs w:val="18"/>
          <w:color w:val="auto"/>
        </w:rPr>
        <w:t>nerve conduction disorders of the spine. The treatment can be given by a Physician or a licensed chiropractor. The calendar year maximum does not apply to expenses incurred while the person is a full-time inpatient in a Hospital for treatment of scoliosis; for fracture care; or for surgery. This includes pre- and post-surgical care given or ordered by the operating Physician.</w:t>
      </w:r>
    </w:p>
    <w:p>
      <w:pPr>
        <w:spacing w:after="0" w:line="180"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Transplants</w:t>
      </w:r>
      <w:r>
        <w:rPr>
          <w:rFonts w:ascii="Arial" w:cs="Arial" w:eastAsia="Arial" w:hAnsi="Arial"/>
          <w:sz w:val="18"/>
          <w:szCs w:val="18"/>
          <w:color w:val="auto"/>
        </w:rPr>
        <w:t>—Solid organ and bone marrow transplants will be covered if they meet the definition of Necessary and are not considered Experimental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as defined in the “What the Plan Does Not Cover” section of this document.</w:t>
      </w:r>
    </w:p>
    <w:p>
      <w:pPr>
        <w:spacing w:after="0" w:line="324"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7"/>
          <w:szCs w:val="17"/>
          <w:b w:val="1"/>
          <w:bCs w:val="1"/>
          <w:color w:val="auto"/>
        </w:rPr>
        <w:t>ray, radium, and radioactive isotope therapy. WHAT THE MEDICAL PLAN DOES NOT COVER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expenses are not covered:</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Blood or blood plasma </w:t>
      </w:r>
      <w:r>
        <w:rPr>
          <w:rFonts w:ascii="Arial" w:cs="Arial" w:eastAsia="Arial" w:hAnsi="Arial"/>
          <w:sz w:val="16"/>
          <w:szCs w:val="16"/>
          <w:color w:val="auto"/>
        </w:rPr>
        <w:t>that is replaced by you or by someone else for you. Aetna does not cover the collection or storage or cost of blood or blood plasma.</w:t>
      </w:r>
    </w:p>
    <w:p>
      <w:pPr>
        <w:spacing w:after="0" w:line="248"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Charges made by the employer or a close relative </w:t>
      </w:r>
      <w:r>
        <w:rPr>
          <w:rFonts w:ascii="Arial" w:cs="Arial" w:eastAsia="Arial" w:hAnsi="Arial"/>
          <w:sz w:val="18"/>
          <w:szCs w:val="18"/>
          <w:color w:val="auto"/>
        </w:rPr>
        <w:t>including charges for a service or supply furnished by your employer, or you, your spouse or domestic</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or a child, brother, sister, or parent of you or your spouse or domestic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94" w:lineRule="exact"/>
        <w:rPr>
          <w:sz w:val="20"/>
          <w:szCs w:val="20"/>
          <w:color w:val="auto"/>
        </w:rPr>
      </w:pPr>
    </w:p>
    <w:p>
      <w:pPr>
        <w:ind w:left="600" w:right="60" w:hanging="484"/>
        <w:spacing w:after="0" w:line="273"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Speech therapy services are considered medically necessary only if there is a reasonable expectation that speech therapy will achieve measurable improvement in the patient’s condition in a reasonable and predictable period of time.</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6"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Comfort or convenience items and services. Communication aids.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Cosmetic surgery</w:t>
      </w:r>
      <w:r>
        <w:rPr>
          <w:rFonts w:ascii="Arial" w:cs="Arial" w:eastAsia="Arial" w:hAnsi="Arial"/>
          <w:sz w:val="18"/>
          <w:szCs w:val="18"/>
          <w:color w:val="auto"/>
        </w:rPr>
        <w:t>, except to correct the result of an accidental injury sustained while you are covered under the Plan; to treat a condition, including a birth</w:t>
      </w:r>
      <w:r>
        <w:rPr>
          <w:rFonts w:ascii="Arial" w:cs="Arial" w:eastAsia="Arial" w:hAnsi="Arial"/>
          <w:sz w:val="18"/>
          <w:szCs w:val="18"/>
          <w:b w:val="1"/>
          <w:bCs w:val="1"/>
          <w:color w:val="auto"/>
        </w:rPr>
        <w:t xml:space="preserve"> </w:t>
      </w:r>
      <w:r>
        <w:rPr>
          <w:rFonts w:ascii="Arial" w:cs="Arial" w:eastAsia="Arial" w:hAnsi="Arial"/>
          <w:sz w:val="18"/>
          <w:szCs w:val="18"/>
          <w:color w:val="auto"/>
        </w:rPr>
        <w:t>defect, that impairs the function of a body organ, or reconstruct a breast after a mastectomy. See Reconstructive Surgery.</w:t>
      </w:r>
    </w:p>
    <w:p>
      <w:pPr>
        <w:spacing w:after="0" w:line="16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Custodial care</w:t>
      </w:r>
      <w:r>
        <w:rPr>
          <w:rFonts w:ascii="Arial" w:cs="Arial" w:eastAsia="Arial" w:hAnsi="Arial"/>
          <w:sz w:val="18"/>
          <w:szCs w:val="18"/>
          <w:color w:val="auto"/>
        </w:rPr>
        <w:t>—Services and supplies are considered custodial when they are furnished mainly to train or assist the insured family member in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hygiene and other activities of daily living rather than to provide therapeutic treatment.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Dental </w:t>
      </w:r>
      <w:r>
        <w:rPr>
          <w:rFonts w:ascii="Arial" w:cs="Arial" w:eastAsia="Arial" w:hAnsi="Arial"/>
          <w:sz w:val="18"/>
          <w:szCs w:val="18"/>
          <w:color w:val="auto"/>
        </w:rPr>
        <w:t>except as provided for injury, not included are charges:</w:t>
      </w:r>
    </w:p>
    <w:p>
      <w:pPr>
        <w:spacing w:after="0" w:line="229" w:lineRule="exact"/>
        <w:rPr>
          <w:sz w:val="20"/>
          <w:szCs w:val="20"/>
          <w:color w:val="auto"/>
        </w:rPr>
      </w:pPr>
    </w:p>
    <w:p>
      <w:pPr>
        <w:ind w:left="660" w:right="100" w:hanging="327"/>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in-mouth appliances, crowns, bridgework, dentures, tooth restorations, or any related fitting or adjustment services; whether or not the purpose of such services or supplies is to relieve pain;</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root canal therapy;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routine tooth removal (not needing cutting of bone).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included are charges:</w:t>
      </w:r>
    </w:p>
    <w:p>
      <w:pPr>
        <w:spacing w:after="0" w:line="225" w:lineRule="exact"/>
        <w:rPr>
          <w:sz w:val="20"/>
          <w:szCs w:val="20"/>
          <w:color w:val="auto"/>
        </w:rPr>
      </w:pPr>
    </w:p>
    <w:p>
      <w:pPr>
        <w:ind w:left="660" w:hanging="327"/>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remove, repair, replace, restore or reposition teeth lost or damaged in the course of biting or chewing;</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repair, replace, or restore fillings, crowns, dentures or bridgework;</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non-surgical periodontal treatment;</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dental cleaning, in-mouth scaling, planing or scraping;</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myofunctional therapy; this is muscle training therapy; or training to correct or control harmful habits.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testing, training, or treatment related to learning disabilities or developmental delays.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However, educational services or supplies may be covered for training in the activities of daily living if they are directly related to treatment of a sickness or injury that resulted in a loss of a previously demonstrated ability to perform those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Education or special education or job training </w:t>
      </w:r>
      <w:r>
        <w:rPr>
          <w:rFonts w:ascii="Arial" w:cs="Arial" w:eastAsia="Arial" w:hAnsi="Arial"/>
          <w:sz w:val="18"/>
          <w:szCs w:val="18"/>
          <w:color w:val="auto"/>
        </w:rPr>
        <w:t>whether or not given in a facility that also provides medical or psychiatric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Eyeglasses or lenses of any type </w:t>
      </w:r>
      <w:r>
        <w:rPr>
          <w:rFonts w:ascii="Arial" w:cs="Arial" w:eastAsia="Arial" w:hAnsi="Arial"/>
          <w:sz w:val="18"/>
          <w:szCs w:val="18"/>
          <w:color w:val="auto"/>
        </w:rPr>
        <w:t>(except initial replacements for loss of the natural lens).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surgery to correct refractive impairments.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Experimental or investigational</w:t>
      </w:r>
      <w:r>
        <w:rPr>
          <w:rFonts w:ascii="Arial" w:cs="Arial" w:eastAsia="Arial" w:hAnsi="Arial"/>
          <w:sz w:val="16"/>
          <w:szCs w:val="16"/>
          <w:color w:val="auto"/>
        </w:rPr>
        <w:t>—a drug, a device, a procedure, or treatment will be determined experimental or investigational if Aetna determines that:</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540" w:right="239" w:bottom="1440" w:gutter="0" w:footer="0" w:header="0"/>
        </w:sectPr>
      </w:pPr>
    </w:p>
    <w:bookmarkStart w:id="149" w:name="page150"/>
    <w:bookmarkEnd w:id="149"/>
    <w:p>
      <w:pPr>
        <w:ind w:left="820" w:hanging="487"/>
        <w:spacing w:after="0" w:line="277"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insufficient outcomes data available from controlled clinical trials published in the peer reviewed literature to substantiate its safety and effectiveness for the disease or injury involved; or</w:t>
      </w:r>
    </w:p>
    <w:p>
      <w:pPr>
        <w:spacing w:after="0" w:line="170" w:lineRule="exact"/>
        <w:rPr>
          <w:rFonts w:ascii="Arial" w:cs="Arial" w:eastAsia="Arial" w:hAnsi="Arial"/>
          <w:sz w:val="18"/>
          <w:szCs w:val="18"/>
          <w:color w:val="auto"/>
        </w:rPr>
      </w:pPr>
    </w:p>
    <w:p>
      <w:pPr>
        <w:ind w:left="820" w:hanging="487"/>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required by the FDA, approval has not been granted for marketing; or</w:t>
      </w:r>
    </w:p>
    <w:p>
      <w:pPr>
        <w:spacing w:after="0" w:line="225" w:lineRule="exact"/>
        <w:rPr>
          <w:rFonts w:ascii="Arial" w:cs="Arial" w:eastAsia="Arial" w:hAnsi="Arial"/>
          <w:sz w:val="18"/>
          <w:szCs w:val="18"/>
          <w:color w:val="auto"/>
        </w:rPr>
      </w:pPr>
    </w:p>
    <w:p>
      <w:pPr>
        <w:ind w:left="820" w:right="320" w:hanging="487"/>
        <w:spacing w:after="0" w:line="277"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recognized national medical or dental society or regulatory agency has determined, in writing, that it is experimental, investigational, or for research purposes; or</w:t>
      </w:r>
    </w:p>
    <w:p>
      <w:pPr>
        <w:spacing w:after="0" w:line="170" w:lineRule="exact"/>
        <w:rPr>
          <w:rFonts w:ascii="Arial" w:cs="Arial" w:eastAsia="Arial" w:hAnsi="Arial"/>
          <w:sz w:val="18"/>
          <w:szCs w:val="18"/>
          <w:color w:val="auto"/>
        </w:rPr>
      </w:pPr>
    </w:p>
    <w:p>
      <w:pPr>
        <w:ind w:left="820" w:right="160" w:hanging="487"/>
        <w:spacing w:after="0" w:line="264"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written protocol or protocols used by the treating facility, or the protocol or protocols of any other facility studying substantially the same drug, device, procedure, or treatment, or the written informed consent used by the treating facility or by another facility studying the same drug, device, procedure, or treatment states that it is experimental, investigational, or for research purposes.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However, this exclusion will not apply with respect to services or supplies (other than drugs) received in connection with a disease, if Aetna determines that:</w:t>
      </w:r>
    </w:p>
    <w:p>
      <w:pPr>
        <w:spacing w:after="0" w:line="46" w:lineRule="exact"/>
        <w:rPr>
          <w:sz w:val="20"/>
          <w:szCs w:val="20"/>
          <w:color w:val="auto"/>
        </w:rPr>
      </w:pPr>
    </w:p>
    <w:p>
      <w:pPr>
        <w:jc w:val="both"/>
        <w:ind w:right="60" w:firstLine="9"/>
        <w:spacing w:after="0" w:line="254"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disease can be expected to cause death within one year, in the absence of effective treatment; and (2) the care or treatment is effective for that disease or shows promise of being effective for that disease as demonstrated by scientific data. In making this determination Aetna will take into account the results of a review by a panel of independent medical professionals. They will be selected by Aetna. This panel will include professionals who treat the type of disease involved.</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Also, this exclusion will not apply with respect to drugs that: (1) have been granted treatment investigational new drug (IND) or Group c/treatment IND status; or (2) are being studied at the Phase III level in a national clinical trial sponsored by the National Cancer Institute; if Aetna determines that available scientific evidence demonstrates that the drug is effective or shows promise of being effective for the disease.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 orthotics </w:t>
      </w:r>
      <w:r>
        <w:rPr>
          <w:rFonts w:ascii="Arial" w:cs="Arial" w:eastAsia="Arial" w:hAnsi="Arial"/>
          <w:sz w:val="18"/>
          <w:szCs w:val="18"/>
          <w:color w:val="auto"/>
        </w:rPr>
        <w:t>(shoe inserts), orthopedic shoes, or other devices to support the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plans</w:t>
      </w:r>
      <w:r>
        <w:rPr>
          <w:rFonts w:ascii="Arial" w:cs="Arial" w:eastAsia="Arial" w:hAnsi="Arial"/>
          <w:sz w:val="18"/>
          <w:szCs w:val="18"/>
          <w:color w:val="auto"/>
        </w:rPr>
        <w:t>—for those services and supplies:</w:t>
      </w:r>
    </w:p>
    <w:p>
      <w:pPr>
        <w:spacing w:after="0" w:line="229" w:lineRule="exact"/>
        <w:rPr>
          <w:sz w:val="20"/>
          <w:szCs w:val="20"/>
          <w:color w:val="auto"/>
        </w:rPr>
      </w:pPr>
    </w:p>
    <w:p>
      <w:pPr>
        <w:ind w:left="820" w:right="140" w:hanging="487"/>
        <w:spacing w:after="0" w:line="277" w:lineRule="auto"/>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Furnished, paid for, or for which benefits are provided or required by reason of the past or present service of any person in the armed forces of a government.</w:t>
      </w:r>
    </w:p>
    <w:p>
      <w:pPr>
        <w:spacing w:after="0" w:line="170" w:lineRule="exact"/>
        <w:rPr>
          <w:rFonts w:ascii="Arial" w:cs="Arial" w:eastAsia="Arial" w:hAnsi="Arial"/>
          <w:sz w:val="18"/>
          <w:szCs w:val="18"/>
          <w:color w:val="auto"/>
        </w:rPr>
      </w:pPr>
    </w:p>
    <w:p>
      <w:pPr>
        <w:ind w:left="820" w:right="60" w:hanging="487"/>
        <w:spacing w:after="0" w:line="259" w:lineRule="auto"/>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Furnished, paid for, or for which benefits are provided or required under any law of a government. (This exclusion will not apply to “no fault” auto insurance if it is required by law; provided on other than a group basis; and is included in the definition of Other Plans in the section entitled “If You or Your Dependents Have Other Coverage Excluding Medicare”. In addition, this exclusion will not apply to a plan established by a government for its own employees or their dependents; or Medicare.)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Hearing exams </w:t>
      </w:r>
      <w:r>
        <w:rPr>
          <w:rFonts w:ascii="Arial" w:cs="Arial" w:eastAsia="Arial" w:hAnsi="Arial"/>
          <w:sz w:val="18"/>
          <w:szCs w:val="18"/>
          <w:color w:val="auto"/>
        </w:rPr>
        <w:t>not included are charges for:</w:t>
      </w:r>
    </w:p>
    <w:p>
      <w:pPr>
        <w:spacing w:after="0" w:line="243" w:lineRule="exact"/>
        <w:rPr>
          <w:sz w:val="20"/>
          <w:szCs w:val="20"/>
          <w:color w:val="auto"/>
        </w:rPr>
      </w:pPr>
    </w:p>
    <w:p>
      <w:pPr>
        <w:ind w:left="660" w:hanging="327"/>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ear or hearing exam to diagnose or treat a disease or injury;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Drugs or medicines;</w:t>
      </w:r>
    </w:p>
    <w:p>
      <w:pPr>
        <w:spacing w:after="0" w:line="225" w:lineRule="exact"/>
        <w:rPr>
          <w:rFonts w:ascii="Arial" w:cs="Arial" w:eastAsia="Arial" w:hAnsi="Arial"/>
          <w:sz w:val="18"/>
          <w:szCs w:val="18"/>
          <w:color w:val="auto"/>
        </w:rPr>
      </w:pPr>
    </w:p>
    <w:p>
      <w:pPr>
        <w:ind w:left="660" w:right="40" w:hanging="327"/>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hearing care service or supply which is a covered expense in whole or in part under any other part of this Plan or under any other plan of group benefits provided through your Employer;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320" w:top="436" w:right="239" w:bottom="1440" w:gutter="0" w:footer="0" w:header="0"/>
        </w:sectPr>
      </w:pPr>
    </w:p>
    <w:bookmarkStart w:id="150" w:name="page151"/>
    <w:bookmarkEnd w:id="150"/>
    <w:p>
      <w:pPr>
        <w:ind w:left="660" w:right="60" w:hanging="326"/>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hearing care service or supply for which a benefit is provided under any workers’ compensation law or any other law of like purpose, whether benefits are payable as to all or only part of the charges;</w:t>
      </w:r>
    </w:p>
    <w:p>
      <w:pPr>
        <w:spacing w:after="0" w:line="170" w:lineRule="exact"/>
        <w:rPr>
          <w:rFonts w:ascii="Arial" w:cs="Arial" w:eastAsia="Arial" w:hAnsi="Arial"/>
          <w:sz w:val="18"/>
          <w:szCs w:val="18"/>
          <w:color w:val="auto"/>
        </w:rPr>
      </w:pPr>
    </w:p>
    <w:p>
      <w:pPr>
        <w:ind w:left="660" w:hanging="32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hearing care service or supply which does not meet professionally accepted standards;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service or supply received while the person is not covered;</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exams given while the person is confined in a hospital or other facility for medical care;</w:t>
      </w:r>
    </w:p>
    <w:p>
      <w:pPr>
        <w:spacing w:after="0" w:line="225" w:lineRule="exact"/>
        <w:rPr>
          <w:rFonts w:ascii="Arial" w:cs="Arial" w:eastAsia="Arial" w:hAnsi="Arial"/>
          <w:sz w:val="18"/>
          <w:szCs w:val="18"/>
          <w:color w:val="auto"/>
        </w:rPr>
      </w:pPr>
    </w:p>
    <w:p>
      <w:pPr>
        <w:ind w:left="660" w:right="500" w:hanging="326"/>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exam required by an employer as a condition of employment, or which an employer is required to provide under a labor agreement or is required by any law of a government.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Infertility </w:t>
      </w:r>
      <w:r>
        <w:rPr>
          <w:rFonts w:ascii="Arial" w:cs="Arial" w:eastAsia="Arial" w:hAnsi="Arial"/>
          <w:sz w:val="18"/>
          <w:szCs w:val="18"/>
          <w:color w:val="auto"/>
        </w:rPr>
        <w:t>caused by voluntary sterilization or a hysterectomy.</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Payment that you are not legally required to pay </w:t>
      </w:r>
      <w:r>
        <w:rPr>
          <w:rFonts w:ascii="Arial" w:cs="Arial" w:eastAsia="Arial" w:hAnsi="Arial"/>
          <w:sz w:val="18"/>
          <w:szCs w:val="18"/>
          <w:color w:val="auto"/>
        </w:rPr>
        <w:t>includes, but is not limited to, all charges for services or supplies for which the provider has agreed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any benefits payable under the Plan as full payment for those charges.</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Private duty nursing </w:t>
      </w:r>
      <w:r>
        <w:rPr>
          <w:rFonts w:ascii="Arial" w:cs="Arial" w:eastAsia="Arial" w:hAnsi="Arial"/>
          <w:sz w:val="18"/>
          <w:szCs w:val="18"/>
          <w:color w:val="auto"/>
        </w:rPr>
        <w:t>does not include that part or all of any nursing care that does not require the education, training, and technical skills of an R.N. or</w:t>
      </w:r>
      <w:r>
        <w:rPr>
          <w:rFonts w:ascii="Arial" w:cs="Arial" w:eastAsia="Arial" w:hAnsi="Arial"/>
          <w:sz w:val="18"/>
          <w:szCs w:val="18"/>
          <w:b w:val="1"/>
          <w:bCs w:val="1"/>
          <w:color w:val="auto"/>
        </w:rPr>
        <w:t xml:space="preserve"> </w:t>
      </w:r>
      <w:r>
        <w:rPr>
          <w:rFonts w:ascii="Arial" w:cs="Arial" w:eastAsia="Arial" w:hAnsi="Arial"/>
          <w:sz w:val="18"/>
          <w:szCs w:val="18"/>
          <w:color w:val="auto"/>
        </w:rPr>
        <w:t>L.P.N.; such as transportation, meal preparation, charting of vital signs, and companionship activities; or</w:t>
      </w:r>
    </w:p>
    <w:p>
      <w:pPr>
        <w:spacing w:after="0" w:line="166" w:lineRule="exact"/>
        <w:rPr>
          <w:sz w:val="20"/>
          <w:szCs w:val="20"/>
          <w:color w:val="auto"/>
        </w:rPr>
      </w:pPr>
    </w:p>
    <w:p>
      <w:pPr>
        <w:ind w:left="660" w:hanging="32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private duty nursing care given while the person is an inpatient in a hospital or other health care facility; or</w:t>
      </w:r>
    </w:p>
    <w:p>
      <w:pPr>
        <w:spacing w:after="0" w:line="225" w:lineRule="exact"/>
        <w:rPr>
          <w:rFonts w:ascii="Arial" w:cs="Arial" w:eastAsia="Arial" w:hAnsi="Arial"/>
          <w:sz w:val="18"/>
          <w:szCs w:val="18"/>
          <w:color w:val="auto"/>
        </w:rPr>
      </w:pPr>
    </w:p>
    <w:p>
      <w:pPr>
        <w:ind w:left="660" w:right="260" w:hanging="326"/>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Care provided to help a person in the activities of daily life; such as bathing, feeding, personal grooming, dressing, getting in and out of bed or a chair, or toileting; or</w:t>
      </w:r>
    </w:p>
    <w:p>
      <w:pPr>
        <w:spacing w:after="0" w:line="170" w:lineRule="exact"/>
        <w:rPr>
          <w:rFonts w:ascii="Arial" w:cs="Arial" w:eastAsia="Arial" w:hAnsi="Arial"/>
          <w:sz w:val="18"/>
          <w:szCs w:val="18"/>
          <w:color w:val="auto"/>
        </w:rPr>
      </w:pPr>
    </w:p>
    <w:p>
      <w:pPr>
        <w:ind w:left="660" w:hanging="32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Care provided solely for skilled observation; or</w:t>
      </w:r>
    </w:p>
    <w:p>
      <w:pPr>
        <w:spacing w:after="0" w:line="225" w:lineRule="exact"/>
        <w:rPr>
          <w:rFonts w:ascii="Arial" w:cs="Arial" w:eastAsia="Arial" w:hAnsi="Arial"/>
          <w:sz w:val="18"/>
          <w:szCs w:val="18"/>
          <w:color w:val="auto"/>
        </w:rPr>
      </w:pPr>
    </w:p>
    <w:p>
      <w:pPr>
        <w:ind w:left="660" w:right="100" w:hanging="326"/>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service provided solely to administer oral medicines; except where applicable law requires that such medicines be administered by an R.N. or L.P.N.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Reversal of a sterilization procedure.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Services and supplies </w:t>
      </w:r>
      <w:r>
        <w:rPr>
          <w:rFonts w:ascii="Arial" w:cs="Arial" w:eastAsia="Arial" w:hAnsi="Arial"/>
          <w:sz w:val="18"/>
          <w:szCs w:val="18"/>
          <w:color w:val="auto"/>
        </w:rPr>
        <w:t>that are not Necessary, as determined by Aetna.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Sex changes </w:t>
      </w:r>
      <w:r>
        <w:rPr>
          <w:rFonts w:ascii="Arial" w:cs="Arial" w:eastAsia="Arial" w:hAnsi="Arial"/>
          <w:sz w:val="18"/>
          <w:szCs w:val="18"/>
          <w:color w:val="auto"/>
        </w:rPr>
        <w:t>or any treatment of gender identity disorders.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Sexual dysfunction </w:t>
      </w:r>
      <w:r>
        <w:rPr>
          <w:rFonts w:ascii="Arial" w:cs="Arial" w:eastAsia="Arial" w:hAnsi="Arial"/>
          <w:sz w:val="16"/>
          <w:szCs w:val="16"/>
          <w:color w:val="auto"/>
        </w:rPr>
        <w:t>expenses for therapy, supplies, or counseling for sexual dysfunction or inadequacies that do not have a physiological or organic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aids.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Work-related illness or injury </w:t>
      </w:r>
      <w:r>
        <w:rPr>
          <w:rFonts w:ascii="Arial" w:cs="Arial" w:eastAsia="Arial" w:hAnsi="Arial"/>
          <w:sz w:val="18"/>
          <w:szCs w:val="18"/>
          <w:color w:val="auto"/>
        </w:rPr>
        <w:t>expenses connected to an injury arising from work for wage or profit (whether or not work was performed for this firm), or</w:t>
      </w:r>
      <w:r>
        <w:rPr>
          <w:rFonts w:ascii="Arial" w:cs="Arial" w:eastAsia="Arial" w:hAnsi="Arial"/>
          <w:sz w:val="18"/>
          <w:szCs w:val="18"/>
          <w:b w:val="1"/>
          <w:bCs w:val="1"/>
          <w:color w:val="auto"/>
        </w:rPr>
        <w:t xml:space="preserve"> </w:t>
      </w:r>
      <w:r>
        <w:rPr>
          <w:rFonts w:ascii="Arial" w:cs="Arial" w:eastAsia="Arial" w:hAnsi="Arial"/>
          <w:sz w:val="18"/>
          <w:szCs w:val="18"/>
          <w:color w:val="auto"/>
        </w:rPr>
        <w:t>for diseases covered by any workers’ compensation law, occupational disease law, or similar law.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STATE-MANDATED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6657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extLst>
                    </a:blip>
                    <a:srcRect/>
                    <a:stretch>
                      <a:fillRect/>
                    </a:stretch>
                  </pic:blipFill>
                  <pic:spPr bwMode="auto">
                    <a:xfrm>
                      <a:off x="0" y="0"/>
                      <a:ext cx="1766570" cy="128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you reside in one of the following states, the state-mandated benefits also apply to your coverage under the Medical Plan.</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60" w:top="436" w:right="239" w:bottom="1440" w:gutter="0" w:footer="0" w:header="0"/>
        </w:sectPr>
      </w:pPr>
    </w:p>
    <w:bookmarkStart w:id="151" w:name="page152"/>
    <w:bookmarkEnd w:id="151"/>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California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Continuation of</w:t>
            </w: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The terms of this Continuation of Coverage after COBRA Ceases apply to you and your spouse.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Coverage after</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If you or you and your spouse: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COBRA Ceases</w:t>
            </w:r>
          </w:p>
        </w:tc>
        <w:tc>
          <w:tcPr>
            <w:tcW w:w="75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w w:val="99"/>
              </w:rPr>
              <w:t>•  Continued health expense coverage under this Plan in accordance with COBRA for the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75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maximum period for which such continuation is available; and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4"/>
              </w:rPr>
              <w:t>•  You were 60 years of age or over with 5 years of service when you terminated employment;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5"/>
              </w:rPr>
              <w:t>you may, prior to the date coverage under COBRA terminates, elect to further continue the same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health expense coverage for you and your spouse, or for you only or for your spouse only. If you die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7"/>
              </w:rPr>
              <w:t>during the period in which you can elect this further continuation, your spouse who was covered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under COBRA for the maximum period may elect to further continue coverage provided such election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is made during the period in which you could elect the further continuation. The election must include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an agreement to pay contributions. The contributions may be up to 213% of the cost to the Plan.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Premium payments must be continued.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Coverage for a person will not be continued beyond the first to occur of:</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The date the person becomes covered for like coverage under any group plan;</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Failure to make any required contributions;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3"/>
              </w:rPr>
              <w:t>•  The date health expense coverage discontinues, and is not replaced, as to employees of the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Eligible Class of which you were a member;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The date you attain age 65;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As to any spouse, the date the spouse attains age 65;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As to any spouse, 5 years from the date you terminated employment.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The Conversion Privilege will be available when coverage is no longer available under this section.</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Colorado</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Cleft Lip/</w:t>
            </w:r>
          </w:p>
        </w:tc>
        <w:tc>
          <w:tcPr>
            <w:tcW w:w="7500" w:type="dxa"/>
            <w:vAlign w:val="bottom"/>
          </w:tcPr>
          <w:p>
            <w:pPr>
              <w:ind w:left="100"/>
              <w:spacing w:after="0"/>
              <w:rPr>
                <w:sz w:val="20"/>
                <w:szCs w:val="20"/>
                <w:color w:val="auto"/>
              </w:rPr>
            </w:pPr>
            <w:r>
              <w:rPr>
                <w:rFonts w:ascii="Arial" w:cs="Arial" w:eastAsia="Arial" w:hAnsi="Arial"/>
                <w:sz w:val="18"/>
                <w:szCs w:val="18"/>
                <w:color w:val="auto"/>
              </w:rPr>
              <w:t>Charges incurred for covered treatment given to a dependent child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Palate of a Dependent</w:t>
            </w:r>
          </w:p>
        </w:tc>
        <w:tc>
          <w:tcPr>
            <w:tcW w:w="7500" w:type="dxa"/>
            <w:vAlign w:val="bottom"/>
          </w:tcPr>
          <w:p>
            <w:pPr>
              <w:ind w:left="100"/>
              <w:spacing w:after="0"/>
              <w:rPr>
                <w:sz w:val="20"/>
                <w:szCs w:val="20"/>
                <w:color w:val="auto"/>
              </w:rPr>
            </w:pPr>
            <w:r>
              <w:rPr>
                <w:rFonts w:ascii="Arial" w:cs="Arial" w:eastAsia="Arial" w:hAnsi="Arial"/>
                <w:sz w:val="18"/>
                <w:szCs w:val="18"/>
                <w:color w:val="auto"/>
                <w:w w:val="97"/>
              </w:rPr>
              <w:t>for a congenital cleft lip or cleft palate may be included as covered medical expenses. They are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Child</w:t>
            </w:r>
          </w:p>
        </w:tc>
        <w:tc>
          <w:tcPr>
            <w:tcW w:w="7500" w:type="dxa"/>
            <w:vAlign w:val="bottom"/>
          </w:tcPr>
          <w:p>
            <w:pPr>
              <w:ind w:left="100"/>
              <w:spacing w:after="0"/>
              <w:rPr>
                <w:sz w:val="20"/>
                <w:szCs w:val="20"/>
                <w:color w:val="auto"/>
              </w:rPr>
            </w:pPr>
            <w:r>
              <w:rPr>
                <w:rFonts w:ascii="Arial" w:cs="Arial" w:eastAsia="Arial" w:hAnsi="Arial"/>
                <w:sz w:val="18"/>
                <w:szCs w:val="18"/>
                <w:color w:val="auto"/>
              </w:rPr>
              <w:t>included to the extent they would have been included if incurred for a disease.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Covered treatment means any of the services or supplies listed below given for cleft lip or cleft palate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or for any other condition related to or developed as a result of the cleft lip or palate: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1"/>
              </w:rPr>
              <w:t>•  Oral surgery and facial surgery. This includes pre-operative and post-operative care performed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by a Physician.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Oral prosthesis treatment (obturators and orthotic devices).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6"/>
              </w:rPr>
              <w:t>•  First installation of partial or full removable dentures or of fixed bridgework, if dentures are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not professionally adequate.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3"/>
              </w:rPr>
              <w:t>•  Replacement of dentures or fixed bridgework when required as a result of structural changes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in the mouth or jaw due to growth.</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517" w:right="239" w:bottom="144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Cleft orthodontic therapy.</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4"/>
              </w:rPr>
              <w:t>•  Diagnostic services of a Physician to find out if and to what extent the child’s ability to speak</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or hear has been lost or impaired.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3"/>
              </w:rPr>
              <w:t>•  Habilitative speech therapy rendered by a Physician that is expected to overcome congenital</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w w:val="97"/>
              </w:rPr>
              <w:t>or early acquired handicaps as well as to restore or improve the child’s ability to speak.</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An audiologist or speech therapist who is legally qualified will be deemed a Physician for the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purposes of this section.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Charges for the following are not included: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2"/>
              </w:rPr>
              <w:t>•  Oral prosthesis, dentures or bridgework ordered before the child becomes covered, or ordered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w w:val="95"/>
              </w:rPr>
              <w:t>while covered but installed or delivered more than 60 days after termination of coverage.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6"/>
              </w:rPr>
              <w:t>•  Services given to treat delays of speech development unless such delays are shown to be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w w:val="92"/>
              </w:rPr>
              <w:t>caused by cleft lip or cleft palate or any condition related to or developed as a result of cleft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lip or cleft palate.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Speech aids and training in the use of such aids.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7"/>
              </w:rPr>
              <w:t>•  Augmentive (assistive) Communication Systems and training in the use of such systems.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Connecticut</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Recovery of</w:t>
            </w:r>
          </w:p>
        </w:tc>
        <w:tc>
          <w:tcPr>
            <w:tcW w:w="7500" w:type="dxa"/>
            <w:vAlign w:val="bottom"/>
          </w:tcPr>
          <w:p>
            <w:pPr>
              <w:ind w:left="100"/>
              <w:spacing w:after="0"/>
              <w:rPr>
                <w:sz w:val="20"/>
                <w:szCs w:val="20"/>
                <w:color w:val="auto"/>
              </w:rPr>
            </w:pPr>
            <w:r>
              <w:rPr>
                <w:rFonts w:ascii="Arial" w:cs="Arial" w:eastAsia="Arial" w:hAnsi="Arial"/>
                <w:sz w:val="18"/>
                <w:szCs w:val="18"/>
                <w:color w:val="auto"/>
              </w:rPr>
              <w:t>The Recovery of Benefits provision does not apply.</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Florida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Definition of</w:t>
            </w: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Dependent children who meet the eligibility definition are covered until the end of the calendar year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Dependents</w:t>
            </w:r>
          </w:p>
        </w:tc>
        <w:tc>
          <w:tcPr>
            <w:tcW w:w="7500" w:type="dxa"/>
            <w:vAlign w:val="bottom"/>
          </w:tcPr>
          <w:p>
            <w:pPr>
              <w:ind w:left="100"/>
              <w:spacing w:after="0"/>
              <w:rPr>
                <w:sz w:val="20"/>
                <w:szCs w:val="20"/>
                <w:color w:val="auto"/>
              </w:rPr>
            </w:pPr>
            <w:r>
              <w:rPr>
                <w:rFonts w:ascii="Arial" w:cs="Arial" w:eastAsia="Arial" w:hAnsi="Arial"/>
                <w:sz w:val="18"/>
                <w:szCs w:val="18"/>
                <w:color w:val="auto"/>
              </w:rPr>
              <w:t>in which the child attains age 25.</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Conversion of Health</w:t>
            </w: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In addition, your dependents include a child whose parent is your child and is covered as a dependent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Expense Coverage</w:t>
            </w: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under this Plan. Conversion of health expense coverage or extension of benefits requirements may</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differ in some respects from the provisions of the Plan. In no event will the terms or conditions under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which conversion coverage may be continued be less favorable to you or your dependents than the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8"/>
              </w:rPr>
              <w:t>terms and conditions stated on page 45 of this document. Contact your HR Representative for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additional information.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Mammograms</w:t>
            </w:r>
          </w:p>
        </w:tc>
        <w:tc>
          <w:tcPr>
            <w:tcW w:w="7500" w:type="dxa"/>
            <w:vAlign w:val="bottom"/>
          </w:tcPr>
          <w:p>
            <w:pPr>
              <w:ind w:left="100"/>
              <w:spacing w:after="0"/>
              <w:rPr>
                <w:sz w:val="20"/>
                <w:szCs w:val="20"/>
                <w:color w:val="auto"/>
              </w:rPr>
            </w:pPr>
            <w:r>
              <w:rPr>
                <w:rFonts w:ascii="Arial" w:cs="Arial" w:eastAsia="Arial" w:hAnsi="Arial"/>
                <w:sz w:val="18"/>
                <w:szCs w:val="18"/>
                <w:color w:val="auto"/>
              </w:rPr>
              <w:t>There is no age or frequency limitation for mammograms.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Georgia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Prescription</w:t>
            </w:r>
          </w:p>
        </w:tc>
        <w:tc>
          <w:tcPr>
            <w:tcW w:w="7500" w:type="dxa"/>
            <w:vAlign w:val="bottom"/>
          </w:tcPr>
          <w:p>
            <w:pPr>
              <w:ind w:left="100"/>
              <w:spacing w:after="0"/>
              <w:rPr>
                <w:sz w:val="20"/>
                <w:szCs w:val="20"/>
                <w:color w:val="auto"/>
              </w:rPr>
            </w:pPr>
            <w:r>
              <w:rPr>
                <w:rFonts w:ascii="Arial" w:cs="Arial" w:eastAsia="Arial" w:hAnsi="Arial"/>
                <w:sz w:val="18"/>
                <w:szCs w:val="18"/>
                <w:color w:val="auto"/>
              </w:rPr>
              <w:t>Prescription Drugs paid at 100% at non-participating pharmacies.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Drug Coverage</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Maryland</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Outpatient</w:t>
            </w:r>
          </w:p>
        </w:tc>
        <w:tc>
          <w:tcPr>
            <w:tcW w:w="7500" w:type="dxa"/>
            <w:vAlign w:val="bottom"/>
          </w:tcPr>
          <w:p>
            <w:pPr>
              <w:ind w:left="100"/>
              <w:spacing w:after="0"/>
              <w:rPr>
                <w:sz w:val="20"/>
                <w:szCs w:val="20"/>
                <w:color w:val="auto"/>
              </w:rPr>
            </w:pPr>
            <w:r>
              <w:rPr>
                <w:rFonts w:ascii="Arial" w:cs="Arial" w:eastAsia="Arial" w:hAnsi="Arial"/>
                <w:sz w:val="18"/>
                <w:szCs w:val="18"/>
                <w:color w:val="auto"/>
              </w:rPr>
              <w:t>Outpatient alcoholism and drug abuse coverage—no limits on the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Alcoholism and Drug</w:t>
            </w:r>
          </w:p>
        </w:tc>
        <w:tc>
          <w:tcPr>
            <w:tcW w:w="7500" w:type="dxa"/>
            <w:vAlign w:val="bottom"/>
          </w:tcPr>
          <w:p>
            <w:pPr>
              <w:ind w:left="100"/>
              <w:spacing w:after="0"/>
              <w:rPr>
                <w:sz w:val="20"/>
                <w:szCs w:val="20"/>
                <w:color w:val="auto"/>
              </w:rPr>
            </w:pPr>
            <w:r>
              <w:rPr>
                <w:rFonts w:ascii="Arial" w:cs="Arial" w:eastAsia="Arial" w:hAnsi="Arial"/>
                <w:sz w:val="18"/>
                <w:szCs w:val="18"/>
                <w:color w:val="auto"/>
              </w:rPr>
              <w:t>number of visits or the number of counseling sessions.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Abuse</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Pregnancy Coverage</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w w:val="94"/>
              </w:rPr>
              <w:t>Benefits will be payable for one post-delivery home visit by a health care provider whether or not a</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75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person is discharged prior to the minimum time period allowed for inpatient confinement.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518" w:right="239" w:bottom="1440" w:gutter="0" w:footer="0" w:header="0"/>
        </w:sectPr>
      </w:pPr>
    </w:p>
    <w:bookmarkStart w:id="153" w:name="page154"/>
    <w:bookmarkEnd w:id="153"/>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Massachusetts</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Early Intervention</w:t>
            </w:r>
          </w:p>
        </w:tc>
        <w:tc>
          <w:tcPr>
            <w:tcW w:w="7500" w:type="dxa"/>
            <w:vAlign w:val="bottom"/>
          </w:tcPr>
          <w:p>
            <w:pPr>
              <w:ind w:left="100"/>
              <w:spacing w:after="0"/>
              <w:rPr>
                <w:sz w:val="20"/>
                <w:szCs w:val="20"/>
                <w:color w:val="auto"/>
              </w:rPr>
            </w:pPr>
            <w:r>
              <w:rPr>
                <w:rFonts w:ascii="Arial" w:cs="Arial" w:eastAsia="Arial" w:hAnsi="Arial"/>
                <w:sz w:val="18"/>
                <w:szCs w:val="18"/>
                <w:color w:val="auto"/>
                <w:w w:val="89"/>
              </w:rPr>
              <w:t>The charges below are included as covered medical expenses even though they may not be incurred in</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Services</w:t>
            </w:r>
          </w:p>
        </w:tc>
        <w:tc>
          <w:tcPr>
            <w:tcW w:w="7500" w:type="dxa"/>
            <w:vAlign w:val="bottom"/>
          </w:tcPr>
          <w:p>
            <w:pPr>
              <w:ind w:left="100"/>
              <w:spacing w:after="0"/>
              <w:rPr>
                <w:sz w:val="20"/>
                <w:szCs w:val="20"/>
                <w:color w:val="auto"/>
              </w:rPr>
            </w:pPr>
            <w:r>
              <w:rPr>
                <w:rFonts w:ascii="Arial" w:cs="Arial" w:eastAsia="Arial" w:hAnsi="Arial"/>
                <w:sz w:val="18"/>
                <w:szCs w:val="18"/>
                <w:color w:val="auto"/>
              </w:rPr>
              <w:t>connection with an injury or disease. They are included only for a dependent child: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4"/>
              </w:rPr>
              <w:t>•  Until 3 months after the child attains the age of 3 years; if the child is born on or before April</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3"/>
              </w:rPr>
              <w:t>•  Until the September 1 of the calendar year in which the child attains the age of 3 years; if the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child is born after April 1.</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Early Intervention Services Expenses: These are the charges incurred for Early Intervention Services.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Early Intervention Services: These are services provided for the following: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7"/>
              </w:rPr>
              <w:t>•  Speech therapy given in connection with a speech impairment resulting from a congenital</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abnormality, disease or injury.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8"/>
              </w:rPr>
              <w:t>•  Occupational or physical therapy expected to result in significant improvement of a body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function impaired by a congenital abnormality, disease, or injury.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Clinical psychological tests or treatment.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3"/>
              </w:rPr>
              <w:t>•  Skilled nursing services, on a part-time or intermittent basis, given by an R.N. or by an L.P.N.</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Early Intervention</w:t>
            </w: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Not more than the Early Intervention Services Calendar Year Maximum of $3,200 will be payable for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Services (continued)</w:t>
            </w:r>
          </w:p>
        </w:tc>
        <w:tc>
          <w:tcPr>
            <w:tcW w:w="7500" w:type="dxa"/>
            <w:vAlign w:val="bottom"/>
          </w:tcPr>
          <w:p>
            <w:pPr>
              <w:ind w:left="100"/>
              <w:spacing w:after="0"/>
              <w:rPr>
                <w:sz w:val="20"/>
                <w:szCs w:val="20"/>
                <w:color w:val="auto"/>
              </w:rPr>
            </w:pPr>
            <w:r>
              <w:rPr>
                <w:rFonts w:ascii="Arial" w:cs="Arial" w:eastAsia="Arial" w:hAnsi="Arial"/>
                <w:sz w:val="18"/>
                <w:szCs w:val="18"/>
                <w:color w:val="auto"/>
              </w:rPr>
              <w:t>Early Intervention Services Expenses incurred by a person in any one calendar year.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Not more than the Early Intervention Services Lifetime Maximum of $9,600 will be payable for Early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Intervention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Services Expenses incurred by a person during the person’s lifetime.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Routine Physical</w:t>
            </w: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To the extent not already included, coverage for routine physical exams will be provided as follows: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Exams</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w w:val="92"/>
              </w:rPr>
              <w:t>For all exams given to your dependent child under age 7, covered medical expenses will not include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75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charges for: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More than 6 exams performed during the first year of the child’s life;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More than 3 exams performed during the second year of the child’s life; and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More than one exam per year during the next 5 years of the child’s life.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Your dependents include a child whose parent is your child and is covered as a dependent under this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Plan.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Definition of</w:t>
            </w: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Plan pays 100% of allowable expenses after benefits payable by other plans have been subtracted.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Dependents</w:t>
            </w:r>
          </w:p>
        </w:tc>
        <w:tc>
          <w:tcPr>
            <w:tcW w:w="7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Coordination of</w:t>
            </w:r>
          </w:p>
        </w:tc>
        <w:tc>
          <w:tcPr>
            <w:tcW w:w="7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New</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Mental</w:t>
            </w:r>
          </w:p>
        </w:tc>
        <w:tc>
          <w:tcPr>
            <w:tcW w:w="7500" w:type="dxa"/>
            <w:vAlign w:val="bottom"/>
          </w:tcPr>
          <w:p>
            <w:pPr>
              <w:ind w:left="100"/>
              <w:spacing w:after="0"/>
              <w:rPr>
                <w:sz w:val="20"/>
                <w:szCs w:val="20"/>
                <w:color w:val="auto"/>
              </w:rPr>
            </w:pPr>
            <w:r>
              <w:rPr>
                <w:rFonts w:ascii="Arial" w:cs="Arial" w:eastAsia="Arial" w:hAnsi="Arial"/>
                <w:sz w:val="18"/>
                <w:szCs w:val="18"/>
                <w:color w:val="auto"/>
              </w:rPr>
              <w:t>Charges of a Physician will include charges made by a pastoral</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Hampshire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Disorder</w:t>
            </w:r>
          </w:p>
        </w:tc>
        <w:tc>
          <w:tcPr>
            <w:tcW w:w="7500" w:type="dxa"/>
            <w:vAlign w:val="bottom"/>
          </w:tcPr>
          <w:p>
            <w:pPr>
              <w:ind w:left="100"/>
              <w:spacing w:after="0"/>
              <w:rPr>
                <w:sz w:val="20"/>
                <w:szCs w:val="20"/>
                <w:color w:val="auto"/>
              </w:rPr>
            </w:pPr>
            <w:r>
              <w:rPr>
                <w:rFonts w:ascii="Arial" w:cs="Arial" w:eastAsia="Arial" w:hAnsi="Arial"/>
                <w:sz w:val="18"/>
                <w:szCs w:val="18"/>
                <w:color w:val="auto"/>
              </w:rPr>
              <w:t>counselor for the treatment of mental disorders.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New Mexico</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TMJ Disorder</w:t>
            </w:r>
          </w:p>
        </w:tc>
        <w:tc>
          <w:tcPr>
            <w:tcW w:w="7500" w:type="dxa"/>
            <w:vAlign w:val="bottom"/>
          </w:tcPr>
          <w:p>
            <w:pPr>
              <w:ind w:left="100"/>
              <w:spacing w:after="0"/>
              <w:rPr>
                <w:sz w:val="20"/>
                <w:szCs w:val="20"/>
                <w:color w:val="auto"/>
              </w:rPr>
            </w:pPr>
            <w:r>
              <w:rPr>
                <w:rFonts w:ascii="Arial" w:cs="Arial" w:eastAsia="Arial" w:hAnsi="Arial"/>
                <w:sz w:val="18"/>
                <w:szCs w:val="18"/>
                <w:color w:val="auto"/>
              </w:rPr>
              <w:t>Charges incurred for the treatment of a TMJ Disorder are included as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Covered Medical expenses to the same extent as those for treatment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518" w:right="239" w:bottom="1440" w:gutter="0" w:footer="0" w:header="0"/>
        </w:sectPr>
      </w:pPr>
    </w:p>
    <w:bookmarkStart w:id="154" w:name="page155"/>
    <w:bookmarkEnd w:id="154"/>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of a disorder of any other joint of the body.</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Charges incurred for orthodontic appliance therapy, crowns, bridges and denture therapy are not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covered unless the therapy is required to treat an injury. For these expenses, Physician includes a</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Dentist.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Autism</w:t>
            </w:r>
          </w:p>
        </w:tc>
        <w:tc>
          <w:tcPr>
            <w:tcW w:w="7500" w:type="dxa"/>
            <w:vAlign w:val="bottom"/>
          </w:tcPr>
          <w:p>
            <w:pPr>
              <w:ind w:left="100"/>
              <w:spacing w:after="0"/>
              <w:rPr>
                <w:sz w:val="20"/>
                <w:szCs w:val="20"/>
                <w:color w:val="auto"/>
              </w:rPr>
            </w:pPr>
            <w:r>
              <w:rPr>
                <w:rFonts w:ascii="Arial" w:cs="Arial" w:eastAsia="Arial" w:hAnsi="Arial"/>
                <w:sz w:val="18"/>
                <w:szCs w:val="18"/>
                <w:color w:val="auto"/>
              </w:rPr>
              <w:t>The plan is prohibited from excluding coverage for diagnosis and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Spectrum Disorder</w:t>
            </w:r>
          </w:p>
        </w:tc>
        <w:tc>
          <w:tcPr>
            <w:tcW w:w="7500" w:type="dxa"/>
            <w:vAlign w:val="bottom"/>
          </w:tcPr>
          <w:p>
            <w:pPr>
              <w:ind w:left="100"/>
              <w:spacing w:after="0"/>
              <w:rPr>
                <w:sz w:val="20"/>
                <w:szCs w:val="20"/>
                <w:color w:val="auto"/>
              </w:rPr>
            </w:pPr>
            <w:r>
              <w:rPr>
                <w:rFonts w:ascii="Arial" w:cs="Arial" w:eastAsia="Arial" w:hAnsi="Arial"/>
                <w:sz w:val="18"/>
                <w:szCs w:val="18"/>
                <w:color w:val="auto"/>
                <w:w w:val="98"/>
              </w:rPr>
              <w:t>treatment of medical conditions otherwise covered solely because the treatment is provided to</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Definition of Autism</w:t>
            </w:r>
          </w:p>
        </w:tc>
        <w:tc>
          <w:tcPr>
            <w:tcW w:w="7500" w:type="dxa"/>
            <w:vAlign w:val="bottom"/>
          </w:tcPr>
          <w:p>
            <w:pPr>
              <w:ind w:left="100"/>
              <w:spacing w:after="0"/>
              <w:rPr>
                <w:sz w:val="20"/>
                <w:szCs w:val="20"/>
                <w:color w:val="auto"/>
              </w:rPr>
            </w:pPr>
            <w:r>
              <w:rPr>
                <w:rFonts w:ascii="Arial" w:cs="Arial" w:eastAsia="Arial" w:hAnsi="Arial"/>
                <w:sz w:val="18"/>
                <w:szCs w:val="18"/>
                <w:color w:val="auto"/>
              </w:rPr>
              <w:t>diagnose or treat autism spectrum disorder.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Spectrum Disorder</w:t>
            </w: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Autism spectrum disorder is defined as “a neurobiological condition that includes autism, Asperger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Cosmetic Services</w:t>
            </w:r>
          </w:p>
        </w:tc>
        <w:tc>
          <w:tcPr>
            <w:tcW w:w="7500" w:type="dxa"/>
            <w:vAlign w:val="bottom"/>
          </w:tcPr>
          <w:p>
            <w:pPr>
              <w:ind w:left="100"/>
              <w:spacing w:after="0"/>
              <w:rPr>
                <w:sz w:val="20"/>
                <w:szCs w:val="20"/>
                <w:color w:val="auto"/>
              </w:rPr>
            </w:pPr>
            <w:r>
              <w:rPr>
                <w:rFonts w:ascii="Arial" w:cs="Arial" w:eastAsia="Arial" w:hAnsi="Arial"/>
                <w:sz w:val="18"/>
                <w:szCs w:val="18"/>
                <w:color w:val="auto"/>
              </w:rPr>
              <w:t>syndrome, Rett syndrome or pervasive developmental disorder.”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0"/>
              </w:rPr>
              <w:t>Except under certain conditions, a determination that surgery is cosmetic and, therefore, not a covered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9"/>
              </w:rPr>
              <w:t>service, is a medical necessity determination subject to utilization review and external appeal</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requirements.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The regulation provides an exception for requests for coverage of surgery, other than a request for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8"/>
              </w:rPr>
              <w:t>pre-authorization, and is submitted without medical information. Such requests may be denied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without subjecting the request to utilization review and external appeal requirements.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5"/>
              </w:rPr>
              <w:t>If an initial claim or request for a procedure listed in the law is submitted to a health plan as a pre-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authorization request without accompanying medical information, the necessary information shall be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requested as required and the claim or request shall be reviewed.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Diabetic Self-</w:t>
            </w: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The Plan shall include coverage for the following equipment and supplies used for the treatment of</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diabetes:</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Management</w:t>
            </w:r>
          </w:p>
        </w:tc>
        <w:tc>
          <w:tcPr>
            <w:tcW w:w="75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rPr>
              <w:t>•  Blood glucose monitors, including blood glucose monitors for the visually impaired;</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75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7"/>
              </w:rPr>
              <w:t>•  Data management systems, test strips for glucose monitors and visual reading and urine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testing strips;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Insulin, injection aids, cartridges for the visually impaired, syringes, insulin pumps,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accessories, insulin infusion devices and oral agents for controlling blood sugar.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The equipment and supplies must be recommended or prescribed by a physician or other licensed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health care provider legally authorized to prescribe in accordance with applicable licensing laws.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Coverage must also be provided for diabetic self-management education to ensure that persons with</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diabetes are educated as to the proper self-management and treatment of their condition, including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8"/>
              </w:rPr>
              <w:t>information on proper diets. Self-management education coverage shall be limited to medically</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necessary visits: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Upon the diagnosis of the disease;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6"/>
              </w:rPr>
              <w:t>•  Where a physician diagnoses a significant change in the patient’s symptoms or conditions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which would necessitate changes in the patient’s self-management;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Where reeducation or refresher education is necessary.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7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320" w:top="518" w:right="239" w:bottom="1440" w:gutter="0" w:footer="0" w:header="0"/>
        </w:sectPr>
      </w:pPr>
    </w:p>
    <w:bookmarkStart w:id="155" w:name="page156"/>
    <w:bookmarkEnd w:id="155"/>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Diabetic Self-</w:t>
            </w:r>
          </w:p>
        </w:tc>
        <w:tc>
          <w:tcPr>
            <w:tcW w:w="7500" w:type="dxa"/>
            <w:vAlign w:val="bottom"/>
          </w:tcPr>
          <w:p>
            <w:pPr>
              <w:ind w:left="100"/>
              <w:spacing w:after="0"/>
              <w:rPr>
                <w:sz w:val="20"/>
                <w:szCs w:val="20"/>
                <w:color w:val="auto"/>
              </w:rPr>
            </w:pPr>
            <w:r>
              <w:rPr>
                <w:rFonts w:ascii="Arial" w:cs="Arial" w:eastAsia="Arial" w:hAnsi="Arial"/>
                <w:sz w:val="18"/>
                <w:szCs w:val="18"/>
                <w:color w:val="auto"/>
              </w:rPr>
              <w:t>Self-management education may be provided by:</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Management</w:t>
            </w: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w w:val="97"/>
              </w:rPr>
              <w:t>•  The physician or other licensed health care provider legally authorized to prescribe under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75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applicable licensing laws;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Their staff, as part of an office visit for diabetes diagnosis or treatment;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A certified diabetes nurse educator, certified nutritionist, certified dietitian or registered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w w:val="93"/>
              </w:rPr>
              <w:t>dietitian upon physician referral or other licensed health care provider legally authorized to</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prescribe under applicable licensing laws.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Education provided by a certified diabetes nurse educator, certified nutritionist, certified dietitian 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registered dietitian may be limited to group settings wherever practicable.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1"/>
              </w:rPr>
              <w:t>Coverage for self-management education and education relating to diet shall also include home visits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when medically necessary.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Ohio</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Coordination of</w:t>
            </w:r>
          </w:p>
        </w:tc>
        <w:tc>
          <w:tcPr>
            <w:tcW w:w="7500" w:type="dxa"/>
            <w:vAlign w:val="bottom"/>
          </w:tcPr>
          <w:p>
            <w:pPr>
              <w:ind w:left="100"/>
              <w:spacing w:after="0"/>
              <w:rPr>
                <w:sz w:val="20"/>
                <w:szCs w:val="20"/>
                <w:color w:val="auto"/>
              </w:rPr>
            </w:pPr>
            <w:r>
              <w:rPr>
                <w:rFonts w:ascii="Arial" w:cs="Arial" w:eastAsia="Arial" w:hAnsi="Arial"/>
                <w:sz w:val="18"/>
                <w:szCs w:val="18"/>
                <w:color w:val="auto"/>
              </w:rPr>
              <w:t>Coordination of Benefits is 100% allowable. Maintenance of Benefits is prohibited.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South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Coordination</w:t>
            </w:r>
          </w:p>
        </w:tc>
        <w:tc>
          <w:tcPr>
            <w:tcW w:w="7500" w:type="dxa"/>
            <w:vAlign w:val="bottom"/>
          </w:tcPr>
          <w:p>
            <w:pPr>
              <w:ind w:left="100"/>
              <w:spacing w:after="0"/>
              <w:rPr>
                <w:sz w:val="20"/>
                <w:szCs w:val="20"/>
                <w:color w:val="auto"/>
              </w:rPr>
            </w:pPr>
            <w:r>
              <w:rPr>
                <w:rFonts w:ascii="Arial" w:cs="Arial" w:eastAsia="Arial" w:hAnsi="Arial"/>
                <w:sz w:val="18"/>
                <w:szCs w:val="18"/>
                <w:color w:val="auto"/>
              </w:rPr>
              <w:t>Coordination of benefits with no-fault insurance is prohibited in South</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Carolina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Benefits Pap</w:t>
            </w:r>
          </w:p>
        </w:tc>
        <w:tc>
          <w:tcPr>
            <w:tcW w:w="7500" w:type="dxa"/>
            <w:vAlign w:val="bottom"/>
          </w:tcPr>
          <w:p>
            <w:pPr>
              <w:ind w:left="100"/>
              <w:spacing w:after="0"/>
              <w:rPr>
                <w:sz w:val="20"/>
                <w:szCs w:val="20"/>
                <w:color w:val="auto"/>
              </w:rPr>
            </w:pPr>
            <w:r>
              <w:rPr>
                <w:rFonts w:ascii="Arial" w:cs="Arial" w:eastAsia="Arial" w:hAnsi="Arial"/>
                <w:sz w:val="18"/>
                <w:szCs w:val="18"/>
                <w:color w:val="auto"/>
              </w:rPr>
              <w:t>Carolina.</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Smears</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There is no frequency or age limitation on pap smears.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75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Texas</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Loss or Impairment of</w:t>
            </w:r>
          </w:p>
        </w:tc>
        <w:tc>
          <w:tcPr>
            <w:tcW w:w="7500" w:type="dxa"/>
            <w:vAlign w:val="bottom"/>
          </w:tcPr>
          <w:p>
            <w:pPr>
              <w:ind w:left="100"/>
              <w:spacing w:after="0"/>
              <w:rPr>
                <w:sz w:val="20"/>
                <w:szCs w:val="20"/>
                <w:color w:val="auto"/>
              </w:rPr>
            </w:pPr>
            <w:r>
              <w:rPr>
                <w:rFonts w:ascii="Arial" w:cs="Arial" w:eastAsia="Arial" w:hAnsi="Arial"/>
                <w:sz w:val="18"/>
                <w:szCs w:val="18"/>
                <w:color w:val="auto"/>
                <w:w w:val="97"/>
              </w:rPr>
              <w:t>This plan pays for charges for the diagnosis or non-surgical treatment by a Physician for loss or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Speech or Hearing</w:t>
            </w:r>
          </w:p>
        </w:tc>
        <w:tc>
          <w:tcPr>
            <w:tcW w:w="7500" w:type="dxa"/>
            <w:vAlign w:val="bottom"/>
          </w:tcPr>
          <w:p>
            <w:pPr>
              <w:ind w:left="100"/>
              <w:spacing w:after="0"/>
              <w:rPr>
                <w:sz w:val="20"/>
                <w:szCs w:val="20"/>
                <w:color w:val="auto"/>
              </w:rPr>
            </w:pPr>
            <w:r>
              <w:rPr>
                <w:rFonts w:ascii="Arial" w:cs="Arial" w:eastAsia="Arial" w:hAnsi="Arial"/>
                <w:sz w:val="18"/>
                <w:szCs w:val="18"/>
                <w:color w:val="auto"/>
              </w:rPr>
              <w:t>impairment of speech or hearing; but only if the charge is made for: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Expenses</w:t>
            </w: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w w:val="94"/>
              </w:rPr>
              <w:t>•  Diagnostic services rendered to find out if and to what extent the person’s ability to speak or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75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hear is lost or impaired; or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4"/>
              </w:rPr>
              <w:t>•  Rehabilitative services rendered that are expected to restore or improve a person’s ability to</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speak.</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Not covered are charges for: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2"/>
              </w:rPr>
              <w:t>•  Diagnostic or rehabilitative services rendered before the person becomes eligible for coverage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or after termination of coverage;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Hearing aids, hearing aid evaluation tests and hearing aid batteries;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Hearing exams required as a condition of employment;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2"/>
              </w:rPr>
              <w:t>•  Special education for a person whose ability to speak or hear is lost or impaired. This includes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lessons in sign language.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Outpatient</w:t>
            </w: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Outpatient Alcoholism and Drug Abuse Coverage—no limits on the number of visits or the number of</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vMerge w:val="continue"/>
          </w:tcPr>
          <w:p>
            <w:pPr>
              <w:spacing w:after="0"/>
              <w:rPr>
                <w:sz w:val="16"/>
                <w:szCs w:val="16"/>
                <w:color w:val="auto"/>
              </w:rPr>
            </w:pPr>
          </w:p>
        </w:tc>
        <w:tc>
          <w:tcPr>
            <w:tcW w:w="7500" w:type="dxa"/>
            <w:vAlign w:val="bottom"/>
          </w:tcPr>
          <w:p>
            <w:pPr>
              <w:ind w:left="100"/>
              <w:spacing w:after="0" w:line="189" w:lineRule="exact"/>
              <w:rPr>
                <w:sz w:val="20"/>
                <w:szCs w:val="20"/>
                <w:color w:val="auto"/>
              </w:rPr>
            </w:pPr>
            <w:r>
              <w:rPr>
                <w:rFonts w:ascii="Arial" w:cs="Arial" w:eastAsia="Arial" w:hAnsi="Arial"/>
                <w:sz w:val="18"/>
                <w:szCs w:val="18"/>
                <w:color w:val="auto"/>
              </w:rPr>
              <w:t>counseling sessions.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Alcoholism and Drug</w:t>
            </w:r>
          </w:p>
        </w:tc>
        <w:tc>
          <w:tcPr>
            <w:tcW w:w="7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Abuse</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82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Conversion of</w:t>
            </w: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Conversion of Health Expense Coverage or Extension of Benefits requirements may differ in some</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Health Expense</w:t>
            </w:r>
          </w:p>
        </w:tc>
        <w:tc>
          <w:tcPr>
            <w:tcW w:w="7500" w:type="dxa"/>
            <w:vAlign w:val="bottom"/>
          </w:tcPr>
          <w:p>
            <w:pPr>
              <w:ind w:left="100"/>
              <w:spacing w:after="0"/>
              <w:rPr>
                <w:sz w:val="20"/>
                <w:szCs w:val="20"/>
                <w:color w:val="auto"/>
              </w:rPr>
            </w:pPr>
            <w:r>
              <w:rPr>
                <w:rFonts w:ascii="Arial" w:cs="Arial" w:eastAsia="Arial" w:hAnsi="Arial"/>
                <w:sz w:val="18"/>
                <w:szCs w:val="18"/>
                <w:color w:val="auto"/>
              </w:rPr>
              <w:t>respects from the provisions of the Plan. In no event will the terms or conditions under which</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Coverage</w:t>
            </w:r>
          </w:p>
        </w:tc>
        <w:tc>
          <w:tcPr>
            <w:tcW w:w="7500" w:type="dxa"/>
            <w:vAlign w:val="bottom"/>
          </w:tcPr>
          <w:p>
            <w:pPr>
              <w:ind w:left="100"/>
              <w:spacing w:after="0"/>
              <w:rPr>
                <w:sz w:val="20"/>
                <w:szCs w:val="20"/>
                <w:color w:val="auto"/>
              </w:rPr>
            </w:pPr>
            <w:r>
              <w:rPr>
                <w:rFonts w:ascii="Arial" w:cs="Arial" w:eastAsia="Arial" w:hAnsi="Arial"/>
                <w:sz w:val="18"/>
                <w:szCs w:val="18"/>
                <w:color w:val="auto"/>
                <w:w w:val="93"/>
              </w:rPr>
              <w:t>conversion coverage may be continued be less favorable to you or your dependents than the terms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and conditions stated on page 45 of this document. Contact your HR Representative for additional</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320" w:top="518" w:right="239" w:bottom="1440" w:gutter="0" w:footer="0" w:header="0"/>
        </w:sectPr>
      </w:pPr>
    </w:p>
    <w:bookmarkStart w:id="156" w:name="page157"/>
    <w:bookmarkEnd w:id="156"/>
    <w:tbl>
      <w:tblPr>
        <w:tblLayout w:type="fixed"/>
        <w:tblInd w:w="10" w:type="dxa"/>
        <w:tblCellMar>
          <w:top w:w="0" w:type="dxa"/>
          <w:left w:w="0" w:type="dxa"/>
          <w:bottom w:w="0" w:type="dxa"/>
          <w:right w:w="0" w:type="dxa"/>
        </w:tblCellMar>
      </w:tblPr>
      <w:tr>
        <w:trPr>
          <w:trHeight w:val="264"/>
        </w:trPr>
        <w:tc>
          <w:tcPr>
            <w:tcW w:w="1820" w:type="dxa"/>
            <w:vAlign w:val="bottom"/>
            <w:tcBorders>
              <w:left w:val="single" w:sz="8" w:color="auto"/>
              <w:bottom w:val="single" w:sz="8" w:color="auto"/>
              <w:right w:val="single" w:sz="8" w:color="auto"/>
            </w:tcBorders>
            <w:shd w:val="clear" w:color="auto" w:fill="000000"/>
          </w:tcPr>
          <w:p>
            <w:pPr>
              <w:ind w:left="420"/>
              <w:spacing w:after="0"/>
              <w:rPr>
                <w:sz w:val="20"/>
                <w:szCs w:val="20"/>
                <w:color w:val="auto"/>
              </w:rPr>
            </w:pPr>
            <w:r>
              <w:rPr>
                <w:rFonts w:ascii="Arial" w:cs="Arial" w:eastAsia="Arial" w:hAnsi="Arial"/>
                <w:sz w:val="18"/>
                <w:szCs w:val="18"/>
                <w:b w:val="1"/>
                <w:bCs w:val="1"/>
                <w:color w:val="FFFFFF"/>
              </w:rPr>
              <w:t>State</w:t>
            </w:r>
          </w:p>
        </w:tc>
        <w:tc>
          <w:tcPr>
            <w:tcW w:w="1760" w:type="dxa"/>
            <w:vAlign w:val="bottom"/>
            <w:tcBorders>
              <w:bottom w:val="single" w:sz="8" w:color="auto"/>
              <w:right w:val="single" w:sz="8" w:color="auto"/>
            </w:tcBorders>
            <w:shd w:val="clear" w:color="auto" w:fill="000000"/>
          </w:tcPr>
          <w:p>
            <w:pPr>
              <w:ind w:left="400"/>
              <w:spacing w:after="0"/>
              <w:rPr>
                <w:sz w:val="20"/>
                <w:szCs w:val="20"/>
                <w:color w:val="auto"/>
              </w:rPr>
            </w:pPr>
            <w:r>
              <w:rPr>
                <w:rFonts w:ascii="Arial" w:cs="Arial" w:eastAsia="Arial" w:hAnsi="Arial"/>
                <w:sz w:val="18"/>
                <w:szCs w:val="18"/>
                <w:b w:val="1"/>
                <w:bCs w:val="1"/>
                <w:color w:val="FFFFFF"/>
              </w:rPr>
              <w:t>Benefit</w:t>
            </w:r>
          </w:p>
        </w:tc>
        <w:tc>
          <w:tcPr>
            <w:tcW w:w="7500" w:type="dxa"/>
            <w:vAlign w:val="bottom"/>
            <w:tcBorders>
              <w:bottom w:val="single" w:sz="8" w:color="auto"/>
            </w:tcBorders>
            <w:shd w:val="clear" w:color="auto" w:fill="000000"/>
          </w:tcPr>
          <w:p>
            <w:pPr>
              <w:ind w:left="1960"/>
              <w:spacing w:after="0"/>
              <w:rPr>
                <w:sz w:val="20"/>
                <w:szCs w:val="20"/>
                <w:color w:val="auto"/>
              </w:rPr>
            </w:pPr>
            <w:r>
              <w:rPr>
                <w:rFonts w:ascii="Arial" w:cs="Arial" w:eastAsia="Arial" w:hAnsi="Arial"/>
                <w:sz w:val="18"/>
                <w:szCs w:val="18"/>
                <w:b w:val="1"/>
                <w:bCs w:val="1"/>
                <w:color w:val="FFFFFF"/>
              </w:rPr>
              <w:t>State-Mandated Benefit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information.</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Coordination of</w:t>
            </w:r>
          </w:p>
        </w:tc>
        <w:tc>
          <w:tcPr>
            <w:tcW w:w="7500" w:type="dxa"/>
            <w:vAlign w:val="bottom"/>
          </w:tcPr>
          <w:p>
            <w:pPr>
              <w:ind w:left="100"/>
              <w:spacing w:after="0"/>
              <w:rPr>
                <w:sz w:val="20"/>
                <w:szCs w:val="20"/>
                <w:color w:val="auto"/>
              </w:rPr>
            </w:pPr>
            <w:r>
              <w:rPr>
                <w:rFonts w:ascii="Arial" w:cs="Arial" w:eastAsia="Arial" w:hAnsi="Arial"/>
                <w:sz w:val="18"/>
                <w:szCs w:val="18"/>
                <w:color w:val="auto"/>
              </w:rPr>
              <w:t>Coordination of Benefits is 100% allowable. Maintenance of Benefits is prohibited.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c>
          <w:tcPr>
            <w:tcW w:w="7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Utah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Definition of</w:t>
            </w: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Unmarried children who are under 26 years of age whether or not they are attending school on a</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Dependents</w:t>
            </w:r>
          </w:p>
        </w:tc>
        <w:tc>
          <w:tcPr>
            <w:tcW w:w="7500" w:type="dxa"/>
            <w:vAlign w:val="bottom"/>
          </w:tcPr>
          <w:p>
            <w:pPr>
              <w:ind w:left="100"/>
              <w:spacing w:after="0"/>
              <w:rPr>
                <w:sz w:val="20"/>
                <w:szCs w:val="20"/>
                <w:color w:val="auto"/>
              </w:rPr>
            </w:pPr>
            <w:r>
              <w:rPr>
                <w:rFonts w:ascii="Arial" w:cs="Arial" w:eastAsia="Arial" w:hAnsi="Arial"/>
                <w:sz w:val="18"/>
                <w:szCs w:val="18"/>
                <w:color w:val="auto"/>
              </w:rPr>
              <w:t>regular basis are covered.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Virginia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Occupational</w:t>
            </w:r>
          </w:p>
        </w:tc>
        <w:tc>
          <w:tcPr>
            <w:tcW w:w="7500" w:type="dxa"/>
            <w:vAlign w:val="bottom"/>
          </w:tcPr>
          <w:p>
            <w:pPr>
              <w:ind w:left="100"/>
              <w:spacing w:after="0"/>
              <w:rPr>
                <w:sz w:val="20"/>
                <w:szCs w:val="20"/>
                <w:color w:val="auto"/>
              </w:rPr>
            </w:pPr>
            <w:r>
              <w:rPr>
                <w:rFonts w:ascii="Arial" w:cs="Arial" w:eastAsia="Arial" w:hAnsi="Arial"/>
                <w:sz w:val="18"/>
                <w:szCs w:val="18"/>
                <w:color w:val="auto"/>
              </w:rPr>
              <w:t>Health expense coverage will be available for a disease or injury that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Disease or Injury</w:t>
            </w:r>
          </w:p>
        </w:tc>
        <w:tc>
          <w:tcPr>
            <w:tcW w:w="7500" w:type="dxa"/>
            <w:vAlign w:val="bottom"/>
          </w:tcPr>
          <w:p>
            <w:pPr>
              <w:ind w:left="100"/>
              <w:spacing w:after="0"/>
              <w:rPr>
                <w:sz w:val="20"/>
                <w:szCs w:val="20"/>
                <w:color w:val="auto"/>
              </w:rPr>
            </w:pPr>
            <w:r>
              <w:rPr>
                <w:rFonts w:ascii="Arial" w:cs="Arial" w:eastAsia="Arial" w:hAnsi="Arial"/>
                <w:sz w:val="18"/>
                <w:szCs w:val="18"/>
                <w:color w:val="auto"/>
              </w:rPr>
              <w:t>arises out of, or in the course of, work for pay or profit, but only if:</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6"/>
              </w:rPr>
              <w:t>•  The Worker’s Compensation Commission denies benefits for the disease or injury and the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person does not request a review of the denial within 20 days; or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5"/>
              </w:rPr>
              <w:t>•  The Worker’s Compensation Commission has, after review of an award, denied benefits for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the disease or injury.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Washington</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Neuro-</w:t>
            </w:r>
          </w:p>
        </w:tc>
        <w:tc>
          <w:tcPr>
            <w:tcW w:w="7500" w:type="dxa"/>
            <w:vAlign w:val="bottom"/>
          </w:tcPr>
          <w:p>
            <w:pPr>
              <w:ind w:left="100"/>
              <w:spacing w:after="0"/>
              <w:rPr>
                <w:sz w:val="20"/>
                <w:szCs w:val="20"/>
                <w:color w:val="auto"/>
              </w:rPr>
            </w:pPr>
            <w:r>
              <w:rPr>
                <w:rFonts w:ascii="Arial" w:cs="Arial" w:eastAsia="Arial" w:hAnsi="Arial"/>
                <w:sz w:val="18"/>
                <w:szCs w:val="18"/>
                <w:color w:val="auto"/>
              </w:rPr>
              <w:t>Benefits are payable same as any other disability.</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developmental</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Neurodevelopmental Therapy Expenses: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Therapy</w:t>
            </w:r>
          </w:p>
        </w:tc>
        <w:tc>
          <w:tcPr>
            <w:tcW w:w="75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w w:val="92"/>
              </w:rPr>
              <w:t>•  The charges made for the services of a Physician for rendering Neurodevelopmental Therapy</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75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Services are included as covered medical expenses.</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6"/>
              </w:rPr>
              <w:t>Neurodevelopmental Therapy Services means speech therapy, physical therapy or occupational</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therapy given to:</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Restore or improve a speech or body function; 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Develop a speech or body function delayed by a neurological disease; 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5"/>
              </w:rPr>
              <w:t>•  Maintain a speech or body function if, without therapy, a neurological disease would cause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significant deterioration in the person’s condition.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Not included are charges for: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w w:val="91"/>
              </w:rPr>
              <w:t>•  Any services unless they are prescribed by a Physician in accordance with a specific treatment</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w w:val="98"/>
              </w:rPr>
              <w:t>plan which details the treatment to be rendered and the frequency and duration of the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treatment and provides for on-going reviews and is renewed only if therapy is still</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760"/>
              <w:spacing w:after="0"/>
              <w:rPr>
                <w:sz w:val="20"/>
                <w:szCs w:val="20"/>
                <w:color w:val="auto"/>
              </w:rPr>
            </w:pPr>
            <w:r>
              <w:rPr>
                <w:rFonts w:ascii="Arial" w:cs="Arial" w:eastAsia="Arial" w:hAnsi="Arial"/>
                <w:sz w:val="18"/>
                <w:szCs w:val="18"/>
                <w:color w:val="auto"/>
              </w:rPr>
              <w:t>Necessary.</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Services rendered by a person who resides with you or who is part of your family.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Home Health Care</w:t>
            </w:r>
          </w:p>
        </w:tc>
        <w:tc>
          <w:tcPr>
            <w:tcW w:w="7500" w:type="dxa"/>
            <w:vAlign w:val="bottom"/>
          </w:tcPr>
          <w:p>
            <w:pPr>
              <w:ind w:left="100"/>
              <w:spacing w:after="0"/>
              <w:rPr>
                <w:sz w:val="20"/>
                <w:szCs w:val="20"/>
                <w:color w:val="auto"/>
              </w:rPr>
            </w:pPr>
            <w:r>
              <w:rPr>
                <w:rFonts w:ascii="Arial" w:cs="Arial" w:eastAsia="Arial" w:hAnsi="Arial"/>
                <w:sz w:val="18"/>
                <w:szCs w:val="18"/>
                <w:color w:val="auto"/>
                <w:w w:val="97"/>
              </w:rPr>
              <w:t>Coverage includes an alternative care provider including: an Alzheimer’s center, an adult family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2"/>
              </w:rPr>
              <w:t>home, an assisted living facility, a congregate care facility, or a similar alternative care arrangement;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and that care is given under a home health care plan.</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 Maximums</w:t>
            </w:r>
          </w:p>
        </w:tc>
        <w:tc>
          <w:tcPr>
            <w:tcW w:w="7500" w:type="dxa"/>
            <w:vAlign w:val="bottom"/>
          </w:tcPr>
          <w:p>
            <w:pPr>
              <w:ind w:left="100"/>
              <w:spacing w:after="0"/>
              <w:rPr>
                <w:sz w:val="20"/>
                <w:szCs w:val="20"/>
                <w:color w:val="auto"/>
              </w:rPr>
            </w:pPr>
            <w:r>
              <w:rPr>
                <w:rFonts w:ascii="Arial" w:cs="Arial" w:eastAsia="Arial" w:hAnsi="Arial"/>
                <w:sz w:val="18"/>
                <w:szCs w:val="18"/>
                <w:color w:val="auto"/>
              </w:rPr>
              <w:t>There are no maximum number of days or visits for Home Health Care and Hospice Care.</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There is no age or frequency limitation for mammograms.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320" w:top="518"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WHAT THE DENTAL PLAN PAYS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783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0">
                      <a:extLst>
                        <a:ext uri="{28A0092B-C50C-407E-A947-70E740481C1C}"/>
                      </a:extLst>
                    </a:blip>
                    <a:srcRect/>
                    <a:stretch>
                      <a:fillRect/>
                    </a:stretch>
                  </pic:blipFill>
                  <pic:spPr bwMode="auto">
                    <a:xfrm>
                      <a:off x="0" y="0"/>
                      <a:ext cx="1878330" cy="128905"/>
                    </a:xfrm>
                    <a:prstGeom prst="rect">
                      <a:avLst/>
                    </a:prstGeom>
                    <a:noFill/>
                  </pic:spPr>
                </pic:pic>
              </a:graphicData>
            </a:graphic>
          </wp:anchor>
        </w:drawing>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Dental Plan pays benefits for charges for dental services and supplies incurred for treatment of a dental disease or injury. The plan pays 100% for Preventive, Basic and Major Services up to the calendar year maximum benefit of $1,500 per individual.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Calendar Year Maximum Benefit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Dental Plan has a calendar year maximum benefit of $1,500 per covered person. This is the most that is payable for all dental expenses incurred by a person in a calendar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THE DENTAL PLAN COVERS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07518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1">
                      <a:extLst>
                        <a:ext uri="{28A0092B-C50C-407E-A947-70E740481C1C}"/>
                      </a:extLst>
                    </a:blip>
                    <a:srcRect/>
                    <a:stretch>
                      <a:fillRect/>
                    </a:stretch>
                  </pic:blipFill>
                  <pic:spPr bwMode="auto">
                    <a:xfrm>
                      <a:off x="0" y="0"/>
                      <a:ext cx="2075180" cy="128905"/>
                    </a:xfrm>
                    <a:prstGeom prst="rect">
                      <a:avLst/>
                    </a:prstGeom>
                    <a:noFill/>
                  </pic:spPr>
                </pic:pic>
              </a:graphicData>
            </a:graphic>
          </wp:anchor>
        </w:drawing>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section of the booklet explains the covered dental expenses. Refer to the “Plan-At-A-Glance” or “How the Plan Works” sections for details on the level of dental benefits payable.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 be eligible for coverage under the Dental Plan, services and supplies must be considered Necessary and not Experimental or Investigational. (See “Glossary” and “What the Dental Plan Does Not Cover” for definitions of these terms.) All other applicable Dental Plan provisions and exclusions apply.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Preventive Services</w:t>
      </w:r>
    </w:p>
    <w:p>
      <w:pPr>
        <w:spacing w:after="0" w:line="229" w:lineRule="exact"/>
        <w:rPr>
          <w:sz w:val="20"/>
          <w:szCs w:val="20"/>
          <w:color w:val="auto"/>
        </w:rPr>
      </w:pPr>
    </w:p>
    <w:p>
      <w:pPr>
        <w:ind w:left="660" w:hanging="32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Oral exams once every 6 months, including prophylaxis, scaling and cleaning of teeth;</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Topical application of sodium or stannous fluoride for persons under 19 years of age;</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X-rays for diagnosis, also other X-rays not to exceed one full mouth series in a 36 month period and one set of bitewings in a 6 month period;</w:t>
      </w:r>
    </w:p>
    <w:p>
      <w:pPr>
        <w:spacing w:after="0" w:line="236" w:lineRule="exact"/>
        <w:rPr>
          <w:rFonts w:ascii="Arial" w:cs="Arial" w:eastAsia="Arial" w:hAnsi="Arial"/>
          <w:sz w:val="17"/>
          <w:szCs w:val="17"/>
          <w:color w:val="auto"/>
        </w:rPr>
      </w:pPr>
    </w:p>
    <w:p>
      <w:pPr>
        <w:ind w:left="660" w:hanging="32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First installation of a space maintainer to replace any baby tooth which is lost prematurely;</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Sealants for dependent children under 14 years of 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Oral surgery;</w:t>
      </w:r>
    </w:p>
    <w:p>
      <w:pPr>
        <w:spacing w:after="0" w:line="225" w:lineRule="exact"/>
        <w:rPr>
          <w:sz w:val="20"/>
          <w:szCs w:val="20"/>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Surgical and non-surgical extractions;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Fillings;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anesthetics given in connection with covered dental services;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Surgical and non-surgical treatment of diseased periodontal structures;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Surgical and non-surgical endodontic treatment, including root canal therapy;</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Injection of antibiotic drugs;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Repair or recementing of crowns, inlays, bridgework or dentures;</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Relining and rebasing of dentures (one per 36 month period);</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360" w:top="432" w:right="239" w:bottom="1440" w:gutter="0" w:footer="0" w:header="0"/>
        </w:sectPr>
      </w:pPr>
    </w:p>
    <w:bookmarkStart w:id="158" w:name="page159"/>
    <w:bookmarkEnd w:id="158"/>
    <w:p>
      <w:pPr>
        <w:ind w:left="660" w:hanging="327"/>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installation of removable dentures to replace one or more natural teeth extracted while the person is covered. This includes adjustments for the 6 month period following the date they were installed;</w:t>
      </w:r>
    </w:p>
    <w:p>
      <w:pPr>
        <w:spacing w:after="0" w:line="170" w:lineRule="exact"/>
        <w:rPr>
          <w:rFonts w:ascii="Arial" w:cs="Arial" w:eastAsia="Arial" w:hAnsi="Arial"/>
          <w:sz w:val="18"/>
          <w:szCs w:val="18"/>
          <w:color w:val="auto"/>
        </w:rPr>
      </w:pPr>
    </w:p>
    <w:p>
      <w:pPr>
        <w:ind w:left="660" w:right="220" w:hanging="327"/>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Replacement of an existing removable denture or fixed bridgework by new fixed bridgework, or the adding of teeth to existing fixed bridgework. The “Prosthesis Replacement Rule” (see below) must be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Services</w:t>
      </w:r>
    </w:p>
    <w:p>
      <w:pPr>
        <w:spacing w:after="0" w:line="229" w:lineRule="exact"/>
        <w:rPr>
          <w:sz w:val="20"/>
          <w:szCs w:val="20"/>
          <w:color w:val="auto"/>
        </w:rPr>
      </w:pPr>
    </w:p>
    <w:p>
      <w:pPr>
        <w:ind w:left="660" w:hanging="327"/>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Inlays, gold fillings, or crowns; this includes precision attachments for dentures;</w:t>
      </w:r>
    </w:p>
    <w:p>
      <w:pPr>
        <w:spacing w:after="0" w:line="225" w:lineRule="exact"/>
        <w:rPr>
          <w:rFonts w:ascii="Arial" w:cs="Arial" w:eastAsia="Arial" w:hAnsi="Arial"/>
          <w:sz w:val="18"/>
          <w:szCs w:val="18"/>
          <w:color w:val="auto"/>
        </w:rPr>
      </w:pPr>
    </w:p>
    <w:p>
      <w:pPr>
        <w:ind w:left="660" w:right="400" w:hanging="327"/>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First installation of fixed bridgework to replace one or more natural teeth extracted while the person is covered, including inlays and crowns as abutments;</w:t>
      </w:r>
    </w:p>
    <w:p>
      <w:pPr>
        <w:spacing w:after="0" w:line="183" w:lineRule="exact"/>
        <w:rPr>
          <w:rFonts w:ascii="Arial" w:cs="Arial" w:eastAsia="Arial" w:hAnsi="Arial"/>
          <w:sz w:val="18"/>
          <w:szCs w:val="18"/>
          <w:color w:val="auto"/>
        </w:rPr>
      </w:pPr>
    </w:p>
    <w:p>
      <w:pPr>
        <w:ind w:left="660" w:right="420" w:hanging="327"/>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Replacement of an existing removable denture or fixed bridgework by a new denture, or the adding of teeth to a partial removable denture; the “Prosthesis Replacement Rule” must be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Claim Review</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Aetna recommends that before starting a course of treatment for which Dentists’ charges are expected to be $150 or more, details of the proposed course of treatment and charges to be made be filed with Aetna. Aetna will then estimate the benefits. You and the Dentist will be told what they are before treatment starts.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Some services may be given before Advance Claim Review is made. These are oral exams, including prophylaxis and X-rays and treatment of any traumatic injury or condition which occurs unexpectedly, requires immediate diagnosis and treatment, and is characterized by symptoms such as severe pain and bleeding.</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course of treatment is a planned program of one or more services or supplies to treat a dental condition. The condition must be diagnosed by the attending Dentist as a result of an oral exam. The treatment may be given by one or more Dentists. The course of treatment starts on the date a Dentist first gives a service to correct or treat such dental condition.</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Note: </w:t>
      </w:r>
      <w:r>
        <w:rPr>
          <w:rFonts w:ascii="Arial" w:cs="Arial" w:eastAsia="Arial" w:hAnsi="Arial"/>
          <w:sz w:val="17"/>
          <w:szCs w:val="17"/>
          <w:color w:val="auto"/>
        </w:rPr>
        <w:t>As part of Advance Claim Review and as part of proof of any claim, Aetna has the right to require an oral exam of the person at its own expense. You</w:t>
      </w:r>
      <w:r>
        <w:rPr>
          <w:rFonts w:ascii="Arial" w:cs="Arial" w:eastAsia="Arial" w:hAnsi="Arial"/>
          <w:sz w:val="17"/>
          <w:szCs w:val="17"/>
          <w:i w:val="1"/>
          <w:iCs w:val="1"/>
          <w:color w:val="auto"/>
        </w:rPr>
        <w:t xml:space="preserve"> </w:t>
      </w:r>
      <w:r>
        <w:rPr>
          <w:rFonts w:ascii="Arial" w:cs="Arial" w:eastAsia="Arial" w:hAnsi="Arial"/>
          <w:sz w:val="17"/>
          <w:szCs w:val="17"/>
          <w:color w:val="auto"/>
        </w:rPr>
        <w:t>must give Aetna all diagnostic and evaluative materials which it may require. These include X-rays, models, charts and written reports.</w:t>
      </w:r>
    </w:p>
    <w:p>
      <w:pPr>
        <w:spacing w:after="0" w:line="14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benefits for a course of treatment may be for a lesser amount than would otherwise be paid if Advance Claim Review is not made or if any required verifying materials are not furnished. In this event, benefits will be reduced by the amount of covered dental expenses that Aetna cannot verify.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Prosthesis Replacement Rule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Certain replacements or additions to existing dentures or bridgework will be covered under the Dental Plan. Proof satisfactory to Aetna must be given that:</w:t>
      </w:r>
    </w:p>
    <w:p>
      <w:pPr>
        <w:spacing w:after="0" w:line="248" w:lineRule="exact"/>
        <w:rPr>
          <w:sz w:val="20"/>
          <w:szCs w:val="20"/>
          <w:color w:val="auto"/>
        </w:rPr>
      </w:pPr>
    </w:p>
    <w:p>
      <w:pPr>
        <w:ind w:left="660" w:right="280" w:hanging="327"/>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replacement or addition of teeth is required to replace teeth extracted after the present denture or bridgework was installed. The person must have been covered when the tooth was extracted.</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present denture or bridgework is a least 5 years old and cannot be made serviceable.</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320" w:top="436" w:right="239" w:bottom="1440" w:gutter="0" w:footer="0" w:header="0"/>
        </w:sectPr>
      </w:pPr>
    </w:p>
    <w:bookmarkStart w:id="159" w:name="page160"/>
    <w:bookmarkEnd w:id="159"/>
    <w:p>
      <w:pPr>
        <w:ind w:left="660" w:right="140" w:hanging="326"/>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present denture is an immediate temporary one to replace one or more natural teeth extracted while the person is covered and cannot be made permanent. Replacement</w:t>
      </w:r>
    </w:p>
    <w:p>
      <w:pPr>
        <w:spacing w:after="0" w:line="170" w:lineRule="exact"/>
        <w:rPr>
          <w:rFonts w:ascii="Arial" w:cs="Arial" w:eastAsia="Arial" w:hAnsi="Arial"/>
          <w:sz w:val="18"/>
          <w:szCs w:val="18"/>
          <w:color w:val="auto"/>
        </w:rPr>
      </w:pPr>
    </w:p>
    <w:p>
      <w:pPr>
        <w:ind w:left="660" w:hanging="32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a permanent denture is needed. It takes place within 12 months from the date the immediate temporary one was first installed.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Treatment</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If alternate services or supplies are used to treat a dental condition, covered dental expenses will be limited to those services and supplies which are customarily used nationwide for treatment and are deemed by the profession to be appropriate for treatment. They must meet broadly accepted national standards of dental practice. The person’s total current oral condition will be taken into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When the Alternate Treatment part of this Dental Plan applies, benefits will be limited. Some examples of how this works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Restorative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Gold, Baked Porcelain, Crowns, and Jackets. </w:t>
      </w:r>
      <w:r>
        <w:rPr>
          <w:rFonts w:ascii="Arial" w:cs="Arial" w:eastAsia="Arial" w:hAnsi="Arial"/>
          <w:sz w:val="18"/>
          <w:szCs w:val="18"/>
          <w:color w:val="auto"/>
        </w:rPr>
        <w:t>Covered dental expenses will be limited to the charges for the procedure using amalgam or like material, if it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restore a tooth. This limit applies even if you and the Dentist choose some other type of restoration.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Reconstruction. </w:t>
      </w:r>
      <w:r>
        <w:rPr>
          <w:rFonts w:ascii="Arial" w:cs="Arial" w:eastAsia="Arial" w:hAnsi="Arial"/>
          <w:sz w:val="17"/>
          <w:szCs w:val="17"/>
          <w:color w:val="auto"/>
        </w:rPr>
        <w:t>Covered dental expenses will be limited to the charges for the procedure needed to eliminate oral disease and replace missing teeth.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Appliances or restorations needed to increase vertical dimension or restore the occlusion are deemed to be optional and are not covered.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Prosthodontics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Partial dentures. </w:t>
      </w:r>
      <w:r>
        <w:rPr>
          <w:rFonts w:ascii="Arial" w:cs="Arial" w:eastAsia="Arial" w:hAnsi="Arial"/>
          <w:sz w:val="18"/>
          <w:szCs w:val="18"/>
          <w:color w:val="auto"/>
        </w:rPr>
        <w:t>Covered dental expenses will be limited to the charges for a cast chrome or acrylic denture if this would satisfactorily restore an arch. This</w:t>
      </w:r>
      <w:r>
        <w:rPr>
          <w:rFonts w:ascii="Arial" w:cs="Arial" w:eastAsia="Arial" w:hAnsi="Arial"/>
          <w:sz w:val="18"/>
          <w:szCs w:val="18"/>
          <w:i w:val="1"/>
          <w:iCs w:val="1"/>
          <w:color w:val="auto"/>
        </w:rPr>
        <w:t xml:space="preserve"> </w:t>
      </w:r>
      <w:r>
        <w:rPr>
          <w:rFonts w:ascii="Arial" w:cs="Arial" w:eastAsia="Arial" w:hAnsi="Arial"/>
          <w:sz w:val="18"/>
          <w:szCs w:val="18"/>
          <w:color w:val="auto"/>
        </w:rPr>
        <w:t>limit applies even if you and the Dentist choose a more elaborate or precision appliance.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Complete dentures. </w:t>
      </w:r>
      <w:r>
        <w:rPr>
          <w:rFonts w:ascii="Arial" w:cs="Arial" w:eastAsia="Arial" w:hAnsi="Arial"/>
          <w:sz w:val="18"/>
          <w:szCs w:val="18"/>
          <w:color w:val="auto"/>
        </w:rPr>
        <w:t>Covered dental expenses will be limited to the charges for a standard procedure. This limit applies even if you and the Dentist choose</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personalized or specialized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Replacement of existing dentures</w:t>
      </w:r>
      <w:r>
        <w:rPr>
          <w:rFonts w:ascii="Arial" w:cs="Arial" w:eastAsia="Arial" w:hAnsi="Arial"/>
          <w:sz w:val="18"/>
          <w:szCs w:val="18"/>
          <w:color w:val="auto"/>
        </w:rPr>
        <w:t>. This will be covered only if the existing denture cannot be used or repaired. If it can be used or repaired, covered dental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be limited to the charges for the services needed to make the denture usable.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THE DENTAL PLAN DOES NOT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63271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a:extLst>
                        <a:ext uri="{28A0092B-C50C-407E-A947-70E740481C1C}"/>
                      </a:extLst>
                    </a:blip>
                    <a:srcRect/>
                    <a:stretch>
                      <a:fillRect/>
                    </a:stretch>
                  </pic:blipFill>
                  <pic:spPr bwMode="auto">
                    <a:xfrm>
                      <a:off x="0" y="0"/>
                      <a:ext cx="2632710" cy="128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expenses are not covered:</w:t>
      </w:r>
    </w:p>
    <w:p>
      <w:pPr>
        <w:spacing w:after="0" w:line="239" w:lineRule="exact"/>
        <w:rPr>
          <w:sz w:val="20"/>
          <w:szCs w:val="20"/>
          <w:color w:val="auto"/>
        </w:rPr>
      </w:pPr>
    </w:p>
    <w:p>
      <w:pPr>
        <w:ind w:left="660" w:right="60" w:hanging="326"/>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Care, treatment, services, or supplies that are not prescribed, recommended, or approved by the person’s attending Physician or Dentist. However, the Plan will cover some treatments by a licensed dental hygienist that are supervised by a Dentist. These are scaling of teeth, cleaning of teeth and topical application of fluoride.</w:t>
      </w:r>
    </w:p>
    <w:p>
      <w:pPr>
        <w:spacing w:after="0" w:line="181" w:lineRule="exact"/>
        <w:rPr>
          <w:rFonts w:ascii="Arial" w:cs="Arial" w:eastAsia="Arial" w:hAnsi="Arial"/>
          <w:sz w:val="18"/>
          <w:szCs w:val="18"/>
          <w:color w:val="auto"/>
        </w:rPr>
      </w:pPr>
    </w:p>
    <w:p>
      <w:pPr>
        <w:ind w:left="660" w:hanging="32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replacement of a prosthetic device that is lost, missing or stolen.</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services or supplies which are for orthodontic treatment.</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Services or supplies to increase vertical dimension. These are dentures, crowns, inlays and onlays, bridgework or any other appliance or service.</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360" w:top="436" w:right="239" w:bottom="1440" w:gutter="0" w:footer="0" w:header="0"/>
        </w:sectPr>
      </w:pPr>
    </w:p>
    <w:bookmarkStart w:id="160" w:name="page161"/>
    <w:bookmarkEnd w:id="160"/>
    <w:p>
      <w:pPr>
        <w:ind w:left="660" w:hanging="327"/>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drug, a device, a procedure, or treatment will be determined Experimental or Investigational if Aetna determines that:</w:t>
      </w:r>
    </w:p>
    <w:p>
      <w:pPr>
        <w:spacing w:after="0" w:line="225" w:lineRule="exact"/>
        <w:rPr>
          <w:sz w:val="20"/>
          <w:szCs w:val="20"/>
          <w:color w:val="auto"/>
        </w:rPr>
      </w:pPr>
    </w:p>
    <w:p>
      <w:pPr>
        <w:ind w:left="820" w:hanging="487"/>
        <w:spacing w:after="0" w:line="277" w:lineRule="auto"/>
        <w:tabs>
          <w:tab w:leader="none" w:pos="8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are insufficient outcomes data available from controlled clinical trials published in the peer reviewed literature to substantiate its safety and effectiveness for the disease or injury involved; or</w:t>
      </w:r>
    </w:p>
    <w:p>
      <w:pPr>
        <w:spacing w:after="0" w:line="170" w:lineRule="exact"/>
        <w:rPr>
          <w:rFonts w:ascii="Arial" w:cs="Arial" w:eastAsia="Arial" w:hAnsi="Arial"/>
          <w:sz w:val="18"/>
          <w:szCs w:val="18"/>
          <w:color w:val="auto"/>
        </w:rPr>
      </w:pPr>
    </w:p>
    <w:p>
      <w:pPr>
        <w:ind w:left="820" w:hanging="487"/>
        <w:spacing w:after="0"/>
        <w:tabs>
          <w:tab w:leader="none" w:pos="8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required by the FDA, approval has not been granted for marketing; or</w:t>
      </w:r>
    </w:p>
    <w:p>
      <w:pPr>
        <w:spacing w:after="0" w:line="225" w:lineRule="exact"/>
        <w:rPr>
          <w:rFonts w:ascii="Arial" w:cs="Arial" w:eastAsia="Arial" w:hAnsi="Arial"/>
          <w:sz w:val="18"/>
          <w:szCs w:val="18"/>
          <w:color w:val="auto"/>
        </w:rPr>
      </w:pPr>
    </w:p>
    <w:p>
      <w:pPr>
        <w:ind w:left="820" w:right="280" w:hanging="487"/>
        <w:spacing w:after="0" w:line="277" w:lineRule="auto"/>
        <w:tabs>
          <w:tab w:leader="none" w:pos="8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recognized national medical or dental society or regulatory agency has determined, in writing, that it is Experimental, Investigational, or for research purposes; or</w:t>
      </w:r>
    </w:p>
    <w:p>
      <w:pPr>
        <w:spacing w:after="0" w:line="170" w:lineRule="exact"/>
        <w:rPr>
          <w:rFonts w:ascii="Arial" w:cs="Arial" w:eastAsia="Arial" w:hAnsi="Arial"/>
          <w:sz w:val="18"/>
          <w:szCs w:val="18"/>
          <w:color w:val="auto"/>
        </w:rPr>
      </w:pPr>
    </w:p>
    <w:p>
      <w:pPr>
        <w:ind w:left="820" w:right="160" w:hanging="487"/>
        <w:spacing w:after="0" w:line="264" w:lineRule="auto"/>
        <w:tabs>
          <w:tab w:leader="none" w:pos="8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written protocol or protocols used by the treating facility, or the protocol or protocols of any other facility studying substantially the same drug, device, procedure, or treatment, or the written informed consent used by the treating facility or by another facility studying the same drug, device, procedure, or treatment states that it is Experimental, Investigational, or for research purposes.</w:t>
      </w:r>
    </w:p>
    <w:p>
      <w:pPr>
        <w:spacing w:after="0" w:line="181" w:lineRule="exact"/>
        <w:rPr>
          <w:sz w:val="20"/>
          <w:szCs w:val="20"/>
          <w:color w:val="auto"/>
        </w:rPr>
      </w:pPr>
    </w:p>
    <w:p>
      <w:pPr>
        <w:ind w:left="660" w:hanging="327"/>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Those for services of a resident Physician or intern rendered in that capacity.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Those that a covered person is not legally obliged to pay.</w:t>
      </w:r>
    </w:p>
    <w:p>
      <w:pPr>
        <w:spacing w:after="0" w:line="225" w:lineRule="exact"/>
        <w:rPr>
          <w:rFonts w:ascii="Arial" w:cs="Arial" w:eastAsia="Arial" w:hAnsi="Arial"/>
          <w:sz w:val="18"/>
          <w:szCs w:val="18"/>
          <w:color w:val="auto"/>
        </w:rPr>
      </w:pPr>
    </w:p>
    <w:p>
      <w:pPr>
        <w:ind w:left="660" w:right="60" w:hanging="327"/>
        <w:spacing w:after="0" w:line="255"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extent allowed by the law of the jurisdiction where the group contract is delivered, those for services and supplies furnished, paid for, or for which benefits are provided or required by reason of the past or present service of any person in the armed forces of a government; furnished, paid for, or for which benefits are provided or required under any law of a government. (This exclusion will not apply to “no fault” auto insurance if it is required by law; is provided on other than a group basis; and is included in the definition of Other Plans in the section entitled If You or Your Dependents Have Other Coverage excluding Medicare. In addition, this exclusion will not apply to a plan established by government for its own employees or their dependents; or Medicaid.)</w:t>
      </w:r>
    </w:p>
    <w:p>
      <w:pPr>
        <w:spacing w:after="0" w:line="193" w:lineRule="exact"/>
        <w:rPr>
          <w:rFonts w:ascii="Arial" w:cs="Arial" w:eastAsia="Arial" w:hAnsi="Arial"/>
          <w:sz w:val="18"/>
          <w:szCs w:val="18"/>
          <w:color w:val="auto"/>
        </w:rPr>
      </w:pPr>
    </w:p>
    <w:p>
      <w:pPr>
        <w:ind w:left="660" w:right="300" w:hanging="327"/>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Those for plastic surgery, reconstructive surgery, cosmetic surgery, or other services and supplies which improve, alter or enhance appearance, whether or not for psychological or emotional reasons (this includes charges for personalization or characterization of dentures); except to the extent needed to repair an injury. Surgery must be performed in the calendar year of the accident which causes the injury, or in the next calendar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dental expenses covered under the Medical Plan, please see pages 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128651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3">
                      <a:extLst>
                        <a:ext uri="{28A0092B-C50C-407E-A947-70E740481C1C}"/>
                      </a:extLst>
                    </a:blip>
                    <a:srcRect/>
                    <a:stretch>
                      <a:fillRect/>
                    </a:stretch>
                  </pic:blipFill>
                  <pic:spPr bwMode="auto">
                    <a:xfrm>
                      <a:off x="0" y="0"/>
                      <a:ext cx="1286510" cy="1289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Go On an Approved Leave of Absence?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you go on an approved leave of absence, with or without pay, you may be eligible to continue your coverage under the Plan. If you wish to continue coverage during your approved leave of absence, you must make arrangements with your Human Resources Representative to apply for coverage through COBRA. See pages 41 for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Become Totally Disabled and Can No Longer work?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you are unable to work because of injury or sickness, and the firm’s third party administrator has approved your disability claim, coverage may be continued (up to 180 consecutive days) during the period you are totally disabled. Totally disabled means that you are unable to perform your normal work responsibilities. The firm will continue to pay all required premiums for coverage under the Plan.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320" w:top="436" w:right="239" w:bottom="1440" w:gutter="0" w:footer="0" w:header="0"/>
        </w:sectPr>
      </w:pPr>
    </w:p>
    <w:bookmarkStart w:id="161" w:name="page162"/>
    <w:bookmarkEnd w:id="161"/>
    <w:p>
      <w:pPr>
        <w:ind w:right="20"/>
        <w:spacing w:after="0" w:line="264" w:lineRule="auto"/>
        <w:rPr>
          <w:sz w:val="20"/>
          <w:szCs w:val="20"/>
          <w:color w:val="auto"/>
        </w:rPr>
      </w:pPr>
      <w:r>
        <w:rPr>
          <w:rFonts w:ascii="Arial" w:cs="Arial" w:eastAsia="Arial" w:hAnsi="Arial"/>
          <w:sz w:val="18"/>
          <w:szCs w:val="18"/>
          <w:color w:val="auto"/>
        </w:rPr>
        <w:t>After 180 days, if you had elected Long Term Disability Insurance under the firm’s group plan, and your disability has been approved by the carrier, the firm will pay all required premiums for coverage under the Plan as long as the carrier continues to consider you to be totally disabled, and you are under age 65 (under age 65 is contingent on age of covered employee when benefits were first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Take an Unpaid Family and Medical Leave (FML)?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go on an unpaid FML, coverage under the Plan will continue.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Get Married, or Meet the Requirements for Domestic Partnership?</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are eligible for Plan coverage when you get married or meet the requirements of a domestic partnership, your spouse or domestic partner is immediately eligible for Plan coverage. You must contact your HR Representative within 31 days of the event to enroll your spouse or domestic partner in the Plan. If you don’t enroll within this period, you and your spouse or domestic partner can enroll during the next open enrollment. Coverage will become effective on January 1 of the following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Gain/Lose a Dependent?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Notify your local HR Representative right away if your dependent is no longer eligible for Plan coverage. If you gain a dependent, your dependent will be eligible for coverage. You have 31 days to enroll a newly eligible dependent. Newborns are automatically covered for the first 31 days following their birth. If you don’t enroll within this period, you will not be able to enroll the dependent until the next open enrollment period. Coverage will become effective on January 1 of the following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Retire?</w:t>
      </w:r>
    </w:p>
    <w:p>
      <w:pPr>
        <w:spacing w:after="0" w:line="229"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color w:val="auto"/>
        </w:rPr>
        <w:t>If you retire, your coverage will automatically change to the U.S. Retired Officer Plan effective on the date following your retirement date. Different coverage rules apply to the Retired Officer Plan.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Please contact your HR Representative for a copy of the Retired Officer Plan. The firm will continue to make full payment of any required contributions to the Retired Officer Plan. If you are under age 65, the Retired Officer Plan will be considered the primary payer of your insurance claims. If you are age 65 or older, Medicare will be considered the primary payer of your insurance claims. The primary payer of your spouse’s or domestic partner’s insurance claims is also dictated by age. The Plan will coordinate its coverage with Medicare using the standard coordination of benefits method. To qualify for retirement, you must meet certain age and length of service criteria. Please contact your HR Representative for details. Refer to pages 36 and 37 for information on Medicare.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Leave the Firm?</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Coverage for you and your dependents (if any) ends on the day after you leave the firm unless you elect to continue coverage through COBRA. See pages 41 for details. If you leave the firm and later return, you will be eligible to enroll in accordance with Plan enrollment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OR YOUR DEPENDENTS HAVE OTHER COVERAGE EXCLUDING MEDICARE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474218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4">
                      <a:extLst>
                        <a:ext uri="{28A0092B-C50C-407E-A947-70E740481C1C}"/>
                      </a:extLst>
                    </a:blip>
                    <a:srcRect/>
                    <a:stretch>
                      <a:fillRect/>
                    </a:stretch>
                  </pic:blipFill>
                  <pic:spPr bwMode="auto">
                    <a:xfrm>
                      <a:off x="0" y="0"/>
                      <a:ext cx="4742180" cy="128905"/>
                    </a:xfrm>
                    <a:prstGeom prst="rect">
                      <a:avLst/>
                    </a:prstGeom>
                    <a:noFill/>
                  </pic:spPr>
                </pic:pic>
              </a:graphicData>
            </a:graphic>
          </wp:anchor>
        </w:drawing>
      </w:r>
    </w:p>
    <w:p>
      <w:pPr>
        <w:spacing w:after="0" w:line="2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persons have health coverage in addition to coverage under this Plan. Under these circumstances, it is not intended that a plan provide duplicate benefits. For this reason, many plans, including this Plan, have a coordination of benefits provision.</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This Plan uses the Maintenance of Benefits (MOB) approach for coordinating benefits. Using the MOB provision of this Plan, the amount normally reimbursed under this Plan is reduced to take into account payments made by Other Plans. Other Plans mean any other plan of health expenses coverage under: group insurance; any other type of coverage for persons in a group (this includes plans that are insured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360" w:top="436" w:right="239" w:bottom="1440" w:gutter="0" w:footer="0" w:header="0"/>
        </w:sectPr>
      </w:pPr>
    </w:p>
    <w:bookmarkStart w:id="162" w:name="page163"/>
    <w:bookmarkEnd w:id="162"/>
    <w:p>
      <w:pPr>
        <w:ind w:right="140"/>
        <w:spacing w:after="0" w:line="277" w:lineRule="auto"/>
        <w:rPr>
          <w:sz w:val="20"/>
          <w:szCs w:val="20"/>
          <w:color w:val="auto"/>
        </w:rPr>
      </w:pPr>
      <w:r>
        <w:rPr>
          <w:rFonts w:ascii="Arial" w:cs="Arial" w:eastAsia="Arial" w:hAnsi="Arial"/>
          <w:sz w:val="18"/>
          <w:szCs w:val="18"/>
          <w:color w:val="auto"/>
        </w:rPr>
        <w:t>and those that are not); no-fault auto insurance required by law and provided on other than a group basis. Only the level of benefits required by the law will be counted.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 illustrates the benefits that would be paid, if the Plan is the secondary payer:</w:t>
      </w:r>
    </w:p>
    <w:p>
      <w:pPr>
        <w:spacing w:after="0" w:line="387"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Eligible Charge</w:t>
            </w:r>
          </w:p>
        </w:tc>
        <w:tc>
          <w:tcPr>
            <w:tcW w:w="1180" w:type="dxa"/>
            <w:vAlign w:val="bottom"/>
          </w:tcPr>
          <w:p>
            <w:pPr>
              <w:ind w:left="820"/>
              <w:spacing w:after="0"/>
              <w:rPr>
                <w:sz w:val="20"/>
                <w:szCs w:val="20"/>
                <w:color w:val="auto"/>
              </w:rPr>
            </w:pPr>
            <w:r>
              <w:rPr>
                <w:rFonts w:ascii="Arial" w:cs="Arial" w:eastAsia="Arial" w:hAnsi="Arial"/>
                <w:sz w:val="18"/>
                <w:szCs w:val="18"/>
                <w:color w:val="auto"/>
                <w:w w:val="84"/>
              </w:rPr>
              <w:t>$100</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Primary Plan Pays (70% coinsurance)</w:t>
            </w:r>
          </w:p>
        </w:tc>
        <w:tc>
          <w:tcPr>
            <w:tcW w:w="1180" w:type="dxa"/>
            <w:vAlign w:val="bottom"/>
          </w:tcPr>
          <w:p>
            <w:pPr>
              <w:ind w:left="820"/>
              <w:spacing w:after="0"/>
              <w:rPr>
                <w:sz w:val="20"/>
                <w:szCs w:val="20"/>
                <w:color w:val="auto"/>
              </w:rPr>
            </w:pPr>
            <w:r>
              <w:rPr>
                <w:rFonts w:ascii="Arial" w:cs="Arial" w:eastAsia="Arial" w:hAnsi="Arial"/>
                <w:sz w:val="18"/>
                <w:szCs w:val="18"/>
                <w:color w:val="auto"/>
              </w:rPr>
              <w:t>$70</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Secondary Plan Would Pay (100% coinsurance)</w:t>
            </w:r>
          </w:p>
        </w:tc>
        <w:tc>
          <w:tcPr>
            <w:tcW w:w="1180" w:type="dxa"/>
            <w:vAlign w:val="bottom"/>
          </w:tcPr>
          <w:p>
            <w:pPr>
              <w:ind w:left="820"/>
              <w:spacing w:after="0"/>
              <w:rPr>
                <w:sz w:val="20"/>
                <w:szCs w:val="20"/>
                <w:color w:val="auto"/>
              </w:rPr>
            </w:pPr>
            <w:r>
              <w:rPr>
                <w:rFonts w:ascii="Arial" w:cs="Arial" w:eastAsia="Arial" w:hAnsi="Arial"/>
                <w:sz w:val="18"/>
                <w:szCs w:val="18"/>
                <w:color w:val="auto"/>
                <w:w w:val="84"/>
              </w:rPr>
              <w:t>$100</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The Plan Pays under MOB</w:t>
            </w:r>
          </w:p>
        </w:tc>
        <w:tc>
          <w:tcPr>
            <w:tcW w:w="1180" w:type="dxa"/>
            <w:vAlign w:val="bottom"/>
          </w:tcPr>
          <w:p>
            <w:pPr>
              <w:ind w:left="820"/>
              <w:spacing w:after="0"/>
              <w:rPr>
                <w:sz w:val="20"/>
                <w:szCs w:val="20"/>
                <w:color w:val="auto"/>
              </w:rPr>
            </w:pPr>
            <w:r>
              <w:rPr>
                <w:rFonts w:ascii="Arial" w:cs="Arial" w:eastAsia="Arial" w:hAnsi="Arial"/>
                <w:sz w:val="18"/>
                <w:szCs w:val="18"/>
                <w:color w:val="auto"/>
              </w:rPr>
              <w:t>$30</w:t>
            </w:r>
          </w:p>
        </w:tc>
      </w:tr>
      <w:tr>
        <w:trPr>
          <w:trHeight w:val="270"/>
        </w:trPr>
        <w:tc>
          <w:tcPr>
            <w:tcW w:w="4260" w:type="dxa"/>
            <w:vAlign w:val="bottom"/>
          </w:tcPr>
          <w:p>
            <w:pPr>
              <w:spacing w:after="0"/>
              <w:rPr>
                <w:sz w:val="20"/>
                <w:szCs w:val="20"/>
                <w:color w:val="auto"/>
              </w:rPr>
            </w:pPr>
            <w:r>
              <w:rPr>
                <w:rFonts w:ascii="Arial" w:cs="Arial" w:eastAsia="Arial" w:hAnsi="Arial"/>
                <w:sz w:val="18"/>
                <w:szCs w:val="18"/>
                <w:b w:val="1"/>
                <w:bCs w:val="1"/>
                <w:color w:val="auto"/>
              </w:rPr>
              <w:t>Patient Pays</w:t>
            </w:r>
          </w:p>
        </w:tc>
        <w:tc>
          <w:tcPr>
            <w:tcW w:w="1180" w:type="dxa"/>
            <w:vAlign w:val="bottom"/>
          </w:tcPr>
          <w:p>
            <w:pPr>
              <w:ind w:left="820"/>
              <w:spacing w:after="0"/>
              <w:rPr>
                <w:sz w:val="20"/>
                <w:szCs w:val="20"/>
                <w:color w:val="auto"/>
              </w:rPr>
            </w:pPr>
            <w:r>
              <w:rPr>
                <w:rFonts w:ascii="Arial" w:cs="Arial" w:eastAsia="Arial" w:hAnsi="Arial"/>
                <w:sz w:val="18"/>
                <w:szCs w:val="18"/>
                <w:b w:val="1"/>
                <w:bCs w:val="1"/>
                <w:color w:val="auto"/>
              </w:rPr>
              <w:t>$0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If the primary coverage paid the same as the Plan would have paid in the absence of the primary coverage, no benefit would be paid under the Plan.</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Coordination of coverage with Other Plans includes coordination of cost containment procedures. This means that the Plan will not pay for an eligible expense that is not covered by another plan because the covered person did not follow the Other Plan’s cost containment procedures. For example, if you are covered under another plan that requires certification before receiving medical care, the Plan will not pay for charges the Other Plan does not cover due to your failure to follow its certification requirements.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When this and another health expense coverage plan applies, the order in which the various plans will pay benefits must be figured. This will be done as follows using the first rule that applies:</w:t>
      </w:r>
    </w:p>
    <w:p>
      <w:pPr>
        <w:spacing w:after="0" w:line="170" w:lineRule="exact"/>
        <w:rPr>
          <w:sz w:val="20"/>
          <w:szCs w:val="20"/>
          <w:color w:val="auto"/>
        </w:rPr>
      </w:pPr>
    </w:p>
    <w:p>
      <w:pPr>
        <w:ind w:left="820" w:hanging="487"/>
        <w:spacing w:after="0"/>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plan with no rules for coordination with other benefits will be deemed to pay its benefits before a plan which contains such rules.</w:t>
      </w:r>
    </w:p>
    <w:p>
      <w:pPr>
        <w:spacing w:after="0" w:line="225" w:lineRule="exact"/>
        <w:rPr>
          <w:rFonts w:ascii="Arial" w:cs="Arial" w:eastAsia="Arial" w:hAnsi="Arial"/>
          <w:sz w:val="18"/>
          <w:szCs w:val="18"/>
          <w:color w:val="auto"/>
        </w:rPr>
      </w:pPr>
    </w:p>
    <w:p>
      <w:pPr>
        <w:ind w:left="820" w:right="120" w:hanging="487"/>
        <w:spacing w:after="0" w:line="257" w:lineRule="auto"/>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plan which covers a person other than as a dependent will be deemed to pay its benefits before a plan which covers the person as a dependent; except that if the person is also a Medicare beneficiary and as a result of the Social Security Act of 1965, as amended, Medicare is: secondary to the plan covering the person as a dependent; and primary to the plan covering the person as other than a dependent; the benefits of a plan which covers the person as a dependent will be determined before the benefits of a plan which covers the person as other than a dependent and is secondary to Medicare.</w:t>
      </w:r>
    </w:p>
    <w:p>
      <w:pPr>
        <w:spacing w:after="0" w:line="188" w:lineRule="exact"/>
        <w:rPr>
          <w:rFonts w:ascii="Arial" w:cs="Arial" w:eastAsia="Arial" w:hAnsi="Arial"/>
          <w:sz w:val="18"/>
          <w:szCs w:val="18"/>
          <w:color w:val="auto"/>
        </w:rPr>
      </w:pPr>
    </w:p>
    <w:p>
      <w:pPr>
        <w:ind w:left="820" w:right="240" w:hanging="487"/>
        <w:spacing w:after="0" w:line="279" w:lineRule="auto"/>
        <w:tabs>
          <w:tab w:leader="none" w:pos="8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in the case of a dependent child whose parents are divorced or separated; the plan which covers the person as a dependent of a person whose birthday comes first in a calendar year will be primary to the plan which covers the person as a dependent of a person whose birthday comes later in that calendar year. If both parents have the same birthday, the benefits of a plan which covered one parent longer are determined before those of a plan which covered the other parent for a shorter period of time.</w:t>
      </w:r>
    </w:p>
    <w:p>
      <w:pPr>
        <w:spacing w:after="0" w:line="171" w:lineRule="exact"/>
        <w:rPr>
          <w:rFonts w:ascii="Arial" w:cs="Arial" w:eastAsia="Arial" w:hAnsi="Arial"/>
          <w:sz w:val="17"/>
          <w:szCs w:val="17"/>
          <w:color w:val="auto"/>
        </w:rPr>
      </w:pPr>
    </w:p>
    <w:p>
      <w:pPr>
        <w:ind w:left="820" w:right="20"/>
        <w:spacing w:after="0" w:line="277" w:lineRule="auto"/>
        <w:rPr>
          <w:rFonts w:ascii="Arial" w:cs="Arial" w:eastAsia="Arial" w:hAnsi="Arial"/>
          <w:sz w:val="17"/>
          <w:szCs w:val="17"/>
          <w:color w:val="auto"/>
        </w:rPr>
      </w:pPr>
      <w:r>
        <w:rPr>
          <w:rFonts w:ascii="Arial" w:cs="Arial" w:eastAsia="Arial" w:hAnsi="Arial"/>
          <w:sz w:val="18"/>
          <w:szCs w:val="18"/>
          <w:color w:val="auto"/>
        </w:rPr>
        <w:t>If the Other Plan does not have the rule described above but instead has a rule based on the gender of the parent and if, as a result, the plans do not agree on the order of benefits, the rule in the Other Plan will determine the order of benefits.</w:t>
      </w:r>
    </w:p>
    <w:p>
      <w:pPr>
        <w:spacing w:after="0" w:line="170" w:lineRule="exact"/>
        <w:rPr>
          <w:rFonts w:ascii="Arial" w:cs="Arial" w:eastAsia="Arial" w:hAnsi="Arial"/>
          <w:sz w:val="17"/>
          <w:szCs w:val="17"/>
          <w:color w:val="auto"/>
        </w:rPr>
      </w:pPr>
    </w:p>
    <w:p>
      <w:pPr>
        <w:ind w:left="820" w:hanging="487"/>
        <w:spacing w:after="0"/>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case of a dependent child whose parents are divorced or separated:</w:t>
      </w:r>
    </w:p>
    <w:p>
      <w:pPr>
        <w:spacing w:after="0" w:line="225" w:lineRule="exact"/>
        <w:rPr>
          <w:rFonts w:ascii="Arial" w:cs="Arial" w:eastAsia="Arial" w:hAnsi="Arial"/>
          <w:sz w:val="18"/>
          <w:szCs w:val="18"/>
          <w:color w:val="auto"/>
        </w:rPr>
      </w:pPr>
    </w:p>
    <w:p>
      <w:pPr>
        <w:ind w:left="1300" w:right="100" w:hanging="481"/>
        <w:spacing w:after="0" w:line="342" w:lineRule="auto"/>
        <w:tabs>
          <w:tab w:leader="none" w:pos="13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there is a court decree which states that the parents shall share joint custody of a dependent child, without stating that one of the parents is responsible for the health care expenses of the child, the order of benefit determination rules specified in (3) above will apply.</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320" w:top="436" w:right="239" w:bottom="1440" w:gutter="0" w:footer="0" w:header="0"/>
        </w:sectPr>
      </w:pPr>
    </w:p>
    <w:bookmarkStart w:id="163" w:name="page164"/>
    <w:bookmarkEnd w:id="163"/>
    <w:p>
      <w:pPr>
        <w:ind w:left="1300" w:right="100" w:hanging="480"/>
        <w:spacing w:after="0" w:line="264"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there is a court decree which makes one parent financially responsible for the medical, dental or other health care expenses of such child, the benefits of a plan which covers the child as a dependent of such parent will be determined before the benefits of any Other Plan which covers the child as a dependent child.</w:t>
      </w:r>
    </w:p>
    <w:p>
      <w:pPr>
        <w:spacing w:after="0" w:line="181" w:lineRule="exact"/>
        <w:rPr>
          <w:rFonts w:ascii="Arial" w:cs="Arial" w:eastAsia="Arial" w:hAnsi="Arial"/>
          <w:sz w:val="18"/>
          <w:szCs w:val="18"/>
          <w:color w:val="auto"/>
        </w:rPr>
      </w:pPr>
    </w:p>
    <w:p>
      <w:pPr>
        <w:ind w:left="1300" w:hanging="480"/>
        <w:spacing w:after="0"/>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there is not such a court decree:</w:t>
      </w:r>
    </w:p>
    <w:p>
      <w:pPr>
        <w:spacing w:after="0" w:line="225" w:lineRule="exact"/>
        <w:rPr>
          <w:rFonts w:ascii="Arial" w:cs="Arial" w:eastAsia="Arial" w:hAnsi="Arial"/>
          <w:sz w:val="18"/>
          <w:szCs w:val="18"/>
          <w:color w:val="auto"/>
        </w:rPr>
      </w:pPr>
    </w:p>
    <w:p>
      <w:pPr>
        <w:ind w:left="1800" w:right="160" w:hanging="494"/>
        <w:spacing w:after="0" w:line="264" w:lineRule="auto"/>
        <w:tabs>
          <w:tab w:leader="none" w:pos="18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If the parent with custody of the child has not remarried, the benefits of a plan which covers the child as a dependent of the parent with custody of the child will be determined before the benefits of a plan which covers the child as a dependent of the parent without custody.</w:t>
      </w:r>
    </w:p>
    <w:p>
      <w:pPr>
        <w:spacing w:after="0" w:line="181" w:lineRule="exact"/>
        <w:rPr>
          <w:rFonts w:ascii="Arial" w:cs="Arial" w:eastAsia="Arial" w:hAnsi="Arial"/>
          <w:sz w:val="18"/>
          <w:szCs w:val="18"/>
          <w:color w:val="auto"/>
        </w:rPr>
      </w:pPr>
    </w:p>
    <w:p>
      <w:pPr>
        <w:ind w:left="1800" w:right="60" w:hanging="494"/>
        <w:spacing w:after="0" w:line="259" w:lineRule="auto"/>
        <w:tabs>
          <w:tab w:leader="none" w:pos="18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If the parent with custody of the child has remarried, the benefits of a plan which covers the child as a dependent of the parent with custody shall be determined before the benefits of a plan which covers that child as a dependent of the stepparent. The benefits of a plan which covers that child as a dependent of the stepparent will be determined before the benefits of a plan which covers that child as a dependent of the parent without custody.</w:t>
      </w:r>
    </w:p>
    <w:p>
      <w:pPr>
        <w:spacing w:after="0" w:line="186" w:lineRule="exact"/>
        <w:rPr>
          <w:rFonts w:ascii="Arial" w:cs="Arial" w:eastAsia="Arial" w:hAnsi="Arial"/>
          <w:sz w:val="18"/>
          <w:szCs w:val="18"/>
          <w:color w:val="auto"/>
        </w:rPr>
      </w:pPr>
    </w:p>
    <w:p>
      <w:pPr>
        <w:ind w:left="820" w:hanging="486"/>
        <w:spacing w:after="0" w:line="277" w:lineRule="auto"/>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1, 2, 3 and 4 above do not establish an order of payment, the plan under which the person has been covered for the longest time will be deemed to pay its benefits first except that:</w:t>
      </w:r>
    </w:p>
    <w:p>
      <w:pPr>
        <w:spacing w:after="0" w:line="170" w:lineRule="exact"/>
        <w:rPr>
          <w:rFonts w:ascii="Arial" w:cs="Arial" w:eastAsia="Arial" w:hAnsi="Arial"/>
          <w:sz w:val="18"/>
          <w:szCs w:val="18"/>
          <w:color w:val="auto"/>
        </w:rPr>
      </w:pPr>
    </w:p>
    <w:p>
      <w:pPr>
        <w:ind w:left="1300" w:right="140" w:hanging="480"/>
        <w:spacing w:after="0" w:line="279" w:lineRule="auto"/>
        <w:tabs>
          <w:tab w:leader="none" w:pos="13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benefits of a plan which covers the person on whose expenses claim is based as a laid-off or retired employee; or the dependent of such person; shall be determined after the benefits of any Other Plan which covers such person as an employee who is not laid-off or retired, or a dependent of such person. If the Other Plan does not have a provision regarding laid-off or retired employees and as a result, each plan determines its benefits after the other, then the above paragraph will not apply.</w:t>
      </w:r>
    </w:p>
    <w:p>
      <w:pPr>
        <w:spacing w:after="0" w:line="171" w:lineRule="exact"/>
        <w:rPr>
          <w:rFonts w:ascii="Arial" w:cs="Arial" w:eastAsia="Arial" w:hAnsi="Arial"/>
          <w:sz w:val="17"/>
          <w:szCs w:val="17"/>
          <w:color w:val="auto"/>
        </w:rPr>
      </w:pPr>
    </w:p>
    <w:p>
      <w:pPr>
        <w:ind w:left="1300" w:right="80" w:hanging="480"/>
        <w:spacing w:after="0" w:line="259"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benefits of a plan which covers the person on whose expenses claim is based under a right of continuation pursuant to federal or state law shall be determined after the benefits of any Other Plan which covers the person other than under such right of continuation. If the Other Plan does not have a provision: regarding right of continuation pursuant to federal or state law and as a result, each plan determines its benefits after the other, then the above paragraph will not apply.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general rule is that the benefits otherwise payable under this Plan for all expenses incurred in a calendar year will be reduced by all Other Plan benefits payable for those expenses. When the coordination of benefits rules of this Plan and an Other Plan both agree that this Plan determines its benefits before such Other Plan, the benefits of the Other Plan will be ignored in applying the general rule above to the claim involved.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order to administer this provision, Aetna can release or obtain data. Aetna can also make or recover payments.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When this provision operates to reduce the total amount of benefits otherwise payable as to a person covered under this Plan during a calendar year, each benefit that would be payable in the absence of this provision will be reduced proportionately. Such reduced amount will be charged against any applicable benefit limit of this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ELIGIBLE FOR MEDICARE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29806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5">
                      <a:extLst>
                        <a:ext uri="{28A0092B-C50C-407E-A947-70E740481C1C}"/>
                      </a:extLst>
                    </a:blip>
                    <a:srcRect/>
                    <a:stretch>
                      <a:fillRect/>
                    </a:stretch>
                  </pic:blipFill>
                  <pic:spPr bwMode="auto">
                    <a:xfrm>
                      <a:off x="0" y="0"/>
                      <a:ext cx="2298065" cy="1289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Medicare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Medicare is divided into two distinct programs that are separately funded:</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360" w:top="436" w:right="239" w:bottom="1440" w:gutter="0" w:footer="0" w:header="0"/>
        </w:sectPr>
      </w:pPr>
    </w:p>
    <w:bookmarkStart w:id="164" w:name="page165"/>
    <w:bookmarkEnd w:id="164"/>
    <w:p>
      <w:pPr>
        <w:ind w:right="300"/>
        <w:spacing w:after="0" w:line="282" w:lineRule="auto"/>
        <w:rPr>
          <w:sz w:val="20"/>
          <w:szCs w:val="20"/>
          <w:color w:val="auto"/>
        </w:rPr>
      </w:pPr>
      <w:r>
        <w:rPr>
          <w:rFonts w:ascii="Arial" w:cs="Arial" w:eastAsia="Arial" w:hAnsi="Arial"/>
          <w:sz w:val="18"/>
          <w:szCs w:val="18"/>
          <w:b w:val="1"/>
          <w:bCs w:val="1"/>
          <w:color w:val="auto"/>
        </w:rPr>
        <w:t xml:space="preserve">Part A </w:t>
      </w:r>
      <w:r>
        <w:rPr>
          <w:rFonts w:ascii="Arial" w:cs="Arial" w:eastAsia="Arial" w:hAnsi="Arial"/>
          <w:sz w:val="18"/>
          <w:szCs w:val="18"/>
          <w:color w:val="auto"/>
        </w:rPr>
        <w:t>(Hospital Insurance) pays some of the cost of hospitalization and provides benefits for skilled nursing facility care, home health care and hospice</w:t>
      </w:r>
      <w:r>
        <w:rPr>
          <w:rFonts w:ascii="Arial" w:cs="Arial" w:eastAsia="Arial" w:hAnsi="Arial"/>
          <w:sz w:val="18"/>
          <w:szCs w:val="18"/>
          <w:b w:val="1"/>
          <w:bCs w:val="1"/>
          <w:color w:val="auto"/>
        </w:rPr>
        <w:t xml:space="preserve"> </w:t>
      </w:r>
      <w:r>
        <w:rPr>
          <w:rFonts w:ascii="Arial" w:cs="Arial" w:eastAsia="Arial" w:hAnsi="Arial"/>
          <w:sz w:val="18"/>
          <w:szCs w:val="18"/>
          <w:color w:val="auto"/>
        </w:rPr>
        <w:t>care.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Part B </w:t>
      </w:r>
      <w:r>
        <w:rPr>
          <w:rFonts w:ascii="Arial" w:cs="Arial" w:eastAsia="Arial" w:hAnsi="Arial"/>
          <w:sz w:val="18"/>
          <w:szCs w:val="18"/>
          <w:color w:val="auto"/>
        </w:rPr>
        <w:t>(Supplementary Medical Insurance) is a voluntary program for eligible enrollees who enroll and pay a monthly premium and covers doctor bills,</w:t>
      </w:r>
      <w:r>
        <w:rPr>
          <w:rFonts w:ascii="Arial" w:cs="Arial" w:eastAsia="Arial" w:hAnsi="Arial"/>
          <w:sz w:val="18"/>
          <w:szCs w:val="18"/>
          <w:b w:val="1"/>
          <w:bCs w:val="1"/>
          <w:color w:val="auto"/>
        </w:rPr>
        <w:t xml:space="preserve"> </w:t>
      </w:r>
      <w:r>
        <w:rPr>
          <w:rFonts w:ascii="Arial" w:cs="Arial" w:eastAsia="Arial" w:hAnsi="Arial"/>
          <w:sz w:val="18"/>
          <w:szCs w:val="18"/>
          <w:color w:val="auto"/>
        </w:rPr>
        <w:t>most outpatient Hospital services, and certain related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Eligibility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You are eligible for Medicare at the beginning of the month in which you turn 65. (This age is not scheduled to rise, even though the full retirement age for Social Security benefits gradually rises to 67.) Enrollment is not automatic—you must contact your local Social Security office to enroll. When you enroll in Part A, you also automatically enroll in Part B unless you tell the Social Security Administration you do not want it.</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If You Plan To work Past Age 65</w:t>
      </w:r>
      <w:r>
        <w:rPr>
          <w:rFonts w:ascii="Arial" w:cs="Arial" w:eastAsia="Arial" w:hAnsi="Arial"/>
          <w:sz w:val="18"/>
          <w:szCs w:val="18"/>
          <w:color w:val="auto"/>
        </w:rPr>
        <w:t>… you can delay enrolling in Part B as long as you continue coverage under the group Plan. Contact your Social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office three months before you turn 65. At age 65, you should enroll in Part A and delay enrolling in Part B. In this case, the Plan will remain the primary payer and Part A will be the secondary payer for Hospital charges; using the standard coordination of benefits for claims payment. The Plan will continue to be the primary payer for your spouse (regardless of age) until you retire.</w:t>
      </w:r>
    </w:p>
    <w:p>
      <w:pPr>
        <w:spacing w:after="0" w:line="180"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If You Retire at Age 65 or Later</w:t>
      </w:r>
      <w:r>
        <w:rPr>
          <w:rFonts w:ascii="Arial" w:cs="Arial" w:eastAsia="Arial" w:hAnsi="Arial"/>
          <w:sz w:val="17"/>
          <w:szCs w:val="17"/>
          <w:color w:val="auto"/>
        </w:rPr>
        <w:t>… contact your Social Security office three months before you retire to enroll in Part B. If you meet the firm’s age and</w:t>
      </w:r>
      <w:r>
        <w:rPr>
          <w:rFonts w:ascii="Arial" w:cs="Arial" w:eastAsia="Arial" w:hAnsi="Arial"/>
          <w:sz w:val="17"/>
          <w:szCs w:val="17"/>
          <w:b w:val="1"/>
          <w:bCs w:val="1"/>
          <w:color w:val="auto"/>
        </w:rPr>
        <w:t xml:space="preserve"> </w:t>
      </w:r>
      <w:r>
        <w:rPr>
          <w:rFonts w:ascii="Arial" w:cs="Arial" w:eastAsia="Arial" w:hAnsi="Arial"/>
          <w:sz w:val="17"/>
          <w:szCs w:val="17"/>
          <w:color w:val="auto"/>
        </w:rPr>
        <w:t>length of service criteria for retirement, Medicare will be the primary payer for you and your spouse (if eligible), and the Retired Officer Plan will be your secondary payer. The Retired Officer Plan will continue to be primary payer for a dependent not Medicare eligible.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Coordination of Benefits with Medicare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Once you are Medicare eligible and have enrolled in Medicare Part B, and Aetna is your secondary payer, you can enroll in Medicare Direct. Medicare Direct is an electronic service that connects Medicare and Aetna for claim coordination and eliminates your need to file claims for supplemental benefits. By checking your Explanation of Medicare Benefits (EOMB) statement, it should note that unpaid charges have been forwarded to Aetna. Once Aetna pays covered expenses, Aetna will send you an EOB. There is no charge for this service. Contact your HR Representative for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FILE A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2367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6">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Complete a Medical Benefits Request claim form and submit it, along with the itemized bills for eligible medical expenses, to the address on the claim form. Claim forms are available at http://people.bah.com (accessible outside the firewall via https://secure.bah.com). To research claim status, visit www.aetna.com and register for Aetna Navigator (Please note, if you have already registered, EOBs are available for viewing 11 days following your Aetna Navigator registration date.) If there has been recent claim activity, an Explanation of Benefits (EOB) will be available for you to view.</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or your dependents incur a claim outside of the U.S., you must pay for the services up front and then submit a claim to Aetna. Aetna’s specially trained processors convert the claim (no matter what language or currency) to U.S. dollars based on the date of service.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All claims should be reported promptly. The deadline for filing a claim for benefits is 90 days after the date of the loss causing the claim. If, through no fault of your own, you are not able to meet the deadline for filing claims, your claim will still be accepted if you file as soon as possible. Otherwise, late claims will not be covered. Unless you are legally incapacitated, late claims will not be covered if they are filed more than 2 years after the deadline.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360" w:top="432"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Filing Health Claims Under the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may file claims for Plan benefits, and appeal adverse claim decisions, either yourself or through an authorized representative. If your claim is denied in whole or in part, you will receive a written notice of the denial from Aetna Life Insurance Company. The notice will explain the reason for the denial and the review procedures.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 “authorized representative” means a person you authorize, in writing, to act on your behalf. The Plan will also recognize a court order giving a person authority to submit claims on your behalf, except that in the case of a claim involving urgent care, a health care professional with knowledge of your condition may always act as your authorized representative.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Urgent Care Claims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Plan requires advance approval of a service, supply or procedure before a benefit will be payable, and if the Plan or your physician determines that it is an urgent care claim, you will be notified of the decision not later than 72 hours after the claim is received.</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 claim involving urgent care” is any claim for medical care or treatment with respect to which the application of the time periods for making non-urgent care determinations could seriously jeopardize the life or health of the claimant or the ability of the claimant to regain maximum function, or, in the opinion of a physician with knowledge of the claimant’s medical condition, would subject the claimant to severe pain that cannot be adequately managed without the care or treatment that is the subject of the claim.</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there is not sufficient information to decide the claim, you will be notified of the information necessary to complete the claim as soon as possible, but not later than 24 hours after receipt of the claim. You will be given a reasonable additional amount of time, but not less than 48 hours, to provide the information, and you will be notified of the decision not later than 48 hours after the end of that additional time period (or after receipt of the information, if earlier).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Course of Treatment</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If you have received pre-authorization for an ongoing course of treatment, you will be notified in advance if the Plan intends to terminate or reduce benefits for the previously authorized course of treatment so that you will have an opportunity to appeal the decision and receive a decision on that appeal before the termination or reduction takes effect. If the course of treatment involves urgent care, and you request an extension of the course of treatment at least 24 hours before its expiration, you will be notified of the decision within 24 hours after receipt of the request.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Your Claim Is Denied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your claim for benefits is denied, in whole or in part, you will receive a written explanation from Aetna within 60 days after receipt of your claim (120 days if special circumstances apply). This explanation will tell you:</w:t>
      </w:r>
    </w:p>
    <w:p>
      <w:pPr>
        <w:spacing w:after="0" w:line="170" w:lineRule="exact"/>
        <w:rPr>
          <w:sz w:val="20"/>
          <w:szCs w:val="20"/>
          <w:color w:val="auto"/>
        </w:rPr>
      </w:pPr>
    </w:p>
    <w:p>
      <w:pPr>
        <w:ind w:left="660" w:hanging="327"/>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specific references to provisions of the Plan documents that support those reasons;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additional information you must provide to improve your claim and the reasons why that information is necessary;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procedures available to you for further review of the claim.</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320" w:top="432"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Health Claims—Standard Appeals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a member of the Plan, you have the right to file an appeal about coverage for service(s) you have received from your health care provider or Aetna if you are not satisfied with the outcome of the initial determination and the appeal is regarding a change in the decision for the following:</w:t>
      </w:r>
    </w:p>
    <w:p>
      <w:pPr>
        <w:spacing w:after="0" w:line="147" w:lineRule="exact"/>
        <w:rPr>
          <w:sz w:val="20"/>
          <w:szCs w:val="20"/>
          <w:color w:val="auto"/>
        </w:rPr>
      </w:pPr>
    </w:p>
    <w:p>
      <w:pPr>
        <w:ind w:left="660" w:hanging="32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Certification of health care services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Claim payment</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Plan interpretation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Benefit determination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You may file an appeal in writing to Aetna. The denial notice will include the address where the appeal can be sent. If your appeal is of an urgent nature, you may call Aetna’s Member Services Unit at the toll-free phone number on your ID card. Your request should include the group name (that is, your employer), your name, Social Security Number or other identifying information shown on the front of the Explanation of Benefits form, and any other comments, documents, records and other information you would like to have considered, whether or not submitted in connection with the initial claim.</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 will have 180 days following receipt of an adverse benefit decision to appeal the decision to Aetna. You will be notified of the decision not later than 15 days (for pre-service claims) or 30 days (for post- service claims) after the appeal is received. You may submit written comments, documents, records and other information relating to your claim, whether or not the comments, documents, records or other information were submitted in connection with the initial claim. A copy of the specific rule, guideline or protocol relied upon in the adverse benefit determination will be provided free of charge upon request by you or your authorized representative. You may also request that the Plan provide you, free of charge, copies of all documents, records and other information relevant to the claim.</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your claim involves urgent care, an expedited appeal may be initiated by a telephone call to Member Services. Aetna’s Member Services telephone number is on your Identification Card. You or your authorized representative may appeal urgent care claim denials either orally or in writing. All necessary information, including the appeal decision, will be communicated between you or your authorized representative and the Plan by telephone, facsimile, or other similar method. You will be notified of the decision not later than 36 hours after the appeal is received.</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you are dissatisfied with the appeal decision on a claim involving urgent care, you may file a second level appeal with Aetna. You will be notified of the decision not later than 36 hours after the appeal is received.</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you are dissatisfied with a pre-service or post-service appeal decision, you may file a second level appeal with Aetna within 60 days of receipt of the level one appeal decision. Aetna will notify you of the decision not later than 15 days (for pre-service claims) or 30 days (for post-service claims) after the appeal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you do not agree with the final determination on review, you have the right to bring a civil action, if applicable.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20" w:top="432"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Exhaustion of Process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must exhaust the applicable Level one and Level two processes of the Appeal Procedure before you establish any: litigation; arbitration; or administrative proceeding; regarding an alleged breach of the policy terms by Aetna Life Insurance Company; or any matter within the scope of the Appeals Procedure.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Claims—Voluntary Appeals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file a voluntary appeal for external review of any final standard appeal determination that qualifies.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You must complete all of the levels of standard appeal described above before you can appeal for external review. Subject to verification procedures that the Plan may establish, your authorized representative may act on your behalf in filing and pursuing this voluntary appeal. You must request this voluntary level of review within 60 days after you receive the final denial notice under the standard appeal processes.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you file a voluntary appeal, any applicable statute of limitations will be tolled while the appeal is pending. The filing of a claim will have no effect on your rights to any other benefits under the Plan. However, the appeal is voluntary and you are not required to undertake it before pursuing legal action.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you choose not to file for voluntary review, the Plan will not assert that you have failed to exhaust your administrative remedies because of that choice.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NOTE: </w:t>
      </w:r>
      <w:r>
        <w:rPr>
          <w:rFonts w:ascii="Arial" w:cs="Arial" w:eastAsia="Arial" w:hAnsi="Arial"/>
          <w:sz w:val="17"/>
          <w:szCs w:val="17"/>
          <w:i w:val="1"/>
          <w:iCs w:val="1"/>
          <w:color w:val="auto"/>
        </w:rPr>
        <w:t>Members are encouraged not to send appeals certified or overnight mail to Aetna’s P.O. Box address as this may cause delay in receipt.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at your option, obtain External Review of a claim denial provided that:</w:t>
      </w:r>
    </w:p>
    <w:p>
      <w:pPr>
        <w:spacing w:after="0" w:line="225" w:lineRule="exact"/>
        <w:rPr>
          <w:sz w:val="20"/>
          <w:szCs w:val="20"/>
          <w:color w:val="auto"/>
        </w:rPr>
      </w:pPr>
    </w:p>
    <w:p>
      <w:pPr>
        <w:ind w:left="660" w:hanging="327"/>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You have exhausted the Aetna Life Insurance Company appeal process for denied claims and you have received a final denial.</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final denial was based upon a lack of medical necessity, or the experimental or investigational nature of the proposed service or treatment; and</w:t>
      </w:r>
    </w:p>
    <w:p>
      <w:pPr>
        <w:spacing w:after="0" w:line="248" w:lineRule="exact"/>
        <w:rPr>
          <w:rFonts w:ascii="Arial" w:cs="Arial" w:eastAsia="Arial" w:hAnsi="Arial"/>
          <w:sz w:val="16"/>
          <w:szCs w:val="16"/>
          <w:color w:val="auto"/>
        </w:rPr>
      </w:pPr>
    </w:p>
    <w:p>
      <w:pPr>
        <w:ind w:left="660" w:hanging="327"/>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cost of the service or treatment at issue exceeds $500.00.</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you meet the eligibility requirements listed above, you will receive written notice of your right to request an External Review at the time the final decision on your internal appeal has been rendered. Either you or an individual acting on your behalf will be required to submit to Aetna Life Insurance</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Company the External Review Request Form (except under expedited review as described below), a copy of the Plan denial of coverage letter, and all other information you wish to be reviewed in support of your request. Your request for an External Review must be submitted, in writing, to Aetna Life Insurance Company within 180 calendar days after you receive the final decision on your internal appeal.</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Aetna Life Insurance Company will contact the “External Review Organization” that will conduct your External Review. The External Review Organization will then select an independent physician with appropriate expertise in the area at issue for the purpose of performing the External Review. In rendering a decision, the external reviewer may consider any appropriate credible information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320" w:top="436" w:right="239" w:bottom="1440" w:gutter="0" w:footer="0" w:header="0"/>
        </w:sectPr>
      </w:pPr>
    </w:p>
    <w:bookmarkStart w:id="168" w:name="page169"/>
    <w:bookmarkEnd w:id="168"/>
    <w:p>
      <w:pPr>
        <w:ind w:left="120" w:right="400"/>
        <w:spacing w:after="0" w:line="277" w:lineRule="auto"/>
        <w:rPr>
          <w:sz w:val="20"/>
          <w:szCs w:val="20"/>
          <w:color w:val="auto"/>
        </w:rPr>
      </w:pPr>
      <w:r>
        <w:rPr>
          <w:rFonts w:ascii="Arial" w:cs="Arial" w:eastAsia="Arial" w:hAnsi="Arial"/>
          <w:sz w:val="18"/>
          <w:szCs w:val="18"/>
          <w:color w:val="auto"/>
        </w:rPr>
        <w:t>submitted by you with the External Review Request Form, and must follow the applicable plan’s contractual documents and plan criteria governing the benefits.</w:t>
      </w:r>
    </w:p>
    <w:p>
      <w:pPr>
        <w:spacing w:after="0" w:line="17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External Review Organization will generally notify you of the decision within 30 calendar days of Aetna Life Insurance Company’s receipt of a properly completed External Review Form. The notice will state whether the prior determination was upheld or reversed, and briefly explain the basis for the determination. The decision of the external reviewer will be binding on the Plan, except where Aetna Life Insurance Company or the Plan can show reviewer conflict of interest, bias or fraud. In such cases, notice will be given to you and a different reviewer will promptly resubmit the matter for consideration.</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An expedited review is available when your treating physician certifies on a separate Request For Expedited External Review form (or by telephone with prompt written follow-up) the clinical urgency of the situation. “Clinical urgency” means that a delay (waiting the full 30 calendar day period) in receipt of the service or treatment would jeopardize your health. Expedited reviews will be decided within 5 calendar days of receipt of the request. In the case of such expedited reviews, you will initially be notified of the determination by telephone, followed immediately by a written notice delivered by expedited mail or fax.</w:t>
      </w:r>
    </w:p>
    <w:p>
      <w:pPr>
        <w:spacing w:after="0" w:line="188"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8"/>
          <w:szCs w:val="18"/>
          <w:color w:val="auto"/>
        </w:rPr>
        <w:t>You will be responsible for the cost of compiling and sending the information that you wish to be reviewed by the External Review Organization to Aetna Life Insurance Company. Aetna Life Insurance Company is responsible for the cost of sending this information to the External Review Organization. The professional fee for the External Review will be paid by Aetna Life Insurance Company.</w:t>
      </w:r>
    </w:p>
    <w:p>
      <w:pPr>
        <w:spacing w:after="0" w:line="18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order for an individual to act on your behalf in connection with an External Review, you will need to specifically consent to the representation by signing the appropriate line on the External Review Request Form.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obtain more information about the External Review process by calling the toll-free Member Services telephone number listed on your ID card.</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NOTICE OF COBRA CONTINUATION COVERAGE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388493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7">
                      <a:extLst>
                        <a:ext uri="{28A0092B-C50C-407E-A947-70E740481C1C}"/>
                      </a:extLst>
                    </a:blip>
                    <a:srcRect/>
                    <a:stretch>
                      <a:fillRect/>
                    </a:stretch>
                  </pic:blipFill>
                  <pic:spPr bwMode="auto">
                    <a:xfrm>
                      <a:off x="0" y="0"/>
                      <a:ext cx="3884930" cy="1289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Continue Coverage</w:t>
      </w:r>
    </w:p>
    <w:p>
      <w:pPr>
        <w:spacing w:after="0" w:line="229" w:lineRule="exact"/>
        <w:rPr>
          <w:sz w:val="20"/>
          <w:szCs w:val="20"/>
          <w:color w:val="auto"/>
        </w:rPr>
      </w:pPr>
    </w:p>
    <w:p>
      <w:pPr>
        <w:jc w:val="both"/>
        <w:ind w:left="120" w:right="240"/>
        <w:spacing w:after="0" w:line="264" w:lineRule="auto"/>
        <w:rPr>
          <w:sz w:val="20"/>
          <w:szCs w:val="20"/>
          <w:color w:val="auto"/>
        </w:rPr>
      </w:pPr>
      <w:r>
        <w:rPr>
          <w:rFonts w:ascii="Arial" w:cs="Arial" w:eastAsia="Arial" w:hAnsi="Arial"/>
          <w:sz w:val="18"/>
          <w:szCs w:val="18"/>
          <w:color w:val="auto"/>
        </w:rPr>
        <w:t>The Consolidated Omnibus Budget Reconciliation Act of 1985 (“COBRA”) gives you and your covered dependents the right to a temporary extension of coverage under the Plan (“COBRA continuation coverage”) when coverage would otherwise end. This notice contains important information about your COBRA rights.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COBRA Continuation Coverage</w:t>
      </w:r>
    </w:p>
    <w:p>
      <w:pPr>
        <w:spacing w:after="0" w:line="243" w:lineRule="exact"/>
        <w:rPr>
          <w:sz w:val="20"/>
          <w:szCs w:val="20"/>
          <w:color w:val="auto"/>
        </w:rPr>
      </w:pPr>
    </w:p>
    <w:p>
      <w:pPr>
        <w:ind w:left="120" w:right="420"/>
        <w:spacing w:after="0" w:line="270" w:lineRule="auto"/>
        <w:rPr>
          <w:sz w:val="20"/>
          <w:szCs w:val="20"/>
          <w:color w:val="auto"/>
        </w:rPr>
      </w:pPr>
      <w:r>
        <w:rPr>
          <w:rFonts w:ascii="Arial" w:cs="Arial" w:eastAsia="Arial" w:hAnsi="Arial"/>
          <w:sz w:val="17"/>
          <w:szCs w:val="17"/>
          <w:color w:val="auto"/>
        </w:rPr>
        <w:t>Under COBRA, the Plan must offer continuation coverage at group rates (the full premium including employee and employer portions, plus a 2% administrative fee) when coverage would otherwise end because of a life event known as a “qualifying event.” COBRA continuation coverage must be offered to each person who is a “qualified beneficiary.”*</w:t>
      </w:r>
      <w:r>
        <w:rPr>
          <w:rFonts w:ascii="Arial" w:cs="Arial" w:eastAsia="Arial" w:hAnsi="Arial"/>
          <w:sz w:val="11"/>
          <w:szCs w:val="11"/>
          <w:color w:val="auto"/>
        </w:rPr>
        <w:t>1</w:t>
      </w:r>
      <w:r>
        <w:rPr>
          <w:rFonts w:ascii="Arial" w:cs="Arial" w:eastAsia="Arial" w:hAnsi="Arial"/>
          <w:sz w:val="17"/>
          <w:szCs w:val="17"/>
          <w:color w:val="auto"/>
        </w:rPr>
        <w:t xml:space="preserve"> For purposes of the Plan, a qualified beneficiary is a</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w:t>
      </w:r>
    </w:p>
    <w:p>
      <w:pPr>
        <w:jc w:val="both"/>
        <w:ind w:left="620" w:right="140" w:hanging="490"/>
        <w:spacing w:after="0" w:line="276" w:lineRule="auto"/>
        <w:tabs>
          <w:tab w:leader="none" w:pos="620" w:val="left"/>
        </w:tabs>
        <w:numPr>
          <w:ilvl w:val="0"/>
          <w:numId w:val="150"/>
        </w:numPr>
        <w:rPr>
          <w:rFonts w:ascii="Arial" w:cs="Arial" w:eastAsia="Arial" w:hAnsi="Arial"/>
          <w:sz w:val="8"/>
          <w:szCs w:val="8"/>
          <w:color w:val="auto"/>
        </w:rPr>
      </w:pPr>
      <w:r>
        <w:rPr>
          <w:rFonts w:ascii="Arial" w:cs="Arial" w:eastAsia="Arial" w:hAnsi="Arial"/>
          <w:sz w:val="13"/>
          <w:szCs w:val="13"/>
          <w:color w:val="auto"/>
        </w:rPr>
        <w:t>COBRA applies to “qualified beneficiaries” which does not include domestic partners. However, Booz Allen voluntarily offers the same continuation coverage to domestic partners who are eligible to participate in the Plan. References in this notice to “qualified beneficiaries” and “qualifying events” are intended to pertain to domestic partners covered under the Plan. A “domestic partner” will be treated identically to a “spouse” for all relevant purposes, including notice requirements given by the HR Representative.</w:t>
      </w:r>
    </w:p>
    <w:p>
      <w:pPr>
        <w:spacing w:after="0" w:line="120" w:lineRule="exact"/>
        <w:rPr>
          <w:rFonts w:ascii="Arial" w:cs="Arial" w:eastAsia="Arial" w:hAnsi="Arial"/>
          <w:sz w:val="8"/>
          <w:szCs w:val="8"/>
          <w:color w:val="auto"/>
        </w:rPr>
      </w:pPr>
    </w:p>
    <w:p>
      <w:pPr>
        <w:ind w:left="620" w:right="160"/>
        <w:spacing w:after="0" w:line="273" w:lineRule="auto"/>
        <w:rPr>
          <w:rFonts w:ascii="Arial" w:cs="Arial" w:eastAsia="Arial" w:hAnsi="Arial"/>
          <w:sz w:val="8"/>
          <w:szCs w:val="8"/>
          <w:color w:val="auto"/>
        </w:rPr>
      </w:pPr>
      <w:r>
        <w:rPr>
          <w:rFonts w:ascii="Arial" w:cs="Arial" w:eastAsia="Arial" w:hAnsi="Arial"/>
          <w:sz w:val="14"/>
          <w:szCs w:val="14"/>
          <w:color w:val="auto"/>
        </w:rPr>
        <w:t>A child born to, or placed for adoption with, the employee during the period of COBRA coverage is also considered a “qualified beneficiary” under COBRA. There may be extra cost in electing this additional coverage. You must also give notice to the HR Representative within 30 days of the birth or adoption placement.</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36" w:right="239" w:bottom="1440" w:gutter="0" w:footer="0" w:header="0"/>
        </w:sectPr>
      </w:pPr>
    </w:p>
    <w:bookmarkStart w:id="169" w:name="page170"/>
    <w:bookmarkEnd w:id="169"/>
    <w:p>
      <w:pPr>
        <w:ind w:left="120" w:right="120"/>
        <w:spacing w:after="0" w:line="259" w:lineRule="auto"/>
        <w:rPr>
          <w:sz w:val="20"/>
          <w:szCs w:val="20"/>
          <w:color w:val="auto"/>
        </w:rPr>
      </w:pPr>
      <w:r>
        <w:rPr>
          <w:rFonts w:ascii="Arial" w:cs="Arial" w:eastAsia="Arial" w:hAnsi="Arial"/>
          <w:sz w:val="18"/>
          <w:szCs w:val="18"/>
          <w:color w:val="auto"/>
        </w:rPr>
        <w:t>spouse, domestic partner or dependent child who would otherwise lose Plan coverage because of a qualifying event. COBRA continuation coverage is the same as the coverage under the Plan of similarly situated employees and/or covered dependents who have not had a qualifying event. Each qualified beneficiary who elects COBRA continuation coverage will have the same rights under the Plan, including special enrollment rights, as other participants or beneficiaries covered under the Plan.</w:t>
      </w:r>
    </w:p>
    <w:p>
      <w:pPr>
        <w:spacing w:after="0" w:line="187" w:lineRule="exact"/>
        <w:rPr>
          <w:sz w:val="20"/>
          <w:szCs w:val="20"/>
          <w:color w:val="auto"/>
        </w:rPr>
      </w:pPr>
    </w:p>
    <w:p>
      <w:pPr>
        <w:ind w:left="120" w:right="20"/>
        <w:spacing w:after="0" w:line="264" w:lineRule="auto"/>
        <w:rPr>
          <w:sz w:val="20"/>
          <w:szCs w:val="20"/>
          <w:color w:val="auto"/>
        </w:rPr>
      </w:pPr>
      <w:r>
        <w:rPr>
          <w:rFonts w:ascii="Arial" w:cs="Arial" w:eastAsia="Arial" w:hAnsi="Arial"/>
          <w:sz w:val="18"/>
          <w:szCs w:val="18"/>
          <w:color w:val="auto"/>
        </w:rPr>
        <w:t>This notice generally explains COBRA continuation coverage, when it may become available to you and your family, and what you need to do to protect the right to receive it. If COBRA continuation coverage is elected, proof of insurability is not required. The employee or qualified beneficiaries pay the full premium (both employee and employer portions, plus a 2% administrative fee) for COBRA continuation coverage.</w:t>
      </w:r>
    </w:p>
    <w:p>
      <w:pPr>
        <w:spacing w:after="0" w:line="18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Plan Administrator is Booz Allen Hamilton, 8283 Greensboro Drive, McLean, VA 22102, (703) 902-5514. COBRA continuation coverage for the Plan is administered by Aetna Inc., 151 Farmington Ave. MB1K, Hartford, CT 06156-7622, (800) 429-9526.</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Qualifying Events</w:t>
      </w:r>
    </w:p>
    <w:p>
      <w:pPr>
        <w:spacing w:after="0" w:line="225"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If you are an employee of Booz Allen Hamilton (“Booz Allen”) covered by this Plan, you have a right to elect COBRA continuation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if you lose your group health care coverage because of </w:t>
      </w:r>
      <w:r>
        <w:rPr>
          <w:rFonts w:ascii="Arial" w:cs="Arial" w:eastAsia="Arial" w:hAnsi="Arial"/>
          <w:sz w:val="18"/>
          <w:szCs w:val="18"/>
          <w:i w:val="1"/>
          <w:iCs w:val="1"/>
          <w:color w:val="auto"/>
        </w:rPr>
        <w:t>either</w:t>
      </w:r>
      <w:r>
        <w:rPr>
          <w:rFonts w:ascii="Arial" w:cs="Arial" w:eastAsia="Arial" w:hAnsi="Arial"/>
          <w:sz w:val="18"/>
          <w:szCs w:val="18"/>
          <w:color w:val="auto"/>
        </w:rPr>
        <w:t xml:space="preserve"> of the following reasons:</w:t>
      </w:r>
    </w:p>
    <w:p>
      <w:pPr>
        <w:spacing w:after="0" w:line="166" w:lineRule="exact"/>
        <w:rPr>
          <w:sz w:val="20"/>
          <w:szCs w:val="20"/>
          <w:color w:val="auto"/>
        </w:rPr>
      </w:pPr>
    </w:p>
    <w:p>
      <w:pPr>
        <w:ind w:left="920" w:hanging="480"/>
        <w:spacing w:after="0"/>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reduction in your hours of employment; or</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termination of your employment (for reasons other than your gross misconduct).**</w:t>
      </w:r>
    </w:p>
    <w:p>
      <w:pPr>
        <w:spacing w:after="0" w:line="221"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Spouses and Domestic Partners</w:t>
      </w:r>
      <w:r>
        <w:rPr>
          <w:rFonts w:ascii="Arial" w:cs="Arial" w:eastAsia="Arial" w:hAnsi="Arial"/>
          <w:sz w:val="18"/>
          <w:szCs w:val="18"/>
          <w:color w:val="auto"/>
        </w:rPr>
        <w:t>. If you are the spouse or domestic partner of an employee covered by this Plan, you have the right to elect COBRA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continuation coverage for yourself if you lose group health coverage for </w:t>
      </w:r>
      <w:r>
        <w:rPr>
          <w:rFonts w:ascii="Arial" w:cs="Arial" w:eastAsia="Arial" w:hAnsi="Arial"/>
          <w:sz w:val="18"/>
          <w:szCs w:val="18"/>
          <w:i w:val="1"/>
          <w:iCs w:val="1"/>
          <w:color w:val="auto"/>
        </w:rPr>
        <w:t>any</w:t>
      </w:r>
      <w:r>
        <w:rPr>
          <w:rFonts w:ascii="Arial" w:cs="Arial" w:eastAsia="Arial" w:hAnsi="Arial"/>
          <w:sz w:val="18"/>
          <w:szCs w:val="18"/>
          <w:color w:val="auto"/>
        </w:rPr>
        <w:t xml:space="preserve"> of the following reasons:</w:t>
      </w:r>
    </w:p>
    <w:p>
      <w:pPr>
        <w:spacing w:after="0" w:line="166" w:lineRule="exact"/>
        <w:rPr>
          <w:sz w:val="20"/>
          <w:szCs w:val="20"/>
          <w:color w:val="auto"/>
        </w:rPr>
      </w:pPr>
    </w:p>
    <w:p>
      <w:pPr>
        <w:ind w:left="920" w:hanging="480"/>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death of your spouse or domestic partner;</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termination of your spouse’s or domestic partner’s employment (for reasons other than the employee’s gross misconduct);</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reduction in your spouse’s or domestic partner’s hours of employment;</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Your divorce or legal separation or the end of your domestic partnership; or</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Your spouse’s or domestic partner’s entitlement to Medicare (Part A, Part B, or both).</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Dependent Children</w:t>
      </w:r>
      <w:r>
        <w:rPr>
          <w:rFonts w:ascii="Arial" w:cs="Arial" w:eastAsia="Arial" w:hAnsi="Arial"/>
          <w:sz w:val="17"/>
          <w:szCs w:val="17"/>
          <w:color w:val="auto"/>
        </w:rPr>
        <w:t>. In the case where a dependent child of an employee or domestic partner is covered by the Plan, he or she has the right to elect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COBRA continuation coverage if group health care coverage under the Plan is lost for </w:t>
      </w:r>
      <w:r>
        <w:rPr>
          <w:rFonts w:ascii="Arial" w:cs="Arial" w:eastAsia="Arial" w:hAnsi="Arial"/>
          <w:sz w:val="18"/>
          <w:szCs w:val="18"/>
          <w:i w:val="1"/>
          <w:iCs w:val="1"/>
          <w:color w:val="auto"/>
        </w:rPr>
        <w:t>any</w:t>
      </w:r>
      <w:r>
        <w:rPr>
          <w:rFonts w:ascii="Arial" w:cs="Arial" w:eastAsia="Arial" w:hAnsi="Arial"/>
          <w:sz w:val="18"/>
          <w:szCs w:val="18"/>
          <w:color w:val="auto"/>
        </w:rPr>
        <w:t xml:space="preserve"> of the following reasons:</w:t>
      </w:r>
    </w:p>
    <w:p>
      <w:pPr>
        <w:spacing w:after="0" w:line="211" w:lineRule="exact"/>
        <w:rPr>
          <w:sz w:val="20"/>
          <w:szCs w:val="20"/>
          <w:color w:val="auto"/>
        </w:rPr>
      </w:pPr>
    </w:p>
    <w:p>
      <w:pPr>
        <w:ind w:left="920" w:hanging="480"/>
        <w:spacing w:after="0"/>
        <w:tabs>
          <w:tab w:leader="none" w:pos="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death of a parent employed by Booz Allen;</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termination of a parent’s employment with Booz Allen (for reasons other than parent’s gross misconduct);</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reduction in a parent’s hours of employment;</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133" w:lineRule="exact"/>
        <w:rPr>
          <w:sz w:val="20"/>
          <w:szCs w:val="20"/>
          <w:color w:val="auto"/>
        </w:rPr>
      </w:pPr>
    </w:p>
    <w:p>
      <w:pPr>
        <w:ind w:left="300" w:hanging="184"/>
        <w:spacing w:after="0"/>
        <w:tabs>
          <w:tab w:leader="none" w:pos="300" w:val="left"/>
        </w:tabs>
        <w:numPr>
          <w:ilvl w:val="0"/>
          <w:numId w:val="154"/>
        </w:numPr>
        <w:rPr>
          <w:rFonts w:ascii="Arial" w:cs="Arial" w:eastAsia="Arial" w:hAnsi="Arial"/>
          <w:sz w:val="9"/>
          <w:szCs w:val="9"/>
          <w:color w:val="auto"/>
        </w:rPr>
      </w:pPr>
      <w:r>
        <w:rPr>
          <w:rFonts w:ascii="Arial" w:cs="Arial" w:eastAsia="Arial" w:hAnsi="Arial"/>
          <w:sz w:val="14"/>
          <w:szCs w:val="14"/>
          <w:color w:val="auto"/>
        </w:rPr>
        <w:t>The termination may be voluntary or involuntary.</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36" w:right="239" w:bottom="1440" w:gutter="0" w:footer="0" w:header="0"/>
        </w:sectPr>
      </w:pPr>
    </w:p>
    <w:bookmarkStart w:id="170" w:name="page171"/>
    <w:bookmarkEnd w:id="170"/>
    <w:p>
      <w:pPr>
        <w:ind w:left="820" w:hanging="487"/>
        <w:spacing w:after="0"/>
        <w:tabs>
          <w:tab w:leader="none" w:pos="8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parents’ divorce or legal separation or the end of the parent’s domestic partnership;</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child ceases to be a “dependent child” as defined by the Plan; or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parent who is employed by Booz Allen becomes entitled to Medicare (under Part A, Part B, or both.)</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 qualified beneficiary who elects COBRA continuation coverage has the same rights as the covered employee. For example, a former dependent child of a covered employee could elect COBRA continuation coverage as a qualified beneficiary, marry, cover the new spouse, have a child and cover the child by paying a separate premium for the coverage elected. However, the new spouse and child are not considered “qualified beneficiaries” and have no separate rights to elect COBRA continuation coverage. Their COBRA continuation coverage ends when the former dependent child’s coverage ends.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Obligations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the law, as a qualified beneficiary, you must notify the HR Representative of a divorce, legal separation, end of domestic partnership, or a child losing dependent status under the Plan. This notification must be made within 60 days after the later of: (i) the date of the qualifying event or (ii) the date that coverage would be lost under the Plan provisions because of the qualifying event.</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Failure to give notice within the time limits can result in COBRA continuation coverage being forfeited. Be sure to check the Plan carefully to determine when a child loses dependent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Period</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When the employee’s HR Representative is notified that a qualifying event has occurred, the HR Representative will in turn notify the employee, spouse, domestic partner, or dependent child of his or her right to elect COBRA continuation coverage. Election of COBRA continuation coverage must take place during the election period, which will end 60 days from the later of the date group health care coverage would otherwise terminate or the date the notification of COBRA continuation coverage rights is provided to the qualified beneficiary.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 employee, spouse, domestic partner, or dependent child does not elect COBRA continuation coverage prior to the expiration of the election period, his or her rights to continue group health care coverage will terminate. If COBRA continuation coverage is elected, Booz Allen will provide COBRA continuation coverage which, as of the time such coverage is being provided, is identical to the group health care coverage provided under the Plan to similarly situated employees and/or covered dependents.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COBRA Coverage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COBRA generally provides a maximum continuation period of 18, 29, or 36 months of COBRA continuation coverage depending on the type of qualifying event(s). The continuation period is measured from the date of the qualifying event.</w:t>
      </w:r>
    </w:p>
    <w:p>
      <w:pPr>
        <w:spacing w:after="0" w:line="1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18 Month Coverage</w:t>
      </w:r>
      <w:r>
        <w:rPr>
          <w:rFonts w:ascii="Arial" w:cs="Arial" w:eastAsia="Arial" w:hAnsi="Arial"/>
          <w:sz w:val="18"/>
          <w:szCs w:val="18"/>
          <w:color w:val="auto"/>
        </w:rPr>
        <w:t>. If group health care coverage was lost because of the employee’s termination of employment (other than for reasons of gross</w:t>
      </w:r>
      <w:r>
        <w:rPr>
          <w:rFonts w:ascii="Arial" w:cs="Arial" w:eastAsia="Arial" w:hAnsi="Arial"/>
          <w:sz w:val="18"/>
          <w:szCs w:val="18"/>
          <w:b w:val="1"/>
          <w:bCs w:val="1"/>
          <w:color w:val="auto"/>
        </w:rPr>
        <w:t xml:space="preserve"> </w:t>
      </w:r>
      <w:r>
        <w:rPr>
          <w:rFonts w:ascii="Arial" w:cs="Arial" w:eastAsia="Arial" w:hAnsi="Arial"/>
          <w:sz w:val="18"/>
          <w:szCs w:val="18"/>
          <w:color w:val="auto"/>
        </w:rPr>
        <w:t>misconduct) or reduction in hours, the required COBRA continuation coverage period is generally 18 months from the date of the qualifying event. Booz Allen voluntarily extends this period by up to an additional 6 months, for a maximum of 24 months from the date of the qualifying event, if the qualifying event is an educational leave of absence granted by Booz Allen to the employee.</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Secondary Events</w:t>
      </w:r>
      <w:r>
        <w:rPr>
          <w:rFonts w:ascii="Arial" w:cs="Arial" w:eastAsia="Arial" w:hAnsi="Arial"/>
          <w:sz w:val="18"/>
          <w:szCs w:val="18"/>
          <w:color w:val="auto"/>
        </w:rPr>
        <w:t>. The 18-month COBRA continuation period may also be extended up to 18 additional months, for a maximum of 36 months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original qualifying event, if a second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320" w:top="436" w:right="239" w:bottom="1440" w:gutter="0" w:footer="0" w:header="0"/>
        </w:sectPr>
      </w:pPr>
    </w:p>
    <w:bookmarkStart w:id="171" w:name="page172"/>
    <w:bookmarkEnd w:id="171"/>
    <w:p>
      <w:pPr>
        <w:ind w:right="80"/>
        <w:spacing w:after="0" w:line="297" w:lineRule="auto"/>
        <w:rPr>
          <w:sz w:val="20"/>
          <w:szCs w:val="20"/>
          <w:color w:val="auto"/>
        </w:rPr>
      </w:pPr>
      <w:r>
        <w:rPr>
          <w:rFonts w:ascii="Arial" w:cs="Arial" w:eastAsia="Arial" w:hAnsi="Arial"/>
          <w:sz w:val="16"/>
          <w:szCs w:val="16"/>
          <w:color w:val="auto"/>
        </w:rPr>
        <w:t>qualifying event (divorce, legal separation, death, entitlement to Medicare, ceasing to be a dependent child) takes place during the original 18-month period. This extension applies only if the secondary event would have caused the spouse, domestic partner, or dependent child to lose coverage under the Plan had the first qualifying event not occurred. Upon the occurrence of a second event it is the qualified beneficiary’s obligation to notify the HR Representative of the second qualifying event within 60 days of the second qualifying event and within the original 18month COBRA continuation coverage period. COBRA continuation coverage does not last beyond 36 months from the original qualifying event, no matter how many qualifying events occur.</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Disability Extension</w:t>
      </w:r>
      <w:r>
        <w:rPr>
          <w:rFonts w:ascii="Arial" w:cs="Arial" w:eastAsia="Arial" w:hAnsi="Arial"/>
          <w:sz w:val="18"/>
          <w:szCs w:val="18"/>
          <w:color w:val="auto"/>
        </w:rPr>
        <w:t>. The 18-month COBRA continuation coverage period may be extended up to 11 additional months, for a maximum of 29 months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the qualifying event, if the employee, spouse, domestic partner or dependent child is determined by the Social Security Administration to be disabled, the disability began during the first 60 days of COBRA continuation coverage and the disability lasts at least until the end of the original 18-month period of COBRA continuation coverage. The COBRA continuation coverage of the disabled qualified beneficiary and all other qualified beneficiaries (including those not deemed disabled) may be continued for up to an additional 11 months. The extended coverage is applicable provided the HR Representative is notified of the disabled status before the end of the original 18-month COBRA continuation coverage period and within 60 days after the date the qualified beneficiary is determined to be disabled.</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qualified beneficiaries who are receiving COBRA continuation coverage are responsible for providing the HR Representative with notice of a determination by the Social Security Administration that a qualified beneficiary is disabled. If this notice is not provided to the HR Representative, Booz Allen is not required to extend COBRA continuation coverage. If there is a final determination that the disability has ended, the formerly disabled person must notify the HR Representative within 30 days after the date the disability ends. The COBRA continuation coverage will end on the first of the month following 30 days after the determination that the disability has ended. If the COBRA continuation coverage period is extended under this provision, Booz Allen may increase the premium charged for each additional month of COBRA continuation coverage from the standard COBRA premium (102% of the full premium) to 150% of the full premium.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Month Coverage</w:t>
      </w:r>
      <w:r>
        <w:rPr>
          <w:rFonts w:ascii="Arial" w:cs="Arial" w:eastAsia="Arial" w:hAnsi="Arial"/>
          <w:sz w:val="18"/>
          <w:szCs w:val="18"/>
          <w:color w:val="auto"/>
        </w:rPr>
        <w:t>. The following events entitle qualified beneficiaries to 36 months of continuation coverage:</w:t>
      </w:r>
    </w:p>
    <w:p>
      <w:pPr>
        <w:spacing w:after="0" w:line="229" w:lineRule="exact"/>
        <w:rPr>
          <w:sz w:val="20"/>
          <w:szCs w:val="20"/>
          <w:color w:val="auto"/>
        </w:rPr>
      </w:pPr>
    </w:p>
    <w:p>
      <w:pPr>
        <w:ind w:left="820" w:hanging="487"/>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death of the employee;</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dependent ceases to be a “dependent child” as defined by the Plan;</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employee’s entitlement to Medicare (Part A, Part B, or both); or</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Divorce or legal separation or end of domestic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COBRA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law permits COBRA continuation coverage to be terminated for any of the following reasons:</w:t>
      </w:r>
    </w:p>
    <w:p>
      <w:pPr>
        <w:spacing w:after="0" w:line="225" w:lineRule="exact"/>
        <w:rPr>
          <w:sz w:val="20"/>
          <w:szCs w:val="20"/>
          <w:color w:val="auto"/>
        </w:rPr>
      </w:pPr>
    </w:p>
    <w:p>
      <w:pPr>
        <w:ind w:left="820" w:hanging="487"/>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Booz Allen no longer provides group health care coverage to any of its employees;</w:t>
      </w:r>
    </w:p>
    <w:p>
      <w:pPr>
        <w:spacing w:after="0" w:line="225" w:lineRule="exact"/>
        <w:rPr>
          <w:rFonts w:ascii="Arial" w:cs="Arial" w:eastAsia="Arial" w:hAnsi="Arial"/>
          <w:sz w:val="18"/>
          <w:szCs w:val="18"/>
          <w:color w:val="auto"/>
        </w:rPr>
      </w:pPr>
    </w:p>
    <w:p>
      <w:pPr>
        <w:ind w:left="820" w:hanging="487"/>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premium for COBRA continuation coverage is not paid in a timely manner;</w:t>
      </w:r>
    </w:p>
    <w:p>
      <w:pPr>
        <w:spacing w:after="0" w:line="225" w:lineRule="exact"/>
        <w:rPr>
          <w:rFonts w:ascii="Arial" w:cs="Arial" w:eastAsia="Arial" w:hAnsi="Arial"/>
          <w:sz w:val="18"/>
          <w:szCs w:val="18"/>
          <w:color w:val="auto"/>
        </w:rPr>
      </w:pPr>
    </w:p>
    <w:p>
      <w:pPr>
        <w:jc w:val="both"/>
        <w:ind w:left="820" w:right="80" w:hanging="487"/>
        <w:spacing w:after="0" w:line="264" w:lineRule="auto"/>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person receiving COBRA continuation coverage becomes covered under another group health care plan that does not contain any exclusion or limitation with respect to a pre- existing condition (other than an exclusion or limitation with respect to any pre-existing condition that may be disregarded under the law);</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320" w:top="436" w:right="239" w:bottom="1440" w:gutter="0" w:footer="0" w:header="0"/>
        </w:sectPr>
      </w:pPr>
    </w:p>
    <w:bookmarkStart w:id="172" w:name="page173"/>
    <w:bookmarkEnd w:id="172"/>
    <w:p>
      <w:pPr>
        <w:ind w:left="820" w:hanging="486"/>
        <w:spacing w:after="0"/>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person receiving COBRA continuation coverage becomes entitled to Medicare;</w:t>
      </w:r>
    </w:p>
    <w:p>
      <w:pPr>
        <w:spacing w:after="0" w:line="225" w:lineRule="exact"/>
        <w:rPr>
          <w:rFonts w:ascii="Arial" w:cs="Arial" w:eastAsia="Arial" w:hAnsi="Arial"/>
          <w:sz w:val="18"/>
          <w:szCs w:val="18"/>
          <w:color w:val="auto"/>
        </w:rPr>
      </w:pPr>
    </w:p>
    <w:p>
      <w:pPr>
        <w:ind w:left="820" w:right="120" w:hanging="486"/>
        <w:spacing w:after="0" w:line="277" w:lineRule="auto"/>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COBRA continuation coverage was extended to up to 29 months due to a Social Security disability determination and a final determination is made that the qualified beneficiary is no longer disabled; or</w:t>
      </w:r>
    </w:p>
    <w:p>
      <w:pPr>
        <w:spacing w:after="0" w:line="170" w:lineRule="exact"/>
        <w:rPr>
          <w:rFonts w:ascii="Arial" w:cs="Arial" w:eastAsia="Arial" w:hAnsi="Arial"/>
          <w:sz w:val="18"/>
          <w:szCs w:val="18"/>
          <w:color w:val="auto"/>
        </w:rPr>
      </w:pPr>
    </w:p>
    <w:p>
      <w:pPr>
        <w:ind w:left="820" w:hanging="486"/>
        <w:spacing w:after="0"/>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end of the COBRA continuation coverage period.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any questions about COBRA continuation coverage, you should contact your HR Representative or the nearest Regional or District Office of the U.S. Department of Labor’s Employee Benefits Security Administration (EBSA). Addresses and phone numbers of Regional and District EBSA Offices are available through the EBSA’s Web site at www.dol.gov/ebsa.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12661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8">
                      <a:extLst>
                        <a:ext uri="{28A0092B-C50C-407E-A947-70E740481C1C}"/>
                      </a:extLst>
                    </a:blip>
                    <a:srcRect/>
                    <a:stretch>
                      <a:fillRect/>
                    </a:stretch>
                  </pic:blipFill>
                  <pic:spPr bwMode="auto">
                    <a:xfrm>
                      <a:off x="0" y="0"/>
                      <a:ext cx="2126615" cy="1289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Privileges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your COBRA coverage ends for any reason other than your failure to pay any required contributions, and you want to continue medical coverage for you and/or your dependents, you have the right to convert your medical coverage to an individual basic health care policy provided by Aetna. This “right to convert” applies to U.S. residents only and only if the firm’s medical coverage under this Plan is not terminated.</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you want to convert to an individual health care policy, you must apply to do so, and pay the first premium to Aetna within 45 days after your COBRA coverage ends. This application period will be extended for 45 days, from the date you receive written notice of your conversion privilege, but not beyond 90 days from the date coverage ceases. This applies even if the covered person is still eligible for benefits because he/she is totally disabled. Evidence of insurability will not be required.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Aetna may decline to issue a personal policy </w:t>
      </w:r>
      <w:r>
        <w:rPr>
          <w:rFonts w:ascii="Arial" w:cs="Arial" w:eastAsia="Arial" w:hAnsi="Arial"/>
          <w:sz w:val="18"/>
          <w:szCs w:val="18"/>
          <w:color w:val="auto"/>
        </w:rPr>
        <w:t>if it is applied for in a jurisdiction in which Aetna cannot issue or deliver the policy; or if a person is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or has benefits available under any other group contract or medical plan that would result in overinsurance or match benefits.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coverage you receive under the individual contract may be lower than the regular Plan coverage, and certain covered services may not be included in this contract. You will be required to pay the entire cost of your and your dependents’ medical premiums. Premiums will be determined by Aetna.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is no conversion privilege for the dental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Rights for Mothers and Newborn Children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Plan may not, under federal law, restrict any hospital length of stay in connection with childbirth for the mother or newborn child to less than 48 hours following a vaginal delivery, or less than 96 hours following a cesarean section. However, federal law generally does not prohibit the mother’s or newborn’s attending provider, after consulting with the mother, from discharging the mother or her newborn child earlier than 48 hours (or 96 hours as applicable). Under federal law, the Plan may not require that a provider obtain authorization for prescribing a length of stay less than 48 hours (or 96 hours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Women’s Health and Cancer Rights Act</w:t>
      </w:r>
    </w:p>
    <w:p>
      <w:pPr>
        <w:spacing w:after="0" w:line="22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Solely to the extent required under the Women’s Health and Cancer Rights Act, the Plan will provide certain benefits related to services received in connection with a mastectomy. The Plan shall include coverage for reconstructive surgery following a mastectomy.</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360" w:top="436" w:right="239" w:bottom="1440" w:gutter="0" w:footer="0" w:header="0"/>
        </w:sectPr>
      </w:pPr>
    </w:p>
    <w:bookmarkStart w:id="173" w:name="page174"/>
    <w:bookmarkEnd w:id="173"/>
    <w:p>
      <w:pPr>
        <w:ind w:right="580"/>
        <w:spacing w:after="0" w:line="342" w:lineRule="auto"/>
        <w:rPr>
          <w:sz w:val="20"/>
          <w:szCs w:val="20"/>
          <w:color w:val="auto"/>
        </w:rPr>
      </w:pPr>
      <w:r>
        <w:rPr>
          <w:rFonts w:ascii="Arial" w:cs="Arial" w:eastAsia="Arial" w:hAnsi="Arial"/>
          <w:sz w:val="16"/>
          <w:szCs w:val="16"/>
          <w:color w:val="auto"/>
        </w:rPr>
        <w:t>If you or your eligible dependent(s) are receiving benefits under the Plan related to mastectomy and you or your eligible dependent(s) elect breast reconstruction, the coverage will be provided, in a manner determined in consultation with the attending physician and you or your dependent(s), for:</w:t>
      </w:r>
    </w:p>
    <w:p>
      <w:pPr>
        <w:spacing w:after="0" w:line="124" w:lineRule="exact"/>
        <w:rPr>
          <w:sz w:val="20"/>
          <w:szCs w:val="20"/>
          <w:color w:val="auto"/>
        </w:rPr>
      </w:pPr>
    </w:p>
    <w:p>
      <w:pPr>
        <w:ind w:left="660" w:hanging="327"/>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Reconstruction of the breast on which the mastectomy was performed;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Surgery and reconstruction of the other breast to produce a symmetrical appearance;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Prostheses and treatment of physical complications at all stages of the mastectomy, including lymphedemas.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Reconstructive benefits are subject to annual Plan co-payments, deductibles and co-insurance provisions similar to other medical and surgical benefits covered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Coverage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Coverage under this Plan is non-occupational. Only non-occupational accidental injuries and non- occupational diseases are covered.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Your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are an active Officer, the firm pays the cost of coverage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Benefits Paid (Reimbursement Provision)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 person suffers a loss or an injury caused by the act or omission of a third party, the Health Expense Benefits in this Plan for such loss or injury will be paid only if that person, or his or her legally authorized representative, agrees in writing:</w:t>
      </w:r>
    </w:p>
    <w:p>
      <w:pPr>
        <w:spacing w:after="0" w:line="170" w:lineRule="exact"/>
        <w:rPr>
          <w:sz w:val="20"/>
          <w:szCs w:val="20"/>
          <w:color w:val="auto"/>
        </w:rPr>
      </w:pPr>
    </w:p>
    <w:p>
      <w:pPr>
        <w:ind w:left="660" w:right="160" w:hanging="327"/>
        <w:spacing w:after="0" w:line="297"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pay Aetna to the extent the person recovers from a third party via settlement or judgment an amount, which includes an amount or part thereof, already paid by Aetna. The amount recovered from a third party must be for the same services or benefits for which the person incurred expenses, which were already paid by Aetna. The foregoing notwithstanding, however, if the amount recovered through a settlement or judgment is not sufficient to cover all amounts paid by Aetna and the person, the person’s obligation to pay Aetna shall begin only when the person has fully recovered from the third party all amounts paid by the person for the related medical claims and not paid or reimbursed by Aetna.</w:t>
      </w:r>
    </w:p>
    <w:p>
      <w:pPr>
        <w:spacing w:after="0" w:line="158" w:lineRule="exact"/>
        <w:rPr>
          <w:rFonts w:ascii="Arial" w:cs="Arial" w:eastAsia="Arial" w:hAnsi="Arial"/>
          <w:sz w:val="16"/>
          <w:szCs w:val="16"/>
          <w:color w:val="auto"/>
        </w:rPr>
      </w:pPr>
    </w:p>
    <w:p>
      <w:pPr>
        <w:ind w:left="660" w:right="840" w:hanging="327"/>
        <w:spacing w:after="0" w:line="277"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provide Aetna a lien in the amount of the benefit paid. This lien may be filed with: the third party; his or her agent; or a court that has jurisdiction in the matter.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payment and the lien referred to above shall be made or provided to Aetna in its capacity as the provider of administrative services to the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Overpayment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 benefit payment is made by the Plan, to or on behalf of any person, which exceeds the benefit amount such person is entitled to receive in accordance with the terms of the group contract, the Plan has the right to require the return of the overpayment on request; or to reduce by the amount of the overpayment, any future benefit payment made to or on behalf of that person or another person in his or her family. Such right does not affect any other right of recovery the Plan may have with respect to such overpayment.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320" w:top="436"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Legal 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legal action can be brought to recover any benefit after three years from the deadline for filing claims.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Amending or Terminating the Plan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Plan may be amended or terminated at any time by a written resolution of an Officer of the firm who has been duly authorized to act on behalf of the firm with respect to the Plan pursuant to a written resolution adopted by the Board of Directors of the firm.</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320" w:top="432"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ABOUT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322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9">
                      <a:extLst>
                        <a:ext uri="{28A0092B-C50C-407E-A947-70E740481C1C}"/>
                      </a:extLst>
                    </a:blip>
                    <a:srcRect/>
                    <a:stretch>
                      <a:fillRect/>
                    </a:stretch>
                  </pic:blipFill>
                  <pic:spPr bwMode="auto">
                    <a:xfrm>
                      <a:off x="0" y="0"/>
                      <a:ext cx="1132205" cy="128905"/>
                    </a:xfrm>
                    <a:prstGeom prst="rect">
                      <a:avLst/>
                    </a:prstGeom>
                    <a:noFill/>
                  </pic:spPr>
                </pic:pic>
              </a:graphicData>
            </a:graphic>
          </wp:anchor>
        </w:drawing>
      </w:r>
    </w:p>
    <w:p>
      <w:pPr>
        <w:spacing w:after="0" w:line="367" w:lineRule="exact"/>
        <w:rPr>
          <w:sz w:val="20"/>
          <w:szCs w:val="20"/>
          <w:color w:val="auto"/>
        </w:rPr>
      </w:pPr>
    </w:p>
    <w:p>
      <w:pPr>
        <w:ind w:left="2180" w:right="2860" w:firstLine="1712"/>
        <w:spacing w:after="0" w:line="407" w:lineRule="auto"/>
        <w:rPr>
          <w:sz w:val="20"/>
          <w:szCs w:val="20"/>
          <w:color w:val="auto"/>
        </w:rPr>
      </w:pPr>
      <w:r>
        <w:rPr>
          <w:rFonts w:ascii="Arial" w:cs="Arial" w:eastAsia="Arial" w:hAnsi="Arial"/>
          <w:sz w:val="18"/>
          <w:szCs w:val="18"/>
          <w:b w:val="1"/>
          <w:bCs w:val="1"/>
          <w:color w:val="auto"/>
        </w:rPr>
        <w:t xml:space="preserve">Plan Name: </w:t>
      </w:r>
      <w:r>
        <w:rPr>
          <w:rFonts w:ascii="Arial" w:cs="Arial" w:eastAsia="Arial" w:hAnsi="Arial"/>
          <w:sz w:val="18"/>
          <w:szCs w:val="18"/>
          <w:color w:val="auto"/>
        </w:rPr>
        <w:t>U.S. Officer Medical and Dental Insurance Plan</w:t>
      </w:r>
      <w:r>
        <w:rPr>
          <w:rFonts w:ascii="Arial" w:cs="Arial" w:eastAsia="Arial" w:hAnsi="Arial"/>
          <w:sz w:val="18"/>
          <w:szCs w:val="18"/>
          <w:b w:val="1"/>
          <w:bCs w:val="1"/>
          <w:color w:val="auto"/>
        </w:rPr>
        <w:t xml:space="preserve"> Employer Identification Number:</w:t>
      </w:r>
    </w:p>
    <w:p>
      <w:pPr>
        <w:ind w:left="1840"/>
        <w:spacing w:after="0"/>
        <w:tabs>
          <w:tab w:leader="none" w:pos="4980" w:val="left"/>
        </w:tabs>
        <w:rPr>
          <w:sz w:val="20"/>
          <w:szCs w:val="20"/>
          <w:color w:val="auto"/>
        </w:rPr>
      </w:pPr>
      <w:r>
        <w:rPr>
          <w:rFonts w:ascii="Arial" w:cs="Arial" w:eastAsia="Arial" w:hAnsi="Arial"/>
          <w:sz w:val="18"/>
          <w:szCs w:val="18"/>
          <w:b w:val="1"/>
          <w:bCs w:val="1"/>
          <w:color w:val="auto"/>
        </w:rPr>
        <w:t>Plan Administrator and Plan Sponsor:</w:t>
      </w:r>
      <w:r>
        <w:rPr>
          <w:sz w:val="20"/>
          <w:szCs w:val="20"/>
          <w:color w:val="auto"/>
        </w:rPr>
        <w:tab/>
      </w:r>
      <w:r>
        <w:rPr>
          <w:rFonts w:ascii="Arial" w:cs="Arial" w:eastAsia="Arial" w:hAnsi="Arial"/>
          <w:sz w:val="17"/>
          <w:szCs w:val="17"/>
          <w:color w:val="auto"/>
        </w:rPr>
        <w:t>Booz Allen Hamilton Inc.</w:t>
      </w:r>
    </w:p>
    <w:p>
      <w:pPr>
        <w:spacing w:after="0" w:line="6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8283 Greensboro Drive</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McLean, Virginia 22102-3838</w:t>
      </w:r>
    </w:p>
    <w:p>
      <w:pPr>
        <w:spacing w:after="0" w:line="140" w:lineRule="exact"/>
        <w:rPr>
          <w:sz w:val="20"/>
          <w:szCs w:val="20"/>
          <w:color w:val="auto"/>
        </w:rPr>
      </w:pPr>
    </w:p>
    <w:p>
      <w:pPr>
        <w:jc w:val="both"/>
        <w:ind w:left="5000" w:right="1380" w:hanging="2240"/>
        <w:spacing w:after="0" w:line="264" w:lineRule="auto"/>
        <w:tabs>
          <w:tab w:leader="none" w:pos="4980" w:val="left"/>
        </w:tabs>
        <w:rPr>
          <w:sz w:val="20"/>
          <w:szCs w:val="20"/>
          <w:color w:val="auto"/>
        </w:rPr>
      </w:pPr>
      <w:r>
        <w:rPr>
          <w:rFonts w:ascii="Arial" w:cs="Arial" w:eastAsia="Arial" w:hAnsi="Arial"/>
          <w:sz w:val="18"/>
          <w:szCs w:val="18"/>
          <w:b w:val="1"/>
          <w:bCs w:val="1"/>
          <w:color w:val="auto"/>
        </w:rPr>
        <w:t>Plan Benefits Provided by:</w:t>
      </w:r>
      <w:r>
        <w:rPr>
          <w:sz w:val="20"/>
          <w:szCs w:val="20"/>
          <w:color w:val="auto"/>
        </w:rPr>
        <w:tab/>
      </w:r>
      <w:r>
        <w:rPr>
          <w:rFonts w:ascii="Arial" w:cs="Arial" w:eastAsia="Arial" w:hAnsi="Arial"/>
          <w:sz w:val="18"/>
          <w:szCs w:val="18"/>
          <w:color w:val="auto"/>
        </w:rPr>
        <w:t>Aetna, inc. under contract form number 800105 and underwritten by the Aetna Life Insurance Company, of Hartford Connecticut (called Aetna).</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360" w:top="432"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HIPAA PRIVACY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36334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0">
                      <a:extLst>
                        <a:ext uri="{28A0092B-C50C-407E-A947-70E740481C1C}"/>
                      </a:extLst>
                    </a:blip>
                    <a:srcRect/>
                    <a:stretch>
                      <a:fillRect/>
                    </a:stretch>
                  </pic:blipFill>
                  <pic:spPr bwMode="auto">
                    <a:xfrm>
                      <a:off x="0" y="0"/>
                      <a:ext cx="1363345" cy="128905"/>
                    </a:xfrm>
                    <a:prstGeom prst="rect">
                      <a:avLst/>
                    </a:prstGeom>
                    <a:noFill/>
                  </pic:spPr>
                </pic:pic>
              </a:graphicData>
            </a:graphic>
          </wp:anchor>
        </w:drawing>
      </w:r>
    </w:p>
    <w:p>
      <w:pPr>
        <w:spacing w:after="0" w:line="205"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 xml:space="preserve">The Health Insurance Portability and Accountability Act (HIPAA) </w:t>
      </w:r>
      <w:r>
        <w:rPr>
          <w:rFonts w:ascii="Arial" w:cs="Arial" w:eastAsia="Arial" w:hAnsi="Arial"/>
          <w:sz w:val="17"/>
          <w:szCs w:val="17"/>
          <w:color w:val="auto"/>
        </w:rPr>
        <w:t>imposes numerous requirements on employer health plans concerning the use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of individual health information. Under the Privacy Rule, health information is private and protected and can only be disclosed for certain purposes with permission from the participant. If privacy rights are violated, the participant can file a complaint.</w:t>
      </w:r>
    </w:p>
    <w:p>
      <w:pPr>
        <w:spacing w:after="0" w:line="1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This information, known as protected health information, includes virtually all individually identifiable health information held by the Plan. Under the HIPAA Privacy Rule, the Plan must enable members to exercise specific health privacy rights. Aetna, as claims administrator, has established procedures that you and your dependents may use to exercise those rights. Aetna’s procedures address members’ rights to:</w:t>
      </w:r>
    </w:p>
    <w:p>
      <w:pPr>
        <w:spacing w:after="0" w:line="166" w:lineRule="exact"/>
        <w:rPr>
          <w:sz w:val="20"/>
          <w:szCs w:val="20"/>
          <w:color w:val="auto"/>
        </w:rPr>
      </w:pPr>
    </w:p>
    <w:p>
      <w:pPr>
        <w:ind w:left="660" w:hanging="32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Access their “Protected Health Information” (PHI);</w:t>
      </w:r>
    </w:p>
    <w:p>
      <w:pPr>
        <w:spacing w:after="0" w:line="238" w:lineRule="exact"/>
        <w:rPr>
          <w:rFonts w:ascii="Arial" w:cs="Arial" w:eastAsia="Arial" w:hAnsi="Arial"/>
          <w:sz w:val="18"/>
          <w:szCs w:val="18"/>
          <w:color w:val="auto"/>
        </w:rPr>
      </w:pPr>
    </w:p>
    <w:p>
      <w:pPr>
        <w:ind w:left="660" w:hanging="32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certain amendments to their PHI;</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Receive an accounting of certain disclosures of their PHI; and</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Request restrictions on use or disclosure of their PHI and/or have their PHI communicated through confidential means.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you or your dependents wish to exercise your HIPAA Privacy rights, you should contact Aetna directly at the toll-free number provided on your ID card (it is especially critical that you refer any request for restrictions and/or confidential communications to Aetna, as not all such requests can be accommodated, and the HIPAA Privacy Rule does not require that all such requests be accepted).</w:t>
      </w:r>
    </w:p>
    <w:p>
      <w:pPr>
        <w:ind w:right="140"/>
        <w:spacing w:after="0" w:line="261" w:lineRule="auto"/>
        <w:rPr>
          <w:sz w:val="20"/>
          <w:szCs w:val="20"/>
          <w:color w:val="auto"/>
        </w:rPr>
      </w:pPr>
      <w:r>
        <w:rPr>
          <w:rFonts w:ascii="Arial" w:cs="Arial" w:eastAsia="Arial" w:hAnsi="Arial"/>
          <w:sz w:val="18"/>
          <w:szCs w:val="18"/>
          <w:color w:val="auto"/>
        </w:rPr>
        <w:t>Aetna’s response to the member will contain instructions for the member to contact the firm directly if he/she wishes to exercise any HIPAA privacy rights with regard to PHI maintained by Aetna.</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believe your HIPAA privacy rights have been violated, you may contact Aetna Member Services and/or the Secretary of Health and Human Services (HHS) 1-877-696-6775. Additionally, you may contact the Booz Allen Ethics Hotline at 1-800-501-8755.</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360" w:top="432"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3723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1">
                      <a:extLst>
                        <a:ext uri="{28A0092B-C50C-407E-A947-70E740481C1C}"/>
                      </a:extLst>
                    </a:blip>
                    <a:srcRect/>
                    <a:stretch>
                      <a:fillRect/>
                    </a:stretch>
                  </pic:blipFill>
                  <pic:spPr bwMode="auto">
                    <a:xfrm>
                      <a:off x="0" y="0"/>
                      <a:ext cx="737235" cy="1289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Behavioral Health Provider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licensed organization or professional providing diagnostic, therapeutic or psychological services for behavioral health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Birthing Center</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is a freestanding facility that meets licensing standards; is set up, equipped and run to provide prenatal care, delivery and immediate postpartum care; makes charges; is directed by at least one Physician who is a specialist in obstetrics and gynecology; has a Physician or certified nurse midwife present at all births and during the immediate postpartum period; extends staff privileges to Physicians who practice obstetrics and gynecology in an area Hospital; has at least 2 beds or 2 birthing rooms for use by patients while in labor and during delivery; provides, during labor, delivery and the immediate postpartum period, full-time skilled nursing services directed by an R.N. or certified nurse midwife; provides, or arranges with a facility in the area for, diagnostic X-ray and lab services for the mother and child; has the capacity to administer a local anesthetic and to perform minor surgery. This includes episiotomy and repair of perineal tear; is equipped and has trained staff to handle medical emergencies and provide immediate support measures to sustain life if complications arise during labor, and if a child is born with an abnormality which impairs function or threatens life; accepts only patients with low risk pregnancies; and has a written agreement with a Hospital in the area for emergency transfer of a patient or a child. Written procedures for such a transfer must be displayed and the staff must be aware of them; and provides an ongoing quality assurance program. This includes reviews by Physicians who do not own or direct the facility; and keeps a medical record on each patient and child.</w:t>
      </w:r>
    </w:p>
    <w:p>
      <w:pPr>
        <w:spacing w:after="0" w:line="179" w:lineRule="exact"/>
        <w:rPr>
          <w:sz w:val="20"/>
          <w:szCs w:val="20"/>
          <w:color w:val="auto"/>
        </w:rPr>
      </w:pPr>
    </w:p>
    <w:p>
      <w:pPr>
        <w:ind w:right="4060"/>
        <w:spacing w:after="0" w:line="282" w:lineRule="auto"/>
        <w:rPr>
          <w:sz w:val="20"/>
          <w:szCs w:val="20"/>
          <w:color w:val="auto"/>
        </w:rPr>
      </w:pPr>
      <w:r>
        <w:rPr>
          <w:rFonts w:ascii="Arial" w:cs="Arial" w:eastAsia="Arial" w:hAnsi="Arial"/>
          <w:sz w:val="18"/>
          <w:szCs w:val="18"/>
          <w:b w:val="1"/>
          <w:bCs w:val="1"/>
          <w:color w:val="auto"/>
        </w:rPr>
        <w:t xml:space="preserve">Board and Room Charges </w:t>
      </w:r>
      <w:r>
        <w:rPr>
          <w:rFonts w:ascii="Arial" w:cs="Arial" w:eastAsia="Arial" w:hAnsi="Arial"/>
          <w:sz w:val="18"/>
          <w:szCs w:val="18"/>
          <w:color w:val="auto"/>
        </w:rPr>
        <w:t>Charges made by an institution for board and room and other</w:t>
      </w:r>
      <w:r>
        <w:rPr>
          <w:rFonts w:ascii="Arial" w:cs="Arial" w:eastAsia="Arial" w:hAnsi="Arial"/>
          <w:sz w:val="18"/>
          <w:szCs w:val="18"/>
          <w:b w:val="1"/>
          <w:bCs w:val="1"/>
          <w:color w:val="auto"/>
        </w:rPr>
        <w:t xml:space="preserve"> necessary </w:t>
      </w:r>
      <w:r>
        <w:rPr>
          <w:rFonts w:ascii="Arial" w:cs="Arial" w:eastAsia="Arial" w:hAnsi="Arial"/>
          <w:sz w:val="18"/>
          <w:szCs w:val="18"/>
          <w:color w:val="auto"/>
        </w:rPr>
        <w:t>services and supplies. They must be regularly made at a daily or weekly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Name Drug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prescription drug which is protected by trademark registration.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a person whose presence as a Companion or caregiver is necessary to enable an NME Patient:</w:t>
      </w:r>
    </w:p>
    <w:p>
      <w:pPr>
        <w:spacing w:after="0" w:line="225" w:lineRule="exact"/>
        <w:rPr>
          <w:sz w:val="20"/>
          <w:szCs w:val="20"/>
          <w:color w:val="auto"/>
        </w:rPr>
      </w:pPr>
    </w:p>
    <w:p>
      <w:pPr>
        <w:ind w:left="660" w:hanging="326"/>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receive services in connection with an NME procedure or treatment on an inpatient or outpatient basis; or</w:t>
      </w:r>
    </w:p>
    <w:p>
      <w:pPr>
        <w:spacing w:after="0" w:line="225" w:lineRule="exact"/>
        <w:rPr>
          <w:rFonts w:ascii="Arial" w:cs="Arial" w:eastAsia="Arial" w:hAnsi="Arial"/>
          <w:sz w:val="18"/>
          <w:szCs w:val="18"/>
          <w:color w:val="auto"/>
        </w:rPr>
      </w:pPr>
    </w:p>
    <w:p>
      <w:pPr>
        <w:ind w:left="660" w:hanging="326"/>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travel to and from the facility where treatment is given.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Convalescent Facility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is an institution that is licensed to provide, and does provide the following, on an inpatient basis, for persons convalescing from disease or injury: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professional nursing care by an R.N. or by an</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L.P.N. directed by a full-time R.N., and physical restoration services to help patients to meet a goal of self-care in daily living activities. The Convalescent Facility also provides 24 hour a day nursing care by licensed nurses directed by a full-time R.N.; is supervised full-time by a Physician or an R.N.; keeps a complete medical record on each patient; has a utilization review plan; is not mainly a place for rest, for the aged, for drug addicts, for alcoholics, for mental retardates, for custodial or educational care, or for care of mental disorders; and makes charges.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360" w:top="432"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Custodial Care</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This means services and supplies furnished to a person mainly to help him or her in the activities of daily life. This includes board and room and other institutional care. The person does not have to be disabled. Such services and supplies are custodial care without regard to:</w:t>
      </w:r>
    </w:p>
    <w:p>
      <w:pPr>
        <w:spacing w:after="0" w:line="147" w:lineRule="exact"/>
        <w:rPr>
          <w:sz w:val="20"/>
          <w:szCs w:val="20"/>
          <w:color w:val="auto"/>
        </w:rPr>
      </w:pPr>
    </w:p>
    <w:p>
      <w:pPr>
        <w:ind w:left="660" w:hanging="327"/>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whom they are prescribed;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whom they are recommended;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whom or by which they are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Dentist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means a legally qualified Dentist. Also, a Physician who is licensed to do the dental work he or she performs.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Treatment of Alcoholism or Drug Abuse</w:t>
      </w:r>
    </w:p>
    <w:p>
      <w:pPr>
        <w:spacing w:after="0" w:line="229" w:lineRule="exact"/>
        <w:rPr>
          <w:sz w:val="20"/>
          <w:szCs w:val="20"/>
          <w:color w:val="auto"/>
        </w:rPr>
      </w:pPr>
    </w:p>
    <w:p>
      <w:pPr>
        <w:ind w:right="4340"/>
        <w:spacing w:after="0" w:line="277" w:lineRule="auto"/>
        <w:rPr>
          <w:sz w:val="20"/>
          <w:szCs w:val="20"/>
          <w:color w:val="auto"/>
        </w:rPr>
      </w:pPr>
      <w:r>
        <w:rPr>
          <w:rFonts w:ascii="Arial" w:cs="Arial" w:eastAsia="Arial" w:hAnsi="Arial"/>
          <w:sz w:val="18"/>
          <w:szCs w:val="18"/>
          <w:color w:val="auto"/>
        </w:rPr>
        <w:t xml:space="preserve">This means a program of alcoholism or drug abuse therapy that is prescribed and supervised by a </w:t>
      </w:r>
      <w:r>
        <w:rPr>
          <w:rFonts w:ascii="Arial" w:cs="Arial" w:eastAsia="Arial" w:hAnsi="Arial"/>
          <w:sz w:val="18"/>
          <w:szCs w:val="18"/>
          <w:b w:val="1"/>
          <w:bCs w:val="1"/>
          <w:color w:val="auto"/>
        </w:rPr>
        <w:t xml:space="preserve">physician </w:t>
      </w:r>
      <w:r>
        <w:rPr>
          <w:rFonts w:ascii="Arial" w:cs="Arial" w:eastAsia="Arial" w:hAnsi="Arial"/>
          <w:sz w:val="18"/>
          <w:szCs w:val="18"/>
          <w:color w:val="auto"/>
        </w:rPr>
        <w:t>and either:</w:t>
      </w:r>
    </w:p>
    <w:p>
      <w:pPr>
        <w:spacing w:after="0" w:line="170" w:lineRule="exact"/>
        <w:rPr>
          <w:sz w:val="20"/>
          <w:szCs w:val="20"/>
          <w:color w:val="auto"/>
        </w:rPr>
      </w:pPr>
    </w:p>
    <w:p>
      <w:pPr>
        <w:ind w:left="660" w:hanging="327"/>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Has a follow-up therapy program directed by a physician on at least a monthly basis; or</w:t>
      </w:r>
    </w:p>
    <w:p>
      <w:pPr>
        <w:spacing w:after="0" w:line="225" w:lineRule="exact"/>
        <w:rPr>
          <w:rFonts w:ascii="Arial" w:cs="Arial" w:eastAsia="Arial" w:hAnsi="Arial"/>
          <w:sz w:val="18"/>
          <w:szCs w:val="18"/>
          <w:color w:val="auto"/>
        </w:rPr>
      </w:pPr>
    </w:p>
    <w:p>
      <w:pPr>
        <w:ind w:right="2500" w:firstLine="333"/>
        <w:spacing w:after="0" w:line="501" w:lineRule="auto"/>
        <w:tabs>
          <w:tab w:leader="none" w:pos="6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Includes meetings at least twice a month with organizations devoted to the treatment of alcoholism or drug abuse. These are not effective treatment:</w:t>
      </w:r>
    </w:p>
    <w:p>
      <w:pPr>
        <w:ind w:left="660" w:hanging="327"/>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Detoxification. This means mainly treating the aftereffects of a specific episode of alcoholism or drug abuse.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Maintenance care. This means providing an environment free of alcohol or drugs.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Drug</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drug product which is pharmaceutically equivalent and bioequivalent to another drug product that is customarily recognized as the brand name product throughout the pharmacist’s profession. A drug is pharmaceutically equivalent to another drug if it contains identical amounts of the same active drug ingredients in the same dosage form. A drug is bioequivalent to another drug if it has demonstrated comparable bioavailability when tested under similar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Agency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is an agency that mainly provides skilled nursing and other therapeutic services and is associated with a professional group which makes policy. This group must have at least one Physician and one R.N.; full-time supervision by a Physician or an R.N.; keeps complete medical records on each person; has a full-time administrator; and meet licensing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Care Plan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is a plan that provides for care and treatment of a disease or injury. The care and treatment must be: prescribed in writing by the attending Physician; and an alternative to confinement in a Hospital or Convalescent Facility.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320" w:top="432"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Hospice Care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is care given to a Terminally Ill person by or under arrangements with a Hospice Care Agency. The care must be part of a Hospice Care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Care Agency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is an agency or organization which has Hospice Care available 24 hours a day and meets any licensing or certification standards set forth by the jurisdiction where it is located. It provides skilled nursing services; medical social services; and psychological and dietary counseling. It provides or arranges for other services which will include services of a Physician; and physical and occupational therapy; and part-time home health aide services which mainly consist of caring for Terminally Ill persons; and inpatient care in a facility when needed for pain control and acute and chronic symptom management. It has personnel which include at least: one Physician; and one R.N.; and one licensed or certified social worker employed by the Agency. It establishes policies governing the provision of Hospice Care; assesses the patient’s medical and social needs; develops a Hospice Care Program to meet those needs; and provides an ongoing quality assurance program. This includes reviews by Physicians, other than those who own or direct the Agency; permits all area medical personnel to utilize its services for their patients; keeps a medical record on each patient; utilizes volunteers trained in providing services for non-medical needs; and has a full-time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Care Program</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is a written plan of Hospice Care which is established by, and reviewed from time to time by, a Physician attending the person and appropriate personnel of a Hospice Care Agency. It is designed to provide palliative and supportive care to Terminally Ill persons and supportive care to their families. It includes an assessment of the person’s medical and social needs and a description of the care to be given to meet those needs.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Facility</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is a facility, or distinct part of one, which mainly provides inpatient Hospice Care to Terminally Ill persons; charges its patients; meets any licensing or certification standards set forth by the jurisdiction where it is located; keeps a medical record on each patient; and provides an ongoing quality assurance program. The program includes reviews by Physicians other than those who own or direct the facility; is run by a staff of Physicians, at least one such Physician must be on call at all times; provides 24 hours a day nursing services under the direction of an R.N.; and has a full-time administrator.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place that:</w:t>
      </w:r>
    </w:p>
    <w:p>
      <w:pPr>
        <w:spacing w:after="0" w:line="225" w:lineRule="exact"/>
        <w:rPr>
          <w:sz w:val="20"/>
          <w:szCs w:val="20"/>
          <w:color w:val="auto"/>
        </w:rPr>
      </w:pPr>
    </w:p>
    <w:p>
      <w:pPr>
        <w:ind w:left="660" w:hanging="327"/>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Mainly provides inpatient facilities for the surgical and medical diagnosis, treatment, and care of injured and sick persons;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Is supervised by a staff of Physicians;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Provides 24 hour a day R.N. service;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Is not mainly a place for rest, for the aged, for drug addicts, for alcoholics, or a nursing home.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L.P.N.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Licensed Practical Nurse.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320" w:top="432"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Medicare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XVIII (Health Insurance for the Aged and Disabled) of the U.S. Social Security Act, as amended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Mental Disorder</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This is a disease commonly understood to be a mental disorder whether or not it has a physiological or organic basis and for which treatment is generally provided by or under the direction of a mental health professional such as a psychiatrist, a psychologist or a psychiatric social worker. A mental disorder includes; but is not limited to:</w:t>
      </w:r>
    </w:p>
    <w:p>
      <w:pPr>
        <w:spacing w:after="0" w:line="181" w:lineRule="exact"/>
        <w:rPr>
          <w:sz w:val="20"/>
          <w:szCs w:val="20"/>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Alcoholism and drug abuse.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Schizophrenia.</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Bipolar disorder.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Pervasive Mental Developmental Disorder (Autism).</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Panic disorder.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Major depressive disorder.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Psychotic depression.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Obsessive compulsive disorder.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purposes of benefits under this Plan, mental disorder will include alcoholism and drug abuse only if any separate benefit for a particular type of treatment does not apply to alcoholism and drug abuse.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Necessary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service or supply furnished by a particular provider is necessary if Aetna determines that it is appropriate for the diagnosis, the care or the treatment of the disease or injury involved.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be appropriate, the service or supply must:</w:t>
      </w:r>
    </w:p>
    <w:p>
      <w:pPr>
        <w:spacing w:after="0" w:line="225" w:lineRule="exact"/>
        <w:rPr>
          <w:sz w:val="20"/>
          <w:szCs w:val="20"/>
          <w:color w:val="auto"/>
        </w:rPr>
      </w:pPr>
    </w:p>
    <w:p>
      <w:pPr>
        <w:ind w:left="660" w:right="100" w:hanging="327"/>
        <w:spacing w:after="0" w:line="277"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Be care or treatment, as likely to produce a significant positive outcome as, and no more likely to produce a negative outcome than, any alternative service or supply, both as to the disease or injury involved and the person’s overall health condition;</w:t>
      </w:r>
    </w:p>
    <w:p>
      <w:pPr>
        <w:spacing w:after="0" w:line="183" w:lineRule="exact"/>
        <w:rPr>
          <w:rFonts w:ascii="Arial" w:cs="Arial" w:eastAsia="Arial" w:hAnsi="Arial"/>
          <w:sz w:val="18"/>
          <w:szCs w:val="18"/>
          <w:color w:val="auto"/>
        </w:rPr>
      </w:pPr>
    </w:p>
    <w:p>
      <w:pPr>
        <w:ind w:left="660" w:right="60" w:hanging="327"/>
        <w:spacing w:after="0" w:line="264"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Be a diagnostic procedure, indicated by the health status of the person and be as likely to result in information that could affect the course of treatment as, and no more likely to produce a negative outcome than, any alternative service or supply, both as to the disease or injury involved and the person’s overall health condition; and</w:t>
      </w:r>
    </w:p>
    <w:p>
      <w:pPr>
        <w:spacing w:after="0" w:line="181" w:lineRule="exact"/>
        <w:rPr>
          <w:rFonts w:ascii="Arial" w:cs="Arial" w:eastAsia="Arial" w:hAnsi="Arial"/>
          <w:sz w:val="18"/>
          <w:szCs w:val="18"/>
          <w:color w:val="auto"/>
        </w:rPr>
      </w:pPr>
    </w:p>
    <w:p>
      <w:pPr>
        <w:ind w:left="660" w:hanging="327"/>
        <w:spacing w:after="0" w:line="277"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to diagnosis, care and treatment be no more costly (taking into account all health expenses incurred in connection with the service or supply) than any alternate service or supply to meet the above tests.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if a service or supply is appropriate under the circumstances, Aetna will take into consideration:</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320" w:top="432" w:right="239" w:bottom="1440" w:gutter="0" w:footer="0" w:header="0"/>
        </w:sectPr>
      </w:pPr>
    </w:p>
    <w:bookmarkStart w:id="181" w:name="page182"/>
    <w:bookmarkEnd w:id="181"/>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Information provided on the affected person’s health status;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Reports in peer reviewed medical literature;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Reports and guidelines published by nationally recognized healthcare organizations that include supporting scientific data;</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Generally recognized professional standards of safety and effectiveness in the United States for diagnosis, care or treatment;</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opinion of health professionals in the generally recognized health specialty involved;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other relevant information brought to Aetna’s attention.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7"/>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Those that do not require the technical skills of a medical, mental health or dental professional; or</w:t>
      </w:r>
    </w:p>
    <w:p>
      <w:pPr>
        <w:spacing w:after="0" w:line="225" w:lineRule="exact"/>
        <w:rPr>
          <w:rFonts w:ascii="Arial" w:cs="Arial" w:eastAsia="Arial" w:hAnsi="Arial"/>
          <w:sz w:val="18"/>
          <w:szCs w:val="18"/>
          <w:color w:val="auto"/>
        </w:rPr>
      </w:pPr>
    </w:p>
    <w:p>
      <w:pPr>
        <w:ind w:left="660" w:hanging="327"/>
        <w:spacing w:after="0" w:line="277"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Those furnished mainly for the personal comfort or convenience of the person, any person who cares for him or her, any person who is part of his or her family, any healthcare provider or healthcare facility; or</w:t>
      </w:r>
    </w:p>
    <w:p>
      <w:pPr>
        <w:spacing w:after="0" w:line="170" w:lineRule="exact"/>
        <w:rPr>
          <w:rFonts w:ascii="Arial" w:cs="Arial" w:eastAsia="Arial" w:hAnsi="Arial"/>
          <w:sz w:val="18"/>
          <w:szCs w:val="18"/>
          <w:color w:val="auto"/>
        </w:rPr>
      </w:pPr>
    </w:p>
    <w:p>
      <w:pPr>
        <w:ind w:left="660" w:right="160" w:hanging="327"/>
        <w:spacing w:after="0" w:line="277"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Those furnished solely because of the setting if the service or supply could safely and adequately be furnished in a Physician’s or a dentist’s office or other less costly setting.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Negotiated Charge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is the maximum charge a PCP, specialist or facility has agreed to make as to any service or supply for the purpose of the benefits under the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Non-Occupational Disease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non-occupational disease is a disease that does not:</w:t>
      </w:r>
    </w:p>
    <w:p>
      <w:pPr>
        <w:spacing w:after="0" w:line="225" w:lineRule="exact"/>
        <w:rPr>
          <w:sz w:val="20"/>
          <w:szCs w:val="20"/>
          <w:color w:val="auto"/>
        </w:rPr>
      </w:pPr>
    </w:p>
    <w:p>
      <w:pPr>
        <w:ind w:left="660" w:hanging="327"/>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Arise out of (or in the course of) any work for pay or profit;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Result in any way from a disease that does.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7"/>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covered under any type of workers’ compensation law;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not covered for that disease under such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Non-Occupational Injury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non-occupational injury is an accidental bodily injury that does not:</w:t>
      </w:r>
    </w:p>
    <w:p>
      <w:pPr>
        <w:spacing w:after="0" w:line="225" w:lineRule="exact"/>
        <w:rPr>
          <w:sz w:val="20"/>
          <w:szCs w:val="20"/>
          <w:color w:val="auto"/>
        </w:rPr>
      </w:pPr>
    </w:p>
    <w:p>
      <w:pPr>
        <w:ind w:left="660" w:hanging="327"/>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Arise out of (or in the course of) any work for pay or profit;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Result in any way from an injury which does.</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320" w:top="436"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Officer</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CEO, Executive Vice President, Senior Vice President of Booz Allen Hamilton. Certain Vice Presidents of Booz Allen Hamilton who held the position of Senior Director prior to October 1, 2009 are also considered to be Officers for purposes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licensed practitioner of the healing arts acting within the scope of the license.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Pharmacy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pharmacy, including a mail order pharmacy, which is party to a contract with Aetna to dispense drugs to persons covered under this Plan, but only:</w:t>
      </w:r>
    </w:p>
    <w:p>
      <w:pPr>
        <w:spacing w:after="0" w:line="250" w:lineRule="exact"/>
        <w:rPr>
          <w:sz w:val="20"/>
          <w:szCs w:val="20"/>
          <w:color w:val="auto"/>
        </w:rPr>
      </w:pPr>
    </w:p>
    <w:p>
      <w:pPr>
        <w:ind w:left="660" w:hanging="327"/>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While the contract remains in effect;</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While such a pharmacy dispenses a prescription drug under the terms of its contract with Aetna.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Treatment Facility—Alcoholism and Drug Abuse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an institution that meets all of the following requirements:</w:t>
      </w:r>
    </w:p>
    <w:p>
      <w:pPr>
        <w:spacing w:after="0" w:line="225" w:lineRule="exact"/>
        <w:rPr>
          <w:sz w:val="20"/>
          <w:szCs w:val="20"/>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On-site licensed Behavioral Health Provider 24 hours per day/7 days a week.</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Provides a comprehensive patient assessment (preferably before admission, but at least upon admission).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Is admitted by a Physician.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Has access to necessary medical services 24 hours per day/7 days a week.</w:t>
      </w:r>
    </w:p>
    <w:p>
      <w:pPr>
        <w:spacing w:after="0" w:line="225" w:lineRule="exact"/>
        <w:rPr>
          <w:rFonts w:ascii="Arial" w:cs="Arial" w:eastAsia="Arial" w:hAnsi="Arial"/>
          <w:sz w:val="18"/>
          <w:szCs w:val="18"/>
          <w:color w:val="auto"/>
        </w:rPr>
      </w:pPr>
    </w:p>
    <w:p>
      <w:pPr>
        <w:ind w:left="660" w:right="120" w:hanging="327"/>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member requires detoxification services, must have the availability of on-site medical treatment 24 hours per day/7 days a week, which must be actively supervised by an attending Physician.</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Provides living arrangements that foster community living and peer interaction that are consistent with developmental needs.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Offers group therapy sessions with at least an RN or Masters-Level Health Professional.</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Has the ability to involve family/support systems in therapy (required for children and adolescents; encouraged for adults).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Provides access to at least weekly sessions with a Psychiatrist or psychologist for individual psychotherapy.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Has peer oriented activities.</w:t>
      </w:r>
    </w:p>
    <w:p>
      <w:pPr>
        <w:spacing w:after="0" w:line="225" w:lineRule="exact"/>
        <w:rPr>
          <w:rFonts w:ascii="Arial" w:cs="Arial" w:eastAsia="Arial" w:hAnsi="Arial"/>
          <w:sz w:val="18"/>
          <w:szCs w:val="18"/>
          <w:color w:val="auto"/>
        </w:rPr>
      </w:pPr>
    </w:p>
    <w:p>
      <w:pPr>
        <w:ind w:left="660" w:right="180" w:hanging="327"/>
        <w:spacing w:after="0" w:line="342" w:lineRule="auto"/>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Services are managed by a licensed Behavioral Health Provider who, while not needing to be individually contracted, needs to (1) meet the Aetna credentialing criteria as an individual practitioner, and (2) function under the direction/supervision of a licensed psychiatrist (Medical Director).</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320" w:top="432" w:right="239" w:bottom="1440" w:gutter="0" w:footer="0" w:header="0"/>
        </w:sectPr>
      </w:pPr>
    </w:p>
    <w:bookmarkStart w:id="183" w:name="page184"/>
    <w:bookmarkEnd w:id="183"/>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Has individualized active treatment plan directed toward the alleviation of the impairment that caused the admission.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Provides a level of skilled intervention consistent with patient risk.</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Meets any and all applicable licensing standards established by the jurisdiction in which it is located.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 not a Wilderness Treatment Program or any such related or similar program, school and/or education service.</w:t>
      </w:r>
    </w:p>
    <w:p>
      <w:pPr>
        <w:spacing w:after="0" w:line="225" w:lineRule="exact"/>
        <w:rPr>
          <w:rFonts w:ascii="Arial" w:cs="Arial" w:eastAsia="Arial" w:hAnsi="Arial"/>
          <w:sz w:val="18"/>
          <w:szCs w:val="18"/>
          <w:color w:val="auto"/>
        </w:rPr>
      </w:pPr>
    </w:p>
    <w:p>
      <w:pPr>
        <w:ind w:left="660" w:right="580" w:hanging="327"/>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Ability to assess and recognize withdrawal complications that threaten life or bodily functions and to obtain needed services either on site or externally.</w:t>
      </w:r>
    </w:p>
    <w:p>
      <w:pPr>
        <w:spacing w:after="0" w:line="170" w:lineRule="exact"/>
        <w:rPr>
          <w:rFonts w:ascii="Arial" w:cs="Arial" w:eastAsia="Arial" w:hAnsi="Arial"/>
          <w:sz w:val="18"/>
          <w:szCs w:val="18"/>
          <w:color w:val="auto"/>
        </w:rPr>
      </w:pPr>
    </w:p>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24 hours per day/7 days a week supervision by a Physician with evidence of close and frequent observation.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On-site, licensed Behavioral Health Provider, medical or substance abuse professionals 24 hours per day/7 days a week.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Registered Nurse.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Semiprivate Rate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is the charge for room and board which an institution applies to the most beds in its semiprivate rooms with 2 or more beds. If there are no such rooms, Aetna will figure the rate. It will be the rate most commonly charged by similar institutions in the same geographic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Temporomandibular Joint Dysfunction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Temporomandibular Joint Dysfunction (TMJ), a disorder in the relationship between the jaws or jaw joints and muscles and nerves.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Terminally 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a medical prognosis of six months or less to live.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Totally Disabled</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You will be considered totally disabled if, because of an injury or a sickness, you are unable to perform all of the substantial and material duties of your regular employment or occupation. Your dependent will be considered totally disabled if, because of an injury or a sickness, he or she is unable to perform the normal activities of a person of like age and sex.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Urgent Admission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One where the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admits the person to the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due to:</w:t>
      </w:r>
    </w:p>
    <w:p>
      <w:pPr>
        <w:spacing w:after="0" w:line="229" w:lineRule="exact"/>
        <w:rPr>
          <w:sz w:val="20"/>
          <w:szCs w:val="20"/>
          <w:color w:val="auto"/>
        </w:rPr>
      </w:pPr>
    </w:p>
    <w:p>
      <w:pPr>
        <w:ind w:left="660" w:hanging="327"/>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onset of or change in a disease; or</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diagnosis of a disease; or</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320" w:top="436" w:right="239" w:bottom="1440" w:gutter="0" w:footer="0" w:header="0"/>
        </w:sectPr>
      </w:pPr>
    </w:p>
    <w:bookmarkStart w:id="184" w:name="page185"/>
    <w:bookmarkEnd w:id="184"/>
    <w:p>
      <w:pPr>
        <w:ind w:left="660" w:hanging="327"/>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injury caused by an accident;</w:t>
      </w:r>
    </w:p>
    <w:p>
      <w:pPr>
        <w:spacing w:after="0" w:line="22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which, while not needing an </w:t>
      </w:r>
      <w:r>
        <w:rPr>
          <w:rFonts w:ascii="Arial" w:cs="Arial" w:eastAsia="Arial" w:hAnsi="Arial"/>
          <w:sz w:val="18"/>
          <w:szCs w:val="18"/>
          <w:b w:val="1"/>
          <w:bCs w:val="1"/>
          <w:color w:val="auto"/>
        </w:rPr>
        <w:t>emergency admission</w:t>
      </w:r>
      <w:r>
        <w:rPr>
          <w:rFonts w:ascii="Arial" w:cs="Arial" w:eastAsia="Arial" w:hAnsi="Arial"/>
          <w:sz w:val="18"/>
          <w:szCs w:val="18"/>
          <w:color w:val="auto"/>
        </w:rPr>
        <w:t xml:space="preserve">, is severe enough to require confinement as an inpatient in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within 2 weeks from the date the need for the confinement becomes apparent.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Urgent Care Provider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a freestanding medical facility which:</w:t>
      </w:r>
    </w:p>
    <w:p>
      <w:pPr>
        <w:spacing w:after="0" w:line="225" w:lineRule="exact"/>
        <w:rPr>
          <w:sz w:val="20"/>
          <w:szCs w:val="20"/>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Provides unscheduled medical services to treat an urgent condition if the person’s physician is not reasonably available.</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Routinely provides ongoing unscheduled medical services for more than 8 consecutive hours.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Makes charges.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licensed and certified as required by any state or federal law or regulation.</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Keeps a medical record on each patient.</w:t>
      </w:r>
    </w:p>
    <w:p>
      <w:pPr>
        <w:spacing w:after="0" w:line="221"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Provides an ongoing quality assurance program. This includes reviews by </w:t>
      </w:r>
      <w:r>
        <w:rPr>
          <w:rFonts w:ascii="Arial" w:cs="Arial" w:eastAsia="Arial" w:hAnsi="Arial"/>
          <w:sz w:val="18"/>
          <w:szCs w:val="18"/>
          <w:b w:val="1"/>
          <w:bCs w:val="1"/>
          <w:color w:val="auto"/>
        </w:rPr>
        <w:t>physicians</w:t>
      </w:r>
      <w:r>
        <w:rPr>
          <w:rFonts w:ascii="Arial" w:cs="Arial" w:eastAsia="Arial" w:hAnsi="Arial"/>
          <w:sz w:val="18"/>
          <w:szCs w:val="18"/>
          <w:color w:val="auto"/>
        </w:rPr>
        <w:t xml:space="preserve"> other than those who own or direct the facility.</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Is run by a staff of </w:t>
      </w:r>
      <w:r>
        <w:rPr>
          <w:rFonts w:ascii="Arial" w:cs="Arial" w:eastAsia="Arial" w:hAnsi="Arial"/>
          <w:sz w:val="18"/>
          <w:szCs w:val="18"/>
          <w:b w:val="1"/>
          <w:bCs w:val="1"/>
          <w:color w:val="auto"/>
        </w:rPr>
        <w:t>physicians</w:t>
      </w:r>
      <w:r>
        <w:rPr>
          <w:rFonts w:ascii="Arial" w:cs="Arial" w:eastAsia="Arial" w:hAnsi="Arial"/>
          <w:sz w:val="18"/>
          <w:szCs w:val="18"/>
          <w:color w:val="auto"/>
        </w:rPr>
        <w:t xml:space="preserve">. At least one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must be on call at all times.</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Has a full-time administrator who is a licensed </w:t>
      </w:r>
      <w:r>
        <w:rPr>
          <w:rFonts w:ascii="Arial" w:cs="Arial" w:eastAsia="Arial" w:hAnsi="Arial"/>
          <w:sz w:val="18"/>
          <w:szCs w:val="18"/>
          <w:b w:val="1"/>
          <w:bCs w:val="1"/>
          <w:color w:val="auto"/>
        </w:rPr>
        <w:t>physician</w:t>
      </w:r>
      <w:r>
        <w:rPr>
          <w:rFonts w:ascii="Arial" w:cs="Arial" w:eastAsia="Arial" w:hAnsi="Arial"/>
          <w:sz w:val="18"/>
          <w:szCs w:val="18"/>
          <w:color w:val="auto"/>
        </w:rPr>
        <w:t>.</w:t>
      </w:r>
    </w:p>
    <w:p>
      <w:pPr>
        <w:spacing w:after="0" w:line="2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physician’s</w:t>
      </w:r>
      <w:r>
        <w:rPr>
          <w:rFonts w:ascii="Arial" w:cs="Arial" w:eastAsia="Arial" w:hAnsi="Arial"/>
          <w:sz w:val="18"/>
          <w:szCs w:val="18"/>
          <w:color w:val="auto"/>
        </w:rPr>
        <w:t xml:space="preserve"> office, but only one that has contracted with Aetna to provide urgent care; and is, with Aetna’s consent, included in the Directory as a Preferred Urgent Care Provider.</w:t>
      </w:r>
    </w:p>
    <w:p>
      <w:pPr>
        <w:spacing w:after="0" w:line="270" w:lineRule="exact"/>
        <w:rPr>
          <w:sz w:val="20"/>
          <w:szCs w:val="20"/>
          <w:color w:val="auto"/>
        </w:rPr>
      </w:pPr>
    </w:p>
    <w:p>
      <w:pPr>
        <w:ind w:right="5020"/>
        <w:spacing w:after="0" w:line="407" w:lineRule="auto"/>
        <w:rPr>
          <w:sz w:val="20"/>
          <w:szCs w:val="20"/>
          <w:color w:val="auto"/>
        </w:rPr>
      </w:pPr>
      <w:r>
        <w:rPr>
          <w:rFonts w:ascii="Arial" w:cs="Arial" w:eastAsia="Arial" w:hAnsi="Arial"/>
          <w:sz w:val="18"/>
          <w:szCs w:val="18"/>
          <w:color w:val="auto"/>
        </w:rPr>
        <w:t xml:space="preserve">It is not the emergency room or outpatient department of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w:t>
      </w:r>
      <w:r>
        <w:rPr>
          <w:rFonts w:ascii="Arial" w:cs="Arial" w:eastAsia="Arial" w:hAnsi="Arial"/>
          <w:sz w:val="18"/>
          <w:szCs w:val="18"/>
          <w:b w:val="1"/>
          <w:bCs w:val="1"/>
          <w:color w:val="auto"/>
        </w:rPr>
        <w:t>Urgent Condition</w:t>
      </w:r>
      <w:r>
        <w:rPr>
          <w:rFonts w:ascii="Arial" w:cs="Arial" w:eastAsia="Arial" w:hAnsi="Arial"/>
          <w:sz w:val="18"/>
          <w:szCs w:val="18"/>
          <w:color w:val="auto"/>
        </w:rPr>
        <w:t xml:space="preserve"> This means a sudden illness; injury; or condition; that:</w:t>
      </w:r>
    </w:p>
    <w:p>
      <w:pPr>
        <w:spacing w:after="0" w:line="45" w:lineRule="exact"/>
        <w:rPr>
          <w:sz w:val="20"/>
          <w:szCs w:val="20"/>
          <w:color w:val="auto"/>
        </w:rPr>
      </w:pPr>
    </w:p>
    <w:p>
      <w:pPr>
        <w:ind w:left="660" w:hanging="327"/>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Is severe enough to require prompt medical attention to avoid serious deterioration of the covered person’s health;</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Includes a condition which would subject the covered person to severe pain that could not be adequately managed without urgent care or treatment;</w:t>
      </w:r>
    </w:p>
    <w:p>
      <w:pPr>
        <w:spacing w:after="0" w:line="244" w:lineRule="exact"/>
        <w:rPr>
          <w:rFonts w:ascii="Arial" w:cs="Arial" w:eastAsia="Arial" w:hAnsi="Arial"/>
          <w:sz w:val="16"/>
          <w:szCs w:val="16"/>
          <w:color w:val="auto"/>
        </w:rPr>
      </w:pPr>
    </w:p>
    <w:p>
      <w:pPr>
        <w:ind w:left="660" w:hanging="327"/>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Does not require the level of care provided in the emergency room of a </w:t>
      </w:r>
      <w:r>
        <w:rPr>
          <w:rFonts w:ascii="Arial" w:cs="Arial" w:eastAsia="Arial" w:hAnsi="Arial"/>
          <w:sz w:val="18"/>
          <w:szCs w:val="18"/>
          <w:b w:val="1"/>
          <w:bCs w:val="1"/>
          <w:color w:val="auto"/>
        </w:rPr>
        <w:t>hospital</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327"/>
        <w:spacing w:after="0"/>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Requires immediate outpatient medical care that cannot be postponed until the covered person’s </w:t>
      </w:r>
      <w:r>
        <w:rPr>
          <w:rFonts w:ascii="Arial" w:cs="Arial" w:eastAsia="Arial" w:hAnsi="Arial"/>
          <w:sz w:val="17"/>
          <w:szCs w:val="17"/>
          <w:b w:val="1"/>
          <w:bCs w:val="1"/>
          <w:color w:val="auto"/>
        </w:rPr>
        <w:t>physician</w:t>
      </w:r>
      <w:r>
        <w:rPr>
          <w:rFonts w:ascii="Arial" w:cs="Arial" w:eastAsia="Arial" w:hAnsi="Arial"/>
          <w:sz w:val="17"/>
          <w:szCs w:val="17"/>
          <w:color w:val="auto"/>
        </w:rPr>
        <w:t xml:space="preserve"> becomes reasonably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CH1 5383926v.3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320" w:top="43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BENEFIT PLAN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Prepared Exclusively For Booz Allen Hamilton</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Retired Officers Traditional Choice Medical</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6"/>
          <w:szCs w:val="36"/>
          <w:b w:val="1"/>
          <w:bCs w:val="1"/>
          <w:color w:val="FFFFFF"/>
        </w:rPr>
        <w:t>What Your Plan Covers and How</w:t>
      </w:r>
    </w:p>
    <w:p>
      <w:pPr>
        <w:spacing w:after="0" w:line="33" w:lineRule="exact"/>
        <w:rPr>
          <w:sz w:val="20"/>
          <w:szCs w:val="20"/>
          <w:color w:val="auto"/>
        </w:rPr>
      </w:pPr>
    </w:p>
    <w:p>
      <w:pPr>
        <w:spacing w:after="0"/>
        <w:rPr>
          <w:sz w:val="20"/>
          <w:szCs w:val="20"/>
          <w:color w:val="auto"/>
        </w:rPr>
      </w:pPr>
      <w:r>
        <w:rPr>
          <w:rFonts w:ascii="Arial" w:cs="Arial" w:eastAsia="Arial" w:hAnsi="Arial"/>
          <w:sz w:val="36"/>
          <w:szCs w:val="36"/>
          <w:b w:val="1"/>
          <w:bCs w:val="1"/>
          <w:color w:val="FFFFFF"/>
        </w:rPr>
        <w:t>Benefits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25"/>
          <w:szCs w:val="25"/>
          <w:b w:val="1"/>
          <w:bCs w:val="1"/>
          <w:color w:val="auto"/>
        </w:rPr>
        <w:t>Aetna Life Insurance Company Booklet-Certificate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Booklet-Certificate is part of the Group Insurance Policy between </w:t>
      </w:r>
      <w:r>
        <w:rPr>
          <w:rFonts w:ascii="Arial" w:cs="Arial" w:eastAsia="Arial" w:hAnsi="Arial"/>
          <w:sz w:val="18"/>
          <w:szCs w:val="18"/>
          <w:b w:val="1"/>
          <w:bCs w:val="1"/>
          <w:color w:val="auto"/>
        </w:rPr>
        <w:t>Aetna</w:t>
      </w:r>
      <w:r>
        <w:rPr>
          <w:rFonts w:ascii="Arial" w:cs="Arial" w:eastAsia="Arial" w:hAnsi="Arial"/>
          <w:sz w:val="18"/>
          <w:szCs w:val="18"/>
          <w:color w:val="auto"/>
        </w:rPr>
        <w:t xml:space="preserve"> Life Insurance Company and the Policyholder</w:t>
      </w:r>
    </w:p>
    <w:p>
      <w:pPr>
        <w:sectPr>
          <w:pgSz w:w="11900" w:h="16838" w:orient="portrait"/>
          <w:cols w:equalWidth="0" w:num="1">
            <w:col w:w="11220"/>
          </w:cols>
          <w:pgMar w:left="440" w:top="121" w:right="239" w:bottom="1440" w:gutter="0" w:footer="0" w:header="0"/>
        </w:sectPr>
      </w:pPr>
    </w:p>
    <w:bookmarkStart w:id="186" w:name="page187"/>
    <w:bookmarkEnd w:id="186"/>
    <w:p>
      <w:pPr>
        <w:spacing w:after="0"/>
        <w:rPr>
          <w:sz w:val="20"/>
          <w:szCs w:val="20"/>
          <w:color w:val="auto"/>
        </w:rPr>
      </w:pPr>
      <w:r>
        <w:rPr>
          <w:rFonts w:ascii="Arial" w:cs="Arial" w:eastAsia="Arial" w:hAnsi="Arial"/>
          <w:sz w:val="43"/>
          <w:szCs w:val="43"/>
          <w:b w:val="1"/>
          <w:bCs w:val="1"/>
          <w:color w:val="auto"/>
        </w:rPr>
        <w:t>Table of Contents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60" w:type="dxa"/>
            <w:vAlign w:val="bottom"/>
            <w:gridSpan w:val="3"/>
          </w:tcPr>
          <w:p>
            <w:pPr>
              <w:spacing w:after="0"/>
              <w:rPr>
                <w:sz w:val="20"/>
                <w:szCs w:val="20"/>
                <w:color w:val="auto"/>
              </w:rPr>
            </w:pPr>
            <w:r>
              <w:rPr>
                <w:rFonts w:ascii="Arial" w:cs="Arial" w:eastAsia="Arial" w:hAnsi="Arial"/>
                <w:sz w:val="18"/>
                <w:szCs w:val="18"/>
                <w:color w:val="auto"/>
              </w:rPr>
              <w:t>Schedule of Benefits ....................................................................................................................... Issued with Your Booklet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960" w:type="dxa"/>
            <w:vAlign w:val="bottom"/>
          </w:tcPr>
          <w:p>
            <w:pPr>
              <w:ind w:left="40"/>
              <w:spacing w:after="0"/>
              <w:rPr>
                <w:sz w:val="20"/>
                <w:szCs w:val="20"/>
                <w:color w:val="auto"/>
              </w:rPr>
            </w:pPr>
            <w:r>
              <w:rPr>
                <w:rFonts w:ascii="Arial" w:cs="Arial" w:eastAsia="Arial" w:hAnsi="Arial"/>
                <w:sz w:val="18"/>
                <w:szCs w:val="18"/>
                <w:color w:val="auto"/>
              </w:rPr>
              <w:t>Preface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320" w:type="dxa"/>
            <w:vAlign w:val="bottom"/>
          </w:tcPr>
          <w:p>
            <w:pPr>
              <w:ind w:left="120"/>
              <w:spacing w:after="0"/>
              <w:rPr>
                <w:sz w:val="20"/>
                <w:szCs w:val="20"/>
                <w:color w:val="auto"/>
              </w:rPr>
            </w:pPr>
            <w:r>
              <w:rPr>
                <w:rFonts w:ascii="Arial" w:cs="Arial" w:eastAsia="Arial" w:hAnsi="Arial"/>
                <w:sz w:val="18"/>
                <w:szCs w:val="18"/>
                <w:color w:val="auto"/>
              </w:rPr>
              <w:t>Hospital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4960" w:type="dxa"/>
            <w:vAlign w:val="bottom"/>
          </w:tcPr>
          <w:p>
            <w:pPr>
              <w:ind w:left="200"/>
              <w:spacing w:after="0"/>
              <w:rPr>
                <w:sz w:val="20"/>
                <w:szCs w:val="20"/>
                <w:color w:val="auto"/>
              </w:rPr>
            </w:pPr>
            <w:r>
              <w:rPr>
                <w:rFonts w:ascii="Arial" w:cs="Arial" w:eastAsia="Arial" w:hAnsi="Arial"/>
                <w:sz w:val="18"/>
                <w:szCs w:val="18"/>
                <w:color w:val="auto"/>
              </w:rPr>
              <w:t>Important Information Regarding Availability of</w:t>
            </w:r>
          </w:p>
        </w:tc>
        <w:tc>
          <w:tcPr>
            <w:tcW w:w="680" w:type="dxa"/>
            <w:vAlign w:val="bottom"/>
          </w:tcPr>
          <w:p>
            <w:pPr>
              <w:spacing w:after="0"/>
              <w:rPr>
                <w:sz w:val="22"/>
                <w:szCs w:val="22"/>
                <w:color w:val="auto"/>
              </w:rPr>
            </w:pPr>
          </w:p>
        </w:tc>
        <w:tc>
          <w:tcPr>
            <w:tcW w:w="5320" w:type="dxa"/>
            <w:vAlign w:val="bottom"/>
            <w:vMerge w:val="restart"/>
          </w:tcPr>
          <w:p>
            <w:pPr>
              <w:ind w:left="280"/>
              <w:spacing w:after="0"/>
              <w:rPr>
                <w:sz w:val="20"/>
                <w:szCs w:val="20"/>
                <w:color w:val="auto"/>
              </w:rPr>
            </w:pPr>
            <w:r>
              <w:rPr>
                <w:rFonts w:ascii="Arial" w:cs="Arial" w:eastAsia="Arial" w:hAnsi="Arial"/>
                <w:sz w:val="18"/>
                <w:szCs w:val="18"/>
                <w:color w:val="auto"/>
              </w:rPr>
              <w:t>Room and Board</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Coverage</w:t>
            </w:r>
          </w:p>
        </w:tc>
        <w:tc>
          <w:tcPr>
            <w:tcW w:w="680" w:type="dxa"/>
            <w:vAlign w:val="bottom"/>
          </w:tcPr>
          <w:p>
            <w:pPr>
              <w:spacing w:after="0"/>
              <w:rPr>
                <w:sz w:val="10"/>
                <w:szCs w:val="10"/>
                <w:color w:val="auto"/>
              </w:rPr>
            </w:pPr>
          </w:p>
        </w:tc>
        <w:tc>
          <w:tcPr>
            <w:tcW w:w="53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Coverage for You and Your Dependents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320" w:type="dxa"/>
            <w:vAlign w:val="bottom"/>
          </w:tcPr>
          <w:p>
            <w:pPr>
              <w:ind w:left="280"/>
              <w:spacing w:after="0"/>
              <w:rPr>
                <w:sz w:val="20"/>
                <w:szCs w:val="20"/>
                <w:color w:val="auto"/>
              </w:rPr>
            </w:pPr>
            <w:r>
              <w:rPr>
                <w:rFonts w:ascii="Arial" w:cs="Arial" w:eastAsia="Arial" w:hAnsi="Arial"/>
                <w:sz w:val="18"/>
                <w:szCs w:val="18"/>
                <w:color w:val="auto"/>
              </w:rPr>
              <w:t>Other Hospital Services and Supplies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Health Expense Coverage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Hospital Expenses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Treatment Outcomes of Covered Services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Coverage for Emergency Medical Conditions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When Your Coverage Begins</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5320" w:type="dxa"/>
            <w:vAlign w:val="bottom"/>
          </w:tcPr>
          <w:p>
            <w:pPr>
              <w:ind w:left="280"/>
              <w:spacing w:after="0"/>
              <w:rPr>
                <w:sz w:val="20"/>
                <w:szCs w:val="20"/>
                <w:color w:val="auto"/>
              </w:rPr>
            </w:pPr>
            <w:r>
              <w:rPr>
                <w:rFonts w:ascii="Arial" w:cs="Arial" w:eastAsia="Arial" w:hAnsi="Arial"/>
                <w:sz w:val="18"/>
                <w:szCs w:val="18"/>
                <w:color w:val="auto"/>
              </w:rPr>
              <w:t>Coverage for Urgent Conditions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Who Can Be Covered</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5320" w:type="dxa"/>
            <w:vAlign w:val="bottom"/>
          </w:tcPr>
          <w:p>
            <w:pPr>
              <w:ind w:left="120"/>
              <w:spacing w:after="0"/>
              <w:rPr>
                <w:sz w:val="20"/>
                <w:szCs w:val="20"/>
                <w:color w:val="auto"/>
              </w:rPr>
            </w:pPr>
            <w:r>
              <w:rPr>
                <w:rFonts w:ascii="Arial" w:cs="Arial" w:eastAsia="Arial" w:hAnsi="Arial"/>
                <w:sz w:val="18"/>
                <w:szCs w:val="18"/>
                <w:color w:val="auto"/>
              </w:rPr>
              <w:t>Alternatives to Hospital Stays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Surgery and Physician Surgical Services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Determining if You Are in an Eligible Class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Birthing Center</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Obtaining Coverage for Dependents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Home Health Care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How and When to Enroll</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5320" w:type="dxa"/>
            <w:vAlign w:val="bottom"/>
          </w:tcPr>
          <w:p>
            <w:pPr>
              <w:ind w:left="280"/>
              <w:spacing w:after="0"/>
              <w:rPr>
                <w:sz w:val="20"/>
                <w:szCs w:val="20"/>
                <w:color w:val="auto"/>
              </w:rPr>
            </w:pPr>
            <w:r>
              <w:rPr>
                <w:rFonts w:ascii="Arial" w:cs="Arial" w:eastAsia="Arial" w:hAnsi="Arial"/>
                <w:sz w:val="18"/>
                <w:szCs w:val="18"/>
                <w:color w:val="auto"/>
              </w:rPr>
              <w:t>Private Duty Nursing</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Initial Enrollment in the Plan</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Skilled Nursing Facility</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Special Enrollment Periods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Hospice Care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When Your Coverage Begins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5320" w:type="dxa"/>
            <w:vAlign w:val="bottom"/>
          </w:tcPr>
          <w:p>
            <w:pPr>
              <w:ind w:left="120"/>
              <w:spacing w:after="0"/>
              <w:rPr>
                <w:sz w:val="20"/>
                <w:szCs w:val="20"/>
                <w:color w:val="auto"/>
              </w:rPr>
            </w:pPr>
            <w:r>
              <w:rPr>
                <w:rFonts w:ascii="Arial" w:cs="Arial" w:eastAsia="Arial" w:hAnsi="Arial"/>
                <w:sz w:val="18"/>
                <w:szCs w:val="18"/>
                <w:color w:val="auto"/>
              </w:rPr>
              <w:t>Other Covered Health Care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Your Effective Date of Coverage</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Acupuncture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Your Dependent’s Effective Date Of Coverage</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Ambulance Service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How Your Medical Plan Works</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5320" w:type="dxa"/>
            <w:vAlign w:val="bottom"/>
          </w:tcPr>
          <w:p>
            <w:pPr>
              <w:ind w:left="280"/>
              <w:spacing w:after="0"/>
              <w:rPr>
                <w:sz w:val="20"/>
                <w:szCs w:val="20"/>
                <w:color w:val="auto"/>
              </w:rPr>
            </w:pPr>
            <w:r>
              <w:rPr>
                <w:rFonts w:ascii="Arial" w:cs="Arial" w:eastAsia="Arial" w:hAnsi="Arial"/>
                <w:sz w:val="18"/>
                <w:szCs w:val="18"/>
                <w:color w:val="auto"/>
              </w:rPr>
              <w:t>Ground Ambulance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Common Terms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320" w:type="dxa"/>
            <w:vAlign w:val="bottom"/>
          </w:tcPr>
          <w:p>
            <w:pPr>
              <w:ind w:left="280"/>
              <w:spacing w:after="0"/>
              <w:rPr>
                <w:sz w:val="20"/>
                <w:szCs w:val="20"/>
                <w:color w:val="auto"/>
              </w:rPr>
            </w:pPr>
            <w:r>
              <w:rPr>
                <w:rFonts w:ascii="Arial" w:cs="Arial" w:eastAsia="Arial" w:hAnsi="Arial"/>
                <w:sz w:val="18"/>
                <w:szCs w:val="18"/>
                <w:color w:val="auto"/>
              </w:rPr>
              <w:t>Air or Water Ambulance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About Your Comprehensive Medical Plan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320" w:type="dxa"/>
            <w:vAlign w:val="bottom"/>
          </w:tcPr>
          <w:p>
            <w:pPr>
              <w:ind w:left="280"/>
              <w:spacing w:after="0"/>
              <w:rPr>
                <w:sz w:val="20"/>
                <w:szCs w:val="20"/>
                <w:color w:val="auto"/>
              </w:rPr>
            </w:pPr>
            <w:r>
              <w:rPr>
                <w:rFonts w:ascii="Arial" w:cs="Arial" w:eastAsia="Arial" w:hAnsi="Arial"/>
                <w:sz w:val="18"/>
                <w:szCs w:val="18"/>
                <w:color w:val="auto"/>
              </w:rPr>
              <w:t>Autism Spectrum Disorders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Using the Plan</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Diagnostic and Preoperative Testing</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Cost Sharing</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Diagnostic Complex Imaging Expenses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Understanding Precertification</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Diagnostic Lab Work and Radiological Services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Services and Supplies Which Require</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Preoperative Testing</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Precertification</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Durable Medical and Surgical Equipment (DME)</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Emergency and Urgent Care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5320" w:type="dxa"/>
            <w:vAlign w:val="bottom"/>
          </w:tcPr>
          <w:p>
            <w:pPr>
              <w:ind w:left="120"/>
              <w:spacing w:after="0"/>
              <w:rPr>
                <w:sz w:val="20"/>
                <w:szCs w:val="20"/>
                <w:color w:val="auto"/>
              </w:rPr>
            </w:pPr>
            <w:r>
              <w:rPr>
                <w:rFonts w:ascii="Arial" w:cs="Arial" w:eastAsia="Arial" w:hAnsi="Arial"/>
                <w:sz w:val="18"/>
                <w:szCs w:val="18"/>
                <w:color w:val="auto"/>
              </w:rPr>
              <w:t>Experimental or Investigational Treatment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In Case of a Medical Emergency</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Pregnancy Related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Coverage for Emergency Medical Conditions</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Prosthetic Devices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In Case of an Urgent Condition</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Hearing Aids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Coverage for an Urgent Condition</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Benefits After Termination of Coverage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60" w:type="dxa"/>
            <w:vAlign w:val="bottom"/>
          </w:tcPr>
          <w:p>
            <w:pPr>
              <w:ind w:left="200"/>
              <w:spacing w:after="0"/>
              <w:rPr>
                <w:sz w:val="20"/>
                <w:szCs w:val="20"/>
                <w:color w:val="auto"/>
              </w:rPr>
            </w:pPr>
            <w:r>
              <w:rPr>
                <w:rFonts w:ascii="Arial" w:cs="Arial" w:eastAsia="Arial" w:hAnsi="Arial"/>
                <w:sz w:val="18"/>
                <w:szCs w:val="18"/>
                <w:color w:val="auto"/>
                <w:w w:val="99"/>
              </w:rPr>
              <w:t>Follow-Up Care After Treatment of an Emergency or Urgent</w:t>
            </w:r>
          </w:p>
        </w:tc>
        <w:tc>
          <w:tcPr>
            <w:tcW w:w="680" w:type="dxa"/>
            <w:vAlign w:val="bottom"/>
          </w:tcPr>
          <w:p>
            <w:pPr>
              <w:spacing w:after="0"/>
              <w:rPr>
                <w:sz w:val="22"/>
                <w:szCs w:val="22"/>
                <w:color w:val="auto"/>
              </w:rPr>
            </w:pPr>
          </w:p>
        </w:tc>
        <w:tc>
          <w:tcPr>
            <w:tcW w:w="5320" w:type="dxa"/>
            <w:vAlign w:val="bottom"/>
            <w:vMerge w:val="restart"/>
          </w:tcPr>
          <w:p>
            <w:pPr>
              <w:ind w:left="120"/>
              <w:spacing w:after="0"/>
              <w:rPr>
                <w:sz w:val="20"/>
                <w:szCs w:val="20"/>
                <w:color w:val="auto"/>
              </w:rPr>
            </w:pPr>
            <w:r>
              <w:rPr>
                <w:rFonts w:ascii="Arial" w:cs="Arial" w:eastAsia="Arial" w:hAnsi="Arial"/>
                <w:sz w:val="18"/>
                <w:szCs w:val="18"/>
                <w:color w:val="auto"/>
              </w:rPr>
              <w:t>Short-Term Rehabilitation Therapy Services</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2"/>
        </w:trPr>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Medical Condition</w:t>
            </w:r>
          </w:p>
        </w:tc>
        <w:tc>
          <w:tcPr>
            <w:tcW w:w="680" w:type="dxa"/>
            <w:vAlign w:val="bottom"/>
          </w:tcPr>
          <w:p>
            <w:pPr>
              <w:spacing w:after="0"/>
              <w:rPr>
                <w:sz w:val="10"/>
                <w:szCs w:val="10"/>
                <w:color w:val="auto"/>
              </w:rPr>
            </w:pPr>
          </w:p>
        </w:tc>
        <w:tc>
          <w:tcPr>
            <w:tcW w:w="53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Requirements for Coverage</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5320" w:type="dxa"/>
            <w:vAlign w:val="bottom"/>
          </w:tcPr>
          <w:p>
            <w:pPr>
              <w:ind w:left="280"/>
              <w:spacing w:after="0"/>
              <w:rPr>
                <w:sz w:val="20"/>
                <w:szCs w:val="20"/>
                <w:color w:val="auto"/>
              </w:rPr>
            </w:pPr>
            <w:r>
              <w:rPr>
                <w:rFonts w:ascii="Arial" w:cs="Arial" w:eastAsia="Arial" w:hAnsi="Arial"/>
                <w:sz w:val="18"/>
                <w:szCs w:val="18"/>
                <w:color w:val="auto"/>
              </w:rPr>
              <w:t>Cardiac and Pulmonary Rehabilitation Benefits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What The Plan Covers</w:t>
            </w: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11</w:t>
            </w: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Cognitive Therapy, Physical Therapy, Occupational</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320" w:type="dxa"/>
            <w:vAlign w:val="bottom"/>
            <w:vMerge w:val="restart"/>
          </w:tcPr>
          <w:p>
            <w:pPr>
              <w:ind w:left="280"/>
              <w:spacing w:after="0"/>
              <w:rPr>
                <w:sz w:val="20"/>
                <w:szCs w:val="20"/>
                <w:color w:val="auto"/>
              </w:rPr>
            </w:pPr>
            <w:r>
              <w:rPr>
                <w:rFonts w:ascii="Arial" w:cs="Arial" w:eastAsia="Arial" w:hAnsi="Arial"/>
                <w:sz w:val="18"/>
                <w:szCs w:val="18"/>
                <w:color w:val="auto"/>
              </w:rPr>
              <w:t>Therapy and Speech Therapy Rehabilitation Benefits.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Medical Plan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5320" w:type="dxa"/>
            <w:vAlign w:val="bottom"/>
          </w:tcPr>
          <w:p>
            <w:pPr>
              <w:ind w:left="120"/>
              <w:spacing w:after="0"/>
              <w:rPr>
                <w:sz w:val="20"/>
                <w:szCs w:val="20"/>
                <w:color w:val="auto"/>
              </w:rPr>
            </w:pPr>
            <w:r>
              <w:rPr>
                <w:rFonts w:ascii="Arial" w:cs="Arial" w:eastAsia="Arial" w:hAnsi="Arial"/>
                <w:sz w:val="18"/>
                <w:szCs w:val="18"/>
                <w:color w:val="auto"/>
              </w:rPr>
              <w:t>Reconstructive or Cosmetic Surgery and Supplies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Preventive Care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5320" w:type="dxa"/>
            <w:vAlign w:val="bottom"/>
          </w:tcPr>
          <w:p>
            <w:pPr>
              <w:ind w:left="280"/>
              <w:spacing w:after="0"/>
              <w:rPr>
                <w:sz w:val="20"/>
                <w:szCs w:val="20"/>
                <w:color w:val="auto"/>
              </w:rPr>
            </w:pPr>
            <w:r>
              <w:rPr>
                <w:rFonts w:ascii="Arial" w:cs="Arial" w:eastAsia="Arial" w:hAnsi="Arial"/>
                <w:sz w:val="18"/>
                <w:szCs w:val="18"/>
                <w:color w:val="auto"/>
              </w:rPr>
              <w:t>Reconstructive Breast Surgery</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Routine Physical Exams</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Specialized Care</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Routine Cancer Screenings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Chemotherapy</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Family Planning Services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Radiation Therapy Benefits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Vision Care Services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Outpatient Infusion Therapy Benefits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Diabetic Supplies, Equipment, and Training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Hearing Exam</w:t>
            </w:r>
          </w:p>
        </w:tc>
        <w:tc>
          <w:tcPr>
            <w:tcW w:w="680" w:type="dxa"/>
            <w:vAlign w:val="bottom"/>
          </w:tcPr>
          <w:p>
            <w:pPr>
              <w:spacing w:after="0"/>
              <w:rPr>
                <w:sz w:val="23"/>
                <w:szCs w:val="23"/>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Treatment of Infertility</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Physician Services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5320" w:type="dxa"/>
            <w:vAlign w:val="bottom"/>
          </w:tcPr>
          <w:p>
            <w:pPr>
              <w:ind w:left="280"/>
              <w:spacing w:after="0"/>
              <w:rPr>
                <w:sz w:val="20"/>
                <w:szCs w:val="20"/>
                <w:color w:val="auto"/>
              </w:rPr>
            </w:pPr>
            <w:r>
              <w:rPr>
                <w:rFonts w:ascii="Arial" w:cs="Arial" w:eastAsia="Arial" w:hAnsi="Arial"/>
                <w:sz w:val="18"/>
                <w:szCs w:val="18"/>
                <w:color w:val="auto"/>
              </w:rPr>
              <w:t>Basic Infertility Expenses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Physician Visits</w:t>
            </w:r>
          </w:p>
        </w:tc>
        <w:tc>
          <w:tcPr>
            <w:tcW w:w="680" w:type="dxa"/>
            <w:vAlign w:val="bottom"/>
          </w:tcPr>
          <w:p>
            <w:pPr>
              <w:spacing w:after="0"/>
              <w:rPr>
                <w:sz w:val="22"/>
                <w:szCs w:val="22"/>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w w:val="95"/>
              </w:rPr>
              <w:t>Comprehensive Infertility and Advanced Reproductive Technology</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5320" w:type="dxa"/>
            <w:vAlign w:val="bottom"/>
            <w:vMerge w:val="restart"/>
          </w:tcPr>
          <w:p>
            <w:pPr>
              <w:ind w:left="280"/>
              <w:spacing w:after="0"/>
              <w:rPr>
                <w:sz w:val="20"/>
                <w:szCs w:val="20"/>
                <w:color w:val="auto"/>
              </w:rPr>
            </w:pPr>
            <w:r>
              <w:rPr>
                <w:rFonts w:ascii="Arial" w:cs="Arial" w:eastAsia="Arial" w:hAnsi="Arial"/>
                <w:sz w:val="18"/>
                <w:szCs w:val="18"/>
                <w:color w:val="auto"/>
              </w:rPr>
              <w:t>(ART) Expenses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Surgery</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Comprehensive Infertility Services Benefits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0"/>
              <w:spacing w:after="0"/>
              <w:rPr>
                <w:sz w:val="20"/>
                <w:szCs w:val="20"/>
                <w:color w:val="auto"/>
              </w:rPr>
            </w:pPr>
            <w:r>
              <w:rPr>
                <w:rFonts w:ascii="Arial" w:cs="Arial" w:eastAsia="Arial" w:hAnsi="Arial"/>
                <w:sz w:val="18"/>
                <w:szCs w:val="18"/>
                <w:color w:val="auto"/>
              </w:rPr>
              <w:t>Anesthetics</w:t>
            </w:r>
          </w:p>
        </w:tc>
        <w:tc>
          <w:tcPr>
            <w:tcW w:w="680" w:type="dxa"/>
            <w:vAlign w:val="bottom"/>
          </w:tcPr>
          <w:p>
            <w:pPr>
              <w:spacing w:after="0"/>
              <w:rPr>
                <w:sz w:val="23"/>
                <w:szCs w:val="23"/>
                <w:color w:val="auto"/>
              </w:rPr>
            </w:pPr>
          </w:p>
        </w:tc>
        <w:tc>
          <w:tcPr>
            <w:tcW w:w="5320" w:type="dxa"/>
            <w:vAlign w:val="bottom"/>
          </w:tcPr>
          <w:p>
            <w:pPr>
              <w:ind w:left="280"/>
              <w:spacing w:after="0"/>
              <w:rPr>
                <w:sz w:val="20"/>
                <w:szCs w:val="20"/>
                <w:color w:val="auto"/>
              </w:rPr>
            </w:pPr>
            <w:r>
              <w:rPr>
                <w:rFonts w:ascii="Arial" w:cs="Arial" w:eastAsia="Arial" w:hAnsi="Arial"/>
                <w:sz w:val="18"/>
                <w:szCs w:val="18"/>
                <w:color w:val="auto"/>
              </w:rPr>
              <w:t>Advanced Reproductive Technology (ART)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353" w:right="339" w:bottom="1440" w:gutter="0" w:footer="0" w:header="0"/>
        </w:sectPr>
      </w:pPr>
    </w:p>
    <w:bookmarkStart w:id="187" w:name="page188"/>
    <w:bookmarkEnd w:id="18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Benefits</w:t>
            </w:r>
          </w:p>
        </w:tc>
        <w:tc>
          <w:tcPr>
            <w:tcW w:w="620" w:type="dxa"/>
            <w:vAlign w:val="bottom"/>
          </w:tcPr>
          <w:p>
            <w:pPr>
              <w:spacing w:after="0"/>
              <w:rPr>
                <w:sz w:val="20"/>
                <w:szCs w:val="20"/>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w w:val="97"/>
              </w:rPr>
              <w:t>Determining Your Premium Payments for Continuation Coverage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Eligibility for ART Benefits</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When You Acquire a Dependent During a Continuation Period</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Covered ART Benefits</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When Your COBRA Continuation Coverage Ends</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Exclusions and Limitations</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Conversion from a Group to an Individual Plan</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Spinal Manipulation Treatment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5360" w:type="dxa"/>
            <w:vAlign w:val="bottom"/>
          </w:tcPr>
          <w:p>
            <w:pPr>
              <w:ind w:left="120"/>
              <w:spacing w:after="0"/>
              <w:rPr>
                <w:sz w:val="20"/>
                <w:szCs w:val="20"/>
                <w:color w:val="auto"/>
              </w:rPr>
            </w:pPr>
            <w:r>
              <w:rPr>
                <w:rFonts w:ascii="Arial" w:cs="Arial" w:eastAsia="Arial" w:hAnsi="Arial"/>
                <w:sz w:val="18"/>
                <w:szCs w:val="18"/>
                <w:color w:val="auto"/>
              </w:rPr>
              <w:t>Converting to an Individual Medical Insurance Policy</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Cleft Lip or Palate Treatment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5360" w:type="dxa"/>
            <w:vAlign w:val="bottom"/>
          </w:tcPr>
          <w:p>
            <w:pPr>
              <w:ind w:left="280"/>
              <w:spacing w:after="0"/>
              <w:rPr>
                <w:sz w:val="20"/>
                <w:szCs w:val="20"/>
                <w:color w:val="auto"/>
              </w:rPr>
            </w:pPr>
            <w:r>
              <w:rPr>
                <w:rFonts w:ascii="Arial" w:cs="Arial" w:eastAsia="Arial" w:hAnsi="Arial"/>
                <w:sz w:val="18"/>
                <w:szCs w:val="18"/>
                <w:color w:val="auto"/>
              </w:rPr>
              <w:t>Eligibility</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Transplant Services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5360" w:type="dxa"/>
            <w:vAlign w:val="bottom"/>
          </w:tcPr>
          <w:p>
            <w:pPr>
              <w:ind w:left="280"/>
              <w:spacing w:after="0"/>
              <w:rPr>
                <w:sz w:val="20"/>
                <w:szCs w:val="20"/>
                <w:color w:val="auto"/>
              </w:rPr>
            </w:pPr>
            <w:r>
              <w:rPr>
                <w:rFonts w:ascii="Arial" w:cs="Arial" w:eastAsia="Arial" w:hAnsi="Arial"/>
                <w:sz w:val="18"/>
                <w:szCs w:val="18"/>
                <w:color w:val="auto"/>
              </w:rPr>
              <w:t>Features of the Conversion Policy Limitations</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Morbid Obesity Treatment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5360" w:type="dxa"/>
            <w:vAlign w:val="bottom"/>
          </w:tcPr>
          <w:p>
            <w:pPr>
              <w:ind w:left="280"/>
              <w:spacing w:after="0"/>
              <w:rPr>
                <w:sz w:val="20"/>
                <w:szCs w:val="20"/>
                <w:color w:val="auto"/>
              </w:rPr>
            </w:pPr>
            <w:r>
              <w:rPr>
                <w:rFonts w:ascii="Arial" w:cs="Arial" w:eastAsia="Arial" w:hAnsi="Arial"/>
                <w:sz w:val="18"/>
                <w:szCs w:val="18"/>
                <w:color w:val="auto"/>
              </w:rPr>
              <w:t>Electing an Individual Conversion Policy</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Treatment of Mental Disorders and Substance Abuse</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Your Premiums and Payments</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Oral and Maxillofacial Treatment (Mouth, Jaws and Teeth)</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When an Individual Policy Becomes Effective</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980" w:type="dxa"/>
            <w:vAlign w:val="bottom"/>
            <w:vMerge w:val="restart"/>
          </w:tcPr>
          <w:p>
            <w:pPr>
              <w:ind w:left="160"/>
              <w:spacing w:after="0"/>
              <w:rPr>
                <w:sz w:val="20"/>
                <w:szCs w:val="20"/>
                <w:color w:val="auto"/>
              </w:rPr>
            </w:pPr>
            <w:r>
              <w:rPr>
                <w:rFonts w:ascii="Arial" w:cs="Arial" w:eastAsia="Arial" w:hAnsi="Arial"/>
                <w:sz w:val="18"/>
                <w:szCs w:val="18"/>
                <w:color w:val="auto"/>
              </w:rPr>
              <w:t>Other Services</w:t>
            </w: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38</w:t>
            </w: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w w:val="99"/>
              </w:rPr>
              <w:t>Coordination of Benefits - What Happens When There is More</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126"/>
        </w:trPr>
        <w:tc>
          <w:tcPr>
            <w:tcW w:w="49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3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Than One Health Plan</w:t>
            </w: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3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Medical Plan Exclusions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5360" w:type="dxa"/>
            <w:vAlign w:val="bottom"/>
          </w:tcPr>
          <w:p>
            <w:pPr>
              <w:ind w:left="120"/>
              <w:spacing w:after="0"/>
              <w:rPr>
                <w:sz w:val="20"/>
                <w:szCs w:val="20"/>
                <w:color w:val="auto"/>
              </w:rPr>
            </w:pPr>
            <w:r>
              <w:rPr>
                <w:rFonts w:ascii="Arial" w:cs="Arial" w:eastAsia="Arial" w:hAnsi="Arial"/>
                <w:sz w:val="18"/>
                <w:szCs w:val="18"/>
                <w:color w:val="auto"/>
              </w:rPr>
              <w:t>When Coordination of Benefits Applies</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b w:val="1"/>
                <w:bCs w:val="1"/>
                <w:color w:val="auto"/>
              </w:rPr>
              <w:t>Your Pharmacy Benefit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50</w:t>
            </w:r>
          </w:p>
        </w:tc>
        <w:tc>
          <w:tcPr>
            <w:tcW w:w="5360" w:type="dxa"/>
            <w:vAlign w:val="bottom"/>
          </w:tcPr>
          <w:p>
            <w:pPr>
              <w:ind w:left="120"/>
              <w:spacing w:after="0"/>
              <w:rPr>
                <w:sz w:val="20"/>
                <w:szCs w:val="20"/>
                <w:color w:val="auto"/>
              </w:rPr>
            </w:pPr>
            <w:r>
              <w:rPr>
                <w:rFonts w:ascii="Arial" w:cs="Arial" w:eastAsia="Arial" w:hAnsi="Arial"/>
                <w:sz w:val="18"/>
                <w:szCs w:val="18"/>
                <w:color w:val="auto"/>
              </w:rPr>
              <w:t>Getting Started - Important Terms</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How the Pharmacy Plan Works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5360" w:type="dxa"/>
            <w:vAlign w:val="bottom"/>
          </w:tcPr>
          <w:p>
            <w:pPr>
              <w:ind w:left="120"/>
              <w:spacing w:after="0"/>
              <w:rPr>
                <w:sz w:val="20"/>
                <w:szCs w:val="20"/>
                <w:color w:val="auto"/>
              </w:rPr>
            </w:pPr>
            <w:r>
              <w:rPr>
                <w:rFonts w:ascii="Arial" w:cs="Arial" w:eastAsia="Arial" w:hAnsi="Arial"/>
                <w:sz w:val="18"/>
                <w:szCs w:val="18"/>
                <w:color w:val="auto"/>
              </w:rPr>
              <w:t>Which Plan Pays First</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Getting Started: Common Terms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5360" w:type="dxa"/>
            <w:vAlign w:val="bottom"/>
          </w:tcPr>
          <w:p>
            <w:pPr>
              <w:ind w:left="120"/>
              <w:spacing w:after="0"/>
              <w:rPr>
                <w:sz w:val="20"/>
                <w:szCs w:val="20"/>
                <w:color w:val="auto"/>
              </w:rPr>
            </w:pPr>
            <w:r>
              <w:rPr>
                <w:rFonts w:ascii="Arial" w:cs="Arial" w:eastAsia="Arial" w:hAnsi="Arial"/>
                <w:sz w:val="18"/>
                <w:szCs w:val="18"/>
                <w:color w:val="auto"/>
              </w:rPr>
              <w:t>How Coordination of Benefits Work</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Accessing Pharmacies and Benefits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5360" w:type="dxa"/>
            <w:vAlign w:val="bottom"/>
          </w:tcPr>
          <w:p>
            <w:pPr>
              <w:ind w:left="280"/>
              <w:spacing w:after="0"/>
              <w:rPr>
                <w:sz w:val="20"/>
                <w:szCs w:val="20"/>
                <w:color w:val="auto"/>
              </w:rPr>
            </w:pPr>
            <w:r>
              <w:rPr>
                <w:rFonts w:ascii="Arial" w:cs="Arial" w:eastAsia="Arial" w:hAnsi="Arial"/>
                <w:sz w:val="18"/>
                <w:szCs w:val="18"/>
                <w:color w:val="auto"/>
              </w:rPr>
              <w:t>Right To Receive And Release Needed Information</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Accessing Network Pharmacies and Benefits</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Facility of Payment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Emergency Prescriptions</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Right of Recovery</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Availability of Providers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When You Have Medicare Coverage</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Cost Sharing for Network Benefits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Which Plan Pays First</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When You Use an Out-of-Network Pharmacy</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How Coordination With Medicare Works</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Cost Sharing for Out-of-Network Benefits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General Provisions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Pharmacy Benefit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5360" w:type="dxa"/>
            <w:vAlign w:val="bottom"/>
          </w:tcPr>
          <w:p>
            <w:pPr>
              <w:ind w:left="120"/>
              <w:spacing w:after="0"/>
              <w:rPr>
                <w:sz w:val="20"/>
                <w:szCs w:val="20"/>
                <w:color w:val="auto"/>
              </w:rPr>
            </w:pPr>
            <w:r>
              <w:rPr>
                <w:rFonts w:ascii="Arial" w:cs="Arial" w:eastAsia="Arial" w:hAnsi="Arial"/>
                <w:sz w:val="18"/>
                <w:szCs w:val="18"/>
                <w:color w:val="auto"/>
              </w:rPr>
              <w:t>Type of Coverage</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Retail Pharmacy Benefits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Physical Examinations</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Mail Order Pharmacy Benefits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Legal Action</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Network Benefits for Specialty Care Drugs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Other Covered Expenses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Additional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Pharmacy Benefit Limitations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Assignments</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Pharmacy Benefit Exclusions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Misstatements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When Coverage Ends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5360" w:type="dxa"/>
            <w:vAlign w:val="bottom"/>
          </w:tcPr>
          <w:p>
            <w:pPr>
              <w:ind w:left="120"/>
              <w:spacing w:after="0"/>
              <w:rPr>
                <w:sz w:val="20"/>
                <w:szCs w:val="20"/>
                <w:color w:val="auto"/>
              </w:rPr>
            </w:pPr>
            <w:r>
              <w:rPr>
                <w:rFonts w:ascii="Arial" w:cs="Arial" w:eastAsia="Arial" w:hAnsi="Arial"/>
                <w:sz w:val="18"/>
                <w:szCs w:val="18"/>
                <w:color w:val="auto"/>
              </w:rPr>
              <w:t>Incontestability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When Coverage Ends for Retirees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Recovery of Overpayments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Your Proof of Prior Medical Coverage</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Health Coverage</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When Coverage Ends for Dependents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Reporting of Claims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Continuation of Coverage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5360" w:type="dxa"/>
            <w:vAlign w:val="bottom"/>
          </w:tcPr>
          <w:p>
            <w:pPr>
              <w:ind w:left="120"/>
              <w:spacing w:after="0"/>
              <w:rPr>
                <w:sz w:val="20"/>
                <w:szCs w:val="20"/>
                <w:color w:val="auto"/>
              </w:rPr>
            </w:pPr>
            <w:r>
              <w:rPr>
                <w:rFonts w:ascii="Arial" w:cs="Arial" w:eastAsia="Arial" w:hAnsi="Arial"/>
                <w:sz w:val="18"/>
                <w:szCs w:val="18"/>
                <w:color w:val="auto"/>
              </w:rPr>
              <w:t>Payment of Benefits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Continuing Health Care Benefits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Records of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Handicapped Dependent Children</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Contacting Aetna</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Extension of Benefits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5360" w:type="dxa"/>
            <w:vAlign w:val="bottom"/>
          </w:tcPr>
          <w:p>
            <w:pPr>
              <w:ind w:left="120"/>
              <w:spacing w:after="0"/>
              <w:rPr>
                <w:sz w:val="20"/>
                <w:szCs w:val="20"/>
                <w:color w:val="auto"/>
              </w:rPr>
            </w:pPr>
            <w:r>
              <w:rPr>
                <w:rFonts w:ascii="Arial" w:cs="Arial" w:eastAsia="Arial" w:hAnsi="Arial"/>
                <w:sz w:val="18"/>
                <w:szCs w:val="18"/>
                <w:color w:val="auto"/>
              </w:rPr>
              <w:t>Effect of Benefits Under Other Plans</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w w:val="94"/>
              </w:rPr>
              <w:t>Effect of An Health Maintenance Organization Plan (HMO Plan) On</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Coverage for Health Benefits</w:t>
            </w:r>
          </w:p>
        </w:tc>
        <w:tc>
          <w:tcPr>
            <w:tcW w:w="620" w:type="dxa"/>
            <w:vAlign w:val="bottom"/>
          </w:tcPr>
          <w:p>
            <w:pPr>
              <w:spacing w:after="0"/>
              <w:rPr>
                <w:sz w:val="20"/>
                <w:szCs w:val="20"/>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Coverage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COBRA Continuation of Coverage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5360" w:type="dxa"/>
            <w:vAlign w:val="bottom"/>
          </w:tcPr>
          <w:p>
            <w:pPr>
              <w:ind w:left="120"/>
              <w:spacing w:after="0"/>
              <w:rPr>
                <w:sz w:val="20"/>
                <w:szCs w:val="20"/>
                <w:color w:val="auto"/>
              </w:rPr>
            </w:pPr>
            <w:r>
              <w:rPr>
                <w:rFonts w:ascii="Arial" w:cs="Arial" w:eastAsia="Arial" w:hAnsi="Arial"/>
                <w:sz w:val="18"/>
                <w:szCs w:val="18"/>
                <w:color w:val="auto"/>
              </w:rPr>
              <w:t>Effect of Prior Coverage - Transferred Business</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Continuing Coverage through COBRA</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Discount Programs</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Who Qualifies for COBRA</w:t>
            </w:r>
          </w:p>
        </w:tc>
        <w:tc>
          <w:tcPr>
            <w:tcW w:w="620" w:type="dxa"/>
            <w:vAlign w:val="bottom"/>
          </w:tcPr>
          <w:p>
            <w:pPr>
              <w:spacing w:after="0"/>
              <w:rPr>
                <w:sz w:val="23"/>
                <w:szCs w:val="23"/>
                <w:color w:val="auto"/>
              </w:rPr>
            </w:pPr>
          </w:p>
        </w:tc>
        <w:tc>
          <w:tcPr>
            <w:tcW w:w="5360" w:type="dxa"/>
            <w:vAlign w:val="bottom"/>
          </w:tcPr>
          <w:p>
            <w:pPr>
              <w:ind w:left="280"/>
              <w:spacing w:after="0"/>
              <w:rPr>
                <w:sz w:val="20"/>
                <w:szCs w:val="20"/>
                <w:color w:val="auto"/>
              </w:rPr>
            </w:pPr>
            <w:r>
              <w:rPr>
                <w:rFonts w:ascii="Arial" w:cs="Arial" w:eastAsia="Arial" w:hAnsi="Arial"/>
                <w:sz w:val="18"/>
                <w:szCs w:val="18"/>
                <w:color w:val="auto"/>
              </w:rPr>
              <w:t>Discount Arrangements Incentives</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w w:val="99"/>
              </w:rPr>
              <w:t>Disability May Increase Maximum Continuation to 29 Months</w:t>
            </w:r>
          </w:p>
        </w:tc>
        <w:tc>
          <w:tcPr>
            <w:tcW w:w="620" w:type="dxa"/>
            <w:vAlign w:val="bottom"/>
          </w:tcPr>
          <w:p>
            <w:pPr>
              <w:spacing w:after="0"/>
              <w:rPr>
                <w:sz w:val="23"/>
                <w:szCs w:val="23"/>
                <w:color w:val="auto"/>
              </w:rPr>
            </w:pP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Glossary *</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*Defines the Terms Shown in Bold Type in the Text of This Document.</w:t>
      </w:r>
    </w:p>
    <w:p>
      <w:pPr>
        <w:sectPr>
          <w:pgSz w:w="11900" w:h="16838" w:orient="portrait"/>
          <w:cols w:equalWidth="0" w:num="1">
            <w:col w:w="11320"/>
          </w:cols>
          <w:pgMar w:left="240" w:top="531" w:right="339" w:bottom="1440" w:gutter="0" w:footer="0" w:header="0"/>
        </w:sectPr>
      </w:pPr>
    </w:p>
    <w:bookmarkStart w:id="188" w:name="page189"/>
    <w:bookmarkEnd w:id="188"/>
    <w:p>
      <w:pPr>
        <w:ind w:left="20"/>
        <w:spacing w:after="0"/>
        <w:rPr>
          <w:sz w:val="20"/>
          <w:szCs w:val="20"/>
          <w:color w:val="auto"/>
        </w:rPr>
      </w:pPr>
      <w:r>
        <w:rPr>
          <w:rFonts w:ascii="Arial" w:cs="Arial" w:eastAsia="Arial" w:hAnsi="Arial"/>
          <w:sz w:val="32"/>
          <w:szCs w:val="32"/>
          <w:b w:val="1"/>
          <w:bCs w:val="1"/>
          <w:color w:val="auto"/>
        </w:rPr>
        <w:t xml:space="preserve">Preface </w:t>
      </w:r>
      <w:r>
        <w:rPr>
          <w:rFonts w:ascii="Arial" w:cs="Arial" w:eastAsia="Arial" w:hAnsi="Arial"/>
          <w:sz w:val="14"/>
          <w:szCs w:val="14"/>
          <w:i w:val="1"/>
          <w:iCs w:val="1"/>
          <w:color w:val="auto"/>
        </w:rPr>
        <w:t>(GR-9N-02-005-01 VA)</w:t>
      </w:r>
    </w:p>
    <w:p>
      <w:pPr>
        <w:spacing w:after="0" w:line="305" w:lineRule="exact"/>
        <w:rPr>
          <w:sz w:val="20"/>
          <w:szCs w:val="20"/>
          <w:color w:val="auto"/>
        </w:rPr>
      </w:pPr>
    </w:p>
    <w:p>
      <w:pPr>
        <w:ind w:left="20" w:right="1240"/>
        <w:spacing w:after="0" w:line="316" w:lineRule="auto"/>
        <w:rPr>
          <w:sz w:val="20"/>
          <w:szCs w:val="20"/>
          <w:color w:val="auto"/>
        </w:rPr>
      </w:pPr>
      <w:r>
        <w:rPr>
          <w:rFonts w:ascii="Arial" w:cs="Arial" w:eastAsia="Arial" w:hAnsi="Arial"/>
          <w:sz w:val="18"/>
          <w:szCs w:val="18"/>
          <w:color w:val="auto"/>
        </w:rPr>
        <w:t xml:space="preserve">Aetna Life Insurance Company (ALIC) is pleased to provide you with this </w:t>
      </w:r>
      <w:r>
        <w:rPr>
          <w:rFonts w:ascii="Arial" w:cs="Arial" w:eastAsia="Arial" w:hAnsi="Arial"/>
          <w:sz w:val="18"/>
          <w:szCs w:val="18"/>
          <w:i w:val="1"/>
          <w:iCs w:val="1"/>
          <w:color w:val="auto"/>
        </w:rPr>
        <w:t>Booklet-Certificate</w:t>
      </w:r>
      <w:r>
        <w:rPr>
          <w:rFonts w:ascii="Arial" w:cs="Arial" w:eastAsia="Arial" w:hAnsi="Arial"/>
          <w:sz w:val="18"/>
          <w:szCs w:val="18"/>
          <w:color w:val="auto"/>
        </w:rPr>
        <w:t xml:space="preserve">. Read this </w:t>
      </w:r>
      <w:r>
        <w:rPr>
          <w:rFonts w:ascii="Arial" w:cs="Arial" w:eastAsia="Arial" w:hAnsi="Arial"/>
          <w:sz w:val="18"/>
          <w:szCs w:val="18"/>
          <w:i w:val="1"/>
          <w:iCs w:val="1"/>
          <w:color w:val="auto"/>
        </w:rPr>
        <w:t>Booklet-Certificate</w:t>
      </w:r>
      <w:r>
        <w:rPr>
          <w:rFonts w:ascii="Arial" w:cs="Arial" w:eastAsia="Arial" w:hAnsi="Arial"/>
          <w:sz w:val="18"/>
          <w:szCs w:val="18"/>
          <w:color w:val="auto"/>
        </w:rPr>
        <w:t xml:space="preserve"> carefully. The plan is underwritten by Aetna Life Insurance Company of Hartford, Connecticut (referred to as </w:t>
      </w:r>
      <w:r>
        <w:rPr>
          <w:rFonts w:ascii="Arial" w:cs="Arial" w:eastAsia="Arial" w:hAnsi="Arial"/>
          <w:sz w:val="18"/>
          <w:szCs w:val="18"/>
          <w:b w:val="1"/>
          <w:bCs w:val="1"/>
          <w:color w:val="auto"/>
        </w:rPr>
        <w:t>Aetna</w:t>
      </w:r>
      <w:r>
        <w:rPr>
          <w:rFonts w:ascii="Arial" w:cs="Arial" w:eastAsia="Arial" w:hAnsi="Arial"/>
          <w:sz w:val="18"/>
          <w:szCs w:val="18"/>
          <w:color w:val="auto"/>
        </w:rPr>
        <w:t>).</w:t>
      </w:r>
    </w:p>
    <w:p>
      <w:pPr>
        <w:spacing w:after="0" w:line="144" w:lineRule="exact"/>
        <w:rPr>
          <w:sz w:val="20"/>
          <w:szCs w:val="20"/>
          <w:color w:val="auto"/>
        </w:rPr>
      </w:pPr>
    </w:p>
    <w:p>
      <w:pPr>
        <w:ind w:left="20" w:right="120"/>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is part of the </w:t>
      </w:r>
      <w:r>
        <w:rPr>
          <w:rFonts w:ascii="Arial" w:cs="Arial" w:eastAsia="Arial" w:hAnsi="Arial"/>
          <w:sz w:val="20"/>
          <w:szCs w:val="20"/>
          <w:i w:val="1"/>
          <w:iCs w:val="1"/>
          <w:color w:val="auto"/>
        </w:rPr>
        <w:t>Group Insurance Policy</w:t>
      </w:r>
      <w:r>
        <w:rPr>
          <w:rFonts w:ascii="Arial" w:cs="Arial" w:eastAsia="Arial" w:hAnsi="Arial"/>
          <w:sz w:val="20"/>
          <w:szCs w:val="20"/>
          <w:color w:val="auto"/>
        </w:rPr>
        <w:t xml:space="preserve"> between Aetna Life Insurance Company and the Policyholder. The </w:t>
      </w:r>
      <w:r>
        <w:rPr>
          <w:rFonts w:ascii="Arial" w:cs="Arial" w:eastAsia="Arial" w:hAnsi="Arial"/>
          <w:sz w:val="20"/>
          <w:szCs w:val="20"/>
          <w:i w:val="1"/>
          <w:iCs w:val="1"/>
          <w:color w:val="auto"/>
        </w:rPr>
        <w:t>Group</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Insurance Policy </w:t>
      </w:r>
      <w:r>
        <w:rPr>
          <w:rFonts w:ascii="Arial" w:cs="Arial" w:eastAsia="Arial" w:hAnsi="Arial"/>
          <w:sz w:val="20"/>
          <w:szCs w:val="20"/>
          <w:color w:val="auto"/>
        </w:rPr>
        <w:t>determines the terms and conditions of coverage.</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Aetna</w:t>
      </w:r>
      <w:r>
        <w:rPr>
          <w:rFonts w:ascii="Arial" w:cs="Arial" w:eastAsia="Arial" w:hAnsi="Arial"/>
          <w:sz w:val="20"/>
          <w:szCs w:val="20"/>
          <w:i w:val="1"/>
          <w:iCs w:val="1"/>
          <w:color w:val="auto"/>
        </w:rPr>
        <w:t xml:space="preserve"> </w:t>
      </w:r>
      <w:r>
        <w:rPr>
          <w:rFonts w:ascii="Arial" w:cs="Arial" w:eastAsia="Arial" w:hAnsi="Arial"/>
          <w:sz w:val="20"/>
          <w:szCs w:val="20"/>
          <w:color w:val="auto"/>
        </w:rPr>
        <w:t>agrees with the Policyholder to provide coverage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with the conditions, rights, and privileges as set forth in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The Policyholder selects the products and benefit levels under the plan. A person covered under this plan and their covered dependents are subject to all the conditions and provisions of the </w:t>
      </w:r>
      <w:r>
        <w:rPr>
          <w:rFonts w:ascii="Arial" w:cs="Arial" w:eastAsia="Arial" w:hAnsi="Arial"/>
          <w:sz w:val="20"/>
          <w:szCs w:val="20"/>
          <w:i w:val="1"/>
          <w:iCs w:val="1"/>
          <w:color w:val="auto"/>
        </w:rPr>
        <w:t>Group</w:t>
      </w:r>
      <w:r>
        <w:rPr>
          <w:rFonts w:ascii="Arial" w:cs="Arial" w:eastAsia="Arial" w:hAnsi="Arial"/>
          <w:sz w:val="20"/>
          <w:szCs w:val="20"/>
          <w:color w:val="auto"/>
        </w:rPr>
        <w:t xml:space="preserve"> </w:t>
      </w:r>
      <w:r>
        <w:rPr>
          <w:rFonts w:ascii="Arial" w:cs="Arial" w:eastAsia="Arial" w:hAnsi="Arial"/>
          <w:sz w:val="20"/>
          <w:szCs w:val="20"/>
          <w:i w:val="1"/>
          <w:iCs w:val="1"/>
          <w:color w:val="auto"/>
        </w:rPr>
        <w:t>Insurance Policy</w:t>
      </w:r>
      <w:r>
        <w:rPr>
          <w:rFonts w:ascii="Arial" w:cs="Arial" w:eastAsia="Arial" w:hAnsi="Arial"/>
          <w:sz w:val="20"/>
          <w:szCs w:val="20"/>
          <w:color w:val="auto"/>
        </w:rPr>
        <w:t>.</w:t>
      </w:r>
    </w:p>
    <w:p>
      <w:pPr>
        <w:spacing w:after="0" w:line="202" w:lineRule="exact"/>
        <w:rPr>
          <w:sz w:val="20"/>
          <w:szCs w:val="20"/>
          <w:color w:val="auto"/>
        </w:rPr>
      </w:pPr>
    </w:p>
    <w:p>
      <w:pPr>
        <w:ind w:left="20" w:right="200"/>
        <w:spacing w:after="0" w:line="25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describes the rights and obligations of you and </w:t>
      </w:r>
      <w:r>
        <w:rPr>
          <w:rFonts w:ascii="Arial" w:cs="Arial" w:eastAsia="Arial" w:hAnsi="Arial"/>
          <w:sz w:val="20"/>
          <w:szCs w:val="20"/>
          <w:b w:val="1"/>
          <w:bCs w:val="1"/>
          <w:color w:val="auto"/>
        </w:rPr>
        <w:t>Aetna</w:t>
      </w:r>
      <w:r>
        <w:rPr>
          <w:rFonts w:ascii="Arial" w:cs="Arial" w:eastAsia="Arial" w:hAnsi="Arial"/>
          <w:sz w:val="20"/>
          <w:szCs w:val="20"/>
          <w:color w:val="auto"/>
        </w:rPr>
        <w:t xml:space="preserve">, what the plan covers and how benefits are paid for that coverage. It is your responsibility to understand the terms and conditions in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Your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includes the </w:t>
      </w:r>
      <w:r>
        <w:rPr>
          <w:rFonts w:ascii="Arial" w:cs="Arial" w:eastAsia="Arial" w:hAnsi="Arial"/>
          <w:sz w:val="20"/>
          <w:szCs w:val="20"/>
          <w:i w:val="1"/>
          <w:iCs w:val="1"/>
          <w:color w:val="auto"/>
        </w:rPr>
        <w:t xml:space="preserve">Schedule of Benefits </w:t>
      </w:r>
      <w:r>
        <w:rPr>
          <w:rFonts w:ascii="Arial" w:cs="Arial" w:eastAsia="Arial" w:hAnsi="Arial"/>
          <w:sz w:val="20"/>
          <w:szCs w:val="20"/>
          <w:color w:val="auto"/>
        </w:rPr>
        <w:t>and any amendments or riders.</w:t>
      </w:r>
    </w:p>
    <w:p>
      <w:pPr>
        <w:spacing w:after="0" w:line="197" w:lineRule="exact"/>
        <w:rPr>
          <w:sz w:val="20"/>
          <w:szCs w:val="20"/>
          <w:color w:val="auto"/>
        </w:rPr>
      </w:pPr>
    </w:p>
    <w:p>
      <w:pPr>
        <w:ind w:left="20"/>
        <w:spacing w:after="0" w:line="260" w:lineRule="auto"/>
        <w:rPr>
          <w:sz w:val="20"/>
          <w:szCs w:val="20"/>
          <w:color w:val="auto"/>
        </w:rPr>
      </w:pPr>
      <w:r>
        <w:rPr>
          <w:rFonts w:ascii="Arial" w:cs="Arial" w:eastAsia="Arial" w:hAnsi="Arial"/>
          <w:sz w:val="20"/>
          <w:szCs w:val="20"/>
          <w:color w:val="auto"/>
        </w:rPr>
        <w:t xml:space="preserve">If you become insured,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becomes your </w:t>
      </w:r>
      <w:r>
        <w:rPr>
          <w:rFonts w:ascii="Arial" w:cs="Arial" w:eastAsia="Arial" w:hAnsi="Arial"/>
          <w:sz w:val="20"/>
          <w:szCs w:val="20"/>
          <w:i w:val="1"/>
          <w:iCs w:val="1"/>
          <w:color w:val="auto"/>
        </w:rPr>
        <w:t>Certificate of Coverage</w:t>
      </w:r>
      <w:r>
        <w:rPr>
          <w:rFonts w:ascii="Arial" w:cs="Arial" w:eastAsia="Arial" w:hAnsi="Arial"/>
          <w:sz w:val="20"/>
          <w:szCs w:val="20"/>
          <w:color w:val="auto"/>
        </w:rPr>
        <w:t xml:space="preserve"> under the </w:t>
      </w:r>
      <w:r>
        <w:rPr>
          <w:rFonts w:ascii="Arial" w:cs="Arial" w:eastAsia="Arial" w:hAnsi="Arial"/>
          <w:sz w:val="20"/>
          <w:szCs w:val="20"/>
          <w:i w:val="1"/>
          <w:iCs w:val="1"/>
          <w:color w:val="auto"/>
        </w:rPr>
        <w:t>Group Insurance Policy</w:t>
      </w:r>
      <w:r>
        <w:rPr>
          <w:rFonts w:ascii="Arial" w:cs="Arial" w:eastAsia="Arial" w:hAnsi="Arial"/>
          <w:sz w:val="20"/>
          <w:szCs w:val="20"/>
          <w:color w:val="auto"/>
        </w:rPr>
        <w:t xml:space="preserve">, and it replaces and supersedes all certificates describing similar coverage that </w:t>
      </w:r>
      <w:r>
        <w:rPr>
          <w:rFonts w:ascii="Arial" w:cs="Arial" w:eastAsia="Arial" w:hAnsi="Arial"/>
          <w:sz w:val="20"/>
          <w:szCs w:val="20"/>
          <w:b w:val="1"/>
          <w:bCs w:val="1"/>
          <w:color w:val="auto"/>
        </w:rPr>
        <w:t>Aetna</w:t>
      </w:r>
      <w:r>
        <w:rPr>
          <w:rFonts w:ascii="Arial" w:cs="Arial" w:eastAsia="Arial" w:hAnsi="Arial"/>
          <w:sz w:val="20"/>
          <w:szCs w:val="20"/>
          <w:color w:val="auto"/>
        </w:rPr>
        <w:t xml:space="preserve"> previously issued to you.</w:t>
      </w:r>
    </w:p>
    <w:p>
      <w:pPr>
        <w:sectPr>
          <w:pgSz w:w="11900" w:h="16838" w:orient="portrait"/>
          <w:cols w:equalWidth="0" w:num="1">
            <w:col w:w="11140"/>
          </w:cols>
          <w:pgMar w:left="500" w:top="423" w:right="25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23"/>
          <w:szCs w:val="23"/>
          <w:color w:val="auto"/>
        </w:rPr>
        <w:t>Group Policyholder: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24"/>
          <w:szCs w:val="24"/>
          <w:color w:val="auto"/>
        </w:rPr>
        <w:t>Booz Allen Hamilton</w:t>
      </w:r>
    </w:p>
    <w:p>
      <w:pPr>
        <w:spacing w:after="0" w:line="75" w:lineRule="exact"/>
        <w:rPr>
          <w:sz w:val="20"/>
          <w:szCs w:val="20"/>
          <w:color w:val="auto"/>
        </w:rPr>
      </w:pPr>
    </w:p>
    <w:p>
      <w:pPr>
        <w:sectPr>
          <w:pgSz w:w="11900" w:h="16838" w:orient="portrait"/>
          <w:cols w:equalWidth="0" w:num="2">
            <w:col w:w="3180" w:space="720"/>
            <w:col w:w="7240"/>
          </w:cols>
          <w:pgMar w:left="500" w:top="423" w:right="259" w:bottom="1440" w:gutter="0" w:footer="0" w:header="0"/>
          <w:type w:val="continuous"/>
        </w:sectPr>
      </w:pPr>
    </w:p>
    <w:p>
      <w:pPr>
        <w:ind w:left="40"/>
        <w:spacing w:after="0"/>
        <w:rPr>
          <w:sz w:val="20"/>
          <w:szCs w:val="20"/>
          <w:color w:val="auto"/>
        </w:rPr>
      </w:pPr>
      <w:r>
        <w:rPr>
          <w:rFonts w:ascii="Arial" w:cs="Arial" w:eastAsia="Arial" w:hAnsi="Arial"/>
          <w:sz w:val="23"/>
          <w:szCs w:val="23"/>
          <w:color w:val="auto"/>
        </w:rPr>
        <w:t>Group Policy Number:</w:t>
      </w:r>
    </w:p>
    <w:p>
      <w:pPr>
        <w:sectPr>
          <w:pgSz w:w="11900" w:h="16838" w:orient="portrait"/>
          <w:cols w:equalWidth="0" w:num="1">
            <w:col w:w="11140"/>
          </w:cols>
          <w:pgMar w:left="500" w:top="423" w:right="259" w:bottom="1440" w:gutter="0" w:footer="0" w:header="0"/>
          <w:type w:val="continuous"/>
        </w:sectPr>
      </w:pPr>
    </w:p>
    <w:p>
      <w:pPr>
        <w:spacing w:after="0" w:line="87" w:lineRule="exact"/>
        <w:rPr>
          <w:sz w:val="20"/>
          <w:szCs w:val="20"/>
          <w:color w:val="auto"/>
        </w:rPr>
      </w:pPr>
    </w:p>
    <w:p>
      <w:pPr>
        <w:ind w:left="40"/>
        <w:spacing w:after="0"/>
        <w:rPr>
          <w:sz w:val="20"/>
          <w:szCs w:val="20"/>
          <w:color w:val="auto"/>
        </w:rPr>
      </w:pPr>
      <w:r>
        <w:rPr>
          <w:rFonts w:ascii="Arial" w:cs="Arial" w:eastAsia="Arial" w:hAnsi="Arial"/>
          <w:sz w:val="25"/>
          <w:szCs w:val="25"/>
          <w:color w:val="auto"/>
        </w:rPr>
        <w:t>Effective Date:</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color w:val="auto"/>
        </w:rPr>
        <w:t>Issue Date:</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3"/>
          <w:szCs w:val="23"/>
          <w:color w:val="auto"/>
        </w:rPr>
        <w:t>Booklet-Certificate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48895</wp:posOffset>
            </wp:positionV>
            <wp:extent cx="1766570" cy="548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2">
                      <a:extLst>
                        <a:ext uri="{28A0092B-C50C-407E-A947-70E740481C1C}"/>
                      </a:extLst>
                    </a:blip>
                    <a:srcRect/>
                    <a:stretch>
                      <a:fillRect/>
                    </a:stretch>
                  </pic:blipFill>
                  <pic:spPr bwMode="auto">
                    <a:xfrm>
                      <a:off x="0" y="0"/>
                      <a:ext cx="176657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24"/>
          <w:szCs w:val="24"/>
          <w:color w:val="auto"/>
        </w:rPr>
        <w:t>January 1, 2015</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February 9, 2015</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auto"/>
        </w:rPr>
        <w:t>15</w:t>
      </w:r>
    </w:p>
    <w:p>
      <w:pPr>
        <w:spacing w:after="0" w:line="200" w:lineRule="exact"/>
        <w:rPr>
          <w:sz w:val="20"/>
          <w:szCs w:val="20"/>
          <w:color w:val="auto"/>
        </w:rPr>
      </w:pPr>
    </w:p>
    <w:p>
      <w:pPr>
        <w:sectPr>
          <w:pgSz w:w="11900" w:h="16838" w:orient="portrait"/>
          <w:cols w:equalWidth="0" w:num="2">
            <w:col w:w="3180" w:space="720"/>
            <w:col w:w="7240"/>
          </w:cols>
          <w:pgMar w:left="500" w:top="42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Mark T. Bertolini</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Chairman, Chief Executive Officer and President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Aetna Life Insurance Company (A Stock Company)</w:t>
      </w:r>
    </w:p>
    <w:p>
      <w:pPr>
        <w:sectPr>
          <w:pgSz w:w="11900" w:h="16838" w:orient="portrait"/>
          <w:cols w:equalWidth="0" w:num="1">
            <w:col w:w="11140"/>
          </w:cols>
          <w:pgMar w:left="500" w:top="423" w:right="25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25"/>
          <w:szCs w:val="25"/>
          <w:b w:val="1"/>
          <w:bCs w:val="1"/>
          <w:color w:val="auto"/>
        </w:rPr>
        <w:t xml:space="preserve">Important Information Regarding Availability of Coverage </w:t>
      </w:r>
      <w:r>
        <w:rPr>
          <w:rFonts w:ascii="Arial" w:cs="Arial" w:eastAsia="Arial" w:hAnsi="Arial"/>
          <w:sz w:val="14"/>
          <w:szCs w:val="14"/>
          <w:i w:val="1"/>
          <w:iCs w:val="1"/>
          <w:color w:val="auto"/>
        </w:rPr>
        <w:t>(GR-9N-02-005-02 VA)</w:t>
      </w:r>
    </w:p>
    <w:p>
      <w:pPr>
        <w:spacing w:after="0" w:line="70" w:lineRule="exact"/>
        <w:rPr>
          <w:sz w:val="20"/>
          <w:szCs w:val="20"/>
          <w:color w:val="auto"/>
        </w:rPr>
      </w:pPr>
    </w:p>
    <w:p>
      <w:pPr>
        <w:ind w:right="2140"/>
        <w:spacing w:after="0" w:line="260" w:lineRule="auto"/>
        <w:rPr>
          <w:sz w:val="20"/>
          <w:szCs w:val="20"/>
          <w:color w:val="auto"/>
        </w:rPr>
      </w:pPr>
      <w:r>
        <w:rPr>
          <w:rFonts w:ascii="Arial" w:cs="Arial" w:eastAsia="Arial" w:hAnsi="Arial"/>
          <w:sz w:val="20"/>
          <w:szCs w:val="20"/>
          <w:color w:val="auto"/>
        </w:rPr>
        <w:t xml:space="preserve">No services are covered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in the absence of payment of current premiums subject to the </w:t>
      </w:r>
      <w:r>
        <w:rPr>
          <w:rFonts w:ascii="Arial" w:cs="Arial" w:eastAsia="Arial" w:hAnsi="Arial"/>
          <w:sz w:val="20"/>
          <w:szCs w:val="20"/>
          <w:i w:val="1"/>
          <w:iCs w:val="1"/>
          <w:color w:val="auto"/>
        </w:rPr>
        <w:t xml:space="preserve">Grace Period </w:t>
      </w:r>
      <w:r>
        <w:rPr>
          <w:rFonts w:ascii="Arial" w:cs="Arial" w:eastAsia="Arial" w:hAnsi="Arial"/>
          <w:sz w:val="20"/>
          <w:szCs w:val="20"/>
          <w:color w:val="auto"/>
        </w:rPr>
        <w:t>and the</w:t>
      </w:r>
      <w:r>
        <w:rPr>
          <w:rFonts w:ascii="Arial" w:cs="Arial" w:eastAsia="Arial" w:hAnsi="Arial"/>
          <w:sz w:val="20"/>
          <w:szCs w:val="20"/>
          <w:i w:val="1"/>
          <w:iCs w:val="1"/>
          <w:color w:val="auto"/>
        </w:rPr>
        <w:t xml:space="preserve"> Premium </w:t>
      </w:r>
      <w:r>
        <w:rPr>
          <w:rFonts w:ascii="Arial" w:cs="Arial" w:eastAsia="Arial" w:hAnsi="Arial"/>
          <w:sz w:val="20"/>
          <w:szCs w:val="20"/>
          <w:color w:val="auto"/>
        </w:rPr>
        <w:t>section of the</w:t>
      </w:r>
      <w:r>
        <w:rPr>
          <w:rFonts w:ascii="Arial" w:cs="Arial" w:eastAsia="Arial" w:hAnsi="Arial"/>
          <w:sz w:val="20"/>
          <w:szCs w:val="20"/>
          <w:i w:val="1"/>
          <w:iCs w:val="1"/>
          <w:color w:val="auto"/>
        </w:rPr>
        <w:t xml:space="preserve"> Group Insurance Policy</w:t>
      </w:r>
      <w:r>
        <w:rPr>
          <w:rFonts w:ascii="Arial" w:cs="Arial" w:eastAsia="Arial" w:hAnsi="Arial"/>
          <w:sz w:val="20"/>
          <w:szCs w:val="20"/>
          <w:color w:val="auto"/>
        </w:rPr>
        <w:t>.</w:t>
      </w:r>
    </w:p>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 xml:space="preserve">Unless specifically provided in any applicable termination or continuation of coverage provision described in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or under the terms of the </w:t>
      </w:r>
      <w:r>
        <w:rPr>
          <w:rFonts w:ascii="Arial" w:cs="Arial" w:eastAsia="Arial" w:hAnsi="Arial"/>
          <w:sz w:val="20"/>
          <w:szCs w:val="20"/>
          <w:i w:val="1"/>
          <w:iCs w:val="1"/>
          <w:color w:val="auto"/>
        </w:rPr>
        <w:t>Group Insurance Policy</w:t>
      </w:r>
      <w:r>
        <w:rPr>
          <w:rFonts w:ascii="Arial" w:cs="Arial" w:eastAsia="Arial" w:hAnsi="Arial"/>
          <w:sz w:val="20"/>
          <w:szCs w:val="20"/>
          <w:color w:val="auto"/>
        </w:rPr>
        <w:t>, the plan does not pay benefits for a loss or claim for a health care, medical or dental care expense incurred before coverage starts under this plan.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This plan will not pay any benefits for any claims, or expenses incurred after the date this plan terminates.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This provision applies even if the loss, or expense, was incurred because of an </w:t>
      </w:r>
      <w:r>
        <w:rPr>
          <w:rFonts w:ascii="Arial" w:cs="Arial" w:eastAsia="Arial" w:hAnsi="Arial"/>
          <w:sz w:val="20"/>
          <w:szCs w:val="20"/>
          <w:b w:val="1"/>
          <w:bCs w:val="1"/>
          <w:color w:val="auto"/>
        </w:rPr>
        <w:t>accident</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that occurred, began or existed while coverage was in effect.</w:t>
      </w:r>
    </w:p>
    <w:p>
      <w:pPr>
        <w:spacing w:after="0" w:line="170"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Please refer to the sections, “</w:t>
      </w:r>
      <w:r>
        <w:rPr>
          <w:rFonts w:ascii="Arial" w:cs="Arial" w:eastAsia="Arial" w:hAnsi="Arial"/>
          <w:sz w:val="20"/>
          <w:szCs w:val="20"/>
          <w:i w:val="1"/>
          <w:iCs w:val="1"/>
          <w:color w:val="auto"/>
        </w:rPr>
        <w:t>Termination of Coverage (Extension of Benefits)</w:t>
      </w:r>
      <w:r>
        <w:rPr>
          <w:rFonts w:ascii="Arial" w:cs="Arial" w:eastAsia="Arial" w:hAnsi="Arial"/>
          <w:sz w:val="20"/>
          <w:szCs w:val="20"/>
          <w:color w:val="auto"/>
        </w:rPr>
        <w:t>” and “</w:t>
      </w:r>
      <w:r>
        <w:rPr>
          <w:rFonts w:ascii="Arial" w:cs="Arial" w:eastAsia="Arial" w:hAnsi="Arial"/>
          <w:sz w:val="20"/>
          <w:szCs w:val="20"/>
          <w:i w:val="1"/>
          <w:iCs w:val="1"/>
          <w:color w:val="auto"/>
        </w:rPr>
        <w:t>Continuation of Coverage</w:t>
      </w:r>
      <w:r>
        <w:rPr>
          <w:rFonts w:ascii="Arial" w:cs="Arial" w:eastAsia="Arial" w:hAnsi="Arial"/>
          <w:sz w:val="20"/>
          <w:szCs w:val="20"/>
          <w:color w:val="auto"/>
        </w:rPr>
        <w:t>” for more details about these provisions.</w:t>
      </w:r>
    </w:p>
    <w:p>
      <w:pPr>
        <w:spacing w:after="0" w:line="19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 xml:space="preserve">Benefits may be modified during the term of this plan as specifically provided under the terms of the </w:t>
      </w:r>
      <w:r>
        <w:rPr>
          <w:rFonts w:ascii="Arial" w:cs="Arial" w:eastAsia="Arial" w:hAnsi="Arial"/>
          <w:sz w:val="18"/>
          <w:szCs w:val="18"/>
          <w:i w:val="1"/>
          <w:iCs w:val="1"/>
          <w:color w:val="auto"/>
        </w:rPr>
        <w:t>Group Insurance Policy</w:t>
      </w:r>
      <w:r>
        <w:rPr>
          <w:rFonts w:ascii="Arial" w:cs="Arial" w:eastAsia="Arial" w:hAnsi="Arial"/>
          <w:sz w:val="18"/>
          <w:szCs w:val="18"/>
          <w:color w:val="auto"/>
        </w:rPr>
        <w:t xml:space="preserve"> or upon renewal. If benefits are modified, the revised benefits (including any reduction in benefits or elimination of benefits) apply to any expenses incurred for services or supplies furnished on or after the effective date of the plan modification. There is no vested right to receive any benefits described in the </w:t>
      </w:r>
      <w:r>
        <w:rPr>
          <w:rFonts w:ascii="Arial" w:cs="Arial" w:eastAsia="Arial" w:hAnsi="Arial"/>
          <w:sz w:val="18"/>
          <w:szCs w:val="18"/>
          <w:i w:val="1"/>
          <w:iCs w:val="1"/>
          <w:color w:val="auto"/>
        </w:rPr>
        <w:t>Group Insurance Policy</w:t>
      </w:r>
      <w:r>
        <w:rPr>
          <w:rFonts w:ascii="Arial" w:cs="Arial" w:eastAsia="Arial" w:hAnsi="Arial"/>
          <w:sz w:val="18"/>
          <w:szCs w:val="18"/>
          <w:color w:val="auto"/>
        </w:rPr>
        <w:t xml:space="preserve"> or in this </w:t>
      </w:r>
      <w:r>
        <w:rPr>
          <w:rFonts w:ascii="Arial" w:cs="Arial" w:eastAsia="Arial" w:hAnsi="Arial"/>
          <w:sz w:val="18"/>
          <w:szCs w:val="18"/>
          <w:i w:val="1"/>
          <w:iCs w:val="1"/>
          <w:color w:val="auto"/>
        </w:rPr>
        <w:t>Booklet- Certificate</w:t>
      </w:r>
      <w:r>
        <w:rPr>
          <w:rFonts w:ascii="Arial" w:cs="Arial" w:eastAsia="Arial" w:hAnsi="Arial"/>
          <w:sz w:val="18"/>
          <w:szCs w:val="18"/>
          <w:color w:val="auto"/>
        </w:rPr>
        <w:t xml:space="preserve"> beyond the date of termination or renewal including if the service or supply is furnished on or after the effective date of the plan modification, but prior to your receipt of amended plan documents.</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Coverage for You and Your Dependents </w:t>
      </w:r>
      <w:r>
        <w:rPr>
          <w:rFonts w:ascii="Arial" w:cs="Arial" w:eastAsia="Arial" w:hAnsi="Arial"/>
          <w:sz w:val="14"/>
          <w:szCs w:val="14"/>
          <w:i w:val="1"/>
          <w:iCs w:val="1"/>
          <w:color w:val="auto"/>
        </w:rPr>
        <w:t>(GR-9N-02-005-01 VA)</w:t>
      </w: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Health Expense Coverage </w:t>
      </w:r>
      <w:r>
        <w:rPr>
          <w:rFonts w:ascii="Arial" w:cs="Arial" w:eastAsia="Arial" w:hAnsi="Arial"/>
          <w:sz w:val="14"/>
          <w:szCs w:val="14"/>
          <w:i w:val="1"/>
          <w:iCs w:val="1"/>
          <w:color w:val="auto"/>
        </w:rPr>
        <w:t>(GR-9N-02-020-01 VA)</w:t>
      </w:r>
    </w:p>
    <w:p>
      <w:pPr>
        <w:spacing w:after="0" w:line="305"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Benefits are payable for covered health care expenses that are incurred by you or your covered dependents while coverage is in effect. An expense is “incurred” on the day you receive a health care service or supply.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Coverage under this plan is non-occupational. Only </w:t>
      </w:r>
      <w:r>
        <w:rPr>
          <w:rFonts w:ascii="Arial" w:cs="Arial" w:eastAsia="Arial" w:hAnsi="Arial"/>
          <w:sz w:val="20"/>
          <w:szCs w:val="20"/>
          <w:b w:val="1"/>
          <w:bCs w:val="1"/>
          <w:color w:val="auto"/>
        </w:rPr>
        <w:t>non-occupational injuries</w:t>
      </w:r>
      <w:r>
        <w:rPr>
          <w:rFonts w:ascii="Arial" w:cs="Arial" w:eastAsia="Arial" w:hAnsi="Arial"/>
          <w:sz w:val="20"/>
          <w:szCs w:val="20"/>
          <w:color w:val="auto"/>
        </w:rPr>
        <w:t xml:space="preserve"> and </w:t>
      </w:r>
      <w:r>
        <w:rPr>
          <w:rFonts w:ascii="Arial" w:cs="Arial" w:eastAsia="Arial" w:hAnsi="Arial"/>
          <w:sz w:val="20"/>
          <w:szCs w:val="20"/>
          <w:b w:val="1"/>
          <w:bCs w:val="1"/>
          <w:color w:val="auto"/>
        </w:rPr>
        <w:t>non-occupational illnesses</w:t>
      </w:r>
      <w:r>
        <w:rPr>
          <w:rFonts w:ascii="Arial" w:cs="Arial" w:eastAsia="Arial" w:hAnsi="Arial"/>
          <w:sz w:val="20"/>
          <w:szCs w:val="20"/>
          <w:color w:val="auto"/>
        </w:rPr>
        <w:t xml:space="preserve"> are covered.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of the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for more information about your coverage.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Treatment Outcomes of Covered Services </w:t>
      </w:r>
      <w:r>
        <w:rPr>
          <w:rFonts w:ascii="Arial" w:cs="Arial" w:eastAsia="Arial" w:hAnsi="Arial"/>
          <w:sz w:val="14"/>
          <w:szCs w:val="14"/>
          <w:i w:val="1"/>
          <w:iCs w:val="1"/>
          <w:color w:val="auto"/>
        </w:rPr>
        <w:t>(GR-9N-02-020-01 VA)</w:t>
      </w:r>
    </w:p>
    <w:p>
      <w:pPr>
        <w:spacing w:after="0" w:line="5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color w:val="auto"/>
        </w:rPr>
        <w:t xml:space="preserve">Aetna </w:t>
      </w:r>
      <w:r>
        <w:rPr>
          <w:rFonts w:ascii="Arial" w:cs="Arial" w:eastAsia="Arial" w:hAnsi="Arial"/>
          <w:sz w:val="18"/>
          <w:szCs w:val="18"/>
          <w:color w:val="auto"/>
        </w:rPr>
        <w:t>is not a provider of health care services and therefore is not responsible for and does not guarantee any results or outcomes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covered health care services and supplies you receive. Except for Aetna RX Home Delivery LLC, providers of health care services, including hospitals, institutions, facilities or agencies, are independent contractors and are neither agents nor employees of </w:t>
      </w:r>
      <w:r>
        <w:rPr>
          <w:rFonts w:ascii="Arial" w:cs="Arial" w:eastAsia="Arial" w:hAnsi="Arial"/>
          <w:sz w:val="18"/>
          <w:szCs w:val="18"/>
          <w:b w:val="1"/>
          <w:bCs w:val="1"/>
          <w:color w:val="auto"/>
        </w:rPr>
        <w:t>Aetna</w:t>
      </w:r>
      <w:r>
        <w:rPr>
          <w:rFonts w:ascii="Arial" w:cs="Arial" w:eastAsia="Arial" w:hAnsi="Arial"/>
          <w:sz w:val="18"/>
          <w:szCs w:val="18"/>
          <w:color w:val="auto"/>
        </w:rPr>
        <w:t xml:space="preserve"> or its affiliates.</w:t>
      </w:r>
    </w:p>
    <w:p>
      <w:pPr>
        <w:sectPr>
          <w:pgSz w:w="11900" w:h="16838" w:orient="portrait"/>
          <w:cols w:equalWidth="0" w:num="1">
            <w:col w:w="11340"/>
          </w:cols>
          <w:pgMar w:left="320" w:top="427" w:right="239" w:bottom="1440" w:gutter="0" w:footer="0" w:header="0"/>
        </w:sectPr>
      </w:pPr>
    </w:p>
    <w:bookmarkStart w:id="190" w:name="page191"/>
    <w:bookmarkEnd w:id="190"/>
    <w:tbl>
      <w:tblPr>
        <w:tblLayout w:type="fixed"/>
        <w:tblInd w:w="22" w:type="dxa"/>
        <w:tblCellMar>
          <w:top w:w="0" w:type="dxa"/>
          <w:left w:w="0" w:type="dxa"/>
          <w:bottom w:w="0" w:type="dxa"/>
          <w:right w:w="0" w:type="dxa"/>
        </w:tblCellMar>
      </w:tblPr>
      <w:tr>
        <w:trPr>
          <w:trHeight w:val="494"/>
        </w:trPr>
        <w:tc>
          <w:tcPr>
            <w:tcW w:w="6200" w:type="dxa"/>
            <w:vAlign w:val="bottom"/>
          </w:tcPr>
          <w:p>
            <w:pPr>
              <w:spacing w:after="0"/>
              <w:rPr>
                <w:sz w:val="20"/>
                <w:szCs w:val="20"/>
                <w:color w:val="auto"/>
              </w:rPr>
            </w:pPr>
            <w:r>
              <w:rPr>
                <w:rFonts w:ascii="Arial" w:cs="Arial" w:eastAsia="Arial" w:hAnsi="Arial"/>
                <w:sz w:val="43"/>
                <w:szCs w:val="43"/>
                <w:b w:val="1"/>
                <w:bCs w:val="1"/>
                <w:color w:val="auto"/>
              </w:rPr>
              <w:t>When Your Coverage Begins</w:t>
            </w:r>
          </w:p>
        </w:tc>
        <w:tc>
          <w:tcPr>
            <w:tcW w:w="4640" w:type="dxa"/>
            <w:vAlign w:val="bottom"/>
            <w:shd w:val="clear" w:color="auto" w:fill="0000FF"/>
          </w:tcPr>
          <w:p>
            <w:pPr>
              <w:ind w:left="440"/>
              <w:spacing w:after="0"/>
              <w:rPr>
                <w:sz w:val="20"/>
                <w:szCs w:val="20"/>
                <w:color w:val="auto"/>
              </w:rPr>
            </w:pPr>
            <w:r>
              <w:rPr>
                <w:rFonts w:ascii="Arial" w:cs="Arial" w:eastAsia="Arial" w:hAnsi="Arial"/>
                <w:sz w:val="25"/>
                <w:szCs w:val="25"/>
                <w:b w:val="1"/>
                <w:bCs w:val="1"/>
                <w:color w:val="FFFFFF"/>
                <w:w w:val="94"/>
              </w:rPr>
              <w:t>Who Can Be Covered How and When</w:t>
            </w:r>
          </w:p>
        </w:tc>
      </w:tr>
      <w:tr>
        <w:trPr>
          <w:trHeight w:val="297"/>
        </w:trPr>
        <w:tc>
          <w:tcPr>
            <w:tcW w:w="6200" w:type="dxa"/>
            <w:vAlign w:val="bottom"/>
          </w:tcPr>
          <w:p>
            <w:pPr>
              <w:spacing w:after="0"/>
              <w:rPr>
                <w:sz w:val="20"/>
                <w:szCs w:val="20"/>
                <w:color w:val="auto"/>
              </w:rPr>
            </w:pPr>
            <w:r>
              <w:rPr>
                <w:rFonts w:ascii="Arial" w:cs="Arial" w:eastAsia="Arial" w:hAnsi="Arial"/>
                <w:sz w:val="14"/>
                <w:szCs w:val="14"/>
                <w:i w:val="1"/>
                <w:iCs w:val="1"/>
                <w:color w:val="auto"/>
              </w:rPr>
              <w:t>(GR-9N-29-005-01 VA)</w:t>
            </w:r>
          </w:p>
        </w:tc>
        <w:tc>
          <w:tcPr>
            <w:tcW w:w="4640" w:type="dxa"/>
            <w:vAlign w:val="bottom"/>
            <w:shd w:val="clear" w:color="auto" w:fill="0000FF"/>
          </w:tcPr>
          <w:p>
            <w:pPr>
              <w:ind w:left="440"/>
              <w:spacing w:after="0"/>
              <w:rPr>
                <w:sz w:val="20"/>
                <w:szCs w:val="20"/>
                <w:color w:val="auto"/>
              </w:rPr>
            </w:pPr>
            <w:r>
              <w:rPr>
                <w:rFonts w:ascii="Arial" w:cs="Arial" w:eastAsia="Arial" w:hAnsi="Arial"/>
                <w:sz w:val="25"/>
                <w:szCs w:val="25"/>
                <w:b w:val="1"/>
                <w:bCs w:val="1"/>
                <w:color w:val="FFFFFF"/>
              </w:rPr>
              <w:t>to Enroll</w:t>
            </w:r>
          </w:p>
        </w:tc>
      </w:tr>
      <w:tr>
        <w:trPr>
          <w:trHeight w:val="347"/>
        </w:trPr>
        <w:tc>
          <w:tcPr>
            <w:tcW w:w="6200" w:type="dxa"/>
            <w:vAlign w:val="bottom"/>
          </w:tcPr>
          <w:p>
            <w:pPr>
              <w:spacing w:after="0"/>
              <w:rPr>
                <w:sz w:val="24"/>
                <w:szCs w:val="24"/>
                <w:color w:val="auto"/>
              </w:rPr>
            </w:pPr>
          </w:p>
        </w:tc>
        <w:tc>
          <w:tcPr>
            <w:tcW w:w="4640" w:type="dxa"/>
            <w:vAlign w:val="bottom"/>
            <w:shd w:val="clear" w:color="auto" w:fill="0000FF"/>
          </w:tcPr>
          <w:p>
            <w:pPr>
              <w:ind w:left="440"/>
              <w:spacing w:after="0"/>
              <w:rPr>
                <w:sz w:val="20"/>
                <w:szCs w:val="20"/>
                <w:color w:val="auto"/>
              </w:rPr>
            </w:pPr>
            <w:r>
              <w:rPr>
                <w:rFonts w:ascii="Arial" w:cs="Arial" w:eastAsia="Arial" w:hAnsi="Arial"/>
                <w:sz w:val="25"/>
                <w:szCs w:val="25"/>
                <w:b w:val="1"/>
                <w:bCs w:val="1"/>
                <w:color w:val="FFFFFF"/>
              </w:rPr>
              <w:t>When Your Coverage Begins</w:t>
            </w:r>
          </w:p>
        </w:tc>
      </w:tr>
    </w:tbl>
    <w:p>
      <w:pPr>
        <w:spacing w:after="0" w:line="64" w:lineRule="exact"/>
        <w:rPr>
          <w:sz w:val="20"/>
          <w:szCs w:val="20"/>
          <w:color w:val="auto"/>
        </w:rPr>
      </w:pPr>
    </w:p>
    <w:p>
      <w:pPr>
        <w:ind w:left="2" w:right="340"/>
        <w:spacing w:after="0" w:line="250" w:lineRule="auto"/>
        <w:rPr>
          <w:sz w:val="20"/>
          <w:szCs w:val="20"/>
          <w:color w:val="auto"/>
        </w:rPr>
      </w:pPr>
      <w:r>
        <w:rPr>
          <w:rFonts w:ascii="Arial" w:cs="Arial" w:eastAsia="Arial" w:hAnsi="Arial"/>
          <w:sz w:val="20"/>
          <w:szCs w:val="20"/>
          <w:color w:val="auto"/>
        </w:rPr>
        <w:t>Throughout this section you will find information on who can be covered under the plan, how to enroll and what to do when there is a change in your life that affects coverage. In this section, “you” means the employee.</w:t>
      </w:r>
    </w:p>
    <w:p>
      <w:pPr>
        <w:spacing w:after="0" w:line="1" w:lineRule="exact"/>
        <w:rPr>
          <w:sz w:val="20"/>
          <w:szCs w:val="20"/>
          <w:color w:val="auto"/>
        </w:rPr>
      </w:pPr>
    </w:p>
    <w:p>
      <w:pPr>
        <w:ind w:left="2"/>
        <w:spacing w:after="0"/>
        <w:rPr>
          <w:sz w:val="20"/>
          <w:szCs w:val="20"/>
          <w:color w:val="auto"/>
        </w:rPr>
      </w:pPr>
      <w:r>
        <w:rPr>
          <w:rFonts w:ascii="Arial" w:cs="Arial" w:eastAsia="Arial" w:hAnsi="Arial"/>
          <w:sz w:val="32"/>
          <w:szCs w:val="32"/>
          <w:b w:val="1"/>
          <w:bCs w:val="1"/>
          <w:color w:val="auto"/>
        </w:rPr>
        <w:t>Who Can Be Covered</w:t>
      </w:r>
    </w:p>
    <w:p>
      <w:pPr>
        <w:spacing w:after="0" w:line="199"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Employees</w:t>
      </w:r>
    </w:p>
    <w:p>
      <w:pPr>
        <w:spacing w:after="0" w:line="32" w:lineRule="exact"/>
        <w:rPr>
          <w:sz w:val="20"/>
          <w:szCs w:val="20"/>
          <w:color w:val="auto"/>
        </w:rPr>
      </w:pPr>
    </w:p>
    <w:p>
      <w:pPr>
        <w:ind w:left="2"/>
        <w:spacing w:after="0"/>
        <w:rPr>
          <w:sz w:val="20"/>
          <w:szCs w:val="20"/>
          <w:color w:val="auto"/>
        </w:rPr>
      </w:pPr>
      <w:r>
        <w:rPr>
          <w:rFonts w:ascii="Arial" w:cs="Arial" w:eastAsia="Arial" w:hAnsi="Arial"/>
          <w:sz w:val="20"/>
          <w:szCs w:val="20"/>
          <w:color w:val="auto"/>
        </w:rPr>
        <w:t>To be covered by this plan, the following requirements must be met:</w:t>
      </w:r>
    </w:p>
    <w:p>
      <w:pPr>
        <w:spacing w:after="0" w:line="213" w:lineRule="exact"/>
        <w:rPr>
          <w:sz w:val="20"/>
          <w:szCs w:val="20"/>
          <w:color w:val="auto"/>
        </w:rPr>
      </w:pPr>
    </w:p>
    <w:p>
      <w:pPr>
        <w:ind w:left="322" w:hanging="322"/>
        <w:spacing w:after="0"/>
        <w:tabs>
          <w:tab w:leader="none" w:pos="32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You will need to be in an “eligible class”, as defined below; and</w:t>
      </w:r>
    </w:p>
    <w:p>
      <w:pPr>
        <w:spacing w:after="0" w:line="15" w:lineRule="exact"/>
        <w:rPr>
          <w:rFonts w:ascii="Arial" w:cs="Arial" w:eastAsia="Arial" w:hAnsi="Arial"/>
          <w:sz w:val="20"/>
          <w:szCs w:val="20"/>
          <w:color w:val="auto"/>
        </w:rPr>
      </w:pPr>
    </w:p>
    <w:p>
      <w:pPr>
        <w:ind w:left="322" w:hanging="322"/>
        <w:spacing w:after="0"/>
        <w:tabs>
          <w:tab w:leader="none" w:pos="32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You will need to meet the “eligibility date criteria” described below.</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 xml:space="preserve">Determining if You Are in an Eligible Class </w:t>
      </w:r>
      <w:r>
        <w:rPr>
          <w:rFonts w:ascii="Arial" w:cs="Arial" w:eastAsia="Arial" w:hAnsi="Arial"/>
          <w:sz w:val="14"/>
          <w:szCs w:val="14"/>
          <w:i w:val="1"/>
          <w:iCs w:val="1"/>
          <w:color w:val="auto"/>
        </w:rPr>
        <w:t>(GR-9N-29-005-01 VA)</w:t>
      </w:r>
    </w:p>
    <w:p>
      <w:pPr>
        <w:spacing w:after="0" w:line="56" w:lineRule="exact"/>
        <w:rPr>
          <w:sz w:val="20"/>
          <w:szCs w:val="20"/>
          <w:color w:val="auto"/>
        </w:rPr>
      </w:pPr>
    </w:p>
    <w:p>
      <w:pPr>
        <w:ind w:left="2"/>
        <w:spacing w:after="0"/>
        <w:rPr>
          <w:sz w:val="20"/>
          <w:szCs w:val="20"/>
          <w:color w:val="auto"/>
        </w:rPr>
      </w:pPr>
      <w:r>
        <w:rPr>
          <w:rFonts w:ascii="Arial" w:cs="Arial" w:eastAsia="Arial" w:hAnsi="Arial"/>
          <w:sz w:val="20"/>
          <w:szCs w:val="20"/>
          <w:color w:val="auto"/>
        </w:rPr>
        <w:t>You are in an eligible class if:</w:t>
      </w:r>
    </w:p>
    <w:p>
      <w:pPr>
        <w:spacing w:after="0" w:line="229" w:lineRule="exact"/>
        <w:rPr>
          <w:sz w:val="20"/>
          <w:szCs w:val="20"/>
          <w:color w:val="auto"/>
        </w:rPr>
      </w:pPr>
    </w:p>
    <w:p>
      <w:pPr>
        <w:ind w:left="322" w:hanging="322"/>
        <w:spacing w:after="0"/>
        <w:tabs>
          <w:tab w:leader="none" w:pos="32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You are a retired employee of an employer participating in this plan, and you:</w:t>
      </w:r>
    </w:p>
    <w:p>
      <w:pPr>
        <w:spacing w:after="0" w:line="15" w:lineRule="exact"/>
        <w:rPr>
          <w:rFonts w:ascii="Arial" w:cs="Arial" w:eastAsia="Arial" w:hAnsi="Arial"/>
          <w:sz w:val="20"/>
          <w:szCs w:val="20"/>
          <w:color w:val="auto"/>
        </w:rPr>
      </w:pPr>
    </w:p>
    <w:p>
      <w:pPr>
        <w:ind w:left="642" w:right="20" w:hanging="318"/>
        <w:spacing w:after="0" w:line="244" w:lineRule="auto"/>
        <w:tabs>
          <w:tab w:leader="none" w:pos="64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Retired before the effective date of this plan and were covered under the prior plan for health care coverage on the day before you retired; or</w:t>
      </w:r>
    </w:p>
    <w:p>
      <w:pPr>
        <w:spacing w:after="0" w:line="2" w:lineRule="exact"/>
        <w:rPr>
          <w:rFonts w:ascii="Arial" w:cs="Arial" w:eastAsia="Arial" w:hAnsi="Arial"/>
          <w:sz w:val="20"/>
          <w:szCs w:val="20"/>
          <w:color w:val="auto"/>
        </w:rPr>
      </w:pPr>
    </w:p>
    <w:p>
      <w:pPr>
        <w:ind w:left="642" w:hanging="318"/>
        <w:spacing w:after="0"/>
        <w:tabs>
          <w:tab w:leader="none" w:pos="64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Were covered under this plan or another plan sponsored by your employer on the day before you retired; and</w:t>
      </w:r>
    </w:p>
    <w:p>
      <w:pPr>
        <w:spacing w:after="0" w:line="40" w:lineRule="exact"/>
        <w:rPr>
          <w:rFonts w:ascii="Arial" w:cs="Arial" w:eastAsia="Arial" w:hAnsi="Arial"/>
          <w:sz w:val="20"/>
          <w:szCs w:val="20"/>
          <w:color w:val="auto"/>
        </w:rPr>
      </w:pPr>
    </w:p>
    <w:p>
      <w:pPr>
        <w:ind w:left="642" w:hanging="318"/>
        <w:spacing w:after="0"/>
        <w:tabs>
          <w:tab w:leader="none" w:pos="64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Retire under your employer’s IRS-qualified retirement plan.</w:t>
      </w:r>
    </w:p>
    <w:p>
      <w:pPr>
        <w:spacing w:after="0" w:line="232"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 xml:space="preserve">Determining When You Become Eligible </w:t>
      </w:r>
      <w:r>
        <w:rPr>
          <w:rFonts w:ascii="Arial" w:cs="Arial" w:eastAsia="Arial" w:hAnsi="Arial"/>
          <w:sz w:val="14"/>
          <w:szCs w:val="14"/>
          <w:i w:val="1"/>
          <w:iCs w:val="1"/>
          <w:color w:val="auto"/>
        </w:rPr>
        <w:t>(GR-9N-29-005-02 VA)</w:t>
      </w:r>
    </w:p>
    <w:p>
      <w:pPr>
        <w:spacing w:after="0" w:line="28" w:lineRule="exact"/>
        <w:rPr>
          <w:sz w:val="20"/>
          <w:szCs w:val="20"/>
          <w:color w:val="auto"/>
        </w:rPr>
      </w:pPr>
    </w:p>
    <w:p>
      <w:pPr>
        <w:ind w:left="2"/>
        <w:spacing w:after="0"/>
        <w:rPr>
          <w:sz w:val="20"/>
          <w:szCs w:val="20"/>
          <w:color w:val="auto"/>
        </w:rPr>
      </w:pPr>
      <w:r>
        <w:rPr>
          <w:rFonts w:ascii="Arial" w:cs="Arial" w:eastAsia="Arial" w:hAnsi="Arial"/>
          <w:sz w:val="20"/>
          <w:szCs w:val="20"/>
          <w:color w:val="auto"/>
        </w:rPr>
        <w:t>You become eligible for the plan on your eligibility date, which is determined as follows.</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On the Effective Date of the Plan</w:t>
      </w:r>
    </w:p>
    <w:p>
      <w:pPr>
        <w:spacing w:after="0" w:line="22" w:lineRule="exact"/>
        <w:rPr>
          <w:sz w:val="20"/>
          <w:szCs w:val="20"/>
          <w:color w:val="auto"/>
        </w:rPr>
      </w:pPr>
    </w:p>
    <w:p>
      <w:pPr>
        <w:ind w:left="2"/>
        <w:spacing w:after="0"/>
        <w:rPr>
          <w:sz w:val="20"/>
          <w:szCs w:val="20"/>
          <w:color w:val="auto"/>
        </w:rPr>
      </w:pPr>
      <w:r>
        <w:rPr>
          <w:rFonts w:ascii="Arial" w:cs="Arial" w:eastAsia="Arial" w:hAnsi="Arial"/>
          <w:sz w:val="20"/>
          <w:szCs w:val="20"/>
          <w:color w:val="auto"/>
        </w:rPr>
        <w:t>If you are in an eligible class on the effective date of your plan, your eligibility date is the effective date of the plan.</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After the Effective Date of the Plan</w:t>
      </w:r>
    </w:p>
    <w:p>
      <w:pPr>
        <w:spacing w:after="0" w:line="22" w:lineRule="exact"/>
        <w:rPr>
          <w:sz w:val="20"/>
          <w:szCs w:val="20"/>
          <w:color w:val="auto"/>
        </w:rPr>
      </w:pPr>
    </w:p>
    <w:p>
      <w:pPr>
        <w:ind w:left="2"/>
        <w:spacing w:after="0"/>
        <w:rPr>
          <w:sz w:val="20"/>
          <w:szCs w:val="20"/>
          <w:color w:val="auto"/>
        </w:rPr>
      </w:pPr>
      <w:r>
        <w:rPr>
          <w:rFonts w:ascii="Arial" w:cs="Arial" w:eastAsia="Arial" w:hAnsi="Arial"/>
          <w:sz w:val="20"/>
          <w:szCs w:val="20"/>
          <w:color w:val="auto"/>
        </w:rPr>
        <w:t>If you are in an eligible class on the date of retirement, your eligibility date is the date you retire.</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20"/>
          <w:szCs w:val="20"/>
          <w:color w:val="auto"/>
        </w:rPr>
        <w:t>If you enter an eligible class after your date of retirement, your eligibility date is the date you enter the eligible class.</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 xml:space="preserve">Obtaining Coverage for Dependents </w:t>
      </w:r>
      <w:r>
        <w:rPr>
          <w:rFonts w:ascii="Arial" w:cs="Arial" w:eastAsia="Arial" w:hAnsi="Arial"/>
          <w:sz w:val="14"/>
          <w:szCs w:val="14"/>
          <w:i w:val="1"/>
          <w:iCs w:val="1"/>
          <w:color w:val="auto"/>
        </w:rPr>
        <w:t>(GR-9N-29-010-02 VA)</w:t>
      </w:r>
    </w:p>
    <w:p>
      <w:pPr>
        <w:spacing w:after="0" w:line="56" w:lineRule="exact"/>
        <w:rPr>
          <w:sz w:val="20"/>
          <w:szCs w:val="20"/>
          <w:color w:val="auto"/>
        </w:rPr>
      </w:pPr>
    </w:p>
    <w:p>
      <w:pPr>
        <w:ind w:left="2"/>
        <w:spacing w:after="0"/>
        <w:rPr>
          <w:sz w:val="20"/>
          <w:szCs w:val="20"/>
          <w:color w:val="auto"/>
        </w:rPr>
      </w:pPr>
      <w:r>
        <w:rPr>
          <w:rFonts w:ascii="Arial" w:cs="Arial" w:eastAsia="Arial" w:hAnsi="Arial"/>
          <w:sz w:val="20"/>
          <w:szCs w:val="20"/>
          <w:color w:val="auto"/>
        </w:rPr>
        <w:t>Your dependents can be covered under your plan. You may enroll the following dependents:</w:t>
      </w:r>
    </w:p>
    <w:p>
      <w:pPr>
        <w:spacing w:after="0" w:line="243" w:lineRule="exact"/>
        <w:rPr>
          <w:sz w:val="20"/>
          <w:szCs w:val="20"/>
          <w:color w:val="auto"/>
        </w:rPr>
      </w:pPr>
    </w:p>
    <w:p>
      <w:pPr>
        <w:ind w:left="322" w:hanging="322"/>
        <w:spacing w:after="0"/>
        <w:tabs>
          <w:tab w:leader="none" w:pos="3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Your legal spouse; or</w:t>
      </w:r>
    </w:p>
    <w:p>
      <w:pPr>
        <w:spacing w:after="0" w:line="20" w:lineRule="exact"/>
        <w:rPr>
          <w:rFonts w:ascii="Arial" w:cs="Arial" w:eastAsia="Arial" w:hAnsi="Arial"/>
          <w:sz w:val="20"/>
          <w:szCs w:val="20"/>
          <w:color w:val="auto"/>
        </w:rPr>
      </w:pPr>
    </w:p>
    <w:p>
      <w:pPr>
        <w:ind w:left="322" w:hanging="322"/>
        <w:spacing w:after="0"/>
        <w:tabs>
          <w:tab w:leader="none" w:pos="3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Your domestic partner who meets the rules set by your employer; and</w:t>
      </w:r>
    </w:p>
    <w:p>
      <w:pPr>
        <w:spacing w:after="0" w:line="13" w:lineRule="exact"/>
        <w:rPr>
          <w:rFonts w:ascii="Arial" w:cs="Arial" w:eastAsia="Arial" w:hAnsi="Arial"/>
          <w:sz w:val="20"/>
          <w:szCs w:val="20"/>
          <w:color w:val="auto"/>
        </w:rPr>
      </w:pPr>
    </w:p>
    <w:p>
      <w:pPr>
        <w:ind w:left="322" w:hanging="322"/>
        <w:spacing w:after="0"/>
        <w:tabs>
          <w:tab w:leader="none" w:pos="3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Your dependent children; and</w:t>
      </w:r>
    </w:p>
    <w:p>
      <w:pPr>
        <w:spacing w:after="0" w:line="13" w:lineRule="exact"/>
        <w:rPr>
          <w:rFonts w:ascii="Arial" w:cs="Arial" w:eastAsia="Arial" w:hAnsi="Arial"/>
          <w:sz w:val="20"/>
          <w:szCs w:val="20"/>
          <w:color w:val="auto"/>
        </w:rPr>
      </w:pPr>
    </w:p>
    <w:p>
      <w:pPr>
        <w:ind w:left="322" w:hanging="322"/>
        <w:spacing w:after="0"/>
        <w:tabs>
          <w:tab w:leader="none" w:pos="3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Dependent children of your domestic partner.</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Aetna </w:t>
      </w:r>
      <w:r>
        <w:rPr>
          <w:rFonts w:ascii="Arial" w:cs="Arial" w:eastAsia="Arial" w:hAnsi="Arial"/>
          <w:sz w:val="16"/>
          <w:szCs w:val="16"/>
          <w:color w:val="auto"/>
        </w:rPr>
        <w:t>will rely upon your employer to determine whether or not a person meets the definition of a dependent for coverage under the plan.</w:t>
      </w:r>
    </w:p>
    <w:p>
      <w:pPr>
        <w:spacing w:after="0" w:line="68" w:lineRule="exact"/>
        <w:rPr>
          <w:sz w:val="20"/>
          <w:szCs w:val="20"/>
          <w:color w:val="auto"/>
        </w:rPr>
      </w:pPr>
    </w:p>
    <w:p>
      <w:pPr>
        <w:ind w:left="2"/>
        <w:spacing w:after="0"/>
        <w:rPr>
          <w:sz w:val="20"/>
          <w:szCs w:val="20"/>
          <w:color w:val="auto"/>
        </w:rPr>
      </w:pPr>
      <w:r>
        <w:rPr>
          <w:rFonts w:ascii="Arial" w:cs="Arial" w:eastAsia="Arial" w:hAnsi="Arial"/>
          <w:sz w:val="20"/>
          <w:szCs w:val="20"/>
          <w:color w:val="auto"/>
        </w:rPr>
        <w:t>This determination will be conclusive and binding upon all persons for the purposes of this plan.</w:t>
      </w:r>
    </w:p>
    <w:p>
      <w:pPr>
        <w:sectPr>
          <w:pgSz w:w="11900" w:h="16838" w:orient="portrait"/>
          <w:cols w:equalWidth="0" w:num="1">
            <w:col w:w="10942"/>
          </w:cols>
          <w:pgMar w:left="518" w:top="486" w:right="439" w:bottom="1440" w:gutter="0" w:footer="0" w:header="0"/>
        </w:sectPr>
      </w:pPr>
    </w:p>
    <w:bookmarkStart w:id="191" w:name="page192"/>
    <w:bookmarkEnd w:id="191"/>
    <w:p>
      <w:pPr>
        <w:ind w:left="100"/>
        <w:spacing w:after="0"/>
        <w:rPr>
          <w:sz w:val="20"/>
          <w:szCs w:val="20"/>
          <w:color w:val="auto"/>
        </w:rPr>
      </w:pPr>
      <w:r>
        <w:rPr>
          <w:rFonts w:ascii="Arial" w:cs="Arial" w:eastAsia="Arial" w:hAnsi="Arial"/>
          <w:sz w:val="22"/>
          <w:szCs w:val="22"/>
          <w:b w:val="1"/>
          <w:bCs w:val="1"/>
          <w:color w:val="auto"/>
        </w:rPr>
        <w:t xml:space="preserve">Coverage for Domestic Partner </w:t>
      </w:r>
      <w:r>
        <w:rPr>
          <w:rFonts w:ascii="Arial" w:cs="Arial" w:eastAsia="Arial" w:hAnsi="Arial"/>
          <w:sz w:val="14"/>
          <w:szCs w:val="14"/>
          <w:i w:val="1"/>
          <w:iCs w:val="1"/>
          <w:color w:val="auto"/>
        </w:rPr>
        <w:t>(GR-9N-29-010-01 VA)</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To be eligible for coverage, you and your domestic partner will need to complete and sign a Declaration of Domestic Partnership.</w:t>
      </w:r>
    </w:p>
    <w:p>
      <w:pPr>
        <w:spacing w:after="0" w:line="25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Coverage for Dependent Children </w:t>
      </w:r>
      <w:r>
        <w:rPr>
          <w:rFonts w:ascii="Arial" w:cs="Arial" w:eastAsia="Arial" w:hAnsi="Arial"/>
          <w:sz w:val="14"/>
          <w:szCs w:val="14"/>
          <w:i w:val="1"/>
          <w:iCs w:val="1"/>
          <w:color w:val="auto"/>
        </w:rPr>
        <w:t>(GR-9N-29-010-06 VA)</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To be eligible for coverage, a dependent child must be under 26 years of age. An eligible dependent child includes:</w:t>
      </w:r>
    </w:p>
    <w:p>
      <w:pPr>
        <w:spacing w:after="0" w:line="135" w:lineRule="exact"/>
        <w:rPr>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Your biological children;</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Your stepchildren;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Your legally adopted children;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Your foster children, including any children placed with you for adoption;</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children for whom you are responsible under court order;</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Your grandchildren in your court-ordered custody;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other child who lives with you in a parent-child relationship.</w:t>
      </w:r>
    </w:p>
    <w:p>
      <w:pPr>
        <w:spacing w:after="0" w:line="222" w:lineRule="exact"/>
        <w:rPr>
          <w:sz w:val="20"/>
          <w:szCs w:val="20"/>
          <w:color w:val="auto"/>
        </w:rPr>
      </w:pPr>
    </w:p>
    <w:p>
      <w:pPr>
        <w:ind w:left="100" w:right="640"/>
        <w:spacing w:after="0" w:line="260" w:lineRule="auto"/>
        <w:rPr>
          <w:sz w:val="20"/>
          <w:szCs w:val="20"/>
          <w:color w:val="auto"/>
        </w:rPr>
      </w:pPr>
      <w:r>
        <w:rPr>
          <w:rFonts w:ascii="Arial" w:cs="Arial" w:eastAsia="Arial" w:hAnsi="Arial"/>
          <w:sz w:val="20"/>
          <w:szCs w:val="20"/>
          <w:color w:val="auto"/>
        </w:rPr>
        <w:t xml:space="preserve">Coverage for a handicapped child may be continued past the age limits shown above. See </w:t>
      </w:r>
      <w:r>
        <w:rPr>
          <w:rFonts w:ascii="Arial" w:cs="Arial" w:eastAsia="Arial" w:hAnsi="Arial"/>
          <w:sz w:val="20"/>
          <w:szCs w:val="20"/>
          <w:i w:val="1"/>
          <w:iCs w:val="1"/>
          <w:color w:val="auto"/>
        </w:rPr>
        <w:t>Handicapped Dependent Children</w:t>
      </w:r>
      <w:r>
        <w:rPr>
          <w:rFonts w:ascii="Arial" w:cs="Arial" w:eastAsia="Arial" w:hAnsi="Arial"/>
          <w:sz w:val="20"/>
          <w:szCs w:val="20"/>
          <w:color w:val="auto"/>
        </w:rPr>
        <w:t xml:space="preserve">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Keep in mind that you cannot receive coverage under this Plan as:</w:t>
      </w:r>
    </w:p>
    <w:p>
      <w:pPr>
        <w:spacing w:after="0" w:line="200" w:lineRule="exact"/>
        <w:rPr>
          <w:sz w:val="20"/>
          <w:szCs w:val="20"/>
          <w:color w:val="auto"/>
        </w:rPr>
      </w:pPr>
    </w:p>
    <w:p>
      <w:pPr>
        <w:ind w:left="400" w:hanging="331"/>
        <w:spacing w:after="0"/>
        <w:tabs>
          <w:tab w:leader="none" w:pos="4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Both an employee and a dependent; or</w:t>
      </w:r>
    </w:p>
    <w:p>
      <w:pPr>
        <w:spacing w:after="0" w:line="20" w:lineRule="exact"/>
        <w:rPr>
          <w:rFonts w:ascii="Arial" w:cs="Arial" w:eastAsia="Arial" w:hAnsi="Arial"/>
          <w:sz w:val="20"/>
          <w:szCs w:val="20"/>
          <w:color w:val="auto"/>
        </w:rPr>
      </w:pPr>
    </w:p>
    <w:p>
      <w:pPr>
        <w:ind w:left="400" w:hanging="331"/>
        <w:spacing w:after="0"/>
        <w:tabs>
          <w:tab w:leader="none" w:pos="4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 dependent of more than one employee.</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How and When to Enroll </w:t>
      </w:r>
      <w:r>
        <w:rPr>
          <w:rFonts w:ascii="Arial" w:cs="Arial" w:eastAsia="Arial" w:hAnsi="Arial"/>
          <w:sz w:val="14"/>
          <w:szCs w:val="14"/>
          <w:i w:val="1"/>
          <w:iCs w:val="1"/>
          <w:color w:val="auto"/>
        </w:rPr>
        <w:t>(GR-9N 29-015 02 VA)</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Initial Enrollment in the Plan</w:t>
      </w:r>
    </w:p>
    <w:p>
      <w:pPr>
        <w:spacing w:after="0" w:line="32" w:lineRule="exact"/>
        <w:rPr>
          <w:sz w:val="20"/>
          <w:szCs w:val="20"/>
          <w:color w:val="auto"/>
        </w:rPr>
      </w:pPr>
    </w:p>
    <w:p>
      <w:pPr>
        <w:ind w:left="100" w:right="80"/>
        <w:spacing w:after="0" w:line="241" w:lineRule="auto"/>
        <w:rPr>
          <w:sz w:val="20"/>
          <w:szCs w:val="20"/>
          <w:color w:val="auto"/>
        </w:rPr>
      </w:pPr>
      <w:r>
        <w:rPr>
          <w:rFonts w:ascii="Arial" w:cs="Arial" w:eastAsia="Arial" w:hAnsi="Arial"/>
          <w:sz w:val="20"/>
          <w:szCs w:val="20"/>
          <w:color w:val="auto"/>
        </w:rPr>
        <w:t xml:space="preserve">You will be provided with plan benefit and enrollment information when you first become eligible to enroll. You will need to enroll in a manner determined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and your employer. To complete the enrollment process, you will need to provide all requested information for yourself and your eligible dependents.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 will need to enroll within 31 days of your eligibility date.</w:t>
      </w:r>
    </w:p>
    <w:p>
      <w:pPr>
        <w:spacing w:after="0" w:line="229" w:lineRule="exact"/>
        <w:rPr>
          <w:sz w:val="20"/>
          <w:szCs w:val="20"/>
          <w:color w:val="auto"/>
        </w:rPr>
      </w:pPr>
    </w:p>
    <w:p>
      <w:pPr>
        <w:ind w:left="100"/>
        <w:spacing w:after="0" w:line="260" w:lineRule="auto"/>
        <w:rPr>
          <w:sz w:val="20"/>
          <w:szCs w:val="20"/>
          <w:color w:val="auto"/>
        </w:rPr>
      </w:pPr>
      <w:r>
        <w:rPr>
          <w:rFonts w:ascii="Arial" w:cs="Arial" w:eastAsia="Arial" w:hAnsi="Arial"/>
          <w:sz w:val="20"/>
          <w:szCs w:val="20"/>
          <w:color w:val="auto"/>
        </w:rPr>
        <w:t>Newborns are automatically covered for 31 days after birth. To continue coverage after 31 days, you will need to complete a change form and return it to your employer before the end of the enrollment period.</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Special Enrollment Periods </w:t>
      </w:r>
      <w:r>
        <w:rPr>
          <w:rFonts w:ascii="Arial" w:cs="Arial" w:eastAsia="Arial" w:hAnsi="Arial"/>
          <w:sz w:val="14"/>
          <w:szCs w:val="14"/>
          <w:i w:val="1"/>
          <w:iCs w:val="1"/>
          <w:color w:val="auto"/>
        </w:rPr>
        <w:t>(GR-9N 29-015 02 VA)</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If You Adopt a Child</w:t>
      </w:r>
    </w:p>
    <w:p>
      <w:pPr>
        <w:spacing w:after="0" w:line="17" w:lineRule="exact"/>
        <w:rPr>
          <w:sz w:val="20"/>
          <w:szCs w:val="20"/>
          <w:color w:val="auto"/>
        </w:rPr>
      </w:pPr>
    </w:p>
    <w:p>
      <w:pPr>
        <w:ind w:left="100" w:right="340"/>
        <w:spacing w:after="0" w:line="244" w:lineRule="auto"/>
        <w:rPr>
          <w:sz w:val="20"/>
          <w:szCs w:val="20"/>
          <w:color w:val="auto"/>
        </w:rPr>
      </w:pPr>
      <w:r>
        <w:rPr>
          <w:rFonts w:ascii="Arial" w:cs="Arial" w:eastAsia="Arial" w:hAnsi="Arial"/>
          <w:sz w:val="20"/>
          <w:szCs w:val="20"/>
          <w:color w:val="auto"/>
        </w:rPr>
        <w:t>Your plan will cover a child who is placed for adoption. This means you have taken on the legal obligation for total or partial support of a child whom you plan to adopt.</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Your plan will provide coverage for a child who is placed with you for adoption if:</w:t>
      </w:r>
    </w:p>
    <w:p>
      <w:pPr>
        <w:spacing w:after="0" w:line="229" w:lineRule="exact"/>
        <w:rPr>
          <w:sz w:val="20"/>
          <w:szCs w:val="20"/>
          <w:color w:val="auto"/>
        </w:rPr>
      </w:pPr>
    </w:p>
    <w:p>
      <w:pPr>
        <w:ind w:left="440" w:hanging="330"/>
        <w:spacing w:after="0"/>
        <w:tabs>
          <w:tab w:leader="none" w:pos="4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child meets the plan’s definition of an eligible dependent on the date he or she is placed for adoption; and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You request coverage for the child in writing within 31 days of the placement.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Proof of placement will need to be presented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prior to the dependent enrollment.</w:t>
      </w:r>
    </w:p>
    <w:p>
      <w:pPr>
        <w:spacing w:after="0" w:line="8" w:lineRule="exact"/>
        <w:rPr>
          <w:rFonts w:ascii="Arial" w:cs="Arial" w:eastAsia="Arial" w:hAnsi="Arial"/>
          <w:sz w:val="20"/>
          <w:szCs w:val="20"/>
          <w:color w:val="auto"/>
        </w:rPr>
      </w:pPr>
    </w:p>
    <w:p>
      <w:pPr>
        <w:ind w:left="440" w:right="180" w:hanging="330"/>
        <w:spacing w:after="0" w:line="244" w:lineRule="auto"/>
        <w:tabs>
          <w:tab w:leader="none" w:pos="4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Any coverage limitations for a pre-existing condition will not apply to a child placed with you for adoption provided that the placement occurs on or after the effective date of your coverage.</w:t>
      </w:r>
    </w:p>
    <w:p>
      <w:pPr>
        <w:sectPr>
          <w:pgSz w:w="11900" w:h="16838" w:orient="portrait"/>
          <w:cols w:equalWidth="0" w:num="1">
            <w:col w:w="11340"/>
          </w:cols>
          <w:pgMar w:left="260" w:top="436" w:right="29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color w:val="auto"/>
        </w:rPr>
        <w:t>When You Receive a Qualified Child Support Order</w:t>
      </w:r>
    </w:p>
    <w:p>
      <w:pPr>
        <w:spacing w:after="0" w:line="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A Qualified Medical Child Support Order (QMCSO) is a court order requiring a parent to provide health care coverage to one or more children. A Qualified Domestic Relations Support Order (QDRSO) is a court order requiring a parent to provide dependent’s life insurance coverage to one or more children. Your plan will provide coverage for a child who is covered under a QMCSO or a QDRSO, if:</w:t>
      </w:r>
    </w:p>
    <w:p>
      <w:pPr>
        <w:spacing w:after="0" w:line="159" w:lineRule="exact"/>
        <w:rPr>
          <w:sz w:val="20"/>
          <w:szCs w:val="20"/>
          <w:color w:val="auto"/>
        </w:rPr>
      </w:pPr>
    </w:p>
    <w:p>
      <w:pPr>
        <w:ind w:left="340" w:hanging="331"/>
        <w:spacing w:after="0"/>
        <w:tabs>
          <w:tab w:leader="none" w:pos="3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child meets the plan’s definition of an eligible dependent; and</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You request coverage for the child in writing within 31 days of the court order.</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Coverage for the dependent will become effective on the date of the court order. Any coverage limitations for a pre- existing condition will not apply, as long as you submit a written request for coverage within the 31-day period.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If you do not request coverage for the child within the 31-day period, you will need to wait until the next annual enrollment period.</w:t>
      </w:r>
    </w:p>
    <w:p>
      <w:pPr>
        <w:spacing w:after="0" w:line="22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Under a QMCSO or QDRSO, if you are the non-custodial parent, the custodial parent may file claims for benefits. Benefits for such claims will be paid to the custodial parent.</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When Your Coverage Begins </w:t>
      </w:r>
      <w:r>
        <w:rPr>
          <w:rFonts w:ascii="Arial" w:cs="Arial" w:eastAsia="Arial" w:hAnsi="Arial"/>
          <w:sz w:val="14"/>
          <w:szCs w:val="14"/>
          <w:i w:val="1"/>
          <w:iCs w:val="1"/>
          <w:color w:val="auto"/>
        </w:rPr>
        <w:t>(GR-9N-29-025-01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Effective Date of Coverage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Your coverage takes effect on:</w:t>
      </w:r>
    </w:p>
    <w:p>
      <w:pPr>
        <w:spacing w:after="0" w:line="200" w:lineRule="exact"/>
        <w:rPr>
          <w:sz w:val="20"/>
          <w:szCs w:val="20"/>
          <w:color w:val="auto"/>
        </w:rPr>
      </w:pPr>
    </w:p>
    <w:p>
      <w:pPr>
        <w:ind w:left="340" w:hanging="331"/>
        <w:spacing w:after="0"/>
        <w:tabs>
          <w:tab w:leader="none" w:pos="3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date you are eligible for coverage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Your Dependent’s Effective Date of Coverage </w:t>
      </w:r>
      <w:r>
        <w:rPr>
          <w:rFonts w:ascii="Arial" w:cs="Arial" w:eastAsia="Arial" w:hAnsi="Arial"/>
          <w:sz w:val="14"/>
          <w:szCs w:val="14"/>
          <w:i w:val="1"/>
          <w:iCs w:val="1"/>
          <w:color w:val="auto"/>
        </w:rPr>
        <w:t>(GR-9N-29-025-01 VA)</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Your dependent’s coverage takes effect on the same day that your coverage becomes effective, if you have enrolled them in the plan.</w:t>
      </w:r>
    </w:p>
    <w:p>
      <w:pPr>
        <w:sectPr>
          <w:pgSz w:w="11900" w:h="16838" w:orient="portrait"/>
          <w:cols w:equalWidth="0" w:num="1">
            <w:col w:w="11320"/>
          </w:cols>
          <w:pgMar w:left="320" w:top="436" w:right="259" w:bottom="1440" w:gutter="0" w:footer="0" w:header="0"/>
        </w:sectPr>
      </w:pPr>
    </w:p>
    <w:bookmarkStart w:id="193" w:name="page194"/>
    <w:bookmarkEnd w:id="193"/>
    <w:tbl>
      <w:tblPr>
        <w:tblLayout w:type="fixed"/>
        <w:tblInd w:w="280" w:type="dxa"/>
        <w:tblCellMar>
          <w:top w:w="0" w:type="dxa"/>
          <w:left w:w="0" w:type="dxa"/>
          <w:bottom w:w="0" w:type="dxa"/>
          <w:right w:w="0" w:type="dxa"/>
        </w:tblCellMar>
      </w:tblPr>
      <w:tr>
        <w:trPr>
          <w:trHeight w:val="494"/>
        </w:trPr>
        <w:tc>
          <w:tcPr>
            <w:tcW w:w="6160" w:type="dxa"/>
            <w:vAlign w:val="bottom"/>
          </w:tcPr>
          <w:p>
            <w:pPr>
              <w:spacing w:after="0"/>
              <w:rPr>
                <w:sz w:val="20"/>
                <w:szCs w:val="20"/>
                <w:color w:val="auto"/>
              </w:rPr>
            </w:pPr>
            <w:r>
              <w:rPr>
                <w:rFonts w:ascii="Arial" w:cs="Arial" w:eastAsia="Arial" w:hAnsi="Arial"/>
                <w:sz w:val="43"/>
                <w:szCs w:val="43"/>
                <w:b w:val="1"/>
                <w:bCs w:val="1"/>
                <w:color w:val="auto"/>
                <w:w w:val="99"/>
              </w:rPr>
              <w:t>How Your Medical Plan Works</w:t>
            </w:r>
          </w:p>
        </w:tc>
        <w:tc>
          <w:tcPr>
            <w:tcW w:w="4580" w:type="dxa"/>
            <w:vAlign w:val="bottom"/>
            <w:shd w:val="clear" w:color="auto" w:fill="0000FF"/>
          </w:tcPr>
          <w:p>
            <w:pPr>
              <w:ind w:left="740"/>
              <w:spacing w:after="0"/>
              <w:rPr>
                <w:sz w:val="20"/>
                <w:szCs w:val="20"/>
                <w:color w:val="auto"/>
              </w:rPr>
            </w:pPr>
            <w:r>
              <w:rPr>
                <w:rFonts w:ascii="Arial" w:cs="Arial" w:eastAsia="Arial" w:hAnsi="Arial"/>
                <w:sz w:val="25"/>
                <w:szCs w:val="25"/>
                <w:b w:val="1"/>
                <w:bCs w:val="1"/>
                <w:color w:val="FFFFFF"/>
              </w:rPr>
              <w:t>Common Terms Accessing</w:t>
            </w:r>
          </w:p>
        </w:tc>
      </w:tr>
      <w:tr>
        <w:trPr>
          <w:trHeight w:val="347"/>
        </w:trPr>
        <w:tc>
          <w:tcPr>
            <w:tcW w:w="6160" w:type="dxa"/>
            <w:vAlign w:val="bottom"/>
          </w:tcPr>
          <w:p>
            <w:pPr>
              <w:spacing w:after="0"/>
              <w:rPr>
                <w:sz w:val="20"/>
                <w:szCs w:val="20"/>
                <w:color w:val="auto"/>
              </w:rPr>
            </w:pPr>
            <w:r>
              <w:rPr>
                <w:rFonts w:ascii="Arial" w:cs="Arial" w:eastAsia="Arial" w:hAnsi="Arial"/>
                <w:sz w:val="14"/>
                <w:szCs w:val="14"/>
                <w:i w:val="1"/>
                <w:iCs w:val="1"/>
                <w:color w:val="auto"/>
              </w:rPr>
              <w:t>(GR-9N-08-005-01)</w:t>
            </w:r>
          </w:p>
        </w:tc>
        <w:tc>
          <w:tcPr>
            <w:tcW w:w="4580" w:type="dxa"/>
            <w:vAlign w:val="bottom"/>
            <w:shd w:val="clear" w:color="auto" w:fill="0000FF"/>
          </w:tcPr>
          <w:p>
            <w:pPr>
              <w:ind w:left="740"/>
              <w:spacing w:after="0"/>
              <w:rPr>
                <w:sz w:val="20"/>
                <w:szCs w:val="20"/>
                <w:color w:val="auto"/>
              </w:rPr>
            </w:pPr>
            <w:r>
              <w:rPr>
                <w:rFonts w:ascii="Arial" w:cs="Arial" w:eastAsia="Arial" w:hAnsi="Arial"/>
                <w:sz w:val="25"/>
                <w:szCs w:val="25"/>
                <w:b w:val="1"/>
                <w:bCs w:val="1"/>
                <w:color w:val="FFFFFF"/>
              </w:rPr>
              <w:t>Providers</w:t>
            </w:r>
          </w:p>
        </w:tc>
      </w:tr>
    </w:tbl>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It is important that you have the information and useful resources to help you get the most out of your </w:t>
      </w:r>
      <w:r>
        <w:rPr>
          <w:rFonts w:ascii="Arial" w:cs="Arial" w:eastAsia="Arial" w:hAnsi="Arial"/>
          <w:sz w:val="18"/>
          <w:szCs w:val="18"/>
          <w:b w:val="1"/>
          <w:bCs w:val="1"/>
          <w:color w:val="auto"/>
        </w:rPr>
        <w:t>Aetna</w:t>
      </w:r>
      <w:r>
        <w:rPr>
          <w:rFonts w:ascii="Arial" w:cs="Arial" w:eastAsia="Arial" w:hAnsi="Arial"/>
          <w:sz w:val="18"/>
          <w:szCs w:val="18"/>
          <w:color w:val="auto"/>
        </w:rPr>
        <w:t xml:space="preserve"> medical plan. This Booklet-</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Certificate explains:</w:t>
      </w:r>
    </w:p>
    <w:p>
      <w:pPr>
        <w:spacing w:after="0" w:line="227" w:lineRule="exact"/>
        <w:rPr>
          <w:sz w:val="20"/>
          <w:szCs w:val="20"/>
          <w:color w:val="auto"/>
        </w:rPr>
      </w:pPr>
    </w:p>
    <w:p>
      <w:pPr>
        <w:ind w:left="580" w:hanging="322"/>
        <w:spacing w:after="0"/>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Definitions you need to know;</w:t>
      </w:r>
    </w:p>
    <w:p>
      <w:pPr>
        <w:spacing w:after="0" w:line="20" w:lineRule="exact"/>
        <w:rPr>
          <w:rFonts w:ascii="Arial" w:cs="Arial" w:eastAsia="Arial" w:hAnsi="Arial"/>
          <w:sz w:val="20"/>
          <w:szCs w:val="20"/>
          <w:color w:val="auto"/>
        </w:rPr>
      </w:pPr>
    </w:p>
    <w:p>
      <w:pPr>
        <w:ind w:left="580" w:hanging="322"/>
        <w:spacing w:after="0"/>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How to access care, including procedures you need to follow;</w:t>
      </w:r>
    </w:p>
    <w:p>
      <w:pPr>
        <w:spacing w:after="0" w:line="13" w:lineRule="exact"/>
        <w:rPr>
          <w:rFonts w:ascii="Arial" w:cs="Arial" w:eastAsia="Arial" w:hAnsi="Arial"/>
          <w:sz w:val="20"/>
          <w:szCs w:val="20"/>
          <w:color w:val="auto"/>
        </w:rPr>
      </w:pPr>
    </w:p>
    <w:p>
      <w:pPr>
        <w:ind w:left="580" w:hanging="322"/>
        <w:spacing w:after="0"/>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What expenses for services and supplies are covered and what limits may apply;</w:t>
      </w:r>
    </w:p>
    <w:p>
      <w:pPr>
        <w:spacing w:after="0" w:line="13" w:lineRule="exact"/>
        <w:rPr>
          <w:rFonts w:ascii="Arial" w:cs="Arial" w:eastAsia="Arial" w:hAnsi="Arial"/>
          <w:sz w:val="20"/>
          <w:szCs w:val="20"/>
          <w:color w:val="auto"/>
        </w:rPr>
      </w:pPr>
    </w:p>
    <w:p>
      <w:pPr>
        <w:ind w:left="580" w:hanging="322"/>
        <w:spacing w:after="0"/>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What expenses for services and supplies are not covered by the plan;</w:t>
      </w:r>
    </w:p>
    <w:p>
      <w:pPr>
        <w:spacing w:after="0" w:line="13" w:lineRule="exact"/>
        <w:rPr>
          <w:rFonts w:ascii="Arial" w:cs="Arial" w:eastAsia="Arial" w:hAnsi="Arial"/>
          <w:sz w:val="20"/>
          <w:szCs w:val="20"/>
          <w:color w:val="auto"/>
        </w:rPr>
      </w:pPr>
    </w:p>
    <w:p>
      <w:pPr>
        <w:ind w:left="580" w:hanging="322"/>
        <w:spacing w:after="0"/>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How you share the cost of your covered services and supplies; and</w:t>
      </w:r>
    </w:p>
    <w:p>
      <w:pPr>
        <w:spacing w:after="0" w:line="8" w:lineRule="exact"/>
        <w:rPr>
          <w:rFonts w:ascii="Arial" w:cs="Arial" w:eastAsia="Arial" w:hAnsi="Arial"/>
          <w:sz w:val="20"/>
          <w:szCs w:val="20"/>
          <w:color w:val="auto"/>
        </w:rPr>
      </w:pPr>
    </w:p>
    <w:p>
      <w:pPr>
        <w:ind w:left="580" w:right="1080" w:hanging="322"/>
        <w:spacing w:after="0" w:line="244" w:lineRule="auto"/>
        <w:tabs>
          <w:tab w:leader="none" w:pos="5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Other important information such as eligibility, complaints and appeals, termination, continuation of coverage, and general administration of the plan.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Notes</w:t>
      </w:r>
    </w:p>
    <w:p>
      <w:pPr>
        <w:spacing w:after="0" w:line="222" w:lineRule="exact"/>
        <w:rPr>
          <w:sz w:val="20"/>
          <w:szCs w:val="20"/>
          <w:color w:val="auto"/>
        </w:rPr>
      </w:pPr>
    </w:p>
    <w:p>
      <w:pPr>
        <w:ind w:left="320" w:hanging="251"/>
        <w:spacing w:after="0"/>
        <w:tabs>
          <w:tab w:leader="none" w:pos="3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Unless otherwise indicated, “you” refers to you and your covered dependents.</w:t>
      </w:r>
    </w:p>
    <w:p>
      <w:pPr>
        <w:spacing w:after="0" w:line="15" w:lineRule="exact"/>
        <w:rPr>
          <w:rFonts w:ascii="Arial" w:cs="Arial" w:eastAsia="Arial" w:hAnsi="Arial"/>
          <w:sz w:val="20"/>
          <w:szCs w:val="20"/>
          <w:color w:val="auto"/>
        </w:rPr>
      </w:pPr>
    </w:p>
    <w:p>
      <w:pPr>
        <w:ind w:left="400" w:right="120" w:hanging="331"/>
        <w:spacing w:after="0" w:line="239" w:lineRule="auto"/>
        <w:tabs>
          <w:tab w:leader="none" w:pos="32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Your health plan pays benefits only for services and supplies described in this Booklet-Certificate as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that are </w:t>
      </w:r>
      <w:r>
        <w:rPr>
          <w:rFonts w:ascii="Arial" w:cs="Arial" w:eastAsia="Arial" w:hAnsi="Arial"/>
          <w:sz w:val="20"/>
          <w:szCs w:val="20"/>
          <w:b w:val="1"/>
          <w:bCs w:val="1"/>
          <w:color w:val="auto"/>
        </w:rPr>
        <w:t>medically</w:t>
      </w:r>
      <w:r>
        <w:rPr>
          <w:rFonts w:ascii="Arial" w:cs="Arial" w:eastAsia="Arial" w:hAnsi="Arial"/>
          <w:sz w:val="20"/>
          <w:szCs w:val="20"/>
          <w:color w:val="auto"/>
        </w:rPr>
        <w:t xml:space="preserve"> </w:t>
      </w:r>
      <w:r>
        <w:rPr>
          <w:rFonts w:ascii="Arial" w:cs="Arial" w:eastAsia="Arial" w:hAnsi="Arial"/>
          <w:sz w:val="20"/>
          <w:szCs w:val="20"/>
          <w:b w:val="1"/>
          <w:bCs w:val="1"/>
          <w:color w:val="auto"/>
        </w:rPr>
        <w:t>necessary</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400" w:right="140" w:hanging="331"/>
        <w:spacing w:after="0" w:line="242" w:lineRule="auto"/>
        <w:tabs>
          <w:tab w:leader="none" w:pos="32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This Booklet-Certificate applies to coverage only and does not restrict your ability to receive health care services that are not or might not be covered benefits under this health plan.</w:t>
      </w:r>
    </w:p>
    <w:p>
      <w:pPr>
        <w:ind w:left="320" w:hanging="251"/>
        <w:spacing w:after="0"/>
        <w:tabs>
          <w:tab w:leader="none" w:pos="3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Store this Booklet-Certificate in a safe place for future reference.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 xml:space="preserve">Common Terms </w:t>
      </w:r>
      <w:r>
        <w:rPr>
          <w:rFonts w:ascii="Arial" w:cs="Arial" w:eastAsia="Arial" w:hAnsi="Arial"/>
          <w:sz w:val="14"/>
          <w:szCs w:val="14"/>
          <w:i w:val="1"/>
          <w:iCs w:val="1"/>
          <w:color w:val="auto"/>
        </w:rPr>
        <w:t>(GR-9N-08-010-01)</w:t>
      </w:r>
    </w:p>
    <w:p>
      <w:pPr>
        <w:spacing w:after="0" w:line="305" w:lineRule="exact"/>
        <w:rPr>
          <w:sz w:val="20"/>
          <w:szCs w:val="20"/>
          <w:color w:val="auto"/>
        </w:rPr>
      </w:pPr>
    </w:p>
    <w:p>
      <w:pPr>
        <w:ind w:left="260" w:right="240"/>
        <w:spacing w:after="0" w:line="250" w:lineRule="auto"/>
        <w:rPr>
          <w:sz w:val="20"/>
          <w:szCs w:val="20"/>
          <w:color w:val="auto"/>
        </w:rPr>
      </w:pPr>
      <w:r>
        <w:rPr>
          <w:rFonts w:ascii="Arial" w:cs="Arial" w:eastAsia="Arial" w:hAnsi="Arial"/>
          <w:sz w:val="20"/>
          <w:szCs w:val="20"/>
          <w:color w:val="auto"/>
        </w:rPr>
        <w:t xml:space="preserve">Many terms throughout this Booklet-Certificate are defined in the </w:t>
      </w:r>
      <w:r>
        <w:rPr>
          <w:rFonts w:ascii="Arial" w:cs="Arial" w:eastAsia="Arial" w:hAnsi="Arial"/>
          <w:sz w:val="20"/>
          <w:szCs w:val="20"/>
          <w:i w:val="1"/>
          <w:iCs w:val="1"/>
          <w:color w:val="auto"/>
        </w:rPr>
        <w:t>Glossary</w:t>
      </w:r>
      <w:r>
        <w:rPr>
          <w:rFonts w:ascii="Arial" w:cs="Arial" w:eastAsia="Arial" w:hAnsi="Arial"/>
          <w:sz w:val="20"/>
          <w:szCs w:val="20"/>
          <w:color w:val="auto"/>
        </w:rPr>
        <w:t xml:space="preserve"> section at the back of this document. Defined terms appear in bolded print. Understanding these terms will also help you understand how your plan works and provide you with useful information regarding your coverage.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 xml:space="preserve">About Your Comprehensive Medical Plan </w:t>
      </w:r>
      <w:r>
        <w:rPr>
          <w:rFonts w:ascii="Arial" w:cs="Arial" w:eastAsia="Arial" w:hAnsi="Arial"/>
          <w:sz w:val="14"/>
          <w:szCs w:val="14"/>
          <w:i w:val="1"/>
          <w:iCs w:val="1"/>
          <w:color w:val="auto"/>
        </w:rPr>
        <w:t>(GR-9N-08-015-02)</w:t>
      </w:r>
    </w:p>
    <w:p>
      <w:pPr>
        <w:spacing w:after="0" w:line="312" w:lineRule="exact"/>
        <w:rPr>
          <w:sz w:val="20"/>
          <w:szCs w:val="20"/>
          <w:color w:val="auto"/>
        </w:rPr>
      </w:pPr>
    </w:p>
    <w:p>
      <w:pPr>
        <w:ind w:left="260" w:right="1800"/>
        <w:spacing w:after="0" w:line="32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Aetna</w:t>
      </w:r>
      <w:r>
        <w:rPr>
          <w:rFonts w:ascii="Arial" w:cs="Arial" w:eastAsia="Arial" w:hAnsi="Arial"/>
          <w:sz w:val="18"/>
          <w:szCs w:val="18"/>
          <w:color w:val="auto"/>
        </w:rPr>
        <w:t xml:space="preserve"> medical plan is designed to cover a range of medical services and supplies for the treatment of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injury </w:t>
      </w:r>
      <w:r>
        <w:rPr>
          <w:rFonts w:ascii="Arial" w:cs="Arial" w:eastAsia="Arial" w:hAnsi="Arial"/>
          <w:sz w:val="18"/>
          <w:szCs w:val="18"/>
          <w:color w:val="auto"/>
        </w:rPr>
        <w:t>and other preventive and routine medical expenses. It does not provide benefits for all medical care.</w:t>
      </w:r>
    </w:p>
    <w:p>
      <w:pPr>
        <w:spacing w:after="0" w:line="132" w:lineRule="exact"/>
        <w:rPr>
          <w:sz w:val="20"/>
          <w:szCs w:val="20"/>
          <w:color w:val="auto"/>
        </w:rPr>
      </w:pPr>
    </w:p>
    <w:p>
      <w:pPr>
        <w:jc w:val="both"/>
        <w:ind w:left="260"/>
        <w:spacing w:after="0" w:line="248" w:lineRule="auto"/>
        <w:rPr>
          <w:sz w:val="20"/>
          <w:szCs w:val="20"/>
          <w:color w:val="auto"/>
        </w:rPr>
      </w:pPr>
      <w:r>
        <w:rPr>
          <w:rFonts w:ascii="Arial" w:cs="Arial" w:eastAsia="Arial" w:hAnsi="Arial"/>
          <w:sz w:val="20"/>
          <w:szCs w:val="20"/>
          <w:color w:val="auto"/>
        </w:rPr>
        <w:t xml:space="preserve">The plan will pay for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up to the maximum benefits shown in this Booklet-Certificate. Coverage is subject to all the terms, policies and procedures outlined in this Booklet-Certificate. Not all medical expenses are covered under the plan. Exclusions and limitations apply to certain medical services, supplies and expenses. Refer to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and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sections to determine if medical services are covered, excluded, or limited.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 xml:space="preserve">Using the Plan </w:t>
      </w:r>
      <w:r>
        <w:rPr>
          <w:rFonts w:ascii="Arial" w:cs="Arial" w:eastAsia="Arial" w:hAnsi="Arial"/>
          <w:sz w:val="14"/>
          <w:szCs w:val="14"/>
          <w:i w:val="1"/>
          <w:iCs w:val="1"/>
          <w:color w:val="auto"/>
        </w:rPr>
        <w:t>(GR-9N-08-015-02)</w:t>
      </w:r>
    </w:p>
    <w:p>
      <w:pPr>
        <w:spacing w:after="0" w:line="266" w:lineRule="exact"/>
        <w:rPr>
          <w:sz w:val="20"/>
          <w:szCs w:val="20"/>
          <w:color w:val="auto"/>
        </w:rPr>
      </w:pPr>
    </w:p>
    <w:p>
      <w:pPr>
        <w:ind w:left="580" w:right="140" w:hanging="322"/>
        <w:spacing w:after="0" w:line="267" w:lineRule="auto"/>
        <w:tabs>
          <w:tab w:leader="none" w:pos="58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When you need medical care, you can directly access </w:t>
      </w:r>
      <w:r>
        <w:rPr>
          <w:rFonts w:ascii="Arial" w:cs="Arial" w:eastAsia="Arial" w:hAnsi="Arial"/>
          <w:sz w:val="20"/>
          <w:szCs w:val="20"/>
          <w:b w:val="1"/>
          <w:bCs w:val="1"/>
          <w:color w:val="auto"/>
        </w:rPr>
        <w:t>physicians, hospitals</w:t>
      </w:r>
      <w:r>
        <w:rPr>
          <w:rFonts w:ascii="Arial" w:cs="Arial" w:eastAsia="Arial" w:hAnsi="Arial"/>
          <w:sz w:val="20"/>
          <w:szCs w:val="20"/>
          <w:color w:val="auto"/>
        </w:rPr>
        <w:t xml:space="preserve"> and other health care providers of your choice for covered services and supplies under the plan.</w:t>
      </w:r>
    </w:p>
    <w:p>
      <w:pPr>
        <w:spacing w:after="0" w:line="169" w:lineRule="exact"/>
        <w:rPr>
          <w:rFonts w:ascii="Arial" w:cs="Arial" w:eastAsia="Arial" w:hAnsi="Arial"/>
          <w:sz w:val="20"/>
          <w:szCs w:val="20"/>
          <w:color w:val="auto"/>
        </w:rPr>
      </w:pPr>
    </w:p>
    <w:p>
      <w:pPr>
        <w:ind w:left="580" w:right="100" w:hanging="322"/>
        <w:spacing w:after="0" w:line="269" w:lineRule="auto"/>
        <w:tabs>
          <w:tab w:leader="none" w:pos="58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You may have to pay the provider or facility and submit a claim to receive reimbursement from the plan. You will be responsible for completing and submitting claim forms for reimbursement of covered expenses you paid directly to the provider. </w:t>
      </w:r>
      <w:r>
        <w:rPr>
          <w:rFonts w:ascii="Arial" w:cs="Arial" w:eastAsia="Arial" w:hAnsi="Arial"/>
          <w:sz w:val="19"/>
          <w:szCs w:val="19"/>
          <w:b w:val="1"/>
          <w:bCs w:val="1"/>
          <w:color w:val="auto"/>
        </w:rPr>
        <w:t>Aetna</w:t>
      </w:r>
      <w:r>
        <w:rPr>
          <w:rFonts w:ascii="Arial" w:cs="Arial" w:eastAsia="Arial" w:hAnsi="Arial"/>
          <w:sz w:val="19"/>
          <w:szCs w:val="19"/>
          <w:color w:val="auto"/>
        </w:rPr>
        <w:t xml:space="preserve"> will reimburse you for a covered expense up to the </w:t>
      </w:r>
      <w:r>
        <w:rPr>
          <w:rFonts w:ascii="Arial" w:cs="Arial" w:eastAsia="Arial" w:hAnsi="Arial"/>
          <w:sz w:val="19"/>
          <w:szCs w:val="19"/>
          <w:b w:val="1"/>
          <w:bCs w:val="1"/>
          <w:color w:val="auto"/>
        </w:rPr>
        <w:t>recognized charge</w:t>
      </w:r>
      <w:r>
        <w:rPr>
          <w:rFonts w:ascii="Arial" w:cs="Arial" w:eastAsia="Arial" w:hAnsi="Arial"/>
          <w:sz w:val="19"/>
          <w:szCs w:val="19"/>
          <w:color w:val="auto"/>
        </w:rPr>
        <w:t>, less any cost sharing required by you.</w:t>
      </w:r>
    </w:p>
    <w:p>
      <w:pPr>
        <w:sectPr>
          <w:pgSz w:w="11900" w:h="16838" w:orient="portrait"/>
          <w:cols w:equalWidth="0" w:num="1">
            <w:col w:w="11380"/>
          </w:cols>
          <w:pgMar w:left="260" w:top="460" w:right="259" w:bottom="1440" w:gutter="0" w:footer="0" w:header="0"/>
        </w:sectPr>
      </w:pPr>
    </w:p>
    <w:bookmarkStart w:id="194" w:name="page195"/>
    <w:bookmarkEnd w:id="194"/>
    <w:p>
      <w:pPr>
        <w:ind w:left="440" w:right="40" w:hanging="330"/>
        <w:spacing w:after="0" w:line="273" w:lineRule="auto"/>
        <w:tabs>
          <w:tab w:leader="none" w:pos="4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You will receive notification of what the plan has paid toward your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It will indicate any amounts you owe towards your </w:t>
      </w:r>
      <w:r>
        <w:rPr>
          <w:rFonts w:ascii="Arial" w:cs="Arial" w:eastAsia="Arial" w:hAnsi="Arial"/>
          <w:sz w:val="19"/>
          <w:szCs w:val="19"/>
          <w:b w:val="1"/>
          <w:bCs w:val="1"/>
          <w:color w:val="auto"/>
        </w:rPr>
        <w:t xml:space="preserve">deductible, payment percentage </w:t>
      </w:r>
      <w:r>
        <w:rPr>
          <w:rFonts w:ascii="Arial" w:cs="Arial" w:eastAsia="Arial" w:hAnsi="Arial"/>
          <w:sz w:val="19"/>
          <w:szCs w:val="19"/>
          <w:color w:val="auto"/>
        </w:rPr>
        <w:t>or other non-covered expenses you have incurred. You may elect to receive this notification by e-mail,</w:t>
      </w:r>
      <w:r>
        <w:rPr>
          <w:rFonts w:ascii="Arial" w:cs="Arial" w:eastAsia="Arial" w:hAnsi="Arial"/>
          <w:sz w:val="19"/>
          <w:szCs w:val="19"/>
          <w:b w:val="1"/>
          <w:bCs w:val="1"/>
          <w:color w:val="auto"/>
        </w:rPr>
        <w:t xml:space="preserve"> </w:t>
      </w:r>
      <w:r>
        <w:rPr>
          <w:rFonts w:ascii="Arial" w:cs="Arial" w:eastAsia="Arial" w:hAnsi="Arial"/>
          <w:sz w:val="19"/>
          <w:szCs w:val="19"/>
          <w:color w:val="auto"/>
        </w:rPr>
        <w:t>or through the mail. Call or e-mail Member Services if you have questions regarding your statement.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Please refer to the </w:t>
      </w:r>
      <w:r>
        <w:rPr>
          <w:rFonts w:ascii="Arial" w:cs="Arial" w:eastAsia="Arial" w:hAnsi="Arial"/>
          <w:sz w:val="20"/>
          <w:szCs w:val="20"/>
          <w:i w:val="1"/>
          <w:iCs w:val="1"/>
          <w:color w:val="auto"/>
        </w:rPr>
        <w:t>Understanding Precertification</w:t>
      </w:r>
      <w:r>
        <w:rPr>
          <w:rFonts w:ascii="Arial" w:cs="Arial" w:eastAsia="Arial" w:hAnsi="Arial"/>
          <w:sz w:val="20"/>
          <w:szCs w:val="20"/>
          <w:color w:val="auto"/>
        </w:rPr>
        <w:t xml:space="preserve"> section for information on how to request precertification.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Cost Sharing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You share in the cost of your care. Cost Sharing amounts and provisions are described in the </w:t>
      </w:r>
      <w:r>
        <w:rPr>
          <w:rFonts w:ascii="Arial" w:cs="Arial" w:eastAsia="Arial" w:hAnsi="Arial"/>
          <w:sz w:val="20"/>
          <w:szCs w:val="20"/>
          <w:b w:val="1"/>
          <w:bCs w:val="1"/>
          <w:i w:val="1"/>
          <w:iCs w:val="1"/>
          <w:color w:val="auto"/>
        </w:rPr>
        <w:t>Schedule of Benefits</w:t>
      </w:r>
      <w:r>
        <w:rPr>
          <w:rFonts w:ascii="Arial" w:cs="Arial" w:eastAsia="Arial" w:hAnsi="Arial"/>
          <w:sz w:val="20"/>
          <w:szCs w:val="20"/>
          <w:color w:val="auto"/>
        </w:rPr>
        <w:t>.</w:t>
      </w:r>
    </w:p>
    <w:p>
      <w:pPr>
        <w:spacing w:after="0" w:line="175" w:lineRule="exact"/>
        <w:rPr>
          <w:sz w:val="20"/>
          <w:szCs w:val="20"/>
          <w:color w:val="auto"/>
        </w:rPr>
      </w:pPr>
    </w:p>
    <w:p>
      <w:pPr>
        <w:ind w:left="440" w:hanging="330"/>
        <w:spacing w:after="0"/>
        <w:tabs>
          <w:tab w:leader="none" w:pos="4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You must satisfy any applicable </w:t>
      </w:r>
      <w:r>
        <w:rPr>
          <w:rFonts w:ascii="Arial" w:cs="Arial" w:eastAsia="Arial" w:hAnsi="Arial"/>
          <w:sz w:val="20"/>
          <w:szCs w:val="20"/>
          <w:b w:val="1"/>
          <w:bCs w:val="1"/>
          <w:color w:val="auto"/>
        </w:rPr>
        <w:t>deductibles</w:t>
      </w:r>
      <w:r>
        <w:rPr>
          <w:rFonts w:ascii="Arial" w:cs="Arial" w:eastAsia="Arial" w:hAnsi="Arial"/>
          <w:sz w:val="20"/>
          <w:szCs w:val="20"/>
          <w:color w:val="auto"/>
        </w:rPr>
        <w:t xml:space="preserve"> before the plan begins to pay benefits.</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The plan contains a </w:t>
      </w:r>
      <w:r>
        <w:rPr>
          <w:rFonts w:ascii="Arial" w:cs="Arial" w:eastAsia="Arial" w:hAnsi="Arial"/>
          <w:sz w:val="20"/>
          <w:szCs w:val="20"/>
          <w:b w:val="1"/>
          <w:bCs w:val="1"/>
          <w:color w:val="auto"/>
        </w:rPr>
        <w:t>deductible carryover</w:t>
      </w:r>
      <w:r>
        <w:rPr>
          <w:rFonts w:ascii="Arial" w:cs="Arial" w:eastAsia="Arial" w:hAnsi="Arial"/>
          <w:sz w:val="20"/>
          <w:szCs w:val="20"/>
          <w:color w:val="auto"/>
        </w:rPr>
        <w:t xml:space="preserve"> feature. Refer to your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section for details.</w:t>
      </w:r>
    </w:p>
    <w:p>
      <w:pPr>
        <w:spacing w:after="0" w:line="193" w:lineRule="exact"/>
        <w:rPr>
          <w:rFonts w:ascii="Arial" w:cs="Arial" w:eastAsia="Arial" w:hAnsi="Arial"/>
          <w:sz w:val="20"/>
          <w:szCs w:val="20"/>
          <w:color w:val="auto"/>
        </w:rPr>
      </w:pPr>
    </w:p>
    <w:p>
      <w:pPr>
        <w:ind w:left="440" w:hanging="330"/>
        <w:spacing w:after="0" w:line="251" w:lineRule="auto"/>
        <w:tabs>
          <w:tab w:leader="none" w:pos="4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After you satisfy any applicable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you will be responsible for any applicable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for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that you incur. You will be responsible for your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up to the </w:t>
      </w:r>
      <w:r>
        <w:rPr>
          <w:rFonts w:ascii="Arial" w:cs="Arial" w:eastAsia="Arial" w:hAnsi="Arial"/>
          <w:sz w:val="20"/>
          <w:szCs w:val="20"/>
          <w:b w:val="1"/>
          <w:bCs w:val="1"/>
          <w:color w:val="auto"/>
        </w:rPr>
        <w:t>coinsurance limit</w:t>
      </w:r>
      <w:r>
        <w:rPr>
          <w:rFonts w:ascii="Arial" w:cs="Arial" w:eastAsia="Arial" w:hAnsi="Arial"/>
          <w:sz w:val="20"/>
          <w:szCs w:val="20"/>
          <w:color w:val="auto"/>
        </w:rPr>
        <w:t xml:space="preserve"> applicable to your plan.</w:t>
      </w:r>
    </w:p>
    <w:p>
      <w:pPr>
        <w:ind w:left="440" w:right="560" w:hanging="330"/>
        <w:spacing w:after="0" w:line="239" w:lineRule="auto"/>
        <w:tabs>
          <w:tab w:leader="none" w:pos="4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Your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will be based on the </w:t>
      </w:r>
      <w:r>
        <w:rPr>
          <w:rFonts w:ascii="Arial" w:cs="Arial" w:eastAsia="Arial" w:hAnsi="Arial"/>
          <w:sz w:val="20"/>
          <w:szCs w:val="20"/>
          <w:b w:val="1"/>
          <w:bCs w:val="1"/>
          <w:color w:val="auto"/>
        </w:rPr>
        <w:t>recognized charge</w:t>
      </w:r>
      <w:r>
        <w:rPr>
          <w:rFonts w:ascii="Arial" w:cs="Arial" w:eastAsia="Arial" w:hAnsi="Arial"/>
          <w:sz w:val="20"/>
          <w:szCs w:val="20"/>
          <w:color w:val="auto"/>
        </w:rPr>
        <w:t xml:space="preserve">. If the health care provider you select charges more than the </w:t>
      </w:r>
      <w:r>
        <w:rPr>
          <w:rFonts w:ascii="Arial" w:cs="Arial" w:eastAsia="Arial" w:hAnsi="Arial"/>
          <w:sz w:val="20"/>
          <w:szCs w:val="20"/>
          <w:b w:val="1"/>
          <w:bCs w:val="1"/>
          <w:color w:val="auto"/>
        </w:rPr>
        <w:t>recognized</w:t>
      </w:r>
      <w:r>
        <w:rPr>
          <w:rFonts w:ascii="Arial" w:cs="Arial" w:eastAsia="Arial" w:hAnsi="Arial"/>
          <w:sz w:val="20"/>
          <w:szCs w:val="20"/>
          <w:color w:val="auto"/>
        </w:rPr>
        <w:t xml:space="preserve"> </w:t>
      </w:r>
      <w:r>
        <w:rPr>
          <w:rFonts w:ascii="Arial" w:cs="Arial" w:eastAsia="Arial" w:hAnsi="Arial"/>
          <w:sz w:val="20"/>
          <w:szCs w:val="20"/>
          <w:b w:val="1"/>
          <w:bCs w:val="1"/>
          <w:color w:val="auto"/>
        </w:rPr>
        <w:t>charge</w:t>
      </w:r>
      <w:r>
        <w:rPr>
          <w:rFonts w:ascii="Arial" w:cs="Arial" w:eastAsia="Arial" w:hAnsi="Arial"/>
          <w:sz w:val="20"/>
          <w:szCs w:val="20"/>
          <w:color w:val="auto"/>
        </w:rPr>
        <w:t>, you will be responsible for any expenses above the</w:t>
      </w:r>
      <w:r>
        <w:rPr>
          <w:rFonts w:ascii="Arial" w:cs="Arial" w:eastAsia="Arial" w:hAnsi="Arial"/>
          <w:sz w:val="20"/>
          <w:szCs w:val="20"/>
          <w:b w:val="1"/>
          <w:bCs w:val="1"/>
          <w:color w:val="auto"/>
        </w:rPr>
        <w:t xml:space="preserve"> recognized charge</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440" w:right="340" w:hanging="330"/>
        <w:spacing w:after="0" w:line="266" w:lineRule="auto"/>
        <w:tabs>
          <w:tab w:leader="none" w:pos="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Once you satisfy the </w:t>
      </w:r>
      <w:r>
        <w:rPr>
          <w:rFonts w:ascii="Arial" w:cs="Arial" w:eastAsia="Arial" w:hAnsi="Arial"/>
          <w:sz w:val="18"/>
          <w:szCs w:val="18"/>
          <w:b w:val="1"/>
          <w:bCs w:val="1"/>
          <w:color w:val="auto"/>
        </w:rPr>
        <w:t>coinsurance limit</w:t>
      </w:r>
      <w:r>
        <w:rPr>
          <w:rFonts w:ascii="Arial" w:cs="Arial" w:eastAsia="Arial" w:hAnsi="Arial"/>
          <w:sz w:val="18"/>
          <w:szCs w:val="18"/>
          <w:color w:val="auto"/>
        </w:rPr>
        <w:t xml:space="preserve">, the plan will pay 100% of the </w:t>
      </w:r>
      <w:r>
        <w:rPr>
          <w:rFonts w:ascii="Arial" w:cs="Arial" w:eastAsia="Arial" w:hAnsi="Arial"/>
          <w:sz w:val="18"/>
          <w:szCs w:val="18"/>
          <w:b w:val="1"/>
          <w:bCs w:val="1"/>
          <w:color w:val="auto"/>
        </w:rPr>
        <w:t>covered expenses</w:t>
      </w:r>
      <w:r>
        <w:rPr>
          <w:rFonts w:ascii="Arial" w:cs="Arial" w:eastAsia="Arial" w:hAnsi="Arial"/>
          <w:sz w:val="18"/>
          <w:szCs w:val="18"/>
          <w:color w:val="auto"/>
        </w:rPr>
        <w:t xml:space="preserve"> that apply toward the limit for the rest of the Calendar Year. Certain designated out-of-pocket expenses may not apply to the </w:t>
      </w:r>
      <w:r>
        <w:rPr>
          <w:rFonts w:ascii="Arial" w:cs="Arial" w:eastAsia="Arial" w:hAnsi="Arial"/>
          <w:sz w:val="18"/>
          <w:szCs w:val="18"/>
          <w:b w:val="1"/>
          <w:bCs w:val="1"/>
          <w:color w:val="auto"/>
        </w:rPr>
        <w:t>coinsurance limit</w:t>
      </w:r>
      <w:r>
        <w:rPr>
          <w:rFonts w:ascii="Arial" w:cs="Arial" w:eastAsia="Arial" w:hAnsi="Arial"/>
          <w:sz w:val="18"/>
          <w:szCs w:val="18"/>
          <w:color w:val="auto"/>
        </w:rPr>
        <w:t xml:space="preserve">. Refer to your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section for information on what expenses do not apply to the limit and specific dollar limits that apply to your plan.</w:t>
      </w:r>
    </w:p>
    <w:p>
      <w:pPr>
        <w:ind w:left="440" w:right="40" w:hanging="330"/>
        <w:spacing w:after="0" w:line="365" w:lineRule="auto"/>
        <w:tabs>
          <w:tab w:leader="none" w:pos="4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plan will pay for </w:t>
      </w:r>
      <w:r>
        <w:rPr>
          <w:rFonts w:ascii="Arial" w:cs="Arial" w:eastAsia="Arial" w:hAnsi="Arial"/>
          <w:sz w:val="16"/>
          <w:szCs w:val="16"/>
          <w:b w:val="1"/>
          <w:bCs w:val="1"/>
          <w:color w:val="auto"/>
        </w:rPr>
        <w:t>covered expenses</w:t>
      </w:r>
      <w:r>
        <w:rPr>
          <w:rFonts w:ascii="Arial" w:cs="Arial" w:eastAsia="Arial" w:hAnsi="Arial"/>
          <w:sz w:val="16"/>
          <w:szCs w:val="16"/>
          <w:color w:val="auto"/>
        </w:rPr>
        <w:t xml:space="preserve">, up to the maximums shown in the </w:t>
      </w:r>
      <w:r>
        <w:rPr>
          <w:rFonts w:ascii="Arial" w:cs="Arial" w:eastAsia="Arial" w:hAnsi="Arial"/>
          <w:sz w:val="16"/>
          <w:szCs w:val="16"/>
          <w:i w:val="1"/>
          <w:iCs w:val="1"/>
          <w:color w:val="auto"/>
        </w:rPr>
        <w:t>What the Plan Covers</w:t>
      </w:r>
      <w:r>
        <w:rPr>
          <w:rFonts w:ascii="Arial" w:cs="Arial" w:eastAsia="Arial" w:hAnsi="Arial"/>
          <w:sz w:val="16"/>
          <w:szCs w:val="16"/>
          <w:color w:val="auto"/>
        </w:rPr>
        <w:t xml:space="preserve"> or </w:t>
      </w:r>
      <w:r>
        <w:rPr>
          <w:rFonts w:ascii="Arial" w:cs="Arial" w:eastAsia="Arial" w:hAnsi="Arial"/>
          <w:sz w:val="16"/>
          <w:szCs w:val="16"/>
          <w:i w:val="1"/>
          <w:iCs w:val="1"/>
          <w:color w:val="auto"/>
        </w:rPr>
        <w:t>Schedule of Benefit</w:t>
      </w:r>
      <w:r>
        <w:rPr>
          <w:rFonts w:ascii="Arial" w:cs="Arial" w:eastAsia="Arial" w:hAnsi="Arial"/>
          <w:sz w:val="16"/>
          <w:szCs w:val="16"/>
          <w:color w:val="auto"/>
        </w:rPr>
        <w:t xml:space="preserve"> sections. You are responsible for any expenses incurred over the maximum limits outlined in the </w:t>
      </w:r>
      <w:r>
        <w:rPr>
          <w:rFonts w:ascii="Arial" w:cs="Arial" w:eastAsia="Arial" w:hAnsi="Arial"/>
          <w:sz w:val="16"/>
          <w:szCs w:val="16"/>
          <w:i w:val="1"/>
          <w:iCs w:val="1"/>
          <w:color w:val="auto"/>
        </w:rPr>
        <w:t>What the Plan Covers</w:t>
      </w:r>
      <w:r>
        <w:rPr>
          <w:rFonts w:ascii="Arial" w:cs="Arial" w:eastAsia="Arial" w:hAnsi="Arial"/>
          <w:sz w:val="16"/>
          <w:szCs w:val="16"/>
          <w:color w:val="auto"/>
        </w:rPr>
        <w:t xml:space="preserve"> or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sections.</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Understanding Precertification</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Precertification</w:t>
      </w:r>
    </w:p>
    <w:p>
      <w:pPr>
        <w:spacing w:after="0" w:line="19" w:lineRule="exact"/>
        <w:rPr>
          <w:sz w:val="20"/>
          <w:szCs w:val="20"/>
          <w:color w:val="auto"/>
        </w:rPr>
      </w:pPr>
    </w:p>
    <w:p>
      <w:pPr>
        <w:ind w:left="100" w:right="60"/>
        <w:spacing w:after="0" w:line="242" w:lineRule="auto"/>
        <w:rPr>
          <w:sz w:val="20"/>
          <w:szCs w:val="20"/>
          <w:color w:val="auto"/>
        </w:rPr>
      </w:pPr>
      <w:r>
        <w:rPr>
          <w:rFonts w:ascii="Arial" w:cs="Arial" w:eastAsia="Arial" w:hAnsi="Arial"/>
          <w:sz w:val="20"/>
          <w:szCs w:val="20"/>
          <w:color w:val="auto"/>
        </w:rPr>
        <w:t xml:space="preserve">Inpatient </w:t>
      </w:r>
      <w:r>
        <w:rPr>
          <w:rFonts w:ascii="Arial" w:cs="Arial" w:eastAsia="Arial" w:hAnsi="Arial"/>
          <w:sz w:val="20"/>
          <w:szCs w:val="20"/>
          <w:b w:val="1"/>
          <w:bCs w:val="1"/>
          <w:color w:val="auto"/>
        </w:rPr>
        <w:t>stays</w:t>
      </w:r>
      <w:r>
        <w:rPr>
          <w:rFonts w:ascii="Arial" w:cs="Arial" w:eastAsia="Arial" w:hAnsi="Arial"/>
          <w:sz w:val="20"/>
          <w:szCs w:val="20"/>
          <w:color w:val="auto"/>
        </w:rPr>
        <w:t xml:space="preserve"> require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is a process that helps you and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determine whether the services being recommended are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under the plan. It also allows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help your provider coordinate your transition from an inpatient setting to an outpatient setting (called discharge planning), and to register you for specialized programs or case management when appropriate.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 xml:space="preserve">Please read the following sections in their entirety for important information on the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process, and any impact it may have on your coverage.</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The Precertification Process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Prior to being </w:t>
      </w:r>
      <w:r>
        <w:rPr>
          <w:rFonts w:ascii="Arial" w:cs="Arial" w:eastAsia="Arial" w:hAnsi="Arial"/>
          <w:sz w:val="20"/>
          <w:szCs w:val="20"/>
          <w:b w:val="1"/>
          <w:bCs w:val="1"/>
          <w:color w:val="auto"/>
        </w:rPr>
        <w:t>hospitalized</w:t>
      </w:r>
      <w:r>
        <w:rPr>
          <w:rFonts w:ascii="Arial" w:cs="Arial" w:eastAsia="Arial" w:hAnsi="Arial"/>
          <w:sz w:val="20"/>
          <w:szCs w:val="20"/>
          <w:color w:val="auto"/>
        </w:rPr>
        <w:t xml:space="preserve"> there are certain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procedures that must be followed.</w:t>
      </w:r>
    </w:p>
    <w:p>
      <w:pPr>
        <w:spacing w:after="0" w:line="223" w:lineRule="exact"/>
        <w:rPr>
          <w:sz w:val="20"/>
          <w:szCs w:val="20"/>
          <w:color w:val="auto"/>
        </w:rPr>
      </w:pPr>
    </w:p>
    <w:p>
      <w:pPr>
        <w:jc w:val="both"/>
        <w:ind w:left="100"/>
        <w:spacing w:after="0" w:line="253" w:lineRule="auto"/>
        <w:rPr>
          <w:sz w:val="20"/>
          <w:szCs w:val="20"/>
          <w:color w:val="auto"/>
        </w:rPr>
      </w:pPr>
      <w:r>
        <w:rPr>
          <w:rFonts w:ascii="Arial" w:cs="Arial" w:eastAsia="Arial" w:hAnsi="Arial"/>
          <w:sz w:val="20"/>
          <w:szCs w:val="20"/>
          <w:color w:val="auto"/>
        </w:rPr>
        <w:t xml:space="preserve">You are responsible for obtaining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You or a member of your family,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staff member, or the attending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must notify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w:t>
      </w:r>
      <w:r>
        <w:rPr>
          <w:rFonts w:ascii="Arial" w:cs="Arial" w:eastAsia="Arial" w:hAnsi="Arial"/>
          <w:sz w:val="20"/>
          <w:szCs w:val="20"/>
          <w:b w:val="1"/>
          <w:bCs w:val="1"/>
          <w:color w:val="auto"/>
        </w:rPr>
        <w:t>precertify</w:t>
      </w:r>
      <w:r>
        <w:rPr>
          <w:rFonts w:ascii="Arial" w:cs="Arial" w:eastAsia="Arial" w:hAnsi="Arial"/>
          <w:sz w:val="20"/>
          <w:szCs w:val="20"/>
          <w:color w:val="auto"/>
        </w:rPr>
        <w:t xml:space="preserve"> the admission prior to receiving any of the services or supplies that require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pursuant to this Booklet-Certificate in accordance with the following timelines:</w:t>
      </w:r>
    </w:p>
    <w:p>
      <w:pPr>
        <w:sectPr>
          <w:pgSz w:w="11900" w:h="16838" w:orient="portrait"/>
          <w:cols w:equalWidth="0" w:num="1">
            <w:col w:w="11400"/>
          </w:cols>
          <w:pgMar w:left="260" w:top="427" w:right="239" w:bottom="1440" w:gutter="0" w:footer="0" w:header="0"/>
        </w:sectPr>
      </w:pPr>
    </w:p>
    <w:bookmarkStart w:id="195" w:name="page196"/>
    <w:bookmarkEnd w:id="195"/>
    <w:p>
      <w:pPr>
        <w:ind w:right="380"/>
        <w:spacing w:after="0" w:line="267" w:lineRule="auto"/>
        <w:rPr>
          <w:sz w:val="20"/>
          <w:szCs w:val="20"/>
          <w:color w:val="auto"/>
        </w:rPr>
      </w:pPr>
      <w:r>
        <w:rPr>
          <w:rFonts w:ascii="Arial" w:cs="Arial" w:eastAsia="Arial" w:hAnsi="Arial"/>
          <w:sz w:val="20"/>
          <w:szCs w:val="20"/>
          <w:b w:val="1"/>
          <w:bCs w:val="1"/>
          <w:color w:val="auto"/>
        </w:rPr>
        <w:t xml:space="preserve">Precertification </w:t>
      </w:r>
      <w:r>
        <w:rPr>
          <w:rFonts w:ascii="Arial" w:cs="Arial" w:eastAsia="Arial" w:hAnsi="Arial"/>
          <w:sz w:val="20"/>
          <w:szCs w:val="20"/>
          <w:color w:val="auto"/>
        </w:rPr>
        <w:t>should be secured within the timeframes specified below. To obtain</w:t>
      </w:r>
      <w:r>
        <w:rPr>
          <w:rFonts w:ascii="Arial" w:cs="Arial" w:eastAsia="Arial" w:hAnsi="Arial"/>
          <w:sz w:val="20"/>
          <w:szCs w:val="20"/>
          <w:b w:val="1"/>
          <w:bCs w:val="1"/>
          <w:color w:val="auto"/>
        </w:rPr>
        <w:t xml:space="preserve"> precertification</w:t>
      </w:r>
      <w:r>
        <w:rPr>
          <w:rFonts w:ascii="Arial" w:cs="Arial" w:eastAsia="Arial" w:hAnsi="Arial"/>
          <w:sz w:val="20"/>
          <w:szCs w:val="20"/>
          <w:color w:val="auto"/>
        </w:rPr>
        <w:t>, call</w:t>
      </w:r>
      <w:r>
        <w:rPr>
          <w:rFonts w:ascii="Arial" w:cs="Arial" w:eastAsia="Arial" w:hAnsi="Arial"/>
          <w:sz w:val="20"/>
          <w:szCs w:val="20"/>
          <w:b w:val="1"/>
          <w:bCs w:val="1"/>
          <w:color w:val="auto"/>
        </w:rPr>
        <w:t xml:space="preserve"> Aetna </w:t>
      </w:r>
      <w:r>
        <w:rPr>
          <w:rFonts w:ascii="Arial" w:cs="Arial" w:eastAsia="Arial" w:hAnsi="Arial"/>
          <w:sz w:val="20"/>
          <w:szCs w:val="20"/>
          <w:color w:val="auto"/>
        </w:rPr>
        <w:t>at the telephone number</w:t>
      </w:r>
      <w:r>
        <w:rPr>
          <w:rFonts w:ascii="Arial" w:cs="Arial" w:eastAsia="Arial" w:hAnsi="Arial"/>
          <w:sz w:val="20"/>
          <w:szCs w:val="20"/>
          <w:b w:val="1"/>
          <w:bCs w:val="1"/>
          <w:color w:val="auto"/>
        </w:rPr>
        <w:t xml:space="preserve"> </w:t>
      </w:r>
      <w:r>
        <w:rPr>
          <w:rFonts w:ascii="Arial" w:cs="Arial" w:eastAsia="Arial" w:hAnsi="Arial"/>
          <w:sz w:val="20"/>
          <w:szCs w:val="20"/>
          <w:color w:val="auto"/>
        </w:rPr>
        <w:t>listed on your ID card. This call must be made:</w:t>
      </w:r>
    </w:p>
    <w:p>
      <w:pPr>
        <w:spacing w:after="0" w:line="315" w:lineRule="exact"/>
        <w:rPr>
          <w:sz w:val="20"/>
          <w:szCs w:val="20"/>
          <w:color w:val="auto"/>
        </w:rPr>
      </w:pPr>
    </w:p>
    <w:tbl>
      <w:tblPr>
        <w:tblLayout w:type="fixed"/>
        <w:tblInd w:w="50" w:type="dxa"/>
        <w:tblCellMar>
          <w:top w:w="0" w:type="dxa"/>
          <w:left w:w="0" w:type="dxa"/>
          <w:bottom w:w="0" w:type="dxa"/>
          <w:right w:w="0" w:type="dxa"/>
        </w:tblCellMar>
      </w:tblPr>
      <w:tr>
        <w:trPr>
          <w:trHeight w:val="253"/>
        </w:trPr>
        <w:tc>
          <w:tcPr>
            <w:tcW w:w="54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For non-emergency admissions:</w:t>
            </w:r>
          </w:p>
        </w:tc>
        <w:tc>
          <w:tcPr>
            <w:tcW w:w="5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0"/>
              </w:rPr>
              <w:t xml:space="preserve">It is your responsibility to call and request </w:t>
            </w:r>
            <w:r>
              <w:rPr>
                <w:rFonts w:ascii="Arial" w:cs="Arial" w:eastAsia="Arial" w:hAnsi="Arial"/>
                <w:sz w:val="20"/>
                <w:szCs w:val="20"/>
                <w:b w:val="1"/>
                <w:bCs w:val="1"/>
                <w:color w:val="auto"/>
                <w:w w:val="90"/>
              </w:rPr>
              <w:t>precertification</w:t>
            </w:r>
            <w:r>
              <w:rPr>
                <w:rFonts w:ascii="Arial" w:cs="Arial" w:eastAsia="Arial" w:hAnsi="Arial"/>
                <w:sz w:val="20"/>
                <w:szCs w:val="20"/>
                <w:color w:val="auto"/>
                <w:w w:val="90"/>
              </w:rPr>
              <w:t xml:space="preserve"> at least</w:t>
            </w:r>
          </w:p>
        </w:tc>
      </w:tr>
      <w:tr>
        <w:trPr>
          <w:trHeight w:val="250"/>
        </w:trPr>
        <w:tc>
          <w:tcPr>
            <w:tcW w:w="5480" w:type="dxa"/>
            <w:vAlign w:val="bottom"/>
            <w:tcBorders>
              <w:left w:val="single" w:sz="8" w:color="auto"/>
              <w:right w:val="single" w:sz="8" w:color="auto"/>
            </w:tcBorders>
          </w:tcPr>
          <w:p>
            <w:pPr>
              <w:spacing w:after="0"/>
              <w:rPr>
                <w:sz w:val="21"/>
                <w:szCs w:val="21"/>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14 days before the date you are scheduled to be admitted</w:t>
            </w:r>
          </w:p>
        </w:tc>
      </w:tr>
      <w:tr>
        <w:trPr>
          <w:trHeight w:val="23"/>
        </w:trPr>
        <w:tc>
          <w:tcPr>
            <w:tcW w:w="54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33"/>
        </w:trPr>
        <w:tc>
          <w:tcPr>
            <w:tcW w:w="54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 xml:space="preserve">For an </w:t>
            </w:r>
            <w:r>
              <w:rPr>
                <w:rFonts w:ascii="Arial" w:cs="Arial" w:eastAsia="Arial" w:hAnsi="Arial"/>
                <w:sz w:val="20"/>
                <w:szCs w:val="20"/>
                <w:b w:val="1"/>
                <w:bCs w:val="1"/>
                <w:color w:val="auto"/>
              </w:rPr>
              <w:t>emergency admission</w:t>
            </w:r>
            <w:r>
              <w:rPr>
                <w:rFonts w:ascii="Arial" w:cs="Arial" w:eastAsia="Arial" w:hAnsi="Arial"/>
                <w:sz w:val="20"/>
                <w:szCs w:val="20"/>
                <w:color w:val="auto"/>
              </w:rPr>
              <w:t>:</w:t>
            </w: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 xml:space="preserve">You, your </w:t>
            </w:r>
            <w:r>
              <w:rPr>
                <w:rFonts w:ascii="Arial" w:cs="Arial" w:eastAsia="Arial" w:hAnsi="Arial"/>
                <w:sz w:val="20"/>
                <w:szCs w:val="20"/>
                <w:b w:val="1"/>
                <w:bCs w:val="1"/>
                <w:color w:val="auto"/>
                <w:w w:val="92"/>
              </w:rPr>
              <w:t>physician</w:t>
            </w:r>
            <w:r>
              <w:rPr>
                <w:rFonts w:ascii="Arial" w:cs="Arial" w:eastAsia="Arial" w:hAnsi="Arial"/>
                <w:sz w:val="20"/>
                <w:szCs w:val="20"/>
                <w:color w:val="auto"/>
                <w:w w:val="92"/>
              </w:rPr>
              <w:t xml:space="preserve"> or the facility must call within 48 hours or as</w:t>
            </w:r>
          </w:p>
        </w:tc>
      </w:tr>
      <w:tr>
        <w:trPr>
          <w:trHeight w:val="250"/>
        </w:trPr>
        <w:tc>
          <w:tcPr>
            <w:tcW w:w="5480" w:type="dxa"/>
            <w:vAlign w:val="bottom"/>
            <w:tcBorders>
              <w:left w:val="single" w:sz="8" w:color="auto"/>
              <w:right w:val="single" w:sz="8" w:color="auto"/>
            </w:tcBorders>
          </w:tcPr>
          <w:p>
            <w:pPr>
              <w:spacing w:after="0"/>
              <w:rPr>
                <w:sz w:val="21"/>
                <w:szCs w:val="21"/>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soon as reasonably possible after you have been admitted.</w:t>
            </w:r>
          </w:p>
        </w:tc>
      </w:tr>
      <w:tr>
        <w:trPr>
          <w:trHeight w:val="23"/>
        </w:trPr>
        <w:tc>
          <w:tcPr>
            <w:tcW w:w="54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27"/>
        </w:trPr>
        <w:tc>
          <w:tcPr>
            <w:tcW w:w="5480" w:type="dxa"/>
            <w:vAlign w:val="bottom"/>
            <w:tcBorders>
              <w:left w:val="single" w:sz="8" w:color="auto"/>
              <w:right w:val="single" w:sz="8" w:color="auto"/>
            </w:tcBorders>
          </w:tcPr>
          <w:p>
            <w:pPr>
              <w:ind w:left="140"/>
              <w:spacing w:after="0" w:line="228" w:lineRule="exact"/>
              <w:rPr>
                <w:sz w:val="20"/>
                <w:szCs w:val="20"/>
                <w:color w:val="auto"/>
              </w:rPr>
            </w:pPr>
            <w:r>
              <w:rPr>
                <w:rFonts w:ascii="Arial" w:cs="Arial" w:eastAsia="Arial" w:hAnsi="Arial"/>
                <w:sz w:val="20"/>
                <w:szCs w:val="20"/>
                <w:color w:val="auto"/>
              </w:rPr>
              <w:t xml:space="preserve">For an </w:t>
            </w:r>
            <w:r>
              <w:rPr>
                <w:rFonts w:ascii="Arial" w:cs="Arial" w:eastAsia="Arial" w:hAnsi="Arial"/>
                <w:sz w:val="20"/>
                <w:szCs w:val="20"/>
                <w:b w:val="1"/>
                <w:bCs w:val="1"/>
                <w:color w:val="auto"/>
              </w:rPr>
              <w:t>urgent admission</w:t>
            </w:r>
            <w:r>
              <w:rPr>
                <w:rFonts w:ascii="Arial" w:cs="Arial" w:eastAsia="Arial" w:hAnsi="Arial"/>
                <w:sz w:val="20"/>
                <w:szCs w:val="20"/>
                <w:color w:val="auto"/>
              </w:rPr>
              <w:t>:</w:t>
            </w:r>
          </w:p>
        </w:tc>
        <w:tc>
          <w:tcPr>
            <w:tcW w:w="546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color w:val="auto"/>
                <w:w w:val="92"/>
              </w:rPr>
              <w:t xml:space="preserve">You, your </w:t>
            </w:r>
            <w:r>
              <w:rPr>
                <w:rFonts w:ascii="Arial" w:cs="Arial" w:eastAsia="Arial" w:hAnsi="Arial"/>
                <w:sz w:val="20"/>
                <w:szCs w:val="20"/>
                <w:b w:val="1"/>
                <w:bCs w:val="1"/>
                <w:color w:val="auto"/>
                <w:w w:val="92"/>
              </w:rPr>
              <w:t>physician</w:t>
            </w:r>
            <w:r>
              <w:rPr>
                <w:rFonts w:ascii="Arial" w:cs="Arial" w:eastAsia="Arial" w:hAnsi="Arial"/>
                <w:sz w:val="20"/>
                <w:szCs w:val="20"/>
                <w:color w:val="auto"/>
                <w:w w:val="92"/>
              </w:rPr>
              <w:t xml:space="preserve"> or the facility will need to call before you are</w:t>
            </w:r>
          </w:p>
        </w:tc>
      </w:tr>
      <w:tr>
        <w:trPr>
          <w:trHeight w:val="230"/>
        </w:trPr>
        <w:tc>
          <w:tcPr>
            <w:tcW w:w="5480" w:type="dxa"/>
            <w:vAlign w:val="bottom"/>
            <w:tcBorders>
              <w:left w:val="single" w:sz="8" w:color="auto"/>
              <w:right w:val="single" w:sz="8" w:color="auto"/>
            </w:tcBorders>
          </w:tcPr>
          <w:p>
            <w:pPr>
              <w:spacing w:after="0"/>
              <w:rPr>
                <w:sz w:val="19"/>
                <w:szCs w:val="19"/>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 xml:space="preserve">scheduled to be admitted. An urgent admission is a </w:t>
            </w:r>
            <w:r>
              <w:rPr>
                <w:rFonts w:ascii="Arial" w:cs="Arial" w:eastAsia="Arial" w:hAnsi="Arial"/>
                <w:sz w:val="20"/>
                <w:szCs w:val="20"/>
                <w:b w:val="1"/>
                <w:bCs w:val="1"/>
                <w:color w:val="auto"/>
                <w:w w:val="99"/>
              </w:rPr>
              <w:t>hospital</w:t>
            </w:r>
          </w:p>
        </w:tc>
      </w:tr>
      <w:tr>
        <w:trPr>
          <w:trHeight w:val="230"/>
        </w:trPr>
        <w:tc>
          <w:tcPr>
            <w:tcW w:w="5480" w:type="dxa"/>
            <w:vAlign w:val="bottom"/>
            <w:tcBorders>
              <w:left w:val="single" w:sz="8" w:color="auto"/>
              <w:right w:val="single" w:sz="8" w:color="auto"/>
            </w:tcBorders>
          </w:tcPr>
          <w:p>
            <w:pPr>
              <w:spacing w:after="0"/>
              <w:rPr>
                <w:sz w:val="19"/>
                <w:szCs w:val="19"/>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 xml:space="preserve">admission by a </w:t>
            </w:r>
            <w:r>
              <w:rPr>
                <w:rFonts w:ascii="Arial" w:cs="Arial" w:eastAsia="Arial" w:hAnsi="Arial"/>
                <w:sz w:val="20"/>
                <w:szCs w:val="20"/>
                <w:b w:val="1"/>
                <w:bCs w:val="1"/>
                <w:color w:val="auto"/>
                <w:w w:val="97"/>
              </w:rPr>
              <w:t>physician</w:t>
            </w:r>
            <w:r>
              <w:rPr>
                <w:rFonts w:ascii="Arial" w:cs="Arial" w:eastAsia="Arial" w:hAnsi="Arial"/>
                <w:sz w:val="20"/>
                <w:szCs w:val="20"/>
                <w:color w:val="auto"/>
                <w:w w:val="97"/>
              </w:rPr>
              <w:t xml:space="preserve"> due to the onset of or change in an</w:t>
            </w:r>
          </w:p>
        </w:tc>
      </w:tr>
      <w:tr>
        <w:trPr>
          <w:trHeight w:val="256"/>
        </w:trPr>
        <w:tc>
          <w:tcPr>
            <w:tcW w:w="5480" w:type="dxa"/>
            <w:vAlign w:val="bottom"/>
            <w:tcBorders>
              <w:left w:val="single" w:sz="8" w:color="auto"/>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illness</w:t>
            </w:r>
            <w:r>
              <w:rPr>
                <w:rFonts w:ascii="Arial" w:cs="Arial" w:eastAsia="Arial" w:hAnsi="Arial"/>
                <w:sz w:val="20"/>
                <w:szCs w:val="20"/>
                <w:color w:val="auto"/>
              </w:rPr>
              <w:t>; the diagnosis of an</w:t>
            </w:r>
            <w:r>
              <w:rPr>
                <w:rFonts w:ascii="Arial" w:cs="Arial" w:eastAsia="Arial" w:hAnsi="Arial"/>
                <w:sz w:val="20"/>
                <w:szCs w:val="20"/>
                <w:b w:val="1"/>
                <w:bCs w:val="1"/>
                <w:color w:val="auto"/>
              </w:rPr>
              <w:t xml:space="preserve"> illness</w:t>
            </w:r>
            <w:r>
              <w:rPr>
                <w:rFonts w:ascii="Arial" w:cs="Arial" w:eastAsia="Arial" w:hAnsi="Arial"/>
                <w:sz w:val="20"/>
                <w:szCs w:val="20"/>
                <w:color w:val="auto"/>
              </w:rPr>
              <w:t>; or an</w:t>
            </w:r>
            <w:r>
              <w:rPr>
                <w:rFonts w:ascii="Arial" w:cs="Arial" w:eastAsia="Arial" w:hAnsi="Arial"/>
                <w:sz w:val="20"/>
                <w:szCs w:val="20"/>
                <w:b w:val="1"/>
                <w:bCs w:val="1"/>
                <w:color w:val="auto"/>
              </w:rPr>
              <w:t xml:space="preserve"> injury</w:t>
            </w:r>
            <w:r>
              <w:rPr>
                <w:rFonts w:ascii="Arial" w:cs="Arial" w:eastAsia="Arial" w:hAnsi="Arial"/>
                <w:sz w:val="20"/>
                <w:szCs w:val="20"/>
                <w:color w:val="auto"/>
              </w:rPr>
              <w:t>.</w:t>
            </w:r>
          </w:p>
        </w:tc>
      </w:tr>
      <w:tr>
        <w:trPr>
          <w:trHeight w:val="23"/>
        </w:trPr>
        <w:tc>
          <w:tcPr>
            <w:tcW w:w="54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bl>
    <w:p>
      <w:pPr>
        <w:spacing w:after="0" w:line="220" w:lineRule="exact"/>
        <w:rPr>
          <w:sz w:val="20"/>
          <w:szCs w:val="20"/>
          <w:color w:val="auto"/>
        </w:rPr>
      </w:pPr>
    </w:p>
    <w:p>
      <w:pPr>
        <w:ind w:right="2500"/>
        <w:spacing w:after="0" w:line="393" w:lineRule="auto"/>
        <w:rPr>
          <w:sz w:val="20"/>
          <w:szCs w:val="20"/>
          <w:color w:val="auto"/>
        </w:rPr>
      </w:pPr>
      <w:r>
        <w:rPr>
          <w:rFonts w:ascii="Arial" w:cs="Arial" w:eastAsia="Arial" w:hAnsi="Arial"/>
          <w:sz w:val="16"/>
          <w:szCs w:val="16"/>
          <w:b w:val="1"/>
          <w:bCs w:val="1"/>
          <w:color w:val="auto"/>
        </w:rPr>
        <w:t xml:space="preserve">Aetna </w:t>
      </w:r>
      <w:r>
        <w:rPr>
          <w:rFonts w:ascii="Arial" w:cs="Arial" w:eastAsia="Arial" w:hAnsi="Arial"/>
          <w:sz w:val="16"/>
          <w:szCs w:val="16"/>
          <w:color w:val="auto"/>
        </w:rPr>
        <w:t>will provide a written notification to you and your</w:t>
      </w:r>
      <w:r>
        <w:rPr>
          <w:rFonts w:ascii="Arial" w:cs="Arial" w:eastAsia="Arial" w:hAnsi="Arial"/>
          <w:sz w:val="16"/>
          <w:szCs w:val="16"/>
          <w:b w:val="1"/>
          <w:bCs w:val="1"/>
          <w:color w:val="auto"/>
        </w:rPr>
        <w:t xml:space="preserve"> physician </w:t>
      </w:r>
      <w:r>
        <w:rPr>
          <w:rFonts w:ascii="Arial" w:cs="Arial" w:eastAsia="Arial" w:hAnsi="Arial"/>
          <w:sz w:val="16"/>
          <w:szCs w:val="16"/>
          <w:color w:val="auto"/>
        </w:rPr>
        <w:t>of the</w:t>
      </w:r>
      <w:r>
        <w:rPr>
          <w:rFonts w:ascii="Arial" w:cs="Arial" w:eastAsia="Arial" w:hAnsi="Arial"/>
          <w:sz w:val="16"/>
          <w:szCs w:val="16"/>
          <w:b w:val="1"/>
          <w:bCs w:val="1"/>
          <w:color w:val="auto"/>
        </w:rPr>
        <w:t xml:space="preserve"> precertification </w:t>
      </w:r>
      <w:r>
        <w:rPr>
          <w:rFonts w:ascii="Arial" w:cs="Arial" w:eastAsia="Arial" w:hAnsi="Arial"/>
          <w:sz w:val="16"/>
          <w:szCs w:val="16"/>
          <w:color w:val="auto"/>
        </w:rPr>
        <w:t>decision. If your</w:t>
      </w:r>
      <w:r>
        <w:rPr>
          <w:rFonts w:ascii="Arial" w:cs="Arial" w:eastAsia="Arial" w:hAnsi="Arial"/>
          <w:sz w:val="16"/>
          <w:szCs w:val="16"/>
          <w:b w:val="1"/>
          <w:bCs w:val="1"/>
          <w:color w:val="auto"/>
        </w:rPr>
        <w:t xml:space="preserve"> precertified </w:t>
      </w:r>
      <w:r>
        <w:rPr>
          <w:rFonts w:ascii="Arial" w:cs="Arial" w:eastAsia="Arial" w:hAnsi="Arial"/>
          <w:sz w:val="16"/>
          <w:szCs w:val="16"/>
          <w:color w:val="auto"/>
        </w:rPr>
        <w:t>expenses are approved the approval is good for 60 days as long as you remain enrolled in the plan.</w:t>
      </w:r>
    </w:p>
    <w:p>
      <w:pPr>
        <w:spacing w:after="0" w:line="86"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 xml:space="preserve">When you have an inpatient admission to a facility, </w:t>
      </w:r>
      <w:r>
        <w:rPr>
          <w:rFonts w:ascii="Arial" w:cs="Arial" w:eastAsia="Arial" w:hAnsi="Arial"/>
          <w:sz w:val="18"/>
          <w:szCs w:val="18"/>
          <w:b w:val="1"/>
          <w:bCs w:val="1"/>
          <w:color w:val="auto"/>
        </w:rPr>
        <w:t>Aetna</w:t>
      </w:r>
      <w:r>
        <w:rPr>
          <w:rFonts w:ascii="Arial" w:cs="Arial" w:eastAsia="Arial" w:hAnsi="Arial"/>
          <w:sz w:val="18"/>
          <w:szCs w:val="18"/>
          <w:color w:val="auto"/>
        </w:rPr>
        <w:t xml:space="preserve"> will notify you, your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and the facility about your </w:t>
      </w:r>
      <w:r>
        <w:rPr>
          <w:rFonts w:ascii="Arial" w:cs="Arial" w:eastAsia="Arial" w:hAnsi="Arial"/>
          <w:sz w:val="18"/>
          <w:szCs w:val="18"/>
          <w:b w:val="1"/>
          <w:bCs w:val="1"/>
          <w:color w:val="auto"/>
        </w:rPr>
        <w:t>precertified</w:t>
      </w:r>
      <w:r>
        <w:rPr>
          <w:rFonts w:ascii="Arial" w:cs="Arial" w:eastAsia="Arial" w:hAnsi="Arial"/>
          <w:sz w:val="18"/>
          <w:szCs w:val="18"/>
          <w:color w:val="auto"/>
        </w:rPr>
        <w:t xml:space="preserve"> length of </w:t>
      </w:r>
      <w:r>
        <w:rPr>
          <w:rFonts w:ascii="Arial" w:cs="Arial" w:eastAsia="Arial" w:hAnsi="Arial"/>
          <w:sz w:val="18"/>
          <w:szCs w:val="18"/>
          <w:b w:val="1"/>
          <w:bCs w:val="1"/>
          <w:color w:val="auto"/>
        </w:rPr>
        <w:t>stay</w:t>
      </w:r>
      <w:r>
        <w:rPr>
          <w:rFonts w:ascii="Arial" w:cs="Arial" w:eastAsia="Arial" w:hAnsi="Arial"/>
          <w:sz w:val="18"/>
          <w:szCs w:val="18"/>
          <w:color w:val="auto"/>
        </w:rPr>
        <w:t>. If your</w:t>
      </w:r>
      <w:r>
        <w:rPr>
          <w:rFonts w:ascii="Arial" w:cs="Arial" w:eastAsia="Arial" w:hAnsi="Arial"/>
          <w:sz w:val="18"/>
          <w:szCs w:val="18"/>
          <w:b w:val="1"/>
          <w:bCs w:val="1"/>
          <w:color w:val="auto"/>
        </w:rPr>
        <w:t xml:space="preserve"> physician </w:t>
      </w:r>
      <w:r>
        <w:rPr>
          <w:rFonts w:ascii="Arial" w:cs="Arial" w:eastAsia="Arial" w:hAnsi="Arial"/>
          <w:sz w:val="18"/>
          <w:szCs w:val="18"/>
          <w:color w:val="auto"/>
        </w:rPr>
        <w:t>recommends that your</w:t>
      </w:r>
      <w:r>
        <w:rPr>
          <w:rFonts w:ascii="Arial" w:cs="Arial" w:eastAsia="Arial" w:hAnsi="Arial"/>
          <w:sz w:val="18"/>
          <w:szCs w:val="18"/>
          <w:b w:val="1"/>
          <w:bCs w:val="1"/>
          <w:color w:val="auto"/>
        </w:rPr>
        <w:t xml:space="preserve"> stay </w:t>
      </w:r>
      <w:r>
        <w:rPr>
          <w:rFonts w:ascii="Arial" w:cs="Arial" w:eastAsia="Arial" w:hAnsi="Arial"/>
          <w:sz w:val="18"/>
          <w:szCs w:val="18"/>
          <w:color w:val="auto"/>
        </w:rPr>
        <w:t>be extended, additional days will need to be certified. You, your</w:t>
      </w:r>
      <w:r>
        <w:rPr>
          <w:rFonts w:ascii="Arial" w:cs="Arial" w:eastAsia="Arial" w:hAnsi="Arial"/>
          <w:sz w:val="18"/>
          <w:szCs w:val="18"/>
          <w:b w:val="1"/>
          <w:bCs w:val="1"/>
          <w:color w:val="auto"/>
        </w:rPr>
        <w:t xml:space="preserve"> physician</w:t>
      </w:r>
      <w:r>
        <w:rPr>
          <w:rFonts w:ascii="Arial" w:cs="Arial" w:eastAsia="Arial" w:hAnsi="Arial"/>
          <w:sz w:val="18"/>
          <w:szCs w:val="18"/>
          <w:color w:val="auto"/>
        </w:rPr>
        <w:t>, or the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need to call </w:t>
      </w:r>
      <w:r>
        <w:rPr>
          <w:rFonts w:ascii="Arial" w:cs="Arial" w:eastAsia="Arial" w:hAnsi="Arial"/>
          <w:sz w:val="18"/>
          <w:szCs w:val="18"/>
          <w:b w:val="1"/>
          <w:bCs w:val="1"/>
          <w:color w:val="auto"/>
        </w:rPr>
        <w:t>Aetna</w:t>
      </w:r>
      <w:r>
        <w:rPr>
          <w:rFonts w:ascii="Arial" w:cs="Arial" w:eastAsia="Arial" w:hAnsi="Arial"/>
          <w:sz w:val="18"/>
          <w:szCs w:val="18"/>
          <w:color w:val="auto"/>
        </w:rPr>
        <w:t xml:space="preserve"> at the number on your ID card as soon as reasonably possible, but no later than the final authorized day. </w:t>
      </w:r>
      <w:r>
        <w:rPr>
          <w:rFonts w:ascii="Arial" w:cs="Arial" w:eastAsia="Arial" w:hAnsi="Arial"/>
          <w:sz w:val="18"/>
          <w:szCs w:val="18"/>
          <w:b w:val="1"/>
          <w:bCs w:val="1"/>
          <w:color w:val="auto"/>
        </w:rPr>
        <w:t>Aetna</w:t>
      </w:r>
      <w:r>
        <w:rPr>
          <w:rFonts w:ascii="Arial" w:cs="Arial" w:eastAsia="Arial" w:hAnsi="Arial"/>
          <w:sz w:val="18"/>
          <w:szCs w:val="18"/>
          <w:color w:val="auto"/>
        </w:rPr>
        <w:t xml:space="preserve"> will review and process the request for an extended </w:t>
      </w:r>
      <w:r>
        <w:rPr>
          <w:rFonts w:ascii="Arial" w:cs="Arial" w:eastAsia="Arial" w:hAnsi="Arial"/>
          <w:sz w:val="18"/>
          <w:szCs w:val="18"/>
          <w:b w:val="1"/>
          <w:bCs w:val="1"/>
          <w:color w:val="auto"/>
        </w:rPr>
        <w:t>stay</w:t>
      </w:r>
      <w:r>
        <w:rPr>
          <w:rFonts w:ascii="Arial" w:cs="Arial" w:eastAsia="Arial" w:hAnsi="Arial"/>
          <w:sz w:val="18"/>
          <w:szCs w:val="18"/>
          <w:color w:val="auto"/>
        </w:rPr>
        <w:t xml:space="preserve">. You and your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will receive a notification of an approval or denial.</w:t>
      </w:r>
    </w:p>
    <w:p>
      <w:pPr>
        <w:spacing w:after="0" w:line="165"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 xml:space="preserve">If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determines that the </w:t>
      </w:r>
      <w:r>
        <w:rPr>
          <w:rFonts w:ascii="Arial" w:cs="Arial" w:eastAsia="Arial" w:hAnsi="Arial"/>
          <w:sz w:val="20"/>
          <w:szCs w:val="20"/>
          <w:b w:val="1"/>
          <w:bCs w:val="1"/>
          <w:color w:val="auto"/>
        </w:rPr>
        <w:t>stay</w:t>
      </w:r>
      <w:r>
        <w:rPr>
          <w:rFonts w:ascii="Arial" w:cs="Arial" w:eastAsia="Arial" w:hAnsi="Arial"/>
          <w:sz w:val="20"/>
          <w:szCs w:val="20"/>
          <w:color w:val="auto"/>
        </w:rPr>
        <w:t xml:space="preserve"> is not a </w:t>
      </w:r>
      <w:r>
        <w:rPr>
          <w:rFonts w:ascii="Arial" w:cs="Arial" w:eastAsia="Arial" w:hAnsi="Arial"/>
          <w:sz w:val="20"/>
          <w:szCs w:val="20"/>
          <w:b w:val="1"/>
          <w:bCs w:val="1"/>
          <w:color w:val="auto"/>
        </w:rPr>
        <w:t>covered expense</w:t>
      </w:r>
      <w:r>
        <w:rPr>
          <w:rFonts w:ascii="Arial" w:cs="Arial" w:eastAsia="Arial" w:hAnsi="Arial"/>
          <w:sz w:val="20"/>
          <w:szCs w:val="20"/>
          <w:color w:val="auto"/>
        </w:rPr>
        <w:t xml:space="preserve">, the notification will explain why and how </w:t>
      </w:r>
      <w:r>
        <w:rPr>
          <w:rFonts w:ascii="Arial" w:cs="Arial" w:eastAsia="Arial" w:hAnsi="Arial"/>
          <w:sz w:val="20"/>
          <w:szCs w:val="20"/>
          <w:b w:val="1"/>
          <w:bCs w:val="1"/>
          <w:color w:val="auto"/>
        </w:rPr>
        <w:t>Aetna</w:t>
      </w:r>
      <w:r>
        <w:rPr>
          <w:rFonts w:ascii="Arial" w:cs="Arial" w:eastAsia="Arial" w:hAnsi="Arial"/>
          <w:sz w:val="20"/>
          <w:szCs w:val="20"/>
          <w:color w:val="auto"/>
        </w:rPr>
        <w:t xml:space="preserve">’s decision can be appealed. You or your provider may request a review of the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decision pursuant to the Appeals Amendment included with this Booklet-Certificate.</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Services and Supplies Which Require Precertification </w:t>
      </w:r>
      <w:r>
        <w:rPr>
          <w:rFonts w:ascii="Arial" w:cs="Arial" w:eastAsia="Arial" w:hAnsi="Arial"/>
          <w:sz w:val="14"/>
          <w:szCs w:val="14"/>
          <w:i w:val="1"/>
          <w:iCs w:val="1"/>
          <w:color w:val="auto"/>
        </w:rPr>
        <w:t>(GR-9N-08-065-04 VA)</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Precertification </w:t>
      </w:r>
      <w:r>
        <w:rPr>
          <w:rFonts w:ascii="Arial" w:cs="Arial" w:eastAsia="Arial" w:hAnsi="Arial"/>
          <w:sz w:val="20"/>
          <w:szCs w:val="20"/>
          <w:color w:val="auto"/>
        </w:rPr>
        <w:t>is requested for the following types of medical expenses: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Inpatient Care</w:t>
      </w:r>
    </w:p>
    <w:p>
      <w:pPr>
        <w:spacing w:after="0" w:line="224" w:lineRule="exact"/>
        <w:rPr>
          <w:sz w:val="20"/>
          <w:szCs w:val="20"/>
          <w:color w:val="auto"/>
        </w:rPr>
      </w:pPr>
    </w:p>
    <w:p>
      <w:pPr>
        <w:ind w:left="340" w:hanging="331"/>
        <w:spacing w:after="0"/>
        <w:tabs>
          <w:tab w:leader="none" w:pos="340"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Stays </w:t>
      </w:r>
      <w:r>
        <w:rPr>
          <w:rFonts w:ascii="Arial" w:cs="Arial" w:eastAsia="Arial" w:hAnsi="Arial"/>
          <w:sz w:val="20"/>
          <w:szCs w:val="20"/>
          <w:color w:val="auto"/>
        </w:rPr>
        <w:t>in a</w:t>
      </w:r>
      <w:r>
        <w:rPr>
          <w:rFonts w:ascii="Arial" w:cs="Arial" w:eastAsia="Arial" w:hAnsi="Arial"/>
          <w:sz w:val="20"/>
          <w:szCs w:val="20"/>
          <w:b w:val="1"/>
          <w:bCs w:val="1"/>
          <w:color w:val="auto"/>
        </w:rPr>
        <w:t xml:space="preserve"> hospital</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Emergency and Urgent Care </w:t>
      </w:r>
      <w:r>
        <w:rPr>
          <w:rFonts w:ascii="Arial" w:cs="Arial" w:eastAsia="Arial" w:hAnsi="Arial"/>
          <w:sz w:val="14"/>
          <w:szCs w:val="14"/>
          <w:i w:val="1"/>
          <w:iCs w:val="1"/>
          <w:color w:val="auto"/>
        </w:rPr>
        <w:t>(GR-9N-27-005-01)</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You have coverage 24 hours a day, 7 days a week for:</w:t>
      </w:r>
    </w:p>
    <w:p>
      <w:pPr>
        <w:spacing w:after="0" w:line="210" w:lineRule="exact"/>
        <w:rPr>
          <w:sz w:val="20"/>
          <w:szCs w:val="20"/>
          <w:color w:val="auto"/>
        </w:rPr>
      </w:pPr>
    </w:p>
    <w:p>
      <w:pPr>
        <w:ind w:left="340" w:hanging="331"/>
        <w:spacing w:after="0"/>
        <w:tabs>
          <w:tab w:leader="none" w:pos="3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emergency medical condition</w:t>
      </w:r>
      <w:r>
        <w:rPr>
          <w:rFonts w:ascii="Arial" w:cs="Arial" w:eastAsia="Arial" w:hAnsi="Arial"/>
          <w:sz w:val="20"/>
          <w:szCs w:val="20"/>
          <w:color w:val="auto"/>
        </w:rPr>
        <w:t>; or</w:t>
      </w:r>
    </w:p>
    <w:p>
      <w:pPr>
        <w:spacing w:after="0" w:line="21" w:lineRule="exact"/>
        <w:rPr>
          <w:rFonts w:ascii="Arial" w:cs="Arial" w:eastAsia="Arial" w:hAnsi="Arial"/>
          <w:sz w:val="20"/>
          <w:szCs w:val="20"/>
          <w:color w:val="auto"/>
        </w:rPr>
      </w:pPr>
    </w:p>
    <w:p>
      <w:pPr>
        <w:ind w:left="340" w:hanging="331"/>
        <w:spacing w:after="0"/>
        <w:tabs>
          <w:tab w:leader="none" w:pos="3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urgent condition</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 Case of a Medical Emergency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When </w:t>
      </w:r>
      <w:r>
        <w:rPr>
          <w:rFonts w:ascii="Arial" w:cs="Arial" w:eastAsia="Arial" w:hAnsi="Arial"/>
          <w:sz w:val="20"/>
          <w:szCs w:val="20"/>
          <w:b w:val="1"/>
          <w:bCs w:val="1"/>
          <w:color w:val="auto"/>
        </w:rPr>
        <w:t>emergency care</w:t>
      </w:r>
      <w:r>
        <w:rPr>
          <w:rFonts w:ascii="Arial" w:cs="Arial" w:eastAsia="Arial" w:hAnsi="Arial"/>
          <w:sz w:val="20"/>
          <w:szCs w:val="20"/>
          <w:color w:val="auto"/>
        </w:rPr>
        <w:t xml:space="preserve"> is necessary, please follow the guidelines below:</w:t>
      </w:r>
    </w:p>
    <w:p>
      <w:pPr>
        <w:spacing w:after="0" w:line="200" w:lineRule="exact"/>
        <w:rPr>
          <w:sz w:val="20"/>
          <w:szCs w:val="20"/>
          <w:color w:val="auto"/>
        </w:rPr>
      </w:pPr>
    </w:p>
    <w:p>
      <w:pPr>
        <w:ind w:left="340" w:hanging="331"/>
        <w:spacing w:after="0" w:line="247" w:lineRule="auto"/>
        <w:tabs>
          <w:tab w:leader="none" w:pos="3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Seek the nearest emergency room, or dial 911 or your local emergency response service for medical and ambulatory assistance. If possible, call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provided a delay would not be detrimental to your health.</w:t>
      </w:r>
    </w:p>
    <w:p>
      <w:pPr>
        <w:spacing w:after="0" w:line="1" w:lineRule="exact"/>
        <w:rPr>
          <w:rFonts w:ascii="Arial" w:cs="Arial" w:eastAsia="Arial" w:hAnsi="Arial"/>
          <w:sz w:val="20"/>
          <w:szCs w:val="20"/>
          <w:color w:val="auto"/>
        </w:rPr>
      </w:pPr>
    </w:p>
    <w:p>
      <w:pPr>
        <w:ind w:left="340" w:right="80" w:hanging="331"/>
        <w:spacing w:after="0" w:line="242" w:lineRule="auto"/>
        <w:tabs>
          <w:tab w:leader="none" w:pos="3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After assessing and stabilizing your condition, the emergency room should contact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to obtain your medical history to assist the emergency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in your treatment.</w:t>
      </w:r>
    </w:p>
    <w:p>
      <w:pPr>
        <w:ind w:left="340" w:hanging="331"/>
        <w:spacing w:after="0"/>
        <w:tabs>
          <w:tab w:leader="none" w:pos="3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If you are admitted to an inpatient facility, notify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as soon as reasonably possible.</w:t>
      </w:r>
    </w:p>
    <w:p>
      <w:pPr>
        <w:sectPr>
          <w:pgSz w:w="11900" w:h="16838" w:orient="portrait"/>
          <w:cols w:equalWidth="0" w:num="1">
            <w:col w:w="11340"/>
          </w:cols>
          <w:pgMar w:left="320" w:top="428" w:right="239" w:bottom="1440" w:gutter="0" w:footer="0" w:header="0"/>
        </w:sectPr>
      </w:pPr>
    </w:p>
    <w:bookmarkStart w:id="196" w:name="page197"/>
    <w:bookmarkEnd w:id="196"/>
    <w:p>
      <w:pPr>
        <w:jc w:val="both"/>
        <w:ind w:left="440" w:hanging="330"/>
        <w:spacing w:after="0" w:line="250" w:lineRule="auto"/>
        <w:tabs>
          <w:tab w:leader="none" w:pos="44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If you seek care in an emergency room for a non-emergency condition, your benefits will be reduced. Please refer to the </w:t>
      </w:r>
      <w:r>
        <w:rPr>
          <w:rFonts w:ascii="Arial" w:cs="Arial" w:eastAsia="Arial" w:hAnsi="Arial"/>
          <w:sz w:val="20"/>
          <w:szCs w:val="20"/>
          <w:i w:val="1"/>
          <w:iCs w:val="1"/>
          <w:color w:val="auto"/>
        </w:rPr>
        <w:t>Schedule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Benefits </w:t>
      </w:r>
      <w:r>
        <w:rPr>
          <w:rFonts w:ascii="Arial" w:cs="Arial" w:eastAsia="Arial" w:hAnsi="Arial"/>
          <w:sz w:val="20"/>
          <w:szCs w:val="20"/>
          <w:color w:val="auto"/>
        </w:rPr>
        <w:t>for specific details about the plan. No other plan benefits will pay for non-emergency care in the emergency room unless</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specified under the plan.</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Coverage for Emergency Medical Conditions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b w:val="1"/>
          <w:bCs w:val="1"/>
          <w:color w:val="auto"/>
        </w:rPr>
        <w:t>Coverage for Emergency Medical Conditions</w:t>
      </w:r>
      <w:r>
        <w:rPr>
          <w:rFonts w:ascii="Arial" w:cs="Arial" w:eastAsia="Arial" w:hAnsi="Arial"/>
          <w:sz w:val="20"/>
          <w:szCs w:val="20"/>
          <w:color w:val="auto"/>
        </w:rPr>
        <w:t xml:space="preserve">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ind w:right="680"/>
        <w:spacing w:after="0" w:line="298" w:lineRule="auto"/>
        <w:rPr>
          <w:sz w:val="20"/>
          <w:szCs w:val="20"/>
          <w:color w:val="auto"/>
        </w:rPr>
      </w:pPr>
      <w:r>
        <w:rPr>
          <w:rFonts w:ascii="Arial" w:cs="Arial" w:eastAsia="Arial" w:hAnsi="Arial"/>
          <w:sz w:val="18"/>
          <w:szCs w:val="18"/>
          <w:color w:val="auto"/>
        </w:rPr>
        <w:t xml:space="preserve">If you visit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emergency room for a non-emergency condition, the plan will pay a reduced benefit, as shown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No other plan benefits will pay for non-emergency care in the emergency room unless otherwise specified under the Plan.</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In Case of an Urgent Condition </w:t>
      </w:r>
      <w:r>
        <w:rPr>
          <w:rFonts w:ascii="Arial" w:cs="Arial" w:eastAsia="Arial" w:hAnsi="Arial"/>
          <w:sz w:val="14"/>
          <w:szCs w:val="14"/>
          <w:i w:val="1"/>
          <w:iCs w:val="1"/>
          <w:color w:val="auto"/>
        </w:rPr>
        <w:t>(GR-9N-27-010-01)</w:t>
      </w:r>
    </w:p>
    <w:p>
      <w:pPr>
        <w:spacing w:after="0" w:line="266" w:lineRule="exact"/>
        <w:rPr>
          <w:sz w:val="20"/>
          <w:szCs w:val="20"/>
          <w:color w:val="auto"/>
        </w:rPr>
      </w:pPr>
    </w:p>
    <w:p>
      <w:pPr>
        <w:ind w:left="100" w:right="20"/>
        <w:spacing w:after="0" w:line="393" w:lineRule="auto"/>
        <w:rPr>
          <w:sz w:val="20"/>
          <w:szCs w:val="20"/>
          <w:color w:val="auto"/>
        </w:rPr>
      </w:pPr>
      <w:r>
        <w:rPr>
          <w:rFonts w:ascii="Arial" w:cs="Arial" w:eastAsia="Arial" w:hAnsi="Arial"/>
          <w:sz w:val="16"/>
          <w:szCs w:val="16"/>
          <w:color w:val="auto"/>
        </w:rPr>
        <w:t xml:space="preserve">Call your </w:t>
      </w:r>
      <w:r>
        <w:rPr>
          <w:rFonts w:ascii="Arial" w:cs="Arial" w:eastAsia="Arial" w:hAnsi="Arial"/>
          <w:sz w:val="16"/>
          <w:szCs w:val="16"/>
          <w:b w:val="1"/>
          <w:bCs w:val="1"/>
          <w:color w:val="auto"/>
        </w:rPr>
        <w:t>physician</w:t>
      </w:r>
      <w:r>
        <w:rPr>
          <w:rFonts w:ascii="Arial" w:cs="Arial" w:eastAsia="Arial" w:hAnsi="Arial"/>
          <w:sz w:val="16"/>
          <w:szCs w:val="16"/>
          <w:color w:val="auto"/>
        </w:rPr>
        <w:t xml:space="preserve"> if you think you need urgent care. </w:t>
      </w:r>
      <w:r>
        <w:rPr>
          <w:rFonts w:ascii="Arial" w:cs="Arial" w:eastAsia="Arial" w:hAnsi="Arial"/>
          <w:sz w:val="16"/>
          <w:szCs w:val="16"/>
          <w:b w:val="1"/>
          <w:bCs w:val="1"/>
          <w:color w:val="auto"/>
        </w:rPr>
        <w:t>Physicians</w:t>
      </w:r>
      <w:r>
        <w:rPr>
          <w:rFonts w:ascii="Arial" w:cs="Arial" w:eastAsia="Arial" w:hAnsi="Arial"/>
          <w:sz w:val="16"/>
          <w:szCs w:val="16"/>
          <w:color w:val="auto"/>
        </w:rPr>
        <w:t xml:space="preserve"> usually provide coverage 24 hours a day, including weekends and holidays for urgent care. You may contact any </w:t>
      </w:r>
      <w:r>
        <w:rPr>
          <w:rFonts w:ascii="Arial" w:cs="Arial" w:eastAsia="Arial" w:hAnsi="Arial"/>
          <w:sz w:val="16"/>
          <w:szCs w:val="16"/>
          <w:b w:val="1"/>
          <w:bCs w:val="1"/>
          <w:color w:val="auto"/>
        </w:rPr>
        <w:t>physician</w:t>
      </w:r>
      <w:r>
        <w:rPr>
          <w:rFonts w:ascii="Arial" w:cs="Arial" w:eastAsia="Arial" w:hAnsi="Arial"/>
          <w:sz w:val="16"/>
          <w:szCs w:val="16"/>
          <w:color w:val="auto"/>
        </w:rPr>
        <w:t xml:space="preserve"> or </w:t>
      </w:r>
      <w:r>
        <w:rPr>
          <w:rFonts w:ascii="Arial" w:cs="Arial" w:eastAsia="Arial" w:hAnsi="Arial"/>
          <w:sz w:val="16"/>
          <w:szCs w:val="16"/>
          <w:b w:val="1"/>
          <w:bCs w:val="1"/>
          <w:color w:val="auto"/>
        </w:rPr>
        <w:t>urgent care provider</w:t>
      </w:r>
      <w:r>
        <w:rPr>
          <w:rFonts w:ascii="Arial" w:cs="Arial" w:eastAsia="Arial" w:hAnsi="Arial"/>
          <w:sz w:val="16"/>
          <w:szCs w:val="16"/>
          <w:color w:val="auto"/>
        </w:rPr>
        <w:t xml:space="preserve">, for an </w:t>
      </w:r>
      <w:r>
        <w:rPr>
          <w:rFonts w:ascii="Arial" w:cs="Arial" w:eastAsia="Arial" w:hAnsi="Arial"/>
          <w:sz w:val="16"/>
          <w:szCs w:val="16"/>
          <w:b w:val="1"/>
          <w:bCs w:val="1"/>
          <w:color w:val="auto"/>
        </w:rPr>
        <w:t>urgent care condition</w:t>
      </w:r>
      <w:r>
        <w:rPr>
          <w:rFonts w:ascii="Arial" w:cs="Arial" w:eastAsia="Arial" w:hAnsi="Arial"/>
          <w:sz w:val="16"/>
          <w:szCs w:val="16"/>
          <w:color w:val="auto"/>
        </w:rPr>
        <w:t xml:space="preserve"> if you cannot reach your </w:t>
      </w:r>
      <w:r>
        <w:rPr>
          <w:rFonts w:ascii="Arial" w:cs="Arial" w:eastAsia="Arial" w:hAnsi="Arial"/>
          <w:sz w:val="16"/>
          <w:szCs w:val="16"/>
          <w:b w:val="1"/>
          <w:bCs w:val="1"/>
          <w:color w:val="auto"/>
        </w:rPr>
        <w:t>physician</w:t>
      </w:r>
      <w:r>
        <w:rPr>
          <w:rFonts w:ascii="Arial" w:cs="Arial" w:eastAsia="Arial" w:hAnsi="Arial"/>
          <w:sz w:val="16"/>
          <w:szCs w:val="16"/>
          <w:color w:val="auto"/>
        </w:rPr>
        <w:t>.</w:t>
      </w:r>
    </w:p>
    <w:p>
      <w:pPr>
        <w:spacing w:after="0" w:line="86" w:lineRule="exact"/>
        <w:rPr>
          <w:sz w:val="20"/>
          <w:szCs w:val="20"/>
          <w:color w:val="auto"/>
        </w:rPr>
      </w:pPr>
    </w:p>
    <w:p>
      <w:pPr>
        <w:ind w:left="100"/>
        <w:spacing w:after="0" w:line="253" w:lineRule="auto"/>
        <w:rPr>
          <w:sz w:val="20"/>
          <w:szCs w:val="20"/>
          <w:color w:val="auto"/>
        </w:rPr>
      </w:pPr>
      <w:r>
        <w:rPr>
          <w:rFonts w:ascii="Arial" w:cs="Arial" w:eastAsia="Arial" w:hAnsi="Arial"/>
          <w:sz w:val="20"/>
          <w:szCs w:val="20"/>
          <w:color w:val="auto"/>
        </w:rPr>
        <w:t xml:space="preserve">If it is not feasible to contact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please do so as soon as possible after urgent care is provided. If you need help finding an </w:t>
      </w:r>
      <w:r>
        <w:rPr>
          <w:rFonts w:ascii="Arial" w:cs="Arial" w:eastAsia="Arial" w:hAnsi="Arial"/>
          <w:sz w:val="20"/>
          <w:szCs w:val="20"/>
          <w:b w:val="1"/>
          <w:bCs w:val="1"/>
          <w:color w:val="auto"/>
        </w:rPr>
        <w:t>urgent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care provider </w:t>
      </w:r>
      <w:r>
        <w:rPr>
          <w:rFonts w:ascii="Arial" w:cs="Arial" w:eastAsia="Arial" w:hAnsi="Arial"/>
          <w:sz w:val="20"/>
          <w:szCs w:val="20"/>
          <w:color w:val="auto"/>
        </w:rPr>
        <w:t>you may call Member Services at the toll-free number on your I.D. card, or you may access</w:t>
      </w:r>
      <w:r>
        <w:rPr>
          <w:rFonts w:ascii="Arial" w:cs="Arial" w:eastAsia="Arial" w:hAnsi="Arial"/>
          <w:sz w:val="20"/>
          <w:szCs w:val="20"/>
          <w:b w:val="1"/>
          <w:bCs w:val="1"/>
          <w:color w:val="auto"/>
        </w:rPr>
        <w:t xml:space="preserve"> Aetna</w:t>
      </w:r>
      <w:r>
        <w:rPr>
          <w:rFonts w:ascii="Arial" w:cs="Arial" w:eastAsia="Arial" w:hAnsi="Arial"/>
          <w:sz w:val="20"/>
          <w:szCs w:val="20"/>
          <w:color w:val="auto"/>
        </w:rPr>
        <w:t>’s online provider directory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 </w:t>
      </w:r>
      <w:r>
        <w:rPr>
          <w:rFonts w:ascii="Arial" w:cs="Arial" w:eastAsia="Arial" w:hAnsi="Arial"/>
          <w:sz w:val="20"/>
          <w:szCs w:val="20"/>
          <w:u w:val="single" w:color="auto"/>
          <w:color w:val="auto"/>
        </w:rPr>
        <w:t>www.aetna.com</w:t>
      </w:r>
      <w:r>
        <w:rPr>
          <w:rFonts w:ascii="Arial" w:cs="Arial" w:eastAsia="Arial" w:hAnsi="Arial"/>
          <w:sz w:val="20"/>
          <w:szCs w:val="20"/>
          <w:color w:val="auto"/>
        </w:rPr>
        <w:t>.</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Coverage for an Urgent Condition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b w:val="1"/>
          <w:bCs w:val="1"/>
          <w:color w:val="auto"/>
        </w:rPr>
        <w:t>Coverage for Urgent Medical Conditions</w:t>
      </w:r>
      <w:r>
        <w:rPr>
          <w:rFonts w:ascii="Arial" w:cs="Arial" w:eastAsia="Arial" w:hAnsi="Arial"/>
          <w:sz w:val="20"/>
          <w:szCs w:val="20"/>
          <w:color w:val="auto"/>
        </w:rPr>
        <w:t xml:space="preserve">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Follow-Up Care After Treatment of an Emergency or Urgent Medical Condition</w:t>
      </w:r>
    </w:p>
    <w:p>
      <w:pPr>
        <w:spacing w:after="0" w:line="32" w:lineRule="exact"/>
        <w:rPr>
          <w:sz w:val="20"/>
          <w:szCs w:val="20"/>
          <w:color w:val="auto"/>
        </w:rPr>
      </w:pPr>
    </w:p>
    <w:p>
      <w:pPr>
        <w:ind w:left="100" w:right="300"/>
        <w:spacing w:after="0" w:line="269" w:lineRule="auto"/>
        <w:rPr>
          <w:sz w:val="20"/>
          <w:szCs w:val="20"/>
          <w:color w:val="auto"/>
        </w:rPr>
      </w:pPr>
      <w:r>
        <w:rPr>
          <w:rFonts w:ascii="Arial" w:cs="Arial" w:eastAsia="Arial" w:hAnsi="Arial"/>
          <w:sz w:val="19"/>
          <w:szCs w:val="19"/>
          <w:color w:val="auto"/>
        </w:rPr>
        <w:t xml:space="preserve">Follow-up care is not considered an emergency or </w:t>
      </w:r>
      <w:r>
        <w:rPr>
          <w:rFonts w:ascii="Arial" w:cs="Arial" w:eastAsia="Arial" w:hAnsi="Arial"/>
          <w:sz w:val="19"/>
          <w:szCs w:val="19"/>
          <w:b w:val="1"/>
          <w:bCs w:val="1"/>
          <w:color w:val="auto"/>
        </w:rPr>
        <w:t>urgent condition</w:t>
      </w:r>
      <w:r>
        <w:rPr>
          <w:rFonts w:ascii="Arial" w:cs="Arial" w:eastAsia="Arial" w:hAnsi="Arial"/>
          <w:sz w:val="19"/>
          <w:szCs w:val="19"/>
          <w:color w:val="auto"/>
        </w:rPr>
        <w:t xml:space="preserve"> and is not covered as part of any emergency or urgent care visit. Once you have been treated and discharged, you should contact your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for any necessary follow-up care.</w:t>
      </w:r>
    </w:p>
    <w:p>
      <w:pPr>
        <w:spacing w:after="0" w:line="177" w:lineRule="exact"/>
        <w:rPr>
          <w:sz w:val="20"/>
          <w:szCs w:val="20"/>
          <w:color w:val="auto"/>
        </w:rPr>
      </w:pPr>
    </w:p>
    <w:p>
      <w:pPr>
        <w:ind w:left="100" w:right="260"/>
        <w:spacing w:after="0" w:line="253" w:lineRule="auto"/>
        <w:rPr>
          <w:sz w:val="20"/>
          <w:szCs w:val="20"/>
          <w:color w:val="auto"/>
        </w:rPr>
      </w:pPr>
      <w:r>
        <w:rPr>
          <w:rFonts w:ascii="Arial" w:cs="Arial" w:eastAsia="Arial" w:hAnsi="Arial"/>
          <w:sz w:val="20"/>
          <w:szCs w:val="20"/>
          <w:color w:val="auto"/>
        </w:rPr>
        <w:t xml:space="preserve">For coverage purposes, follow-up care is treated as any other expense for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If you access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emergency room for follow-up care, your coverage will be reduced and you will be responsible for more of the cost of your treatment. Refer to your </w:t>
      </w:r>
      <w:r>
        <w:rPr>
          <w:rFonts w:ascii="Arial" w:cs="Arial" w:eastAsia="Arial" w:hAnsi="Arial"/>
          <w:sz w:val="20"/>
          <w:szCs w:val="20"/>
          <w:i w:val="1"/>
          <w:iCs w:val="1"/>
          <w:color w:val="auto"/>
        </w:rPr>
        <w:t>Schedule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Benefits </w:t>
      </w:r>
      <w:r>
        <w:rPr>
          <w:rFonts w:ascii="Arial" w:cs="Arial" w:eastAsia="Arial" w:hAnsi="Arial"/>
          <w:sz w:val="20"/>
          <w:szCs w:val="20"/>
          <w:color w:val="auto"/>
        </w:rPr>
        <w:t>for cost sharing information applicable to your plan.</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To keep your out-of-pocket costs lower, your follow-up care should be provided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Notice</w:t>
      </w:r>
    </w:p>
    <w:p>
      <w:pPr>
        <w:spacing w:after="0" w:line="26" w:lineRule="exact"/>
        <w:rPr>
          <w:sz w:val="20"/>
          <w:szCs w:val="20"/>
          <w:color w:val="auto"/>
        </w:rPr>
      </w:pPr>
    </w:p>
    <w:p>
      <w:pPr>
        <w:ind w:right="700"/>
        <w:spacing w:after="0" w:line="253" w:lineRule="auto"/>
        <w:rPr>
          <w:sz w:val="20"/>
          <w:szCs w:val="20"/>
          <w:color w:val="auto"/>
        </w:rPr>
      </w:pPr>
      <w:r>
        <w:rPr>
          <w:rFonts w:ascii="Arial" w:cs="Arial" w:eastAsia="Arial" w:hAnsi="Arial"/>
          <w:sz w:val="20"/>
          <w:szCs w:val="20"/>
          <w:color w:val="auto"/>
        </w:rPr>
        <w:t xml:space="preserve">Follow up care, which includes (but is not limited to) suture removal, cast removal and radiological tests such as x- rays, should </w:t>
      </w:r>
      <w:r>
        <w:rPr>
          <w:rFonts w:ascii="Arial" w:cs="Arial" w:eastAsia="Arial" w:hAnsi="Arial"/>
          <w:sz w:val="20"/>
          <w:szCs w:val="20"/>
          <w:b w:val="1"/>
          <w:bCs w:val="1"/>
          <w:i w:val="1"/>
          <w:iCs w:val="1"/>
          <w:color w:val="auto"/>
        </w:rPr>
        <w:t>not</w:t>
      </w:r>
      <w:r>
        <w:rPr>
          <w:rFonts w:ascii="Arial" w:cs="Arial" w:eastAsia="Arial" w:hAnsi="Arial"/>
          <w:sz w:val="20"/>
          <w:szCs w:val="20"/>
          <w:color w:val="auto"/>
        </w:rPr>
        <w:t xml:space="preserve"> be provided by an emergency room facility.</w:t>
      </w:r>
    </w:p>
    <w:p>
      <w:pPr>
        <w:sectPr>
          <w:pgSz w:w="11900" w:h="16838" w:orient="portrait"/>
          <w:cols w:equalWidth="0" w:num="1">
            <w:col w:w="11400"/>
          </w:cols>
          <w:pgMar w:left="260" w:top="433" w:right="239" w:bottom="1440" w:gutter="0" w:footer="0" w:header="0"/>
        </w:sectPr>
      </w:pPr>
    </w:p>
    <w:bookmarkStart w:id="197" w:name="page198"/>
    <w:bookmarkEnd w:id="197"/>
    <w:p>
      <w:pPr>
        <w:ind w:left="100"/>
        <w:spacing w:after="0"/>
        <w:rPr>
          <w:sz w:val="20"/>
          <w:szCs w:val="20"/>
          <w:color w:val="auto"/>
        </w:rPr>
      </w:pPr>
      <w:r>
        <w:rPr>
          <w:rFonts w:ascii="Arial" w:cs="Arial" w:eastAsia="Arial" w:hAnsi="Arial"/>
          <w:sz w:val="43"/>
          <w:szCs w:val="43"/>
          <w:b w:val="1"/>
          <w:bCs w:val="1"/>
          <w:color w:val="auto"/>
        </w:rPr>
        <w:t xml:space="preserve">Requirements for Coverage </w:t>
      </w:r>
      <w:r>
        <w:rPr>
          <w:rFonts w:ascii="Arial" w:cs="Arial" w:eastAsia="Arial" w:hAnsi="Arial"/>
          <w:sz w:val="14"/>
          <w:szCs w:val="14"/>
          <w:i w:val="1"/>
          <w:iCs w:val="1"/>
          <w:color w:val="auto"/>
        </w:rPr>
        <w:t>(GR-9N-09-005-01 VA)</w:t>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To be covered by the plan, services and supplies and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must meet all of the following requirements:</w:t>
      </w:r>
    </w:p>
    <w:p>
      <w:pPr>
        <w:spacing w:after="0" w:line="229" w:lineRule="exact"/>
        <w:rPr>
          <w:sz w:val="20"/>
          <w:szCs w:val="20"/>
          <w:color w:val="auto"/>
        </w:rPr>
      </w:pPr>
    </w:p>
    <w:p>
      <w:pPr>
        <w:ind w:left="440" w:right="200" w:hanging="330"/>
        <w:spacing w:after="0" w:line="267" w:lineRule="auto"/>
        <w:tabs>
          <w:tab w:leader="none" w:pos="4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service or supply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must be covered by the plan. For a service or supply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to be covered, it must:</w:t>
      </w:r>
    </w:p>
    <w:p>
      <w:pPr>
        <w:spacing w:after="0" w:line="183" w:lineRule="exact"/>
        <w:rPr>
          <w:rFonts w:ascii="Arial" w:cs="Arial" w:eastAsia="Arial" w:hAnsi="Arial"/>
          <w:sz w:val="20"/>
          <w:szCs w:val="20"/>
          <w:color w:val="auto"/>
        </w:rPr>
      </w:pPr>
    </w:p>
    <w:p>
      <w:pPr>
        <w:ind w:left="760" w:hanging="326"/>
        <w:spacing w:after="0"/>
        <w:tabs>
          <w:tab w:leader="none" w:pos="76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Be included as a covered expense in this Booklet-Certificate;</w:t>
      </w:r>
    </w:p>
    <w:p>
      <w:pPr>
        <w:spacing w:after="0" w:line="15" w:lineRule="exact"/>
        <w:rPr>
          <w:rFonts w:ascii="Arial" w:cs="Arial" w:eastAsia="Arial" w:hAnsi="Arial"/>
          <w:sz w:val="20"/>
          <w:szCs w:val="20"/>
          <w:color w:val="auto"/>
        </w:rPr>
      </w:pPr>
    </w:p>
    <w:p>
      <w:pPr>
        <w:ind w:left="760" w:right="240" w:hanging="326"/>
        <w:spacing w:after="0" w:line="239" w:lineRule="auto"/>
        <w:tabs>
          <w:tab w:leader="none" w:pos="76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xml:space="preserve">Not be an excluded expense under this Booklet-Certificate. Refer to the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sections of this Booklet- Certificate for a list of services and supplies that are excluded;</w:t>
      </w:r>
    </w:p>
    <w:p>
      <w:pPr>
        <w:spacing w:after="0" w:line="1" w:lineRule="exact"/>
        <w:rPr>
          <w:rFonts w:ascii="Arial" w:cs="Arial" w:eastAsia="Arial" w:hAnsi="Arial"/>
          <w:sz w:val="20"/>
          <w:szCs w:val="20"/>
          <w:color w:val="auto"/>
        </w:rPr>
      </w:pPr>
    </w:p>
    <w:p>
      <w:pPr>
        <w:ind w:left="760" w:right="380" w:hanging="326"/>
        <w:spacing w:after="0" w:line="239" w:lineRule="auto"/>
        <w:tabs>
          <w:tab w:leader="none" w:pos="76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xml:space="preserve">Not exceed the maximums and limitations outlined in this Booklet-Certificate. Refer to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and the </w:t>
      </w:r>
      <w:r>
        <w:rPr>
          <w:rFonts w:ascii="Arial" w:cs="Arial" w:eastAsia="Arial" w:hAnsi="Arial"/>
          <w:sz w:val="20"/>
          <w:szCs w:val="20"/>
          <w:i w:val="1"/>
          <w:iCs w:val="1"/>
          <w:color w:val="auto"/>
        </w:rPr>
        <w:t xml:space="preserve">Schedule of Benefits </w:t>
      </w:r>
      <w:r>
        <w:rPr>
          <w:rFonts w:ascii="Arial" w:cs="Arial" w:eastAsia="Arial" w:hAnsi="Arial"/>
          <w:sz w:val="20"/>
          <w:szCs w:val="20"/>
          <w:color w:val="auto"/>
        </w:rPr>
        <w:t>for information about certain expense limits; and</w:t>
      </w:r>
    </w:p>
    <w:p>
      <w:pPr>
        <w:spacing w:after="0" w:line="1" w:lineRule="exact"/>
        <w:rPr>
          <w:rFonts w:ascii="Arial" w:cs="Arial" w:eastAsia="Arial" w:hAnsi="Arial"/>
          <w:sz w:val="20"/>
          <w:szCs w:val="20"/>
          <w:color w:val="auto"/>
        </w:rPr>
      </w:pPr>
    </w:p>
    <w:p>
      <w:pPr>
        <w:ind w:left="760" w:hanging="326"/>
        <w:spacing w:after="0"/>
        <w:tabs>
          <w:tab w:leader="none" w:pos="76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Be obtained in accordance with all the terms, policies and procedures outlined in this Booklet-Certificate.</w:t>
      </w:r>
    </w:p>
    <w:p>
      <w:pPr>
        <w:spacing w:after="0" w:line="207" w:lineRule="exact"/>
        <w:rPr>
          <w:rFonts w:ascii="Arial" w:cs="Arial" w:eastAsia="Arial" w:hAnsi="Arial"/>
          <w:sz w:val="20"/>
          <w:szCs w:val="20"/>
          <w:color w:val="auto"/>
        </w:rPr>
      </w:pPr>
    </w:p>
    <w:p>
      <w:pPr>
        <w:ind w:left="440" w:hanging="330"/>
        <w:spacing w:after="0" w:line="253" w:lineRule="auto"/>
        <w:tabs>
          <w:tab w:leader="none" w:pos="4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service or supply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must be provided while coverage is in effect. See the </w:t>
      </w:r>
      <w:r>
        <w:rPr>
          <w:rFonts w:ascii="Arial" w:cs="Arial" w:eastAsia="Arial" w:hAnsi="Arial"/>
          <w:sz w:val="20"/>
          <w:szCs w:val="20"/>
          <w:i w:val="1"/>
          <w:iCs w:val="1"/>
          <w:color w:val="auto"/>
        </w:rPr>
        <w:t>Who Can Be Covered, How and When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to Enroll, When Your Coverage Begins, When Coverage Ends </w:t>
      </w:r>
      <w:r>
        <w:rPr>
          <w:rFonts w:ascii="Arial" w:cs="Arial" w:eastAsia="Arial" w:hAnsi="Arial"/>
          <w:sz w:val="20"/>
          <w:szCs w:val="20"/>
          <w:color w:val="auto"/>
        </w:rPr>
        <w:t>and</w:t>
      </w:r>
      <w:r>
        <w:rPr>
          <w:rFonts w:ascii="Arial" w:cs="Arial" w:eastAsia="Arial" w:hAnsi="Arial"/>
          <w:sz w:val="20"/>
          <w:szCs w:val="20"/>
          <w:i w:val="1"/>
          <w:iCs w:val="1"/>
          <w:color w:val="auto"/>
        </w:rPr>
        <w:t xml:space="preserve"> Continuation of Coverage </w:t>
      </w:r>
      <w:r>
        <w:rPr>
          <w:rFonts w:ascii="Arial" w:cs="Arial" w:eastAsia="Arial" w:hAnsi="Arial"/>
          <w:sz w:val="20"/>
          <w:szCs w:val="20"/>
          <w:color w:val="auto"/>
        </w:rPr>
        <w:t>sections for details on when coverage begins</w:t>
      </w:r>
      <w:r>
        <w:rPr>
          <w:rFonts w:ascii="Arial" w:cs="Arial" w:eastAsia="Arial" w:hAnsi="Arial"/>
          <w:sz w:val="20"/>
          <w:szCs w:val="20"/>
          <w:i w:val="1"/>
          <w:iCs w:val="1"/>
          <w:color w:val="auto"/>
        </w:rPr>
        <w:t xml:space="preserve"> </w:t>
      </w:r>
      <w:r>
        <w:rPr>
          <w:rFonts w:ascii="Arial" w:cs="Arial" w:eastAsia="Arial" w:hAnsi="Arial"/>
          <w:sz w:val="20"/>
          <w:szCs w:val="20"/>
          <w:color w:val="auto"/>
        </w:rPr>
        <w:t>and ends.</w:t>
      </w:r>
    </w:p>
    <w:p>
      <w:pPr>
        <w:spacing w:after="0" w:line="191" w:lineRule="exact"/>
        <w:rPr>
          <w:rFonts w:ascii="Arial" w:cs="Arial" w:eastAsia="Arial" w:hAnsi="Arial"/>
          <w:sz w:val="20"/>
          <w:szCs w:val="20"/>
          <w:color w:val="auto"/>
        </w:rPr>
      </w:pPr>
    </w:p>
    <w:p>
      <w:pPr>
        <w:ind w:left="440" w:right="180" w:hanging="330"/>
        <w:spacing w:after="0" w:line="248" w:lineRule="auto"/>
        <w:tabs>
          <w:tab w:leader="none" w:pos="4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service or supply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must be </w:t>
      </w:r>
      <w:r>
        <w:rPr>
          <w:rFonts w:ascii="Arial" w:cs="Arial" w:eastAsia="Arial" w:hAnsi="Arial"/>
          <w:sz w:val="20"/>
          <w:szCs w:val="20"/>
          <w:b w:val="1"/>
          <w:bCs w:val="1"/>
          <w:color w:val="auto"/>
        </w:rPr>
        <w:t>medically necessary</w:t>
      </w:r>
      <w:r>
        <w:rPr>
          <w:rFonts w:ascii="Arial" w:cs="Arial" w:eastAsia="Arial" w:hAnsi="Arial"/>
          <w:sz w:val="20"/>
          <w:szCs w:val="20"/>
          <w:color w:val="auto"/>
        </w:rPr>
        <w:t xml:space="preserve">. To meet this requirement, the medical services, supply or </w:t>
      </w:r>
      <w:r>
        <w:rPr>
          <w:rFonts w:ascii="Arial" w:cs="Arial" w:eastAsia="Arial" w:hAnsi="Arial"/>
          <w:sz w:val="20"/>
          <w:szCs w:val="20"/>
          <w:b w:val="1"/>
          <w:bCs w:val="1"/>
          <w:color w:val="auto"/>
        </w:rPr>
        <w:t xml:space="preserve">prescription drug </w:t>
      </w:r>
      <w:r>
        <w:rPr>
          <w:rFonts w:ascii="Arial" w:cs="Arial" w:eastAsia="Arial" w:hAnsi="Arial"/>
          <w:sz w:val="20"/>
          <w:szCs w:val="20"/>
          <w:color w:val="auto"/>
        </w:rPr>
        <w:t>must be provided by a</w:t>
      </w:r>
      <w:r>
        <w:rPr>
          <w:rFonts w:ascii="Arial" w:cs="Arial" w:eastAsia="Arial" w:hAnsi="Arial"/>
          <w:sz w:val="20"/>
          <w:szCs w:val="20"/>
          <w:b w:val="1"/>
          <w:bCs w:val="1"/>
          <w:color w:val="auto"/>
        </w:rPr>
        <w:t xml:space="preserve"> physician</w:t>
      </w:r>
      <w:r>
        <w:rPr>
          <w:rFonts w:ascii="Arial" w:cs="Arial" w:eastAsia="Arial" w:hAnsi="Arial"/>
          <w:sz w:val="20"/>
          <w:szCs w:val="20"/>
          <w:color w:val="auto"/>
        </w:rPr>
        <w:t>, or other health care provider, exercising prudent clinical judgment, to a patient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purpose of preventing, evaluating, diagnosing or treating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disease or its symptoms. The provision of the service or supply must be:</w:t>
      </w:r>
    </w:p>
    <w:p>
      <w:pPr>
        <w:spacing w:after="0" w:line="216"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20"/>
          <w:szCs w:val="20"/>
          <w:color w:val="auto"/>
        </w:rPr>
        <w:t>(a) In accordance with generally accepted standards of medical practice;</w:t>
      </w:r>
    </w:p>
    <w:p>
      <w:pPr>
        <w:spacing w:after="0" w:line="15" w:lineRule="exact"/>
        <w:rPr>
          <w:rFonts w:ascii="Arial" w:cs="Arial" w:eastAsia="Arial" w:hAnsi="Arial"/>
          <w:sz w:val="20"/>
          <w:szCs w:val="20"/>
          <w:color w:val="auto"/>
        </w:rPr>
      </w:pPr>
    </w:p>
    <w:p>
      <w:pPr>
        <w:ind w:left="760" w:right="140" w:hanging="324"/>
        <w:spacing w:after="0" w:line="242" w:lineRule="auto"/>
        <w:rPr>
          <w:rFonts w:ascii="Arial" w:cs="Arial" w:eastAsia="Arial" w:hAnsi="Arial"/>
          <w:sz w:val="20"/>
          <w:szCs w:val="20"/>
          <w:color w:val="auto"/>
        </w:rPr>
      </w:pPr>
      <w:r>
        <w:rPr>
          <w:rFonts w:ascii="Arial" w:cs="Arial" w:eastAsia="Arial" w:hAnsi="Arial"/>
          <w:sz w:val="20"/>
          <w:szCs w:val="20"/>
          <w:color w:val="auto"/>
        </w:rPr>
        <w:t xml:space="preserve">(b) Clinically appropriate, in terms of type, frequency, extent, site and duration, and considered effective for the patient’s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disease; and</w:t>
      </w:r>
    </w:p>
    <w:p>
      <w:pPr>
        <w:ind w:left="440"/>
        <w:spacing w:after="0"/>
        <w:rPr>
          <w:rFonts w:ascii="Arial" w:cs="Arial" w:eastAsia="Arial" w:hAnsi="Arial"/>
          <w:sz w:val="20"/>
          <w:szCs w:val="20"/>
          <w:color w:val="auto"/>
        </w:rPr>
      </w:pPr>
      <w:r>
        <w:rPr>
          <w:rFonts w:ascii="Arial" w:cs="Arial" w:eastAsia="Arial" w:hAnsi="Arial"/>
          <w:sz w:val="20"/>
          <w:szCs w:val="20"/>
          <w:color w:val="auto"/>
        </w:rPr>
        <w:t xml:space="preserve">(c) Not primarily for the convenience of the patient,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other health care provider;</w:t>
      </w:r>
    </w:p>
    <w:p>
      <w:pPr>
        <w:spacing w:after="0" w:line="8" w:lineRule="exact"/>
        <w:rPr>
          <w:rFonts w:ascii="Arial" w:cs="Arial" w:eastAsia="Arial" w:hAnsi="Arial"/>
          <w:sz w:val="20"/>
          <w:szCs w:val="20"/>
          <w:color w:val="auto"/>
        </w:rPr>
      </w:pPr>
    </w:p>
    <w:p>
      <w:pPr>
        <w:ind w:left="760" w:right="740" w:hanging="324"/>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(d) And not more costly than an alternative service or sequence of services at least as likely to produce equivalent therapeutic or diagnostic results as to the diagnosis or treatment of that patient’s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or disease.</w:t>
      </w:r>
    </w:p>
    <w:p>
      <w:pPr>
        <w:spacing w:after="0" w:line="205" w:lineRule="exact"/>
        <w:rPr>
          <w:sz w:val="20"/>
          <w:szCs w:val="20"/>
          <w:color w:val="auto"/>
        </w:rPr>
      </w:pPr>
    </w:p>
    <w:p>
      <w:pPr>
        <w:ind w:left="100" w:right="80"/>
        <w:spacing w:after="0" w:line="342" w:lineRule="auto"/>
        <w:rPr>
          <w:sz w:val="20"/>
          <w:szCs w:val="20"/>
          <w:color w:val="auto"/>
        </w:rPr>
      </w:pPr>
      <w:r>
        <w:rPr>
          <w:rFonts w:ascii="Arial" w:cs="Arial" w:eastAsia="Arial" w:hAnsi="Arial"/>
          <w:sz w:val="16"/>
          <w:szCs w:val="16"/>
          <w:color w:val="auto"/>
        </w:rPr>
        <w:t xml:space="preserve">For these purposes “generally accepted standards of medical practice” means standards that are based on credible scientific evidence published in peer-reviewed medical literature generally recognized by the relevant medical community, or otherwise consistent with </w:t>
      </w:r>
      <w:r>
        <w:rPr>
          <w:rFonts w:ascii="Arial" w:cs="Arial" w:eastAsia="Arial" w:hAnsi="Arial"/>
          <w:sz w:val="16"/>
          <w:szCs w:val="16"/>
          <w:b w:val="1"/>
          <w:bCs w:val="1"/>
          <w:color w:val="auto"/>
        </w:rPr>
        <w:t xml:space="preserve">physician </w:t>
      </w:r>
      <w:r>
        <w:rPr>
          <w:rFonts w:ascii="Arial" w:cs="Arial" w:eastAsia="Arial" w:hAnsi="Arial"/>
          <w:sz w:val="16"/>
          <w:szCs w:val="16"/>
          <w:color w:val="auto"/>
        </w:rPr>
        <w:t>specialty society recommendations and the views of</w:t>
      </w:r>
      <w:r>
        <w:rPr>
          <w:rFonts w:ascii="Arial" w:cs="Arial" w:eastAsia="Arial" w:hAnsi="Arial"/>
          <w:sz w:val="16"/>
          <w:szCs w:val="16"/>
          <w:b w:val="1"/>
          <w:bCs w:val="1"/>
          <w:color w:val="auto"/>
        </w:rPr>
        <w:t xml:space="preserve"> physicians </w:t>
      </w:r>
      <w:r>
        <w:rPr>
          <w:rFonts w:ascii="Arial" w:cs="Arial" w:eastAsia="Arial" w:hAnsi="Arial"/>
          <w:sz w:val="16"/>
          <w:szCs w:val="16"/>
          <w:color w:val="auto"/>
        </w:rPr>
        <w:t>practicing in relevant clinical areas and any other relevant factors.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Not every service, supply or </w:t>
      </w:r>
      <w:r>
        <w:rPr>
          <w:rFonts w:ascii="Arial" w:cs="Arial" w:eastAsia="Arial" w:hAnsi="Arial"/>
          <w:sz w:val="18"/>
          <w:szCs w:val="18"/>
          <w:b w:val="1"/>
          <w:bCs w:val="1"/>
          <w:color w:val="auto"/>
        </w:rPr>
        <w:t>prescription drug</w:t>
      </w:r>
      <w:r>
        <w:rPr>
          <w:rFonts w:ascii="Arial" w:cs="Arial" w:eastAsia="Arial" w:hAnsi="Arial"/>
          <w:sz w:val="18"/>
          <w:szCs w:val="18"/>
          <w:color w:val="auto"/>
        </w:rPr>
        <w:t xml:space="preserve"> that fits the definition for </w:t>
      </w:r>
      <w:r>
        <w:rPr>
          <w:rFonts w:ascii="Arial" w:cs="Arial" w:eastAsia="Arial" w:hAnsi="Arial"/>
          <w:sz w:val="18"/>
          <w:szCs w:val="18"/>
          <w:b w:val="1"/>
          <w:bCs w:val="1"/>
          <w:color w:val="auto"/>
        </w:rPr>
        <w:t>medical necessity</w:t>
      </w:r>
      <w:r>
        <w:rPr>
          <w:rFonts w:ascii="Arial" w:cs="Arial" w:eastAsia="Arial" w:hAnsi="Arial"/>
          <w:sz w:val="18"/>
          <w:szCs w:val="18"/>
          <w:color w:val="auto"/>
        </w:rPr>
        <w:t xml:space="preserve"> is covered by the plan. Exclusions and limitations apply to certain medical services, supplies and expenses. For example some benefits are limited to a certain number of days, visits or a dollar maximum. Refer to the </w:t>
      </w:r>
      <w:r>
        <w:rPr>
          <w:rFonts w:ascii="Arial" w:cs="Arial" w:eastAsia="Arial" w:hAnsi="Arial"/>
          <w:sz w:val="18"/>
          <w:szCs w:val="18"/>
          <w:i w:val="1"/>
          <w:iCs w:val="1"/>
          <w:color w:val="auto"/>
        </w:rPr>
        <w:t>What the Plan Covers</w:t>
      </w:r>
      <w:r>
        <w:rPr>
          <w:rFonts w:ascii="Arial" w:cs="Arial" w:eastAsia="Arial" w:hAnsi="Arial"/>
          <w:sz w:val="18"/>
          <w:szCs w:val="18"/>
          <w:color w:val="auto"/>
        </w:rPr>
        <w:t xml:space="preserve"> section and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for the plan limits and maximums.</w:t>
      </w:r>
    </w:p>
    <w:p>
      <w:pPr>
        <w:sectPr>
          <w:pgSz w:w="11900" w:h="16838" w:orient="portrait"/>
          <w:cols w:equalWidth="0" w:num="1">
            <w:col w:w="11360"/>
          </w:cols>
          <w:pgMar w:left="260" w:top="420" w:right="279" w:bottom="1440" w:gutter="0" w:footer="0" w:header="0"/>
        </w:sectPr>
      </w:pPr>
    </w:p>
    <w:bookmarkStart w:id="198" w:name="page199"/>
    <w:bookmarkEnd w:id="198"/>
    <w:tbl>
      <w:tblPr>
        <w:tblLayout w:type="fixed"/>
        <w:tblInd w:w="280" w:type="dxa"/>
        <w:tblCellMar>
          <w:top w:w="0" w:type="dxa"/>
          <w:left w:w="0" w:type="dxa"/>
          <w:bottom w:w="0" w:type="dxa"/>
          <w:right w:w="0" w:type="dxa"/>
        </w:tblCellMar>
      </w:tblPr>
      <w:tr>
        <w:trPr>
          <w:trHeight w:val="508"/>
        </w:trPr>
        <w:tc>
          <w:tcPr>
            <w:tcW w:w="6160" w:type="dxa"/>
            <w:vAlign w:val="bottom"/>
          </w:tcPr>
          <w:p>
            <w:pPr>
              <w:spacing w:after="0"/>
              <w:rPr>
                <w:sz w:val="20"/>
                <w:szCs w:val="20"/>
                <w:color w:val="auto"/>
              </w:rPr>
            </w:pPr>
            <w:r>
              <w:rPr>
                <w:rFonts w:ascii="Arial" w:cs="Arial" w:eastAsia="Arial" w:hAnsi="Arial"/>
                <w:sz w:val="43"/>
                <w:szCs w:val="43"/>
                <w:b w:val="1"/>
                <w:bCs w:val="1"/>
                <w:color w:val="auto"/>
              </w:rPr>
              <w:t>What The Plan Covers</w:t>
            </w:r>
          </w:p>
        </w:tc>
        <w:tc>
          <w:tcPr>
            <w:tcW w:w="4580" w:type="dxa"/>
            <w:vAlign w:val="bottom"/>
            <w:shd w:val="clear" w:color="auto" w:fill="0000FF"/>
          </w:tcPr>
          <w:p>
            <w:pPr>
              <w:ind w:left="20"/>
              <w:spacing w:after="0"/>
              <w:rPr>
                <w:sz w:val="20"/>
                <w:szCs w:val="20"/>
                <w:color w:val="auto"/>
              </w:rPr>
            </w:pPr>
            <w:r>
              <w:rPr>
                <w:rFonts w:ascii="Arial" w:cs="Arial" w:eastAsia="Arial" w:hAnsi="Arial"/>
                <w:sz w:val="22"/>
                <w:szCs w:val="22"/>
                <w:b w:val="1"/>
                <w:bCs w:val="1"/>
                <w:color w:val="FFFFFF"/>
              </w:rPr>
              <w:t>Wellness</w:t>
            </w:r>
          </w:p>
        </w:tc>
        <w:tc>
          <w:tcPr>
            <w:tcW w:w="0" w:type="dxa"/>
            <w:vAlign w:val="bottom"/>
          </w:tcPr>
          <w:p>
            <w:pPr>
              <w:spacing w:after="0"/>
              <w:rPr>
                <w:sz w:val="1"/>
                <w:szCs w:val="1"/>
                <w:color w:val="auto"/>
              </w:rPr>
            </w:pPr>
          </w:p>
        </w:tc>
      </w:tr>
      <w:tr>
        <w:trPr>
          <w:trHeight w:val="182"/>
        </w:trPr>
        <w:tc>
          <w:tcPr>
            <w:tcW w:w="6160" w:type="dxa"/>
            <w:vAlign w:val="bottom"/>
          </w:tcPr>
          <w:p>
            <w:pPr>
              <w:spacing w:after="0"/>
              <w:rPr>
                <w:sz w:val="20"/>
                <w:szCs w:val="20"/>
                <w:color w:val="auto"/>
              </w:rPr>
            </w:pPr>
            <w:r>
              <w:rPr>
                <w:rFonts w:ascii="Arial" w:cs="Arial" w:eastAsia="Arial" w:hAnsi="Arial"/>
                <w:sz w:val="14"/>
                <w:szCs w:val="14"/>
                <w:i w:val="1"/>
                <w:iCs w:val="1"/>
                <w:color w:val="auto"/>
              </w:rPr>
              <w:t>(GR-9N 11-005-01 VA)</w:t>
            </w:r>
          </w:p>
        </w:tc>
        <w:tc>
          <w:tcPr>
            <w:tcW w:w="4580" w:type="dxa"/>
            <w:vAlign w:val="bottom"/>
            <w:vMerge w:val="restart"/>
            <w:shd w:val="clear" w:color="auto" w:fill="0000FF"/>
          </w:tcPr>
          <w:p>
            <w:pPr>
              <w:ind w:left="20"/>
              <w:spacing w:after="0"/>
              <w:rPr>
                <w:sz w:val="20"/>
                <w:szCs w:val="20"/>
                <w:color w:val="auto"/>
              </w:rPr>
            </w:pPr>
            <w:r>
              <w:rPr>
                <w:rFonts w:ascii="Arial" w:cs="Arial" w:eastAsia="Arial" w:hAnsi="Arial"/>
                <w:sz w:val="22"/>
                <w:szCs w:val="22"/>
                <w:b w:val="1"/>
                <w:bCs w:val="1"/>
                <w:color w:val="FFFFFF"/>
              </w:rPr>
              <w:t>Physician Services</w:t>
            </w:r>
          </w:p>
        </w:tc>
        <w:tc>
          <w:tcPr>
            <w:tcW w:w="0" w:type="dxa"/>
            <w:vAlign w:val="bottom"/>
          </w:tcPr>
          <w:p>
            <w:pPr>
              <w:spacing w:after="0"/>
              <w:rPr>
                <w:sz w:val="1"/>
                <w:szCs w:val="1"/>
                <w:color w:val="auto"/>
              </w:rPr>
            </w:pPr>
          </w:p>
        </w:tc>
      </w:tr>
      <w:tr>
        <w:trPr>
          <w:trHeight w:val="157"/>
        </w:trPr>
        <w:tc>
          <w:tcPr>
            <w:tcW w:w="6160" w:type="dxa"/>
            <w:vAlign w:val="bottom"/>
          </w:tcPr>
          <w:p>
            <w:pPr>
              <w:spacing w:after="0"/>
              <w:rPr>
                <w:sz w:val="13"/>
                <w:szCs w:val="13"/>
                <w:color w:val="auto"/>
              </w:rPr>
            </w:pPr>
          </w:p>
        </w:tc>
        <w:tc>
          <w:tcPr>
            <w:tcW w:w="4580" w:type="dxa"/>
            <w:vAlign w:val="bottom"/>
            <w:vMerge w:val="continue"/>
            <w:shd w:val="clear" w:color="auto" w:fill="0000FF"/>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6160" w:type="dxa"/>
            <w:vAlign w:val="bottom"/>
          </w:tcPr>
          <w:p>
            <w:pPr>
              <w:spacing w:after="0"/>
              <w:rPr>
                <w:sz w:val="24"/>
                <w:szCs w:val="24"/>
                <w:color w:val="auto"/>
              </w:rPr>
            </w:pPr>
          </w:p>
        </w:tc>
        <w:tc>
          <w:tcPr>
            <w:tcW w:w="4580" w:type="dxa"/>
            <w:vAlign w:val="bottom"/>
            <w:shd w:val="clear" w:color="auto" w:fill="0000FF"/>
          </w:tcPr>
          <w:p>
            <w:pPr>
              <w:ind w:left="20"/>
              <w:spacing w:after="0"/>
              <w:rPr>
                <w:sz w:val="20"/>
                <w:szCs w:val="20"/>
                <w:color w:val="auto"/>
              </w:rPr>
            </w:pPr>
            <w:r>
              <w:rPr>
                <w:rFonts w:ascii="Arial" w:cs="Arial" w:eastAsia="Arial" w:hAnsi="Arial"/>
                <w:sz w:val="22"/>
                <w:szCs w:val="22"/>
                <w:b w:val="1"/>
                <w:bCs w:val="1"/>
                <w:color w:val="FFFFFF"/>
              </w:rPr>
              <w:t>Hospital Expenses</w:t>
            </w:r>
          </w:p>
        </w:tc>
        <w:tc>
          <w:tcPr>
            <w:tcW w:w="0" w:type="dxa"/>
            <w:vAlign w:val="bottom"/>
          </w:tcPr>
          <w:p>
            <w:pPr>
              <w:spacing w:after="0"/>
              <w:rPr>
                <w:sz w:val="1"/>
                <w:szCs w:val="1"/>
                <w:color w:val="auto"/>
              </w:rPr>
            </w:pPr>
          </w:p>
        </w:tc>
      </w:tr>
      <w:tr>
        <w:trPr>
          <w:trHeight w:val="422"/>
        </w:trPr>
        <w:tc>
          <w:tcPr>
            <w:tcW w:w="6160" w:type="dxa"/>
            <w:vAlign w:val="bottom"/>
          </w:tcPr>
          <w:p>
            <w:pPr>
              <w:spacing w:after="0"/>
              <w:rPr>
                <w:sz w:val="24"/>
                <w:szCs w:val="24"/>
                <w:color w:val="auto"/>
              </w:rPr>
            </w:pPr>
          </w:p>
        </w:tc>
        <w:tc>
          <w:tcPr>
            <w:tcW w:w="4580" w:type="dxa"/>
            <w:vAlign w:val="bottom"/>
            <w:shd w:val="clear" w:color="auto" w:fill="0000FF"/>
          </w:tcPr>
          <w:p>
            <w:pPr>
              <w:ind w:left="20"/>
              <w:spacing w:after="0"/>
              <w:rPr>
                <w:sz w:val="20"/>
                <w:szCs w:val="20"/>
                <w:color w:val="auto"/>
              </w:rPr>
            </w:pPr>
            <w:r>
              <w:rPr>
                <w:rFonts w:ascii="Arial" w:cs="Arial" w:eastAsia="Arial" w:hAnsi="Arial"/>
                <w:sz w:val="22"/>
                <w:szCs w:val="22"/>
                <w:b w:val="1"/>
                <w:bCs w:val="1"/>
                <w:color w:val="FFFFFF"/>
              </w:rPr>
              <w:t>Other Medical Expenses</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Comprehensive Medical Plan</w:t>
      </w:r>
    </w:p>
    <w:p>
      <w:pPr>
        <w:spacing w:after="0" w:line="231" w:lineRule="exact"/>
        <w:rPr>
          <w:sz w:val="20"/>
          <w:szCs w:val="20"/>
          <w:color w:val="auto"/>
        </w:rPr>
      </w:pPr>
    </w:p>
    <w:p>
      <w:pPr>
        <w:ind w:left="260" w:right="280"/>
        <w:spacing w:after="0" w:line="253" w:lineRule="auto"/>
        <w:rPr>
          <w:sz w:val="20"/>
          <w:szCs w:val="20"/>
          <w:color w:val="auto"/>
        </w:rPr>
      </w:pPr>
      <w:r>
        <w:rPr>
          <w:rFonts w:ascii="Arial" w:cs="Arial" w:eastAsia="Arial" w:hAnsi="Arial"/>
          <w:sz w:val="20"/>
          <w:szCs w:val="20"/>
          <w:color w:val="auto"/>
        </w:rPr>
        <w:t xml:space="preserve">Many preventive and routine medical expenses as well as expenses incurred for a serious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are covered. This section describes which expenses are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Only expenses incurred for the services and supplies shown in this section are </w:t>
      </w:r>
      <w:r>
        <w:rPr>
          <w:rFonts w:ascii="Arial" w:cs="Arial" w:eastAsia="Arial" w:hAnsi="Arial"/>
          <w:sz w:val="20"/>
          <w:szCs w:val="20"/>
          <w:b w:val="1"/>
          <w:bCs w:val="1"/>
          <w:color w:val="auto"/>
        </w:rPr>
        <w:t>covered</w:t>
      </w:r>
      <w:r>
        <w:rPr>
          <w:rFonts w:ascii="Arial" w:cs="Arial" w:eastAsia="Arial" w:hAnsi="Arial"/>
          <w:sz w:val="20"/>
          <w:szCs w:val="20"/>
          <w:color w:val="auto"/>
        </w:rPr>
        <w:t xml:space="preserve"> </w:t>
      </w:r>
      <w:r>
        <w:rPr>
          <w:rFonts w:ascii="Arial" w:cs="Arial" w:eastAsia="Arial" w:hAnsi="Arial"/>
          <w:sz w:val="20"/>
          <w:szCs w:val="20"/>
          <w:b w:val="1"/>
          <w:bCs w:val="1"/>
          <w:color w:val="auto"/>
        </w:rPr>
        <w:t>expenses</w:t>
      </w:r>
      <w:r>
        <w:rPr>
          <w:rFonts w:ascii="Arial" w:cs="Arial" w:eastAsia="Arial" w:hAnsi="Arial"/>
          <w:sz w:val="20"/>
          <w:szCs w:val="20"/>
          <w:color w:val="auto"/>
        </w:rPr>
        <w:t>. Limitations and exclusions apply.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Preventive Care</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This section on Preventive Care describes the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for services and supplies provided when you are well.</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Routine Physical Exams</w:t>
      </w:r>
    </w:p>
    <w:p>
      <w:pPr>
        <w:spacing w:after="0" w:line="32" w:lineRule="exact"/>
        <w:rPr>
          <w:sz w:val="20"/>
          <w:szCs w:val="20"/>
          <w:color w:val="auto"/>
        </w:rPr>
      </w:pPr>
    </w:p>
    <w:p>
      <w:pPr>
        <w:ind w:left="260" w:right="460"/>
        <w:spacing w:after="0" w:line="298" w:lineRule="auto"/>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made by your</w:t>
      </w:r>
      <w:r>
        <w:rPr>
          <w:rFonts w:ascii="Arial" w:cs="Arial" w:eastAsia="Arial" w:hAnsi="Arial"/>
          <w:sz w:val="18"/>
          <w:szCs w:val="18"/>
          <w:b w:val="1"/>
          <w:bCs w:val="1"/>
          <w:color w:val="auto"/>
        </w:rPr>
        <w:t xml:space="preserve"> physician </w:t>
      </w:r>
      <w:r>
        <w:rPr>
          <w:rFonts w:ascii="Arial" w:cs="Arial" w:eastAsia="Arial" w:hAnsi="Arial"/>
          <w:sz w:val="18"/>
          <w:szCs w:val="18"/>
          <w:color w:val="auto"/>
        </w:rPr>
        <w:t>for routine physical exams. A routine exam is a medical exam given by a</w:t>
      </w:r>
      <w:r>
        <w:rPr>
          <w:rFonts w:ascii="Arial" w:cs="Arial" w:eastAsia="Arial" w:hAnsi="Arial"/>
          <w:sz w:val="18"/>
          <w:szCs w:val="18"/>
          <w:b w:val="1"/>
          <w:bCs w:val="1"/>
          <w:color w:val="auto"/>
        </w:rPr>
        <w:t xml:space="preserve"> physician </w:t>
      </w:r>
      <w:r>
        <w:rPr>
          <w:rFonts w:ascii="Arial" w:cs="Arial" w:eastAsia="Arial" w:hAnsi="Arial"/>
          <w:sz w:val="18"/>
          <w:szCs w:val="18"/>
          <w:color w:val="auto"/>
        </w:rPr>
        <w:t>for a reason other than to diagnose or treat a suspected or identified</w:t>
      </w:r>
      <w:r>
        <w:rPr>
          <w:rFonts w:ascii="Arial" w:cs="Arial" w:eastAsia="Arial" w:hAnsi="Arial"/>
          <w:sz w:val="18"/>
          <w:szCs w:val="18"/>
          <w:b w:val="1"/>
          <w:bCs w:val="1"/>
          <w:color w:val="auto"/>
        </w:rPr>
        <w:t xml:space="preserve"> illness </w:t>
      </w:r>
      <w:r>
        <w:rPr>
          <w:rFonts w:ascii="Arial" w:cs="Arial" w:eastAsia="Arial" w:hAnsi="Arial"/>
          <w:sz w:val="18"/>
          <w:szCs w:val="18"/>
          <w:color w:val="auto"/>
        </w:rPr>
        <w:t>or</w:t>
      </w:r>
      <w:r>
        <w:rPr>
          <w:rFonts w:ascii="Arial" w:cs="Arial" w:eastAsia="Arial" w:hAnsi="Arial"/>
          <w:sz w:val="18"/>
          <w:szCs w:val="18"/>
          <w:b w:val="1"/>
          <w:bCs w:val="1"/>
          <w:color w:val="auto"/>
        </w:rPr>
        <w:t xml:space="preserve"> injury</w:t>
      </w:r>
      <w:r>
        <w:rPr>
          <w:rFonts w:ascii="Arial" w:cs="Arial" w:eastAsia="Arial" w:hAnsi="Arial"/>
          <w:sz w:val="18"/>
          <w:szCs w:val="18"/>
          <w:color w:val="auto"/>
        </w:rPr>
        <w:t>, and also includes:</w:t>
      </w:r>
    </w:p>
    <w:p>
      <w:pPr>
        <w:spacing w:after="0" w:line="145" w:lineRule="exact"/>
        <w:rPr>
          <w:sz w:val="20"/>
          <w:szCs w:val="20"/>
          <w:color w:val="auto"/>
        </w:rPr>
      </w:pPr>
    </w:p>
    <w:p>
      <w:pPr>
        <w:ind w:left="580" w:hanging="322"/>
        <w:spacing w:after="0"/>
        <w:tabs>
          <w:tab w:leader="none" w:pos="58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Radiological services, X-rays, lab and other tests given in connection with the exam; and</w:t>
      </w:r>
    </w:p>
    <w:p>
      <w:pPr>
        <w:spacing w:after="0" w:line="15" w:lineRule="exact"/>
        <w:rPr>
          <w:rFonts w:ascii="Arial" w:cs="Arial" w:eastAsia="Arial" w:hAnsi="Arial"/>
          <w:sz w:val="20"/>
          <w:szCs w:val="20"/>
          <w:color w:val="auto"/>
        </w:rPr>
      </w:pPr>
    </w:p>
    <w:p>
      <w:pPr>
        <w:ind w:left="580" w:right="720" w:hanging="322"/>
        <w:spacing w:after="0" w:line="266" w:lineRule="auto"/>
        <w:tabs>
          <w:tab w:leader="none" w:pos="5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Immunizations for infectious diseases and the materials for administration of immunizations as recommended by the Advisory Committee on Immunization Practices of the Department of Health and Human Services, Center for Disease Control; and</w:t>
      </w:r>
    </w:p>
    <w:p>
      <w:pPr>
        <w:ind w:left="580" w:hanging="322"/>
        <w:spacing w:after="0"/>
        <w:tabs>
          <w:tab w:leader="none" w:pos="58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Testing for Tuberculosis.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for children from birth to age 18 also include:</w:t>
      </w:r>
    </w:p>
    <w:p>
      <w:pPr>
        <w:spacing w:after="0" w:line="216" w:lineRule="exact"/>
        <w:rPr>
          <w:sz w:val="20"/>
          <w:szCs w:val="20"/>
          <w:color w:val="auto"/>
        </w:rPr>
      </w:pPr>
    </w:p>
    <w:p>
      <w:pPr>
        <w:ind w:left="580" w:right="400" w:hanging="322"/>
        <w:spacing w:after="0" w:line="267" w:lineRule="auto"/>
        <w:tabs>
          <w:tab w:leader="none" w:pos="58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An initial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check up and well child visits in accordance with the prevailing clinical standards of the American Academy of Pediatric Physicians.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Unless specified above, not covered under this benefit are charges for:</w:t>
      </w:r>
    </w:p>
    <w:p>
      <w:pPr>
        <w:spacing w:after="0" w:line="216" w:lineRule="exact"/>
        <w:rPr>
          <w:sz w:val="20"/>
          <w:szCs w:val="20"/>
          <w:color w:val="auto"/>
        </w:rPr>
      </w:pPr>
    </w:p>
    <w:p>
      <w:pPr>
        <w:ind w:left="580" w:hanging="322"/>
        <w:spacing w:after="0"/>
        <w:tabs>
          <w:tab w:leader="none" w:pos="5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Services which are covered to any extent under any other part of this plan;</w:t>
      </w:r>
    </w:p>
    <w:p>
      <w:pPr>
        <w:spacing w:after="0" w:line="15" w:lineRule="exact"/>
        <w:rPr>
          <w:rFonts w:ascii="Arial" w:cs="Arial" w:eastAsia="Arial" w:hAnsi="Arial"/>
          <w:sz w:val="20"/>
          <w:szCs w:val="20"/>
          <w:color w:val="auto"/>
        </w:rPr>
      </w:pPr>
    </w:p>
    <w:p>
      <w:pPr>
        <w:ind w:left="580" w:hanging="322"/>
        <w:spacing w:after="0"/>
        <w:tabs>
          <w:tab w:leader="none" w:pos="5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Services which are for diagnosis or treatment of a suspected or identified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4" w:lineRule="exact"/>
        <w:rPr>
          <w:rFonts w:ascii="Arial" w:cs="Arial" w:eastAsia="Arial" w:hAnsi="Arial"/>
          <w:sz w:val="20"/>
          <w:szCs w:val="20"/>
          <w:color w:val="auto"/>
        </w:rPr>
      </w:pPr>
    </w:p>
    <w:p>
      <w:pPr>
        <w:ind w:left="580" w:hanging="322"/>
        <w:spacing w:after="0"/>
        <w:tabs>
          <w:tab w:leader="none" w:pos="5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Exams given during your </w:t>
      </w:r>
      <w:r>
        <w:rPr>
          <w:rFonts w:ascii="Arial" w:cs="Arial" w:eastAsia="Arial" w:hAnsi="Arial"/>
          <w:sz w:val="20"/>
          <w:szCs w:val="20"/>
          <w:b w:val="1"/>
          <w:bCs w:val="1"/>
          <w:color w:val="auto"/>
        </w:rPr>
        <w:t>stay</w:t>
      </w:r>
      <w:r>
        <w:rPr>
          <w:rFonts w:ascii="Arial" w:cs="Arial" w:eastAsia="Arial" w:hAnsi="Arial"/>
          <w:sz w:val="20"/>
          <w:szCs w:val="20"/>
          <w:color w:val="auto"/>
        </w:rPr>
        <w:t xml:space="preserve"> for medical care;</w:t>
      </w:r>
    </w:p>
    <w:p>
      <w:pPr>
        <w:spacing w:after="0" w:line="13" w:lineRule="exact"/>
        <w:rPr>
          <w:rFonts w:ascii="Arial" w:cs="Arial" w:eastAsia="Arial" w:hAnsi="Arial"/>
          <w:sz w:val="20"/>
          <w:szCs w:val="20"/>
          <w:color w:val="auto"/>
        </w:rPr>
      </w:pPr>
    </w:p>
    <w:p>
      <w:pPr>
        <w:ind w:left="580" w:hanging="322"/>
        <w:spacing w:after="0"/>
        <w:tabs>
          <w:tab w:leader="none" w:pos="5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Services not given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under his or her direction;</w:t>
      </w:r>
    </w:p>
    <w:p>
      <w:pPr>
        <w:spacing w:after="0" w:line="8" w:lineRule="exact"/>
        <w:rPr>
          <w:rFonts w:ascii="Arial" w:cs="Arial" w:eastAsia="Arial" w:hAnsi="Arial"/>
          <w:sz w:val="20"/>
          <w:szCs w:val="20"/>
          <w:color w:val="auto"/>
        </w:rPr>
      </w:pPr>
    </w:p>
    <w:p>
      <w:pPr>
        <w:ind w:left="580" w:hanging="322"/>
        <w:spacing w:after="0"/>
        <w:tabs>
          <w:tab w:leader="none" w:pos="5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Psychiatric, psychological, personality or emotional testing or exams.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deductibles, coinsurance, benefit maximums and frequency and age limits for physical exams.</w:t>
      </w:r>
    </w:p>
    <w:p>
      <w:pPr>
        <w:sectPr>
          <w:pgSz w:w="11900" w:h="16838" w:orient="portrait"/>
          <w:cols w:equalWidth="0" w:num="1">
            <w:col w:w="11320"/>
          </w:cols>
          <w:pgMar w:left="260" w:top="518" w:right="319" w:bottom="1440" w:gutter="0" w:footer="0" w:header="0"/>
        </w:sectPr>
      </w:pPr>
    </w:p>
    <w:bookmarkStart w:id="199" w:name="page200"/>
    <w:bookmarkEnd w:id="199"/>
    <w:p>
      <w:pPr>
        <w:spacing w:after="0"/>
        <w:rPr>
          <w:sz w:val="20"/>
          <w:szCs w:val="20"/>
          <w:color w:val="auto"/>
        </w:rPr>
      </w:pPr>
      <w:r>
        <w:rPr>
          <w:rFonts w:ascii="Arial" w:cs="Arial" w:eastAsia="Arial" w:hAnsi="Arial"/>
          <w:sz w:val="25"/>
          <w:szCs w:val="25"/>
          <w:b w:val="1"/>
          <w:bCs w:val="1"/>
          <w:color w:val="auto"/>
        </w:rPr>
        <w:t>Routine Cancer Screenings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incurred for routine cancer screening as follows:</w:t>
      </w:r>
    </w:p>
    <w:p>
      <w:pPr>
        <w:spacing w:after="0" w:line="213" w:lineRule="exact"/>
        <w:rPr>
          <w:sz w:val="20"/>
          <w:szCs w:val="20"/>
          <w:color w:val="auto"/>
        </w:rPr>
      </w:pPr>
    </w:p>
    <w:p>
      <w:pPr>
        <w:ind w:left="340" w:hanging="331"/>
        <w:spacing w:after="0"/>
        <w:tabs>
          <w:tab w:leader="none" w:pos="3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1 gynecological exam every 12 months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Family Planning Services </w:t>
      </w:r>
      <w:r>
        <w:rPr>
          <w:rFonts w:ascii="Arial" w:cs="Arial" w:eastAsia="Arial" w:hAnsi="Arial"/>
          <w:sz w:val="14"/>
          <w:szCs w:val="14"/>
          <w:i w:val="1"/>
          <w:iCs w:val="1"/>
          <w:color w:val="auto"/>
        </w:rPr>
        <w:t>(GR-9N 11-005-01 VA)</w:t>
      </w:r>
    </w:p>
    <w:p>
      <w:pPr>
        <w:spacing w:after="0" w:line="5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certain contraceptive and family planning services, even though not provided to treat an</w:t>
      </w:r>
      <w:r>
        <w:rPr>
          <w:rFonts w:ascii="Arial" w:cs="Arial" w:eastAsia="Arial" w:hAnsi="Arial"/>
          <w:sz w:val="20"/>
          <w:szCs w:val="20"/>
          <w:b w:val="1"/>
          <w:bCs w:val="1"/>
          <w:color w:val="auto"/>
        </w:rPr>
        <w:t xml:space="preserve"> illness </w:t>
      </w:r>
      <w:r>
        <w:rPr>
          <w:rFonts w:ascii="Arial" w:cs="Arial" w:eastAsia="Arial" w:hAnsi="Arial"/>
          <w:sz w:val="20"/>
          <w:szCs w:val="20"/>
          <w:color w:val="auto"/>
        </w:rPr>
        <w:t>or</w:t>
      </w:r>
      <w:r>
        <w:rPr>
          <w:rFonts w:ascii="Arial" w:cs="Arial" w:eastAsia="Arial" w:hAnsi="Arial"/>
          <w:sz w:val="20"/>
          <w:szCs w:val="20"/>
          <w:b w:val="1"/>
          <w:bCs w:val="1"/>
          <w:color w:val="auto"/>
        </w:rPr>
        <w:t xml:space="preserve"> injury</w:t>
      </w:r>
      <w:r>
        <w:rPr>
          <w:rFonts w:ascii="Arial" w:cs="Arial" w:eastAsia="Arial" w:hAnsi="Arial"/>
          <w:sz w:val="20"/>
          <w:szCs w:val="20"/>
          <w:color w:val="auto"/>
        </w:rPr>
        <w:t>. Refer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Schedule of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frequency limits that apply to these services, if not specified below.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Contraception Services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contraceptive services and supplies provided on an outpatient basis, including:</w:t>
      </w:r>
    </w:p>
    <w:p>
      <w:pPr>
        <w:spacing w:after="0" w:line="223" w:lineRule="exact"/>
        <w:rPr>
          <w:sz w:val="20"/>
          <w:szCs w:val="20"/>
          <w:color w:val="auto"/>
        </w:rPr>
      </w:pPr>
    </w:p>
    <w:p>
      <w:pPr>
        <w:ind w:left="340" w:right="780" w:hanging="331"/>
        <w:spacing w:after="0" w:line="253" w:lineRule="auto"/>
        <w:tabs>
          <w:tab w:leader="none" w:pos="3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Contraceptive drugs and contraceptive devices prescribed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provided they have been approved by the Federal Drug Administration;</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Related outpatient services such as:</w:t>
      </w:r>
    </w:p>
    <w:p>
      <w:pPr>
        <w:spacing w:after="0" w:line="8" w:lineRule="exact"/>
        <w:rPr>
          <w:rFonts w:ascii="Arial" w:cs="Arial" w:eastAsia="Arial" w:hAnsi="Arial"/>
          <w:sz w:val="20"/>
          <w:szCs w:val="20"/>
          <w:color w:val="auto"/>
        </w:rPr>
      </w:pPr>
    </w:p>
    <w:p>
      <w:pPr>
        <w:ind w:left="660" w:hanging="327"/>
        <w:spacing w:after="0"/>
        <w:tabs>
          <w:tab w:leader="none" w:pos="66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Consultations;</w:t>
      </w:r>
    </w:p>
    <w:p>
      <w:pPr>
        <w:spacing w:after="0" w:line="10" w:lineRule="exact"/>
        <w:rPr>
          <w:rFonts w:ascii="Arial" w:cs="Arial" w:eastAsia="Arial" w:hAnsi="Arial"/>
          <w:sz w:val="20"/>
          <w:szCs w:val="20"/>
          <w:color w:val="auto"/>
        </w:rPr>
      </w:pPr>
    </w:p>
    <w:p>
      <w:pPr>
        <w:ind w:left="660" w:hanging="327"/>
        <w:spacing w:after="0"/>
        <w:tabs>
          <w:tab w:leader="none" w:pos="66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Exams;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Procedures; and</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Other medical services and supplies.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Not covered are:</w:t>
      </w:r>
    </w:p>
    <w:p>
      <w:pPr>
        <w:spacing w:after="0" w:line="216" w:lineRule="exact"/>
        <w:rPr>
          <w:sz w:val="20"/>
          <w:szCs w:val="20"/>
          <w:color w:val="auto"/>
        </w:rPr>
      </w:pPr>
    </w:p>
    <w:p>
      <w:pPr>
        <w:ind w:left="340" w:right="780" w:hanging="331"/>
        <w:spacing w:after="0" w:line="250" w:lineRule="auto"/>
        <w:tabs>
          <w:tab w:leader="none" w:pos="3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Charges for services which are covered to any extent under any other part of the Plan or any other group plans sponsored by your employer; and</w:t>
      </w:r>
    </w:p>
    <w:p>
      <w:pPr>
        <w:ind w:left="340" w:hanging="331"/>
        <w:spacing w:after="0"/>
        <w:tabs>
          <w:tab w:leader="none" w:pos="3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Charges incurred for contraceptive services while confined as an inpatient.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Family Planning</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family planning services, including:</w:t>
      </w:r>
    </w:p>
    <w:p>
      <w:pPr>
        <w:spacing w:after="0" w:line="216" w:lineRule="exact"/>
        <w:rPr>
          <w:sz w:val="20"/>
          <w:szCs w:val="20"/>
          <w:color w:val="auto"/>
        </w:rPr>
      </w:pPr>
    </w:p>
    <w:p>
      <w:pPr>
        <w:ind w:left="340" w:hanging="331"/>
        <w:spacing w:after="0"/>
        <w:tabs>
          <w:tab w:leader="none" w:pos="3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Voluntary sterilization.</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Voluntary termination of pregnancy.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plan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cover the reversal of voluntary sterilization procedures, including related follow-up care. Also see section on pregnancy and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infertility related expenses on a later page.</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Vision Care Services </w:t>
      </w:r>
      <w:r>
        <w:rPr>
          <w:rFonts w:ascii="Arial" w:cs="Arial" w:eastAsia="Arial" w:hAnsi="Arial"/>
          <w:sz w:val="14"/>
          <w:szCs w:val="14"/>
          <w:i w:val="1"/>
          <w:iCs w:val="1"/>
          <w:color w:val="auto"/>
        </w:rPr>
        <w:t>(GR-9N S-11-010-01)</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 legally qualified ophthalmologist or optometrist for the following services:</w:t>
      </w:r>
    </w:p>
    <w:p>
      <w:pPr>
        <w:spacing w:after="0" w:line="252" w:lineRule="exact"/>
        <w:rPr>
          <w:sz w:val="20"/>
          <w:szCs w:val="20"/>
          <w:color w:val="auto"/>
        </w:rPr>
      </w:pPr>
    </w:p>
    <w:p>
      <w:pPr>
        <w:ind w:left="340" w:hanging="331"/>
        <w:spacing w:after="0" w:line="299" w:lineRule="auto"/>
        <w:tabs>
          <w:tab w:leader="none" w:pos="340" w:val="left"/>
        </w:tabs>
        <w:numPr>
          <w:ilvl w:val="0"/>
          <w:numId w:val="205"/>
        </w:numPr>
        <w:rPr>
          <w:rFonts w:ascii="Arial" w:cs="Arial" w:eastAsia="Arial" w:hAnsi="Arial"/>
          <w:sz w:val="19"/>
          <w:szCs w:val="19"/>
          <w:color w:val="auto"/>
        </w:rPr>
      </w:pPr>
      <w:r>
        <w:rPr>
          <w:rFonts w:ascii="Arial" w:cs="Arial" w:eastAsia="Arial" w:hAnsi="Arial"/>
          <w:sz w:val="20"/>
          <w:szCs w:val="20"/>
          <w:b w:val="1"/>
          <w:bCs w:val="1"/>
          <w:i w:val="1"/>
          <w:iCs w:val="1"/>
          <w:color w:val="auto"/>
        </w:rPr>
        <w:t xml:space="preserve">Routine </w:t>
      </w:r>
      <w:r>
        <w:rPr>
          <w:rFonts w:ascii="Arial" w:cs="Arial" w:eastAsia="Arial" w:hAnsi="Arial"/>
          <w:sz w:val="18"/>
          <w:szCs w:val="18"/>
          <w:color w:val="auto"/>
        </w:rPr>
        <w:t>eye exam: The plan covers expenses for a complete routine eye exam that includes refraction and glaucoma testing. A routine eye</w:t>
      </w:r>
      <w:r>
        <w:rPr>
          <w:rFonts w:ascii="Arial" w:cs="Arial" w:eastAsia="Arial" w:hAnsi="Arial"/>
          <w:sz w:val="20"/>
          <w:szCs w:val="20"/>
          <w:b w:val="1"/>
          <w:bCs w:val="1"/>
          <w:i w:val="1"/>
          <w:iCs w:val="1"/>
          <w:color w:val="auto"/>
        </w:rPr>
        <w:t xml:space="preserve"> </w:t>
      </w:r>
      <w:r>
        <w:rPr>
          <w:rFonts w:ascii="Arial" w:cs="Arial" w:eastAsia="Arial" w:hAnsi="Arial"/>
          <w:sz w:val="18"/>
          <w:szCs w:val="18"/>
          <w:color w:val="auto"/>
        </w:rPr>
        <w:t>exam does not include a contact lens exam. The plan covers charges for one routine eye exam in any 12 consecutive month period.</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Limitations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Coverage is subject to any applicable Calendar Year </w:t>
      </w:r>
      <w:r>
        <w:rPr>
          <w:rFonts w:ascii="Arial" w:cs="Arial" w:eastAsia="Arial" w:hAnsi="Arial"/>
          <w:sz w:val="16"/>
          <w:szCs w:val="16"/>
          <w:b w:val="1"/>
          <w:bCs w:val="1"/>
          <w:color w:val="auto"/>
        </w:rPr>
        <w:t>deductibles</w:t>
      </w:r>
      <w:r>
        <w:rPr>
          <w:rFonts w:ascii="Arial" w:cs="Arial" w:eastAsia="Arial" w:hAnsi="Arial"/>
          <w:sz w:val="16"/>
          <w:szCs w:val="16"/>
          <w:color w:val="auto"/>
        </w:rPr>
        <w:t xml:space="preserve">, </w:t>
      </w:r>
      <w:r>
        <w:rPr>
          <w:rFonts w:ascii="Arial" w:cs="Arial" w:eastAsia="Arial" w:hAnsi="Arial"/>
          <w:sz w:val="16"/>
          <w:szCs w:val="16"/>
          <w:b w:val="1"/>
          <w:bCs w:val="1"/>
          <w:color w:val="auto"/>
        </w:rPr>
        <w:t>copays</w:t>
      </w:r>
      <w:r>
        <w:rPr>
          <w:rFonts w:ascii="Arial" w:cs="Arial" w:eastAsia="Arial" w:hAnsi="Arial"/>
          <w:sz w:val="16"/>
          <w:szCs w:val="16"/>
          <w:color w:val="auto"/>
        </w:rPr>
        <w:t xml:space="preserve"> and </w:t>
      </w:r>
      <w:r>
        <w:rPr>
          <w:rFonts w:ascii="Arial" w:cs="Arial" w:eastAsia="Arial" w:hAnsi="Arial"/>
          <w:sz w:val="16"/>
          <w:szCs w:val="16"/>
          <w:b w:val="1"/>
          <w:bCs w:val="1"/>
          <w:color w:val="auto"/>
        </w:rPr>
        <w:t>coinsurance</w:t>
      </w:r>
      <w:r>
        <w:rPr>
          <w:rFonts w:ascii="Arial" w:cs="Arial" w:eastAsia="Arial" w:hAnsi="Arial"/>
          <w:sz w:val="16"/>
          <w:szCs w:val="16"/>
          <w:color w:val="auto"/>
        </w:rPr>
        <w:t xml:space="preserve"> percentages shown in your </w:t>
      </w:r>
      <w:r>
        <w:rPr>
          <w:rFonts w:ascii="Arial" w:cs="Arial" w:eastAsia="Arial" w:hAnsi="Arial"/>
          <w:sz w:val="16"/>
          <w:szCs w:val="16"/>
          <w:i w:val="1"/>
          <w:iCs w:val="1"/>
          <w:color w:val="auto"/>
        </w:rPr>
        <w:t>Schedule of Benefits</w:t>
      </w:r>
      <w:r>
        <w:rPr>
          <w:rFonts w:ascii="Arial" w:cs="Arial" w:eastAsia="Arial" w:hAnsi="Arial"/>
          <w:sz w:val="16"/>
          <w:szCs w:val="16"/>
          <w:color w:val="auto"/>
        </w:rPr>
        <w:t>.</w:t>
      </w:r>
    </w:p>
    <w:p>
      <w:pPr>
        <w:sectPr>
          <w:pgSz w:w="11900" w:h="16838" w:orient="portrait"/>
          <w:cols w:equalWidth="0" w:num="1">
            <w:col w:w="11340"/>
          </w:cols>
          <w:pgMar w:left="320" w:top="427" w:right="239" w:bottom="1440" w:gutter="0" w:footer="0" w:header="0"/>
        </w:sectPr>
      </w:pPr>
    </w:p>
    <w:bookmarkStart w:id="200" w:name="page201"/>
    <w:bookmarkEnd w:id="200"/>
    <w:p>
      <w:pPr>
        <w:spacing w:after="0"/>
        <w:rPr>
          <w:sz w:val="20"/>
          <w:szCs w:val="20"/>
          <w:color w:val="auto"/>
        </w:rPr>
      </w:pPr>
      <w:r>
        <w:rPr>
          <w:rFonts w:ascii="Arial" w:cs="Arial" w:eastAsia="Arial" w:hAnsi="Arial"/>
          <w:sz w:val="25"/>
          <w:szCs w:val="25"/>
          <w:b w:val="1"/>
          <w:bCs w:val="1"/>
          <w:color w:val="auto"/>
        </w:rPr>
        <w:t xml:space="preserve">Hearing Exam </w:t>
      </w:r>
      <w:r>
        <w:rPr>
          <w:rFonts w:ascii="Arial" w:cs="Arial" w:eastAsia="Arial" w:hAnsi="Arial"/>
          <w:sz w:val="14"/>
          <w:szCs w:val="14"/>
          <w:i w:val="1"/>
          <w:iCs w:val="1"/>
          <w:color w:val="auto"/>
        </w:rPr>
        <w:t>(GR-9N 11-015-01)</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an audiometric hearing exam if the exam is performed by:</w:t>
      </w:r>
    </w:p>
    <w:p>
      <w:pPr>
        <w:spacing w:after="0" w:line="243" w:lineRule="exact"/>
        <w:rPr>
          <w:sz w:val="20"/>
          <w:szCs w:val="20"/>
          <w:color w:val="auto"/>
        </w:rPr>
      </w:pPr>
    </w:p>
    <w:p>
      <w:pPr>
        <w:ind w:left="340" w:hanging="331"/>
        <w:spacing w:after="0"/>
        <w:tabs>
          <w:tab w:leader="none" w:pos="3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certified as an otolaryngologist or otologist; or</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An audiologist who:</w:t>
      </w:r>
    </w:p>
    <w:p>
      <w:pPr>
        <w:spacing w:after="0" w:line="19" w:lineRule="exact"/>
        <w:rPr>
          <w:rFonts w:ascii="Arial" w:cs="Arial" w:eastAsia="Arial" w:hAnsi="Arial"/>
          <w:sz w:val="20"/>
          <w:szCs w:val="20"/>
          <w:color w:val="auto"/>
        </w:rPr>
      </w:pPr>
    </w:p>
    <w:p>
      <w:pPr>
        <w:ind w:left="660" w:hanging="327"/>
        <w:spacing w:after="0"/>
        <w:tabs>
          <w:tab w:leader="none" w:pos="66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Is legally qualified in audiology; or</w:t>
      </w:r>
    </w:p>
    <w:p>
      <w:pPr>
        <w:spacing w:after="0" w:line="20" w:lineRule="exact"/>
        <w:rPr>
          <w:rFonts w:ascii="Arial" w:cs="Arial" w:eastAsia="Arial" w:hAnsi="Arial"/>
          <w:sz w:val="20"/>
          <w:szCs w:val="20"/>
          <w:color w:val="auto"/>
        </w:rPr>
      </w:pPr>
    </w:p>
    <w:p>
      <w:pPr>
        <w:ind w:left="660" w:right="200" w:hanging="327"/>
        <w:spacing w:after="0" w:line="249" w:lineRule="auto"/>
        <w:tabs>
          <w:tab w:leader="none" w:pos="66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Holds a certificate of Clinical Competence in Audiology from the American Speech and Hearing Association (in the absence of any applicable licensing requirements); and</w:t>
      </w:r>
    </w:p>
    <w:p>
      <w:pPr>
        <w:spacing w:after="0" w:line="1" w:lineRule="exact"/>
        <w:rPr>
          <w:rFonts w:ascii="Arial" w:cs="Arial" w:eastAsia="Arial" w:hAnsi="Arial"/>
          <w:sz w:val="20"/>
          <w:szCs w:val="20"/>
          <w:color w:val="auto"/>
        </w:rPr>
      </w:pPr>
    </w:p>
    <w:p>
      <w:pPr>
        <w:ind w:left="660" w:hanging="327"/>
        <w:spacing w:after="0"/>
        <w:tabs>
          <w:tab w:leader="none" w:pos="66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Performs the exam at the written direction of a legally qualified otolaryngologist or otologist.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plan will not cover expenses for charges for more than one hearing exam for any 12-month period.</w:t>
      </w:r>
    </w:p>
    <w:p>
      <w:pPr>
        <w:spacing w:after="0" w:line="223"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color w:val="auto"/>
        </w:rPr>
        <w:t xml:space="preserve">All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for the hearing exam are subject to any applicable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w:t>
      </w:r>
      <w:r>
        <w:rPr>
          <w:rFonts w:ascii="Arial" w:cs="Arial" w:eastAsia="Arial" w:hAnsi="Arial"/>
          <w:sz w:val="20"/>
          <w:szCs w:val="20"/>
          <w:b w:val="1"/>
          <w:bCs w:val="1"/>
          <w:color w:val="auto"/>
        </w:rPr>
        <w:t>copay</w:t>
      </w:r>
      <w:r>
        <w:rPr>
          <w:rFonts w:ascii="Arial" w:cs="Arial" w:eastAsia="Arial" w:hAnsi="Arial"/>
          <w:sz w:val="20"/>
          <w:szCs w:val="20"/>
          <w:color w:val="auto"/>
        </w:rPr>
        <w:t xml:space="preserve"> and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shown in your </w:t>
      </w:r>
      <w:r>
        <w:rPr>
          <w:rFonts w:ascii="Arial" w:cs="Arial" w:eastAsia="Arial" w:hAnsi="Arial"/>
          <w:sz w:val="20"/>
          <w:szCs w:val="20"/>
          <w:i w:val="1"/>
          <w:iCs w:val="1"/>
          <w:color w:val="auto"/>
        </w:rPr>
        <w:t>Schedule of</w:t>
      </w:r>
      <w:r>
        <w:rPr>
          <w:rFonts w:ascii="Arial" w:cs="Arial" w:eastAsia="Arial" w:hAnsi="Arial"/>
          <w:sz w:val="20"/>
          <w:szCs w:val="20"/>
          <w:color w:val="auto"/>
        </w:rPr>
        <w:t xml:space="preserve"> </w:t>
      </w:r>
      <w:r>
        <w:rPr>
          <w:rFonts w:ascii="Arial" w:cs="Arial" w:eastAsia="Arial" w:hAnsi="Arial"/>
          <w:sz w:val="20"/>
          <w:szCs w:val="20"/>
          <w:i w:val="1"/>
          <w:iCs w:val="1"/>
          <w:color w:val="auto"/>
        </w:rPr>
        <w:t>Benefits</w:t>
      </w:r>
      <w:r>
        <w:rPr>
          <w:rFonts w:ascii="Arial" w:cs="Arial" w:eastAsia="Arial" w:hAnsi="Arial"/>
          <w:sz w:val="20"/>
          <w:szCs w:val="20"/>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Physician Services </w:t>
      </w:r>
      <w:r>
        <w:rPr>
          <w:rFonts w:ascii="Arial" w:cs="Arial" w:eastAsia="Arial" w:hAnsi="Arial"/>
          <w:sz w:val="14"/>
          <w:szCs w:val="14"/>
          <w:i w:val="1"/>
          <w:iCs w:val="1"/>
          <w:color w:val="auto"/>
        </w:rPr>
        <w:t>(GR-9N-S-11-020-01)</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Physician Visits</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 xml:space="preserve">Covered medical expenses include charges made by a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during a visit to treat an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The visit may be at the </w:t>
      </w:r>
      <w:r>
        <w:rPr>
          <w:rFonts w:ascii="Arial" w:cs="Arial" w:eastAsia="Arial" w:hAnsi="Arial"/>
          <w:sz w:val="18"/>
          <w:szCs w:val="18"/>
          <w:b w:val="1"/>
          <w:bCs w:val="1"/>
          <w:color w:val="auto"/>
        </w:rPr>
        <w:t>physician’s</w:t>
      </w:r>
      <w:r>
        <w:rPr>
          <w:rFonts w:ascii="Arial" w:cs="Arial" w:eastAsia="Arial" w:hAnsi="Arial"/>
          <w:sz w:val="18"/>
          <w:szCs w:val="18"/>
          <w:color w:val="auto"/>
        </w:rPr>
        <w:t xml:space="preserve"> office, in your home, in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or other facility during your </w:t>
      </w:r>
      <w:r>
        <w:rPr>
          <w:rFonts w:ascii="Arial" w:cs="Arial" w:eastAsia="Arial" w:hAnsi="Arial"/>
          <w:sz w:val="18"/>
          <w:szCs w:val="18"/>
          <w:b w:val="1"/>
          <w:bCs w:val="1"/>
          <w:color w:val="auto"/>
        </w:rPr>
        <w:t>stay</w:t>
      </w:r>
      <w:r>
        <w:rPr>
          <w:rFonts w:ascii="Arial" w:cs="Arial" w:eastAsia="Arial" w:hAnsi="Arial"/>
          <w:sz w:val="18"/>
          <w:szCs w:val="18"/>
          <w:color w:val="auto"/>
        </w:rPr>
        <w:t xml:space="preserve"> or in an outpatient facility. </w:t>
      </w:r>
      <w:r>
        <w:rPr>
          <w:rFonts w:ascii="Arial" w:cs="Arial" w:eastAsia="Arial" w:hAnsi="Arial"/>
          <w:sz w:val="18"/>
          <w:szCs w:val="18"/>
          <w:b w:val="1"/>
          <w:bCs w:val="1"/>
          <w:color w:val="auto"/>
        </w:rPr>
        <w:t>Covered expenses</w:t>
      </w:r>
      <w:r>
        <w:rPr>
          <w:rFonts w:ascii="Arial" w:cs="Arial" w:eastAsia="Arial" w:hAnsi="Arial"/>
          <w:sz w:val="18"/>
          <w:szCs w:val="18"/>
          <w:color w:val="auto"/>
        </w:rPr>
        <w:t xml:space="preserve"> also include:</w:t>
      </w:r>
    </w:p>
    <w:p>
      <w:pPr>
        <w:spacing w:after="0" w:line="159" w:lineRule="exact"/>
        <w:rPr>
          <w:sz w:val="20"/>
          <w:szCs w:val="20"/>
          <w:color w:val="auto"/>
        </w:rPr>
      </w:pPr>
    </w:p>
    <w:p>
      <w:pPr>
        <w:ind w:left="340" w:hanging="331"/>
        <w:spacing w:after="0"/>
        <w:tabs>
          <w:tab w:leader="none" w:pos="3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Immunizations for infectious disease, but not if solely for your employment;</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Allergy testing, treatment and injections;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Charges made by the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for supplies, radiological services, x-rays, and tests provided by the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Surgery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physician </w:t>
      </w:r>
      <w:r>
        <w:rPr>
          <w:rFonts w:ascii="Arial" w:cs="Arial" w:eastAsia="Arial" w:hAnsi="Arial"/>
          <w:sz w:val="20"/>
          <w:szCs w:val="20"/>
          <w:color w:val="auto"/>
        </w:rPr>
        <w:t>for:</w:t>
      </w:r>
    </w:p>
    <w:p>
      <w:pPr>
        <w:spacing w:after="0" w:line="200" w:lineRule="exact"/>
        <w:rPr>
          <w:sz w:val="20"/>
          <w:szCs w:val="20"/>
          <w:color w:val="auto"/>
        </w:rPr>
      </w:pPr>
    </w:p>
    <w:p>
      <w:pPr>
        <w:ind w:left="340" w:hanging="331"/>
        <w:spacing w:after="0"/>
        <w:tabs>
          <w:tab w:leader="none" w:pos="3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Performing your surgical procedure;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Pre-operative and post-operative visits;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Consultation with another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to obtain a second opinion prior to the surgery.</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Anesthetics</w:t>
      </w:r>
    </w:p>
    <w:p>
      <w:pPr>
        <w:spacing w:after="0" w:line="3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the administration of anesthetics and oxygen by a</w:t>
      </w:r>
      <w:r>
        <w:rPr>
          <w:rFonts w:ascii="Arial" w:cs="Arial" w:eastAsia="Arial" w:hAnsi="Arial"/>
          <w:sz w:val="20"/>
          <w:szCs w:val="20"/>
          <w:b w:val="1"/>
          <w:bCs w:val="1"/>
          <w:color w:val="auto"/>
        </w:rPr>
        <w:t xml:space="preserve"> physician</w:t>
      </w:r>
      <w:r>
        <w:rPr>
          <w:rFonts w:ascii="Arial" w:cs="Arial" w:eastAsia="Arial" w:hAnsi="Arial"/>
          <w:sz w:val="20"/>
          <w:szCs w:val="20"/>
          <w:color w:val="auto"/>
        </w:rPr>
        <w:t>, other than the operating</w:t>
      </w:r>
      <w:r>
        <w:rPr>
          <w:rFonts w:ascii="Arial" w:cs="Arial" w:eastAsia="Arial" w:hAnsi="Arial"/>
          <w:sz w:val="20"/>
          <w:szCs w:val="20"/>
          <w:b w:val="1"/>
          <w:bCs w:val="1"/>
          <w:color w:val="auto"/>
        </w:rPr>
        <w:t xml:space="preserve"> physician</w:t>
      </w:r>
      <w:r>
        <w:rPr>
          <w:rFonts w:ascii="Arial" w:cs="Arial" w:eastAsia="Arial" w:hAnsi="Arial"/>
          <w:sz w:val="20"/>
          <w:szCs w:val="20"/>
          <w:color w:val="auto"/>
        </w:rPr>
        <w:t>, or</w:t>
      </w:r>
      <w:r>
        <w:rPr>
          <w:rFonts w:ascii="Arial" w:cs="Arial" w:eastAsia="Arial" w:hAnsi="Arial"/>
          <w:sz w:val="20"/>
          <w:szCs w:val="20"/>
          <w:b w:val="1"/>
          <w:bCs w:val="1"/>
          <w:color w:val="auto"/>
        </w:rPr>
        <w:t xml:space="preserve"> </w:t>
      </w:r>
      <w:r>
        <w:rPr>
          <w:rFonts w:ascii="Arial" w:cs="Arial" w:eastAsia="Arial" w:hAnsi="Arial"/>
          <w:sz w:val="20"/>
          <w:szCs w:val="20"/>
          <w:color w:val="auto"/>
        </w:rPr>
        <w:t>Certified Registered Nurse Anesthetist (C.R.N.A.) in connection with a covered procedure.</w:t>
      </w:r>
    </w:p>
    <w:p>
      <w:pPr>
        <w:spacing w:after="0" w:line="1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Hospital Expenses </w:t>
      </w:r>
      <w:r>
        <w:rPr>
          <w:rFonts w:ascii="Arial" w:cs="Arial" w:eastAsia="Arial" w:hAnsi="Arial"/>
          <w:sz w:val="14"/>
          <w:szCs w:val="14"/>
          <w:i w:val="1"/>
          <w:iCs w:val="1"/>
          <w:color w:val="auto"/>
        </w:rPr>
        <w:t>(GR-9N-11-030 01)</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Covered medical expenses include services and supplies provided by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during your </w:t>
      </w:r>
      <w:r>
        <w:rPr>
          <w:rFonts w:ascii="Arial" w:cs="Arial" w:eastAsia="Arial" w:hAnsi="Arial"/>
          <w:sz w:val="20"/>
          <w:szCs w:val="20"/>
          <w:b w:val="1"/>
          <w:bCs w:val="1"/>
          <w:color w:val="auto"/>
        </w:rPr>
        <w:t>stay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Room and Board</w:t>
      </w:r>
    </w:p>
    <w:p>
      <w:pPr>
        <w:spacing w:after="0" w:line="32" w:lineRule="exact"/>
        <w:rPr>
          <w:sz w:val="20"/>
          <w:szCs w:val="20"/>
          <w:color w:val="auto"/>
        </w:rPr>
      </w:pPr>
    </w:p>
    <w:p>
      <w:pPr>
        <w:jc w:val="both"/>
        <w:ind w:right="580"/>
        <w:spacing w:after="0" w:line="241"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w:t>
      </w:r>
      <w:r>
        <w:rPr>
          <w:rFonts w:ascii="Arial" w:cs="Arial" w:eastAsia="Arial" w:hAnsi="Arial"/>
          <w:sz w:val="20"/>
          <w:szCs w:val="20"/>
          <w:b w:val="1"/>
          <w:bCs w:val="1"/>
          <w:color w:val="auto"/>
        </w:rPr>
        <w:t xml:space="preserve"> room and board </w:t>
      </w:r>
      <w:r>
        <w:rPr>
          <w:rFonts w:ascii="Arial" w:cs="Arial" w:eastAsia="Arial" w:hAnsi="Arial"/>
          <w:sz w:val="20"/>
          <w:szCs w:val="20"/>
          <w:color w:val="auto"/>
        </w:rPr>
        <w:t>provided at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during your</w:t>
      </w:r>
      <w:r>
        <w:rPr>
          <w:rFonts w:ascii="Arial" w:cs="Arial" w:eastAsia="Arial" w:hAnsi="Arial"/>
          <w:sz w:val="20"/>
          <w:szCs w:val="20"/>
          <w:b w:val="1"/>
          <w:bCs w:val="1"/>
          <w:color w:val="auto"/>
        </w:rPr>
        <w:t xml:space="preserve"> stay</w:t>
      </w:r>
      <w:r>
        <w:rPr>
          <w:rFonts w:ascii="Arial" w:cs="Arial" w:eastAsia="Arial" w:hAnsi="Arial"/>
          <w:sz w:val="20"/>
          <w:szCs w:val="20"/>
          <w:color w:val="auto"/>
        </w:rPr>
        <w:t>. Private room charges that exceed the</w:t>
      </w:r>
      <w:r>
        <w:rPr>
          <w:rFonts w:ascii="Arial" w:cs="Arial" w:eastAsia="Arial" w:hAnsi="Arial"/>
          <w:sz w:val="20"/>
          <w:szCs w:val="20"/>
          <w:b w:val="1"/>
          <w:bCs w:val="1"/>
          <w:color w:val="auto"/>
        </w:rPr>
        <w:t xml:space="preserve"> hospital</w:t>
      </w:r>
      <w:r>
        <w:rPr>
          <w:rFonts w:ascii="Arial" w:cs="Arial" w:eastAsia="Arial" w:hAnsi="Arial"/>
          <w:sz w:val="20"/>
          <w:szCs w:val="20"/>
          <w:color w:val="auto"/>
        </w:rPr>
        <w:t>’s</w:t>
      </w:r>
      <w:r>
        <w:rPr>
          <w:rFonts w:ascii="Arial" w:cs="Arial" w:eastAsia="Arial" w:hAnsi="Arial"/>
          <w:sz w:val="20"/>
          <w:szCs w:val="20"/>
          <w:b w:val="1"/>
          <w:bCs w:val="1"/>
          <w:color w:val="auto"/>
        </w:rPr>
        <w:t xml:space="preserve"> semi-private room rate </w:t>
      </w:r>
      <w:r>
        <w:rPr>
          <w:rFonts w:ascii="Arial" w:cs="Arial" w:eastAsia="Arial" w:hAnsi="Arial"/>
          <w:sz w:val="20"/>
          <w:szCs w:val="20"/>
          <w:color w:val="auto"/>
        </w:rPr>
        <w:t>are not covered unless a private room is required because of a contagious</w:t>
      </w:r>
      <w:r>
        <w:rPr>
          <w:rFonts w:ascii="Arial" w:cs="Arial" w:eastAsia="Arial" w:hAnsi="Arial"/>
          <w:sz w:val="20"/>
          <w:szCs w:val="20"/>
          <w:b w:val="1"/>
          <w:bCs w:val="1"/>
          <w:color w:val="auto"/>
        </w:rPr>
        <w:t xml:space="preserve"> illness </w:t>
      </w:r>
      <w:r>
        <w:rPr>
          <w:rFonts w:ascii="Arial" w:cs="Arial" w:eastAsia="Arial" w:hAnsi="Arial"/>
          <w:sz w:val="20"/>
          <w:szCs w:val="20"/>
          <w:color w:val="auto"/>
        </w:rPr>
        <w:t>or immune system</w:t>
      </w:r>
      <w:r>
        <w:rPr>
          <w:rFonts w:ascii="Arial" w:cs="Arial" w:eastAsia="Arial" w:hAnsi="Arial"/>
          <w:sz w:val="20"/>
          <w:szCs w:val="20"/>
          <w:b w:val="1"/>
          <w:bCs w:val="1"/>
          <w:color w:val="auto"/>
        </w:rPr>
        <w:t xml:space="preserve"> </w:t>
      </w:r>
      <w:r>
        <w:rPr>
          <w:rFonts w:ascii="Arial" w:cs="Arial" w:eastAsia="Arial" w:hAnsi="Arial"/>
          <w:sz w:val="20"/>
          <w:szCs w:val="20"/>
          <w:color w:val="auto"/>
        </w:rPr>
        <w:t>problem.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Room and board </w:t>
      </w:r>
      <w:r>
        <w:rPr>
          <w:rFonts w:ascii="Arial" w:cs="Arial" w:eastAsia="Arial" w:hAnsi="Arial"/>
          <w:sz w:val="20"/>
          <w:szCs w:val="20"/>
          <w:color w:val="auto"/>
        </w:rPr>
        <w:t>charges also include:</w:t>
      </w:r>
    </w:p>
    <w:p>
      <w:pPr>
        <w:spacing w:after="0" w:line="243" w:lineRule="exact"/>
        <w:rPr>
          <w:sz w:val="20"/>
          <w:szCs w:val="20"/>
          <w:color w:val="auto"/>
        </w:rPr>
      </w:pPr>
    </w:p>
    <w:p>
      <w:pPr>
        <w:ind w:left="340" w:hanging="331"/>
        <w:spacing w:after="0"/>
        <w:tabs>
          <w:tab w:leader="none" w:pos="3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Services of the </w:t>
      </w:r>
      <w:r>
        <w:rPr>
          <w:rFonts w:ascii="Arial" w:cs="Arial" w:eastAsia="Arial" w:hAnsi="Arial"/>
          <w:sz w:val="20"/>
          <w:szCs w:val="20"/>
          <w:b w:val="1"/>
          <w:bCs w:val="1"/>
          <w:color w:val="auto"/>
        </w:rPr>
        <w:t>hospital’s</w:t>
      </w:r>
      <w:r>
        <w:rPr>
          <w:rFonts w:ascii="Arial" w:cs="Arial" w:eastAsia="Arial" w:hAnsi="Arial"/>
          <w:sz w:val="20"/>
          <w:szCs w:val="20"/>
          <w:color w:val="auto"/>
        </w:rPr>
        <w:t xml:space="preserve"> nursing staff;</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Admission and other fees;</w:t>
      </w:r>
    </w:p>
    <w:p>
      <w:pPr>
        <w:sectPr>
          <w:pgSz w:w="11900" w:h="16838" w:orient="portrait"/>
          <w:cols w:equalWidth="0" w:num="1">
            <w:col w:w="11300"/>
          </w:cols>
          <w:pgMar w:left="320" w:top="427" w:right="279" w:bottom="1440" w:gutter="0" w:footer="0" w:header="0"/>
        </w:sectPr>
      </w:pPr>
    </w:p>
    <w:bookmarkStart w:id="201" w:name="page202"/>
    <w:bookmarkEnd w:id="201"/>
    <w:p>
      <w:pPr>
        <w:ind w:left="440" w:hanging="330"/>
        <w:spacing w:after="0"/>
        <w:tabs>
          <w:tab w:leader="none" w:pos="44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General and special diets; and</w:t>
      </w:r>
    </w:p>
    <w:p>
      <w:pPr>
        <w:spacing w:after="0" w:line="15" w:lineRule="exact"/>
        <w:rPr>
          <w:rFonts w:ascii="Arial" w:cs="Arial" w:eastAsia="Arial" w:hAnsi="Arial"/>
          <w:sz w:val="20"/>
          <w:szCs w:val="20"/>
          <w:color w:val="auto"/>
        </w:rPr>
      </w:pPr>
    </w:p>
    <w:p>
      <w:pPr>
        <w:ind w:left="440" w:hanging="330"/>
        <w:spacing w:after="0"/>
        <w:tabs>
          <w:tab w:leader="none" w:pos="44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Sundries and supplies.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Other Hospital Services and Supplies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 xml:space="preserve">Covered expenses </w:t>
      </w:r>
      <w:r>
        <w:rPr>
          <w:rFonts w:ascii="Arial" w:cs="Arial" w:eastAsia="Arial" w:hAnsi="Arial"/>
          <w:sz w:val="19"/>
          <w:szCs w:val="19"/>
          <w:color w:val="auto"/>
        </w:rPr>
        <w:t>include charges made by a</w:t>
      </w:r>
      <w:r>
        <w:rPr>
          <w:rFonts w:ascii="Arial" w:cs="Arial" w:eastAsia="Arial" w:hAnsi="Arial"/>
          <w:sz w:val="19"/>
          <w:szCs w:val="19"/>
          <w:b w:val="1"/>
          <w:bCs w:val="1"/>
          <w:color w:val="auto"/>
        </w:rPr>
        <w:t xml:space="preserve"> hospital </w:t>
      </w:r>
      <w:r>
        <w:rPr>
          <w:rFonts w:ascii="Arial" w:cs="Arial" w:eastAsia="Arial" w:hAnsi="Arial"/>
          <w:sz w:val="19"/>
          <w:szCs w:val="19"/>
          <w:color w:val="auto"/>
        </w:rPr>
        <w:t>for services and supplies furnished to you in connection with your</w:t>
      </w:r>
      <w:r>
        <w:rPr>
          <w:rFonts w:ascii="Arial" w:cs="Arial" w:eastAsia="Arial" w:hAnsi="Arial"/>
          <w:sz w:val="19"/>
          <w:szCs w:val="19"/>
          <w:b w:val="1"/>
          <w:bCs w:val="1"/>
          <w:color w:val="auto"/>
        </w:rPr>
        <w:t xml:space="preserve"> stay</w:t>
      </w:r>
      <w:r>
        <w:rPr>
          <w:rFonts w:ascii="Arial" w:cs="Arial" w:eastAsia="Arial" w:hAnsi="Arial"/>
          <w:sz w:val="19"/>
          <w:szCs w:val="19"/>
          <w:color w:val="auto"/>
        </w:rPr>
        <w:t>.</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hospital charges for other services and supplies provided, such as:</w:t>
      </w:r>
    </w:p>
    <w:p>
      <w:pPr>
        <w:spacing w:after="0" w:line="216" w:lineRule="exact"/>
        <w:rPr>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b w:val="1"/>
          <w:bCs w:val="1"/>
          <w:color w:val="auto"/>
        </w:rPr>
        <w:t xml:space="preserve">Ambulance </w:t>
      </w:r>
      <w:r>
        <w:rPr>
          <w:rFonts w:ascii="Arial" w:cs="Arial" w:eastAsia="Arial" w:hAnsi="Arial"/>
          <w:sz w:val="20"/>
          <w:szCs w:val="20"/>
          <w:color w:val="auto"/>
        </w:rPr>
        <w:t>services.</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b w:val="1"/>
          <w:bCs w:val="1"/>
          <w:color w:val="auto"/>
        </w:rPr>
        <w:t xml:space="preserve">Physicians </w:t>
      </w:r>
      <w:r>
        <w:rPr>
          <w:rFonts w:ascii="Arial" w:cs="Arial" w:eastAsia="Arial" w:hAnsi="Arial"/>
          <w:sz w:val="20"/>
          <w:szCs w:val="20"/>
          <w:color w:val="auto"/>
        </w:rPr>
        <w:t>and surgeons.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Operating and recovery rooms.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Intensive or special care facilities.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Administration of blood and blood products, but not the cost of the blood or blood products.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Radiation 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Speech therapy, physical therapy and occupational 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Oxygen and oxygen 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Radiological services, laboratory testing and diagnostic services.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Medications.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Intravenous (IV) preparations.</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Discharge planning.</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Outpatient Hospital Expenses </w:t>
      </w:r>
      <w:r>
        <w:rPr>
          <w:rFonts w:ascii="Arial" w:cs="Arial" w:eastAsia="Arial" w:hAnsi="Arial"/>
          <w:sz w:val="14"/>
          <w:szCs w:val="14"/>
          <w:i w:val="1"/>
          <w:iCs w:val="1"/>
          <w:color w:val="auto"/>
        </w:rPr>
        <w:t>(GR-9N-11-030 01)</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w:t>
      </w:r>
      <w:r>
        <w:rPr>
          <w:rFonts w:ascii="Arial" w:cs="Arial" w:eastAsia="Arial" w:hAnsi="Arial"/>
          <w:sz w:val="18"/>
          <w:szCs w:val="18"/>
          <w:b w:val="1"/>
          <w:bCs w:val="1"/>
          <w:color w:val="auto"/>
        </w:rPr>
        <w:t xml:space="preserve"> hospital </w:t>
      </w:r>
      <w:r>
        <w:rPr>
          <w:rFonts w:ascii="Arial" w:cs="Arial" w:eastAsia="Arial" w:hAnsi="Arial"/>
          <w:sz w:val="18"/>
          <w:szCs w:val="18"/>
          <w:color w:val="auto"/>
        </w:rPr>
        <w:t>charges made for covered services and supplies provided by the outpatient department of a</w:t>
      </w:r>
      <w:r>
        <w:rPr>
          <w:rFonts w:ascii="Arial" w:cs="Arial" w:eastAsia="Arial" w:hAnsi="Arial"/>
          <w:sz w:val="18"/>
          <w:szCs w:val="18"/>
          <w:b w:val="1"/>
          <w:bCs w:val="1"/>
          <w:color w:val="auto"/>
        </w:rPr>
        <w:t xml:space="preserve"> hospital</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Reminders</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The plan will only pay for nursing services provided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as part of its charge. The plan does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 private duty nursing services as part of an inpatient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stay.</w:t>
      </w:r>
    </w:p>
    <w:p>
      <w:pPr>
        <w:spacing w:after="0" w:line="199" w:lineRule="exact"/>
        <w:rPr>
          <w:sz w:val="20"/>
          <w:szCs w:val="20"/>
          <w:color w:val="auto"/>
        </w:rPr>
      </w:pPr>
    </w:p>
    <w:p>
      <w:pPr>
        <w:ind w:right="2020"/>
        <w:spacing w:after="0" w:line="323" w:lineRule="auto"/>
        <w:rPr>
          <w:sz w:val="20"/>
          <w:szCs w:val="20"/>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or other health care facility does not itemize specific </w:t>
      </w:r>
      <w:r>
        <w:rPr>
          <w:rFonts w:ascii="Arial" w:cs="Arial" w:eastAsia="Arial" w:hAnsi="Arial"/>
          <w:sz w:val="18"/>
          <w:szCs w:val="18"/>
          <w:b w:val="1"/>
          <w:bCs w:val="1"/>
          <w:color w:val="auto"/>
        </w:rPr>
        <w:t>room and board</w:t>
      </w:r>
      <w:r>
        <w:rPr>
          <w:rFonts w:ascii="Arial" w:cs="Arial" w:eastAsia="Arial" w:hAnsi="Arial"/>
          <w:sz w:val="18"/>
          <w:szCs w:val="18"/>
          <w:color w:val="auto"/>
        </w:rPr>
        <w:t xml:space="preserve"> charges and other charges, </w:t>
      </w:r>
      <w:r>
        <w:rPr>
          <w:rFonts w:ascii="Arial" w:cs="Arial" w:eastAsia="Arial" w:hAnsi="Arial"/>
          <w:sz w:val="18"/>
          <w:szCs w:val="18"/>
          <w:b w:val="1"/>
          <w:bCs w:val="1"/>
          <w:color w:val="auto"/>
        </w:rPr>
        <w:t>Aetna</w:t>
      </w:r>
      <w:r>
        <w:rPr>
          <w:rFonts w:ascii="Arial" w:cs="Arial" w:eastAsia="Arial" w:hAnsi="Arial"/>
          <w:sz w:val="18"/>
          <w:szCs w:val="18"/>
          <w:color w:val="auto"/>
        </w:rPr>
        <w:t xml:space="preserve"> will assume that 40 percent of the total is for </w:t>
      </w:r>
      <w:r>
        <w:rPr>
          <w:rFonts w:ascii="Arial" w:cs="Arial" w:eastAsia="Arial" w:hAnsi="Arial"/>
          <w:sz w:val="18"/>
          <w:szCs w:val="18"/>
          <w:b w:val="1"/>
          <w:bCs w:val="1"/>
          <w:color w:val="auto"/>
        </w:rPr>
        <w:t>room and board</w:t>
      </w:r>
      <w:r>
        <w:rPr>
          <w:rFonts w:ascii="Arial" w:cs="Arial" w:eastAsia="Arial" w:hAnsi="Arial"/>
          <w:sz w:val="18"/>
          <w:szCs w:val="18"/>
          <w:color w:val="auto"/>
        </w:rPr>
        <w:t xml:space="preserve"> charge, and 60 percent is for other charges.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addition to charges made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certain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and other providers may bill you separately during your stay.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any applicable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w:t>
      </w:r>
      <w:r>
        <w:rPr>
          <w:rFonts w:ascii="Arial" w:cs="Arial" w:eastAsia="Arial" w:hAnsi="Arial"/>
          <w:sz w:val="20"/>
          <w:szCs w:val="20"/>
          <w:b w:val="1"/>
          <w:bCs w:val="1"/>
          <w:color w:val="auto"/>
        </w:rPr>
        <w:t>copay</w:t>
      </w:r>
      <w:r>
        <w:rPr>
          <w:rFonts w:ascii="Arial" w:cs="Arial" w:eastAsia="Arial" w:hAnsi="Arial"/>
          <w:sz w:val="20"/>
          <w:szCs w:val="20"/>
          <w:color w:val="auto"/>
        </w:rPr>
        <w:t xml:space="preserve"> and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and maximum benefit limits.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Coverage for Emergency Medical Conditions</w:t>
      </w:r>
    </w:p>
    <w:p>
      <w:pPr>
        <w:spacing w:after="0" w:line="32" w:lineRule="exact"/>
        <w:rPr>
          <w:sz w:val="20"/>
          <w:szCs w:val="20"/>
          <w:color w:val="auto"/>
        </w:rPr>
      </w:pPr>
    </w:p>
    <w:p>
      <w:pPr>
        <w:ind w:left="100" w:right="24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or a</w:t>
      </w:r>
      <w:r>
        <w:rPr>
          <w:rFonts w:ascii="Arial" w:cs="Arial" w:eastAsia="Arial" w:hAnsi="Arial"/>
          <w:sz w:val="20"/>
          <w:szCs w:val="20"/>
          <w:b w:val="1"/>
          <w:bCs w:val="1"/>
          <w:color w:val="auto"/>
        </w:rPr>
        <w:t xml:space="preserve"> physician </w:t>
      </w:r>
      <w:r>
        <w:rPr>
          <w:rFonts w:ascii="Arial" w:cs="Arial" w:eastAsia="Arial" w:hAnsi="Arial"/>
          <w:sz w:val="20"/>
          <w:szCs w:val="20"/>
          <w:color w:val="auto"/>
        </w:rPr>
        <w:t>for services provided in an emergency room to evaluate and treat an</w:t>
      </w:r>
      <w:r>
        <w:rPr>
          <w:rFonts w:ascii="Arial" w:cs="Arial" w:eastAsia="Arial" w:hAnsi="Arial"/>
          <w:sz w:val="20"/>
          <w:szCs w:val="20"/>
          <w:b w:val="1"/>
          <w:bCs w:val="1"/>
          <w:color w:val="auto"/>
        </w:rPr>
        <w:t xml:space="preserve"> emergency medical condition</w:t>
      </w:r>
      <w:r>
        <w:rPr>
          <w:rFonts w:ascii="Arial" w:cs="Arial" w:eastAsia="Arial" w:hAnsi="Arial"/>
          <w:sz w:val="20"/>
          <w:szCs w:val="20"/>
          <w:color w:val="auto"/>
        </w:rPr>
        <w:t>.</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emergency care</w:t>
      </w:r>
      <w:r>
        <w:rPr>
          <w:rFonts w:ascii="Arial" w:cs="Arial" w:eastAsia="Arial" w:hAnsi="Arial"/>
          <w:sz w:val="20"/>
          <w:szCs w:val="20"/>
          <w:color w:val="auto"/>
        </w:rPr>
        <w:t xml:space="preserve"> benefit covers:</w:t>
      </w:r>
    </w:p>
    <w:p>
      <w:pPr>
        <w:spacing w:after="0" w:line="222" w:lineRule="exact"/>
        <w:rPr>
          <w:sz w:val="20"/>
          <w:szCs w:val="20"/>
          <w:color w:val="auto"/>
        </w:rPr>
      </w:pPr>
    </w:p>
    <w:p>
      <w:pPr>
        <w:ind w:left="440" w:hanging="330"/>
        <w:spacing w:after="0"/>
        <w:tabs>
          <w:tab w:leader="none" w:pos="44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Use of emergency room facilities;</w:t>
      </w:r>
    </w:p>
    <w:p>
      <w:pPr>
        <w:spacing w:after="0" w:line="15" w:lineRule="exact"/>
        <w:rPr>
          <w:rFonts w:ascii="Arial" w:cs="Arial" w:eastAsia="Arial" w:hAnsi="Arial"/>
          <w:sz w:val="20"/>
          <w:szCs w:val="20"/>
          <w:color w:val="auto"/>
        </w:rPr>
      </w:pPr>
    </w:p>
    <w:p>
      <w:pPr>
        <w:ind w:left="440" w:hanging="330"/>
        <w:spacing w:after="0"/>
        <w:tabs>
          <w:tab w:leader="none" w:pos="44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Emergency room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services;</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212"/>
        </w:numPr>
        <w:rPr>
          <w:rFonts w:ascii="Arial" w:cs="Arial" w:eastAsia="Arial" w:hAnsi="Arial"/>
          <w:sz w:val="20"/>
          <w:szCs w:val="20"/>
          <w:color w:val="auto"/>
        </w:rPr>
      </w:pPr>
      <w:r>
        <w:rPr>
          <w:rFonts w:ascii="Arial" w:cs="Arial" w:eastAsia="Arial" w:hAnsi="Arial"/>
          <w:sz w:val="20"/>
          <w:szCs w:val="20"/>
          <w:b w:val="1"/>
          <w:bCs w:val="1"/>
          <w:color w:val="auto"/>
        </w:rPr>
        <w:t xml:space="preserve">Hospital </w:t>
      </w:r>
      <w:r>
        <w:rPr>
          <w:rFonts w:ascii="Arial" w:cs="Arial" w:eastAsia="Arial" w:hAnsi="Arial"/>
          <w:sz w:val="20"/>
          <w:szCs w:val="20"/>
          <w:color w:val="auto"/>
        </w:rPr>
        <w:t>nursing staff services;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Radiologists and pathologists services.</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Please contact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after receiving treatment for an </w:t>
      </w:r>
      <w:r>
        <w:rPr>
          <w:rFonts w:ascii="Arial" w:cs="Arial" w:eastAsia="Arial" w:hAnsi="Arial"/>
          <w:sz w:val="20"/>
          <w:szCs w:val="20"/>
          <w:b w:val="1"/>
          <w:bCs w:val="1"/>
          <w:color w:val="auto"/>
        </w:rPr>
        <w:t>emergency medical condition</w:t>
      </w:r>
      <w:r>
        <w:rPr>
          <w:rFonts w:ascii="Arial" w:cs="Arial" w:eastAsia="Arial" w:hAnsi="Arial"/>
          <w:sz w:val="20"/>
          <w:szCs w:val="20"/>
          <w:color w:val="auto"/>
        </w:rPr>
        <w:t>.</w:t>
      </w:r>
    </w:p>
    <w:p>
      <w:pPr>
        <w:sectPr>
          <w:pgSz w:w="11900" w:h="16838" w:orient="portrait"/>
          <w:cols w:equalWidth="0" w:num="1">
            <w:col w:w="11340"/>
          </w:cols>
          <w:pgMar w:left="260" w:top="433" w:right="29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 xml:space="preserve">With the exception of Urgent Care described below, if you visit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emergency room for a non-emergency condition, the plan will pay a reduced benefit, as shown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No other plan benefits will pay for non-emergency care in the emergency room.</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Coverage for Urgent Conditions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or</w:t>
      </w:r>
      <w:r>
        <w:rPr>
          <w:rFonts w:ascii="Arial" w:cs="Arial" w:eastAsia="Arial" w:hAnsi="Arial"/>
          <w:sz w:val="20"/>
          <w:szCs w:val="20"/>
          <w:b w:val="1"/>
          <w:bCs w:val="1"/>
          <w:color w:val="auto"/>
        </w:rPr>
        <w:t xml:space="preserve"> urgent care provider </w:t>
      </w:r>
      <w:r>
        <w:rPr>
          <w:rFonts w:ascii="Arial" w:cs="Arial" w:eastAsia="Arial" w:hAnsi="Arial"/>
          <w:sz w:val="20"/>
          <w:szCs w:val="20"/>
          <w:color w:val="auto"/>
        </w:rPr>
        <w:t>to evaluate and treat an</w:t>
      </w:r>
      <w:r>
        <w:rPr>
          <w:rFonts w:ascii="Arial" w:cs="Arial" w:eastAsia="Arial" w:hAnsi="Arial"/>
          <w:sz w:val="20"/>
          <w:szCs w:val="20"/>
          <w:b w:val="1"/>
          <w:bCs w:val="1"/>
          <w:color w:val="auto"/>
        </w:rPr>
        <w:t xml:space="preserve"> urgent condition</w:t>
      </w:r>
      <w:r>
        <w:rPr>
          <w:rFonts w:ascii="Arial" w:cs="Arial" w:eastAsia="Arial" w:hAnsi="Arial"/>
          <w:sz w:val="20"/>
          <w:szCs w:val="20"/>
          <w:color w:val="auto"/>
        </w:rPr>
        <w:t>.</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Your coverage includes:</w:t>
      </w:r>
    </w:p>
    <w:p>
      <w:pPr>
        <w:spacing w:after="0" w:line="243" w:lineRule="exact"/>
        <w:rPr>
          <w:sz w:val="20"/>
          <w:szCs w:val="20"/>
          <w:color w:val="auto"/>
        </w:rPr>
      </w:pPr>
    </w:p>
    <w:p>
      <w:pPr>
        <w:ind w:left="440" w:hanging="330"/>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Use of emergency room facilities;</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Use of urgent care facilities;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b w:val="1"/>
          <w:bCs w:val="1"/>
          <w:color w:val="auto"/>
        </w:rPr>
        <w:t xml:space="preserve">Physicians </w:t>
      </w:r>
      <w:r>
        <w:rPr>
          <w:rFonts w:ascii="Arial" w:cs="Arial" w:eastAsia="Arial" w:hAnsi="Arial"/>
          <w:sz w:val="20"/>
          <w:szCs w:val="20"/>
          <w:color w:val="auto"/>
        </w:rPr>
        <w:t>services;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Nursing staff services;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Radiologists and pathologists services.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Please contact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after receiving treatment of an </w:t>
      </w:r>
      <w:r>
        <w:rPr>
          <w:rFonts w:ascii="Arial" w:cs="Arial" w:eastAsia="Arial" w:hAnsi="Arial"/>
          <w:sz w:val="20"/>
          <w:szCs w:val="20"/>
          <w:b w:val="1"/>
          <w:bCs w:val="1"/>
          <w:color w:val="auto"/>
        </w:rPr>
        <w:t>urgent condition</w:t>
      </w:r>
      <w:r>
        <w:rPr>
          <w:rFonts w:ascii="Arial" w:cs="Arial" w:eastAsia="Arial" w:hAnsi="Arial"/>
          <w:sz w:val="20"/>
          <w:szCs w:val="20"/>
          <w:color w:val="auto"/>
        </w:rPr>
        <w:t>.</w:t>
      </w: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Alternatives to Hospital Stays </w:t>
      </w:r>
      <w:r>
        <w:rPr>
          <w:rFonts w:ascii="Arial" w:cs="Arial" w:eastAsia="Arial" w:hAnsi="Arial"/>
          <w:sz w:val="14"/>
          <w:szCs w:val="14"/>
          <w:i w:val="1"/>
          <w:iCs w:val="1"/>
          <w:color w:val="auto"/>
        </w:rPr>
        <w:t>(GR-9N-11-040 01 VA)</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Outpatient Surgery and Physician Surgical Services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services and supplies furnished in connection with outpatient surgery made by:</w:t>
      </w:r>
    </w:p>
    <w:p>
      <w:pPr>
        <w:spacing w:after="0" w:line="194" w:lineRule="exact"/>
        <w:rPr>
          <w:sz w:val="20"/>
          <w:szCs w:val="20"/>
          <w:color w:val="auto"/>
        </w:rPr>
      </w:pPr>
    </w:p>
    <w:p>
      <w:pPr>
        <w:ind w:left="440" w:hanging="330"/>
        <w:spacing w:after="0"/>
        <w:tabs>
          <w:tab w:leader="none" w:pos="4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w:t>
      </w:r>
      <w:r>
        <w:rPr>
          <w:rFonts w:ascii="Arial" w:cs="Arial" w:eastAsia="Arial" w:hAnsi="Arial"/>
          <w:sz w:val="20"/>
          <w:szCs w:val="20"/>
          <w:b w:val="1"/>
          <w:bCs w:val="1"/>
          <w:color w:val="auto"/>
        </w:rPr>
        <w:t>dentist</w:t>
      </w:r>
      <w:r>
        <w:rPr>
          <w:rFonts w:ascii="Arial" w:cs="Arial" w:eastAsia="Arial" w:hAnsi="Arial"/>
          <w:sz w:val="20"/>
          <w:szCs w:val="20"/>
          <w:color w:val="auto"/>
        </w:rPr>
        <w:t xml:space="preserve"> for professional services;</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surgery center</w:t>
      </w:r>
      <w:r>
        <w:rPr>
          <w:rFonts w:ascii="Arial" w:cs="Arial" w:eastAsia="Arial" w:hAnsi="Arial"/>
          <w:sz w:val="20"/>
          <w:szCs w:val="20"/>
          <w:color w:val="auto"/>
        </w:rPr>
        <w:t>; or</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The outpatient department of a </w:t>
      </w:r>
      <w:r>
        <w:rPr>
          <w:rFonts w:ascii="Arial" w:cs="Arial" w:eastAsia="Arial" w:hAnsi="Arial"/>
          <w:sz w:val="20"/>
          <w:szCs w:val="20"/>
          <w:b w:val="1"/>
          <w:bCs w:val="1"/>
          <w:color w:val="auto"/>
        </w:rPr>
        <w:t>hospital</w:t>
      </w:r>
      <w:r>
        <w:rPr>
          <w:rFonts w:ascii="Arial" w:cs="Arial" w:eastAsia="Arial" w:hAnsi="Arial"/>
          <w:sz w:val="20"/>
          <w:szCs w:val="20"/>
          <w:color w:val="auto"/>
        </w:rPr>
        <w:t>.</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surgery must meet the following requirements:</w:t>
      </w:r>
    </w:p>
    <w:p>
      <w:pPr>
        <w:spacing w:after="0" w:line="210" w:lineRule="exact"/>
        <w:rPr>
          <w:sz w:val="20"/>
          <w:szCs w:val="20"/>
          <w:color w:val="auto"/>
        </w:rPr>
      </w:pPr>
    </w:p>
    <w:p>
      <w:pPr>
        <w:ind w:left="440" w:hanging="330"/>
        <w:spacing w:after="0"/>
        <w:tabs>
          <w:tab w:leader="none" w:pos="4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The surgery can be performed adequately and safely only in a </w:t>
      </w:r>
      <w:r>
        <w:rPr>
          <w:rFonts w:ascii="Arial" w:cs="Arial" w:eastAsia="Arial" w:hAnsi="Arial"/>
          <w:sz w:val="20"/>
          <w:szCs w:val="20"/>
          <w:b w:val="1"/>
          <w:bCs w:val="1"/>
          <w:color w:val="auto"/>
        </w:rPr>
        <w:t>surgery center</w:t>
      </w:r>
      <w:r>
        <w:rPr>
          <w:rFonts w:ascii="Arial" w:cs="Arial" w:eastAsia="Arial" w:hAnsi="Arial"/>
          <w:sz w:val="20"/>
          <w:szCs w:val="20"/>
          <w:color w:val="auto"/>
        </w:rPr>
        <w:t xml:space="preserve"> or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and</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The surgery is not normally performed in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’s or </w:t>
      </w:r>
      <w:r>
        <w:rPr>
          <w:rFonts w:ascii="Arial" w:cs="Arial" w:eastAsia="Arial" w:hAnsi="Arial"/>
          <w:sz w:val="20"/>
          <w:szCs w:val="20"/>
          <w:b w:val="1"/>
          <w:bCs w:val="1"/>
          <w:color w:val="auto"/>
        </w:rPr>
        <w:t>dentist</w:t>
      </w:r>
      <w:r>
        <w:rPr>
          <w:rFonts w:ascii="Arial" w:cs="Arial" w:eastAsia="Arial" w:hAnsi="Arial"/>
          <w:sz w:val="20"/>
          <w:szCs w:val="20"/>
          <w:color w:val="auto"/>
        </w:rPr>
        <w:t>’s office.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 xml:space="preserve">Benefits for surgery services performed in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's or </w:t>
      </w:r>
      <w:r>
        <w:rPr>
          <w:rFonts w:ascii="Arial" w:cs="Arial" w:eastAsia="Arial" w:hAnsi="Arial"/>
          <w:sz w:val="20"/>
          <w:szCs w:val="20"/>
          <w:b w:val="1"/>
          <w:bCs w:val="1"/>
          <w:color w:val="auto"/>
        </w:rPr>
        <w:t>dentist</w:t>
      </w:r>
      <w:r>
        <w:rPr>
          <w:rFonts w:ascii="Arial" w:cs="Arial" w:eastAsia="Arial" w:hAnsi="Arial"/>
          <w:sz w:val="20"/>
          <w:szCs w:val="20"/>
          <w:color w:val="auto"/>
        </w:rPr>
        <w:t>'s office are described under Physician Services benefits in the previous section.</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following outpatient surgery expenses are covered:</w:t>
      </w:r>
    </w:p>
    <w:p>
      <w:pPr>
        <w:spacing w:after="0" w:line="210" w:lineRule="exact"/>
        <w:rPr>
          <w:sz w:val="20"/>
          <w:szCs w:val="20"/>
          <w:color w:val="auto"/>
        </w:rPr>
      </w:pPr>
    </w:p>
    <w:p>
      <w:pPr>
        <w:ind w:left="440" w:hanging="330"/>
        <w:spacing w:after="0"/>
        <w:tabs>
          <w:tab w:leader="none" w:pos="4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Services and supplies provided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surgery center</w:t>
      </w:r>
      <w:r>
        <w:rPr>
          <w:rFonts w:ascii="Arial" w:cs="Arial" w:eastAsia="Arial" w:hAnsi="Arial"/>
          <w:sz w:val="20"/>
          <w:szCs w:val="20"/>
          <w:color w:val="auto"/>
        </w:rPr>
        <w:t xml:space="preserve"> on the day of the procedure;</w:t>
      </w:r>
    </w:p>
    <w:p>
      <w:pPr>
        <w:spacing w:after="0" w:line="21" w:lineRule="exact"/>
        <w:rPr>
          <w:rFonts w:ascii="Arial" w:cs="Arial" w:eastAsia="Arial" w:hAnsi="Arial"/>
          <w:sz w:val="20"/>
          <w:szCs w:val="20"/>
          <w:color w:val="auto"/>
        </w:rPr>
      </w:pPr>
    </w:p>
    <w:p>
      <w:pPr>
        <w:ind w:left="440" w:right="120" w:hanging="330"/>
        <w:spacing w:after="0" w:line="239" w:lineRule="auto"/>
        <w:tabs>
          <w:tab w:leader="none" w:pos="4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The operating </w:t>
      </w:r>
      <w:r>
        <w:rPr>
          <w:rFonts w:ascii="Arial" w:cs="Arial" w:eastAsia="Arial" w:hAnsi="Arial"/>
          <w:sz w:val="20"/>
          <w:szCs w:val="20"/>
          <w:b w:val="1"/>
          <w:bCs w:val="1"/>
          <w:color w:val="auto"/>
        </w:rPr>
        <w:t>physician</w:t>
      </w:r>
      <w:r>
        <w:rPr>
          <w:rFonts w:ascii="Arial" w:cs="Arial" w:eastAsia="Arial" w:hAnsi="Arial"/>
          <w:sz w:val="20"/>
          <w:szCs w:val="20"/>
          <w:color w:val="auto"/>
        </w:rPr>
        <w:t>’s services for performing the procedure, related pre- and post-operative care, and administration of anesthesia; and</w:t>
      </w:r>
    </w:p>
    <w:p>
      <w:pPr>
        <w:spacing w:after="0" w:line="1" w:lineRule="exact"/>
        <w:rPr>
          <w:rFonts w:ascii="Arial" w:cs="Arial" w:eastAsia="Arial" w:hAnsi="Arial"/>
          <w:sz w:val="20"/>
          <w:szCs w:val="20"/>
          <w:color w:val="auto"/>
        </w:rPr>
      </w:pPr>
    </w:p>
    <w:p>
      <w:pPr>
        <w:ind w:left="440" w:hanging="330"/>
        <w:spacing w:after="0"/>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Services of another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for related post-operative care and administration of anesthesia. This does not include a local anesthetic.</w:t>
      </w:r>
    </w:p>
    <w:p>
      <w:pPr>
        <w:sectPr>
          <w:pgSz w:w="11900" w:h="16838" w:orient="portrait"/>
          <w:cols w:equalWidth="0" w:num="1">
            <w:col w:w="11300"/>
          </w:cols>
          <w:pgMar w:left="260" w:top="590" w:right="3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Not covered under this plan are charges made for:</w:t>
      </w:r>
    </w:p>
    <w:p>
      <w:pPr>
        <w:spacing w:after="0" w:line="194" w:lineRule="exact"/>
        <w:rPr>
          <w:sz w:val="20"/>
          <w:szCs w:val="20"/>
          <w:color w:val="auto"/>
        </w:rPr>
      </w:pPr>
    </w:p>
    <w:p>
      <w:pPr>
        <w:ind w:left="340" w:hanging="331"/>
        <w:spacing w:after="0"/>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The services of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other health care provider who renders technical assistance to the operating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hospital</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Facility charges for office based surgery.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Birthing Center</w:t>
      </w:r>
    </w:p>
    <w:p>
      <w:pPr>
        <w:spacing w:after="0" w:line="41" w:lineRule="exact"/>
        <w:rPr>
          <w:sz w:val="20"/>
          <w:szCs w:val="20"/>
          <w:color w:val="auto"/>
        </w:rPr>
      </w:pPr>
    </w:p>
    <w:p>
      <w:pPr>
        <w:ind w:right="2360"/>
        <w:spacing w:after="0" w:line="248"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birthing center </w:t>
      </w:r>
      <w:r>
        <w:rPr>
          <w:rFonts w:ascii="Arial" w:cs="Arial" w:eastAsia="Arial" w:hAnsi="Arial"/>
          <w:sz w:val="20"/>
          <w:szCs w:val="20"/>
          <w:color w:val="auto"/>
        </w:rPr>
        <w:t>for services and supplies related to your care in a</w:t>
      </w:r>
      <w:r>
        <w:rPr>
          <w:rFonts w:ascii="Arial" w:cs="Arial" w:eastAsia="Arial" w:hAnsi="Arial"/>
          <w:sz w:val="20"/>
          <w:szCs w:val="20"/>
          <w:b w:val="1"/>
          <w:bCs w:val="1"/>
          <w:color w:val="auto"/>
        </w:rPr>
        <w:t xml:space="preserve"> birthing center </w:t>
      </w:r>
      <w:r>
        <w:rPr>
          <w:rFonts w:ascii="Arial" w:cs="Arial" w:eastAsia="Arial" w:hAnsi="Arial"/>
          <w:sz w:val="20"/>
          <w:szCs w:val="20"/>
          <w:color w:val="auto"/>
        </w:rPr>
        <w:t>for:</w:t>
      </w:r>
    </w:p>
    <w:p>
      <w:pPr>
        <w:spacing w:after="0" w:line="202" w:lineRule="exact"/>
        <w:rPr>
          <w:sz w:val="20"/>
          <w:szCs w:val="20"/>
          <w:color w:val="auto"/>
        </w:rPr>
      </w:pPr>
    </w:p>
    <w:p>
      <w:pPr>
        <w:ind w:left="340" w:hanging="331"/>
        <w:spacing w:after="0"/>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Prenatal care;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Delivery;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Postpartum care within 48 hours after a vaginal delivery and 96 hours after a Cesarean delivery.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Unless specified above, not covered under this benefit are charges:</w:t>
      </w:r>
    </w:p>
    <w:p>
      <w:pPr>
        <w:spacing w:after="0" w:line="213" w:lineRule="exact"/>
        <w:rPr>
          <w:sz w:val="20"/>
          <w:szCs w:val="20"/>
          <w:color w:val="auto"/>
        </w:rPr>
      </w:pPr>
    </w:p>
    <w:p>
      <w:pPr>
        <w:ind w:right="2300" w:firstLine="9"/>
        <w:spacing w:after="0" w:line="594" w:lineRule="auto"/>
        <w:tabs>
          <w:tab w:leader="none" w:pos="32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In connection with a pregnancy for which pregnancy related expenses are not included as a covered expense. See </w:t>
      </w:r>
      <w:r>
        <w:rPr>
          <w:rFonts w:ascii="Arial" w:cs="Arial" w:eastAsia="Arial" w:hAnsi="Arial"/>
          <w:sz w:val="16"/>
          <w:szCs w:val="16"/>
          <w:i w:val="1"/>
          <w:iCs w:val="1"/>
          <w:color w:val="auto"/>
        </w:rPr>
        <w:t>Pregnancy Related Expenses</w:t>
      </w:r>
      <w:r>
        <w:rPr>
          <w:rFonts w:ascii="Arial" w:cs="Arial" w:eastAsia="Arial" w:hAnsi="Arial"/>
          <w:sz w:val="16"/>
          <w:szCs w:val="16"/>
          <w:color w:val="auto"/>
        </w:rPr>
        <w:t xml:space="preserve"> for information about other </w:t>
      </w:r>
      <w:r>
        <w:rPr>
          <w:rFonts w:ascii="Arial" w:cs="Arial" w:eastAsia="Arial" w:hAnsi="Arial"/>
          <w:sz w:val="16"/>
          <w:szCs w:val="16"/>
          <w:b w:val="1"/>
          <w:bCs w:val="1"/>
          <w:color w:val="auto"/>
        </w:rPr>
        <w:t>covered expenses</w:t>
      </w:r>
      <w:r>
        <w:rPr>
          <w:rFonts w:ascii="Arial" w:cs="Arial" w:eastAsia="Arial" w:hAnsi="Arial"/>
          <w:sz w:val="16"/>
          <w:szCs w:val="16"/>
          <w:color w:val="auto"/>
        </w:rPr>
        <w:t xml:space="preserve"> related to maternity care.</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Home Health Care </w:t>
      </w:r>
      <w:r>
        <w:rPr>
          <w:rFonts w:ascii="Arial" w:cs="Arial" w:eastAsia="Arial" w:hAnsi="Arial"/>
          <w:sz w:val="14"/>
          <w:szCs w:val="14"/>
          <w:i w:val="1"/>
          <w:iCs w:val="1"/>
          <w:color w:val="auto"/>
        </w:rPr>
        <w:t>(GR-9N-11-050-01)</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home health care agency </w:t>
      </w:r>
      <w:r>
        <w:rPr>
          <w:rFonts w:ascii="Arial" w:cs="Arial" w:eastAsia="Arial" w:hAnsi="Arial"/>
          <w:sz w:val="20"/>
          <w:szCs w:val="20"/>
          <w:color w:val="auto"/>
        </w:rPr>
        <w:t>for home health care, and the care:</w:t>
      </w:r>
    </w:p>
    <w:p>
      <w:pPr>
        <w:spacing w:after="0" w:line="216" w:lineRule="exact"/>
        <w:rPr>
          <w:sz w:val="20"/>
          <w:szCs w:val="20"/>
          <w:color w:val="auto"/>
        </w:rPr>
      </w:pPr>
    </w:p>
    <w:p>
      <w:pPr>
        <w:ind w:left="340" w:hanging="331"/>
        <w:spacing w:after="0"/>
        <w:tabs>
          <w:tab w:leader="none" w:pos="3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Is given under a </w:t>
      </w:r>
      <w:r>
        <w:rPr>
          <w:rFonts w:ascii="Arial" w:cs="Arial" w:eastAsia="Arial" w:hAnsi="Arial"/>
          <w:sz w:val="20"/>
          <w:szCs w:val="20"/>
          <w:b w:val="1"/>
          <w:bCs w:val="1"/>
          <w:color w:val="auto"/>
        </w:rPr>
        <w:t>home health care plan</w:t>
      </w:r>
      <w:r>
        <w:rPr>
          <w:rFonts w:ascii="Arial" w:cs="Arial" w:eastAsia="Arial" w:hAnsi="Arial"/>
          <w:sz w:val="20"/>
          <w:szCs w:val="20"/>
          <w:color w:val="auto"/>
        </w:rPr>
        <w:t>;</w:t>
      </w:r>
    </w:p>
    <w:p>
      <w:pPr>
        <w:spacing w:after="0" w:line="21" w:lineRule="exact"/>
        <w:rPr>
          <w:rFonts w:ascii="Arial" w:cs="Arial" w:eastAsia="Arial" w:hAnsi="Arial"/>
          <w:sz w:val="20"/>
          <w:szCs w:val="20"/>
          <w:color w:val="auto"/>
        </w:rPr>
      </w:pPr>
    </w:p>
    <w:p>
      <w:pPr>
        <w:ind w:left="340" w:hanging="331"/>
        <w:spacing w:after="0"/>
        <w:tabs>
          <w:tab w:leader="none" w:pos="3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Is given to you in your home while you are </w:t>
      </w:r>
      <w:r>
        <w:rPr>
          <w:rFonts w:ascii="Arial" w:cs="Arial" w:eastAsia="Arial" w:hAnsi="Arial"/>
          <w:sz w:val="20"/>
          <w:szCs w:val="20"/>
          <w:b w:val="1"/>
          <w:bCs w:val="1"/>
          <w:color w:val="auto"/>
        </w:rPr>
        <w:t>homebound</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Home health care expenses include charges for:</w:t>
      </w:r>
    </w:p>
    <w:p>
      <w:pPr>
        <w:spacing w:after="0" w:line="210" w:lineRule="exact"/>
        <w:rPr>
          <w:sz w:val="20"/>
          <w:szCs w:val="20"/>
          <w:color w:val="auto"/>
        </w:rPr>
      </w:pPr>
    </w:p>
    <w:p>
      <w:pPr>
        <w:ind w:left="340" w:hanging="331"/>
        <w:spacing w:after="0"/>
        <w:tabs>
          <w:tab w:leader="none" w:pos="3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Part-time or intermittent care by an </w:t>
      </w:r>
      <w:r>
        <w:rPr>
          <w:rFonts w:ascii="Arial" w:cs="Arial" w:eastAsia="Arial" w:hAnsi="Arial"/>
          <w:sz w:val="20"/>
          <w:szCs w:val="20"/>
          <w:b w:val="1"/>
          <w:bCs w:val="1"/>
          <w:color w:val="auto"/>
        </w:rPr>
        <w:t>R.N.</w:t>
      </w:r>
      <w:r>
        <w:rPr>
          <w:rFonts w:ascii="Arial" w:cs="Arial" w:eastAsia="Arial" w:hAnsi="Arial"/>
          <w:sz w:val="20"/>
          <w:szCs w:val="20"/>
          <w:color w:val="auto"/>
        </w:rPr>
        <w:t xml:space="preserve"> or by an </w:t>
      </w:r>
      <w:r>
        <w:rPr>
          <w:rFonts w:ascii="Arial" w:cs="Arial" w:eastAsia="Arial" w:hAnsi="Arial"/>
          <w:sz w:val="20"/>
          <w:szCs w:val="20"/>
          <w:b w:val="1"/>
          <w:bCs w:val="1"/>
          <w:color w:val="auto"/>
        </w:rPr>
        <w:t>L.P.N.</w:t>
      </w:r>
      <w:r>
        <w:rPr>
          <w:rFonts w:ascii="Arial" w:cs="Arial" w:eastAsia="Arial" w:hAnsi="Arial"/>
          <w:sz w:val="20"/>
          <w:szCs w:val="20"/>
          <w:color w:val="auto"/>
        </w:rPr>
        <w:t xml:space="preserve"> if an </w:t>
      </w:r>
      <w:r>
        <w:rPr>
          <w:rFonts w:ascii="Arial" w:cs="Arial" w:eastAsia="Arial" w:hAnsi="Arial"/>
          <w:sz w:val="20"/>
          <w:szCs w:val="20"/>
          <w:b w:val="1"/>
          <w:bCs w:val="1"/>
          <w:color w:val="auto"/>
        </w:rPr>
        <w:t>R.N.</w:t>
      </w:r>
      <w:r>
        <w:rPr>
          <w:rFonts w:ascii="Arial" w:cs="Arial" w:eastAsia="Arial" w:hAnsi="Arial"/>
          <w:sz w:val="20"/>
          <w:szCs w:val="20"/>
          <w:color w:val="auto"/>
        </w:rPr>
        <w:t xml:space="preserve"> is not available.</w:t>
      </w:r>
    </w:p>
    <w:p>
      <w:pPr>
        <w:spacing w:after="0" w:line="21" w:lineRule="exact"/>
        <w:rPr>
          <w:rFonts w:ascii="Arial" w:cs="Arial" w:eastAsia="Arial" w:hAnsi="Arial"/>
          <w:sz w:val="20"/>
          <w:szCs w:val="20"/>
          <w:color w:val="auto"/>
        </w:rPr>
      </w:pPr>
    </w:p>
    <w:p>
      <w:pPr>
        <w:ind w:left="340" w:hanging="331"/>
        <w:spacing w:after="0"/>
        <w:tabs>
          <w:tab w:leader="none" w:pos="34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 xml:space="preserve">Part-time or intermittent home health aid services provided in conjunction with and in direct support of care by an </w:t>
      </w:r>
      <w:r>
        <w:rPr>
          <w:rFonts w:ascii="Arial" w:cs="Arial" w:eastAsia="Arial" w:hAnsi="Arial"/>
          <w:sz w:val="18"/>
          <w:szCs w:val="18"/>
          <w:b w:val="1"/>
          <w:bCs w:val="1"/>
          <w:color w:val="auto"/>
        </w:rPr>
        <w:t>R.N.</w:t>
      </w:r>
      <w:r>
        <w:rPr>
          <w:rFonts w:ascii="Arial" w:cs="Arial" w:eastAsia="Arial" w:hAnsi="Arial"/>
          <w:sz w:val="18"/>
          <w:szCs w:val="18"/>
          <w:color w:val="auto"/>
        </w:rPr>
        <w:t xml:space="preserve"> or an </w:t>
      </w:r>
      <w:r>
        <w:rPr>
          <w:rFonts w:ascii="Arial" w:cs="Arial" w:eastAsia="Arial" w:hAnsi="Arial"/>
          <w:sz w:val="18"/>
          <w:szCs w:val="18"/>
          <w:b w:val="1"/>
          <w:bCs w:val="1"/>
          <w:color w:val="auto"/>
        </w:rPr>
        <w:t>L.P.N.</w:t>
      </w:r>
    </w:p>
    <w:p>
      <w:pPr>
        <w:spacing w:after="0" w:line="27" w:lineRule="exact"/>
        <w:rPr>
          <w:rFonts w:ascii="Arial" w:cs="Arial" w:eastAsia="Arial" w:hAnsi="Arial"/>
          <w:sz w:val="18"/>
          <w:szCs w:val="18"/>
          <w:b w:val="1"/>
          <w:bCs w:val="1"/>
          <w:color w:val="auto"/>
        </w:rPr>
      </w:pPr>
    </w:p>
    <w:p>
      <w:pPr>
        <w:ind w:left="340" w:hanging="331"/>
        <w:spacing w:after="0"/>
        <w:tabs>
          <w:tab w:leader="none" w:pos="3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Physical, occupational, and speech therapy.</w:t>
      </w:r>
    </w:p>
    <w:p>
      <w:pPr>
        <w:spacing w:after="0" w:line="8" w:lineRule="exact"/>
        <w:rPr>
          <w:rFonts w:ascii="Arial" w:cs="Arial" w:eastAsia="Arial" w:hAnsi="Arial"/>
          <w:sz w:val="20"/>
          <w:szCs w:val="20"/>
          <w:color w:val="auto"/>
        </w:rPr>
      </w:pPr>
    </w:p>
    <w:p>
      <w:pPr>
        <w:ind w:left="340" w:hanging="331"/>
        <w:spacing w:after="0" w:line="239" w:lineRule="auto"/>
        <w:tabs>
          <w:tab w:leader="none" w:pos="340" w:val="left"/>
        </w:tabs>
        <w:numPr>
          <w:ilvl w:val="0"/>
          <w:numId w:val="221"/>
        </w:numPr>
        <w:rPr>
          <w:rFonts w:ascii="Arial" w:cs="Arial" w:eastAsia="Arial" w:hAnsi="Arial"/>
          <w:sz w:val="20"/>
          <w:szCs w:val="20"/>
          <w:b w:val="1"/>
          <w:bCs w:val="1"/>
          <w:color w:val="auto"/>
        </w:rPr>
      </w:pPr>
      <w:r>
        <w:rPr>
          <w:rFonts w:ascii="Arial" w:cs="Arial" w:eastAsia="Arial" w:hAnsi="Arial"/>
          <w:sz w:val="20"/>
          <w:szCs w:val="20"/>
          <w:color w:val="auto"/>
        </w:rPr>
        <w:t xml:space="preserve">Part-time or intermittent medical social services by a social worker when provided in conjunction with, and in direct support of care by an </w:t>
      </w:r>
      <w:r>
        <w:rPr>
          <w:rFonts w:ascii="Arial" w:cs="Arial" w:eastAsia="Arial" w:hAnsi="Arial"/>
          <w:sz w:val="20"/>
          <w:szCs w:val="20"/>
          <w:b w:val="1"/>
          <w:bCs w:val="1"/>
          <w:color w:val="auto"/>
        </w:rPr>
        <w:t xml:space="preserve">R.N. </w:t>
      </w:r>
      <w:r>
        <w:rPr>
          <w:rFonts w:ascii="Arial" w:cs="Arial" w:eastAsia="Arial" w:hAnsi="Arial"/>
          <w:sz w:val="20"/>
          <w:szCs w:val="20"/>
          <w:color w:val="auto"/>
        </w:rPr>
        <w:t>or an</w:t>
      </w:r>
      <w:r>
        <w:rPr>
          <w:rFonts w:ascii="Arial" w:cs="Arial" w:eastAsia="Arial" w:hAnsi="Arial"/>
          <w:sz w:val="20"/>
          <w:szCs w:val="20"/>
          <w:b w:val="1"/>
          <w:bCs w:val="1"/>
          <w:color w:val="auto"/>
        </w:rPr>
        <w:t xml:space="preserve"> L.P.N.</w:t>
      </w:r>
    </w:p>
    <w:p>
      <w:pPr>
        <w:spacing w:after="0" w:line="1" w:lineRule="exact"/>
        <w:rPr>
          <w:rFonts w:ascii="Arial" w:cs="Arial" w:eastAsia="Arial" w:hAnsi="Arial"/>
          <w:sz w:val="20"/>
          <w:szCs w:val="20"/>
          <w:b w:val="1"/>
          <w:bCs w:val="1"/>
          <w:color w:val="auto"/>
        </w:rPr>
      </w:pPr>
    </w:p>
    <w:p>
      <w:pPr>
        <w:ind w:left="340" w:right="120" w:hanging="331"/>
        <w:spacing w:after="0" w:line="244" w:lineRule="auto"/>
        <w:tabs>
          <w:tab w:leader="none" w:pos="3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Medical supplies,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and lab services by or for a </w:t>
      </w:r>
      <w:r>
        <w:rPr>
          <w:rFonts w:ascii="Arial" w:cs="Arial" w:eastAsia="Arial" w:hAnsi="Arial"/>
          <w:sz w:val="20"/>
          <w:szCs w:val="20"/>
          <w:b w:val="1"/>
          <w:bCs w:val="1"/>
          <w:color w:val="auto"/>
        </w:rPr>
        <w:t>home health care agency</w:t>
      </w:r>
      <w:r>
        <w:rPr>
          <w:rFonts w:ascii="Arial" w:cs="Arial" w:eastAsia="Arial" w:hAnsi="Arial"/>
          <w:sz w:val="20"/>
          <w:szCs w:val="20"/>
          <w:color w:val="auto"/>
        </w:rPr>
        <w:t xml:space="preserve"> to the extent they would have been covered under this plan if you had a </w:t>
      </w:r>
      <w:r>
        <w:rPr>
          <w:rFonts w:ascii="Arial" w:cs="Arial" w:eastAsia="Arial" w:hAnsi="Arial"/>
          <w:sz w:val="20"/>
          <w:szCs w:val="20"/>
          <w:b w:val="1"/>
          <w:bCs w:val="1"/>
          <w:color w:val="auto"/>
        </w:rPr>
        <w:t>hospital stay</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Benefits for home health care visits are payable up to the Home Health Care Maximum. Each visit by a nurse or therapist is one visit.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figuring the Calendar Year Maximum Visits, each visit of up to 4 hours is one visit. This maximum will not apply to care given by an </w:t>
      </w:r>
      <w:r>
        <w:rPr>
          <w:rFonts w:ascii="Arial" w:cs="Arial" w:eastAsia="Arial" w:hAnsi="Arial"/>
          <w:sz w:val="18"/>
          <w:szCs w:val="18"/>
          <w:b w:val="1"/>
          <w:bCs w:val="1"/>
          <w:color w:val="auto"/>
        </w:rPr>
        <w:t>R.N.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or </w:t>
      </w:r>
      <w:r>
        <w:rPr>
          <w:rFonts w:ascii="Arial" w:cs="Arial" w:eastAsia="Arial" w:hAnsi="Arial"/>
          <w:sz w:val="20"/>
          <w:szCs w:val="20"/>
          <w:b w:val="1"/>
          <w:bCs w:val="1"/>
          <w:color w:val="auto"/>
        </w:rPr>
        <w:t>L.P.N.</w:t>
      </w:r>
      <w:r>
        <w:rPr>
          <w:rFonts w:ascii="Arial" w:cs="Arial" w:eastAsia="Arial" w:hAnsi="Arial"/>
          <w:sz w:val="20"/>
          <w:szCs w:val="20"/>
          <w:color w:val="auto"/>
        </w:rPr>
        <w:t xml:space="preserve"> when:</w:t>
      </w:r>
    </w:p>
    <w:p>
      <w:pPr>
        <w:spacing w:after="0" w:line="121" w:lineRule="exact"/>
        <w:rPr>
          <w:sz w:val="20"/>
          <w:szCs w:val="20"/>
          <w:color w:val="auto"/>
        </w:rPr>
      </w:pPr>
    </w:p>
    <w:p>
      <w:pPr>
        <w:ind w:left="340" w:hanging="331"/>
        <w:spacing w:after="0"/>
        <w:tabs>
          <w:tab w:leader="none" w:pos="3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Care is provided within 10 days of discharge from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as a full-time inpatient; and</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Care is needed to transition from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to home care.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When the above criteria are met,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include up to 12 hours of continuous care by an </w:t>
      </w:r>
      <w:r>
        <w:rPr>
          <w:rFonts w:ascii="Arial" w:cs="Arial" w:eastAsia="Arial" w:hAnsi="Arial"/>
          <w:sz w:val="20"/>
          <w:szCs w:val="20"/>
          <w:b w:val="1"/>
          <w:bCs w:val="1"/>
          <w:color w:val="auto"/>
        </w:rPr>
        <w:t>R.N.</w:t>
      </w:r>
      <w:r>
        <w:rPr>
          <w:rFonts w:ascii="Arial" w:cs="Arial" w:eastAsia="Arial" w:hAnsi="Arial"/>
          <w:sz w:val="20"/>
          <w:szCs w:val="20"/>
          <w:color w:val="auto"/>
        </w:rPr>
        <w:t xml:space="preserve"> or </w:t>
      </w:r>
      <w:r>
        <w:rPr>
          <w:rFonts w:ascii="Arial" w:cs="Arial" w:eastAsia="Arial" w:hAnsi="Arial"/>
          <w:sz w:val="20"/>
          <w:szCs w:val="20"/>
          <w:b w:val="1"/>
          <w:bCs w:val="1"/>
          <w:color w:val="auto"/>
        </w:rPr>
        <w:t>L.P.N.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per day.</w:t>
      </w:r>
    </w:p>
    <w:p>
      <w:pPr>
        <w:sectPr>
          <w:pgSz w:w="11900" w:h="16838" w:orient="portrait"/>
          <w:cols w:equalWidth="0" w:num="1">
            <w:col w:w="11260"/>
          </w:cols>
          <w:pgMar w:left="320" w:top="436" w:right="319" w:bottom="1440" w:gutter="0" w:footer="0" w:header="0"/>
        </w:sectPr>
      </w:pPr>
    </w:p>
    <w:bookmarkStart w:id="204" w:name="page205"/>
    <w:bookmarkEnd w:id="204"/>
    <w:p>
      <w:pPr>
        <w:ind w:left="100" w:right="160"/>
        <w:spacing w:after="0" w:line="282" w:lineRule="auto"/>
        <w:rPr>
          <w:sz w:val="20"/>
          <w:szCs w:val="20"/>
          <w:color w:val="auto"/>
        </w:rPr>
      </w:pPr>
      <w:r>
        <w:rPr>
          <w:rFonts w:ascii="Arial" w:cs="Arial" w:eastAsia="Arial" w:hAnsi="Arial"/>
          <w:sz w:val="18"/>
          <w:szCs w:val="18"/>
          <w:color w:val="auto"/>
        </w:rPr>
        <w:t xml:space="preserve">Coverage for Home Health Care services is not determined by the availability of caregivers to perform them. The absence of a person to perform a non-skilled or </w:t>
      </w:r>
      <w:r>
        <w:rPr>
          <w:rFonts w:ascii="Arial" w:cs="Arial" w:eastAsia="Arial" w:hAnsi="Arial"/>
          <w:sz w:val="18"/>
          <w:szCs w:val="18"/>
          <w:b w:val="1"/>
          <w:bCs w:val="1"/>
          <w:color w:val="auto"/>
        </w:rPr>
        <w:t>custodial care</w:t>
      </w:r>
      <w:r>
        <w:rPr>
          <w:rFonts w:ascii="Arial" w:cs="Arial" w:eastAsia="Arial" w:hAnsi="Arial"/>
          <w:sz w:val="18"/>
          <w:szCs w:val="18"/>
          <w:color w:val="auto"/>
        </w:rPr>
        <w:t xml:space="preserve"> service does not cause the service to become covered. If the covered person is a minor or an adult who is dependent upon others for non-skilled care (e.g. bathing, eating, toileting), coverage for home health services will only be provided during times when there is a family member or caregiver present in the home to meet the person’s non-skilled needs.</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for:</w:t>
      </w:r>
    </w:p>
    <w:p>
      <w:pPr>
        <w:spacing w:after="0" w:line="237" w:lineRule="exact"/>
        <w:rPr>
          <w:sz w:val="20"/>
          <w:szCs w:val="20"/>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Services or supplies that are not a part of the </w:t>
      </w:r>
      <w:r>
        <w:rPr>
          <w:rFonts w:ascii="Arial" w:cs="Arial" w:eastAsia="Arial" w:hAnsi="Arial"/>
          <w:sz w:val="20"/>
          <w:szCs w:val="20"/>
          <w:b w:val="1"/>
          <w:bCs w:val="1"/>
          <w:color w:val="auto"/>
        </w:rPr>
        <w:t>Home Health Care Plan</w:t>
      </w:r>
      <w:r>
        <w:rPr>
          <w:rFonts w:ascii="Arial" w:cs="Arial" w:eastAsia="Arial" w:hAnsi="Arial"/>
          <w:sz w:val="20"/>
          <w:szCs w:val="20"/>
          <w:color w:val="auto"/>
        </w:rPr>
        <w:t>.</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Services of a person who usually lives with you, or who is a member of your or your spouse’s or your domestic partner's family.</w:t>
      </w:r>
    </w:p>
    <w:p>
      <w:pPr>
        <w:spacing w:after="0" w:line="15" w:lineRule="exact"/>
        <w:rPr>
          <w:rFonts w:ascii="Arial" w:cs="Arial" w:eastAsia="Arial" w:hAnsi="Arial"/>
          <w:sz w:val="19"/>
          <w:szCs w:val="19"/>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Services of a certified or licensed social worker.</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Services for Infusion 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Transportation.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Services or supplies provided to a minor or dependent adult when a family member or caregiver is not present.</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Services that are </w:t>
      </w:r>
      <w:r>
        <w:rPr>
          <w:rFonts w:ascii="Arial" w:cs="Arial" w:eastAsia="Arial" w:hAnsi="Arial"/>
          <w:sz w:val="20"/>
          <w:szCs w:val="20"/>
          <w:b w:val="1"/>
          <w:bCs w:val="1"/>
          <w:color w:val="auto"/>
        </w:rPr>
        <w:t>custodial care</w:t>
      </w: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Reminders</w:t>
      </w:r>
    </w:p>
    <w:p>
      <w:pPr>
        <w:spacing w:after="0" w:line="22"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 xml:space="preserve">The plan does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 </w:t>
      </w:r>
      <w:r>
        <w:rPr>
          <w:rFonts w:ascii="Arial" w:cs="Arial" w:eastAsia="Arial" w:hAnsi="Arial"/>
          <w:sz w:val="20"/>
          <w:szCs w:val="20"/>
          <w:b w:val="1"/>
          <w:bCs w:val="1"/>
          <w:color w:val="auto"/>
        </w:rPr>
        <w:t>custodial care</w:t>
      </w:r>
      <w:r>
        <w:rPr>
          <w:rFonts w:ascii="Arial" w:cs="Arial" w:eastAsia="Arial" w:hAnsi="Arial"/>
          <w:sz w:val="20"/>
          <w:szCs w:val="20"/>
          <w:color w:val="auto"/>
        </w:rPr>
        <w:t>, even if care is provided by a nursing professional, and family member or other caretakers cannot provide the necessary care.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home health care visit maximums.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Private Duty Nursing </w:t>
      </w:r>
      <w:r>
        <w:rPr>
          <w:rFonts w:ascii="Arial" w:cs="Arial" w:eastAsia="Arial" w:hAnsi="Arial"/>
          <w:sz w:val="14"/>
          <w:szCs w:val="14"/>
          <w:i w:val="1"/>
          <w:iCs w:val="1"/>
          <w:color w:val="auto"/>
        </w:rPr>
        <w:t>(GR-9N S-11-065-01)</w:t>
      </w:r>
    </w:p>
    <w:p>
      <w:pPr>
        <w:spacing w:after="0" w:line="50" w:lineRule="exact"/>
        <w:rPr>
          <w:sz w:val="20"/>
          <w:szCs w:val="20"/>
          <w:color w:val="auto"/>
        </w:rPr>
      </w:pPr>
    </w:p>
    <w:p>
      <w:pPr>
        <w:ind w:left="100"/>
        <w:spacing w:after="0" w:line="248"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private duty nursing provided by a</w:t>
      </w:r>
      <w:r>
        <w:rPr>
          <w:rFonts w:ascii="Arial" w:cs="Arial" w:eastAsia="Arial" w:hAnsi="Arial"/>
          <w:sz w:val="20"/>
          <w:szCs w:val="20"/>
          <w:b w:val="1"/>
          <w:bCs w:val="1"/>
          <w:color w:val="auto"/>
        </w:rPr>
        <w:t xml:space="preserve"> R.N. </w:t>
      </w:r>
      <w:r>
        <w:rPr>
          <w:rFonts w:ascii="Arial" w:cs="Arial" w:eastAsia="Arial" w:hAnsi="Arial"/>
          <w:sz w:val="20"/>
          <w:szCs w:val="20"/>
          <w:color w:val="auto"/>
        </w:rPr>
        <w:t>or</w:t>
      </w:r>
      <w:r>
        <w:rPr>
          <w:rFonts w:ascii="Arial" w:cs="Arial" w:eastAsia="Arial" w:hAnsi="Arial"/>
          <w:sz w:val="20"/>
          <w:szCs w:val="20"/>
          <w:b w:val="1"/>
          <w:bCs w:val="1"/>
          <w:color w:val="auto"/>
        </w:rPr>
        <w:t xml:space="preserve"> L.P.N. </w:t>
      </w:r>
      <w:r>
        <w:rPr>
          <w:rFonts w:ascii="Arial" w:cs="Arial" w:eastAsia="Arial" w:hAnsi="Arial"/>
          <w:sz w:val="20"/>
          <w:szCs w:val="20"/>
          <w:color w:val="auto"/>
        </w:rPr>
        <w:t>if the person's condition requires</w:t>
      </w:r>
      <w:r>
        <w:rPr>
          <w:rFonts w:ascii="Arial" w:cs="Arial" w:eastAsia="Arial" w:hAnsi="Arial"/>
          <w:sz w:val="20"/>
          <w:szCs w:val="20"/>
          <w:b w:val="1"/>
          <w:bCs w:val="1"/>
          <w:color w:val="auto"/>
        </w:rPr>
        <w:t xml:space="preserve"> skilled nursing </w:t>
      </w:r>
      <w:r>
        <w:rPr>
          <w:rFonts w:ascii="Arial" w:cs="Arial" w:eastAsia="Arial" w:hAnsi="Arial"/>
          <w:sz w:val="20"/>
          <w:szCs w:val="20"/>
          <w:color w:val="auto"/>
        </w:rPr>
        <w:t>care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visiting nursing care is not adequate. However,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will not include private duty nursing for any shifts during a Calendar Year in excess of the Private Duty Nursing Care Maximum Shifts. Each period of private duty nursing of up to 8 hours will be deemed to be one private duty nursing shift.</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plan also covers skilled observation for up to one four-hour period per day, for up to 10 consecutive days following:</w:t>
      </w:r>
    </w:p>
    <w:p>
      <w:pPr>
        <w:spacing w:after="0" w:line="216" w:lineRule="exact"/>
        <w:rPr>
          <w:sz w:val="20"/>
          <w:szCs w:val="20"/>
          <w:color w:val="auto"/>
        </w:rPr>
      </w:pPr>
    </w:p>
    <w:p>
      <w:pPr>
        <w:ind w:left="440" w:hanging="330"/>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A change in your medication;</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Treatment of an urgent or </w:t>
      </w:r>
      <w:r>
        <w:rPr>
          <w:rFonts w:ascii="Arial" w:cs="Arial" w:eastAsia="Arial" w:hAnsi="Arial"/>
          <w:sz w:val="20"/>
          <w:szCs w:val="20"/>
          <w:b w:val="1"/>
          <w:bCs w:val="1"/>
          <w:color w:val="auto"/>
        </w:rPr>
        <w:t>emergency medical condition</w:t>
      </w:r>
      <w:r>
        <w:rPr>
          <w:rFonts w:ascii="Arial" w:cs="Arial" w:eastAsia="Arial" w:hAnsi="Arial"/>
          <w:sz w:val="20"/>
          <w:szCs w:val="20"/>
          <w:color w:val="auto"/>
        </w:rPr>
        <w:t xml:space="preserve">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onset of symptoms indicating a need for emergency treatment;</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Surgery;</w:t>
      </w:r>
    </w:p>
    <w:p>
      <w:pPr>
        <w:ind w:left="440" w:hanging="330"/>
        <w:spacing w:after="0"/>
        <w:tabs>
          <w:tab w:leader="none" w:pos="4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An inpatient </w:t>
      </w:r>
      <w:r>
        <w:rPr>
          <w:rFonts w:ascii="Arial" w:cs="Arial" w:eastAsia="Arial" w:hAnsi="Arial"/>
          <w:sz w:val="20"/>
          <w:szCs w:val="20"/>
          <w:b w:val="1"/>
          <w:bCs w:val="1"/>
          <w:color w:val="auto"/>
        </w:rPr>
        <w:t>stay</w:t>
      </w:r>
      <w:r>
        <w:rPr>
          <w:rFonts w:ascii="Arial" w:cs="Arial" w:eastAsia="Arial" w:hAnsi="Arial"/>
          <w:sz w:val="20"/>
          <w:szCs w:val="20"/>
          <w:color w:val="auto"/>
        </w:rPr>
        <w:t>.</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for:</w:t>
      </w:r>
    </w:p>
    <w:p>
      <w:pPr>
        <w:spacing w:after="0" w:line="207" w:lineRule="exact"/>
        <w:rPr>
          <w:sz w:val="20"/>
          <w:szCs w:val="20"/>
          <w:color w:val="auto"/>
        </w:rPr>
      </w:pPr>
    </w:p>
    <w:p>
      <w:pPr>
        <w:ind w:left="440" w:hanging="330"/>
        <w:spacing w:after="0"/>
        <w:tabs>
          <w:tab w:leader="none" w:pos="440" w:val="left"/>
        </w:tabs>
        <w:numPr>
          <w:ilvl w:val="0"/>
          <w:numId w:val="225"/>
        </w:numPr>
        <w:rPr>
          <w:rFonts w:ascii="Arial" w:cs="Arial" w:eastAsia="Arial" w:hAnsi="Arial"/>
          <w:sz w:val="20"/>
          <w:szCs w:val="20"/>
          <w:b w:val="1"/>
          <w:bCs w:val="1"/>
          <w:color w:val="auto"/>
        </w:rPr>
      </w:pPr>
      <w:r>
        <w:rPr>
          <w:rFonts w:ascii="Arial" w:cs="Arial" w:eastAsia="Arial" w:hAnsi="Arial"/>
          <w:sz w:val="20"/>
          <w:szCs w:val="20"/>
          <w:color w:val="auto"/>
        </w:rPr>
        <w:t xml:space="preserve">Nursing care that does not require the education, training and technical skills of a </w:t>
      </w:r>
      <w:r>
        <w:rPr>
          <w:rFonts w:ascii="Arial" w:cs="Arial" w:eastAsia="Arial" w:hAnsi="Arial"/>
          <w:sz w:val="20"/>
          <w:szCs w:val="20"/>
          <w:b w:val="1"/>
          <w:bCs w:val="1"/>
          <w:color w:val="auto"/>
        </w:rPr>
        <w:t>R.N.</w:t>
      </w:r>
      <w:r>
        <w:rPr>
          <w:rFonts w:ascii="Arial" w:cs="Arial" w:eastAsia="Arial" w:hAnsi="Arial"/>
          <w:sz w:val="20"/>
          <w:szCs w:val="20"/>
          <w:color w:val="auto"/>
        </w:rPr>
        <w:t xml:space="preserve"> or </w:t>
      </w:r>
      <w:r>
        <w:rPr>
          <w:rFonts w:ascii="Arial" w:cs="Arial" w:eastAsia="Arial" w:hAnsi="Arial"/>
          <w:sz w:val="20"/>
          <w:szCs w:val="20"/>
          <w:b w:val="1"/>
          <w:bCs w:val="1"/>
          <w:color w:val="auto"/>
        </w:rPr>
        <w:t>L.P.N.</w:t>
      </w:r>
    </w:p>
    <w:p>
      <w:pPr>
        <w:spacing w:after="0" w:line="26" w:lineRule="exact"/>
        <w:rPr>
          <w:rFonts w:ascii="Arial" w:cs="Arial" w:eastAsia="Arial" w:hAnsi="Arial"/>
          <w:sz w:val="20"/>
          <w:szCs w:val="20"/>
          <w:b w:val="1"/>
          <w:bCs w:val="1"/>
          <w:color w:val="auto"/>
        </w:rPr>
      </w:pPr>
    </w:p>
    <w:p>
      <w:pPr>
        <w:ind w:left="440" w:hanging="330"/>
        <w:spacing w:after="0"/>
        <w:tabs>
          <w:tab w:leader="none" w:pos="4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Nursing care assistance for daily life activities, such as:</w:t>
      </w:r>
    </w:p>
    <w:p>
      <w:pPr>
        <w:spacing w:after="0" w:line="8"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Transportation;</w:t>
      </w: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Meal preparation;</w:t>
      </w:r>
    </w:p>
    <w:p>
      <w:pPr>
        <w:spacing w:after="0" w:line="1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Vital sign charting;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Companionship activities;</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Bathing;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Feeding;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Personal grooming;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Dressing;</w:t>
      </w:r>
    </w:p>
    <w:p>
      <w:pPr>
        <w:sectPr>
          <w:pgSz w:w="11900" w:h="16838" w:orient="portrait"/>
          <w:cols w:equalWidth="0" w:num="1">
            <w:col w:w="11240"/>
          </w:cols>
          <w:pgMar w:left="260" w:top="433" w:right="399" w:bottom="1440" w:gutter="0" w:footer="0" w:header="0"/>
        </w:sectPr>
      </w:pPr>
    </w:p>
    <w:bookmarkStart w:id="205" w:name="page206"/>
    <w:bookmarkEnd w:id="205"/>
    <w:p>
      <w:pPr>
        <w:ind w:left="760" w:hanging="326"/>
        <w:spacing w:after="0"/>
        <w:tabs>
          <w:tab w:leader="none" w:pos="76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Toileting; and</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Getting in/out of bed or a chair.</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Nursing care provided for skilled observation.</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Nursing care provided while you are an inpatient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health care facility.</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A service provided solely to administer oral medicine, except where law requires a </w:t>
      </w:r>
      <w:r>
        <w:rPr>
          <w:rFonts w:ascii="Arial" w:cs="Arial" w:eastAsia="Arial" w:hAnsi="Arial"/>
          <w:sz w:val="20"/>
          <w:szCs w:val="20"/>
          <w:b w:val="1"/>
          <w:bCs w:val="1"/>
          <w:color w:val="auto"/>
        </w:rPr>
        <w:t>R.N.</w:t>
      </w:r>
      <w:r>
        <w:rPr>
          <w:rFonts w:ascii="Arial" w:cs="Arial" w:eastAsia="Arial" w:hAnsi="Arial"/>
          <w:sz w:val="20"/>
          <w:szCs w:val="20"/>
          <w:color w:val="auto"/>
        </w:rPr>
        <w:t xml:space="preserve"> or </w:t>
      </w:r>
      <w:r>
        <w:rPr>
          <w:rFonts w:ascii="Arial" w:cs="Arial" w:eastAsia="Arial" w:hAnsi="Arial"/>
          <w:sz w:val="20"/>
          <w:szCs w:val="20"/>
          <w:b w:val="1"/>
          <w:bCs w:val="1"/>
          <w:color w:val="auto"/>
        </w:rPr>
        <w:t>L.P.N.</w:t>
      </w:r>
      <w:r>
        <w:rPr>
          <w:rFonts w:ascii="Arial" w:cs="Arial" w:eastAsia="Arial" w:hAnsi="Arial"/>
          <w:sz w:val="20"/>
          <w:szCs w:val="20"/>
          <w:color w:val="auto"/>
        </w:rPr>
        <w:t xml:space="preserve"> to administer medicines.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Skilled Nursing Facility </w:t>
      </w:r>
      <w:r>
        <w:rPr>
          <w:rFonts w:ascii="Arial" w:cs="Arial" w:eastAsia="Arial" w:hAnsi="Arial"/>
          <w:sz w:val="14"/>
          <w:szCs w:val="14"/>
          <w:i w:val="1"/>
          <w:iCs w:val="1"/>
          <w:color w:val="auto"/>
        </w:rPr>
        <w:t>(GR-9N-11-060-01)</w:t>
      </w:r>
    </w:p>
    <w:p>
      <w:pPr>
        <w:spacing w:after="0" w:line="50" w:lineRule="exact"/>
        <w:rPr>
          <w:sz w:val="20"/>
          <w:szCs w:val="20"/>
          <w:color w:val="auto"/>
        </w:rPr>
      </w:pPr>
    </w:p>
    <w:p>
      <w:pPr>
        <w:ind w:left="100" w:right="300"/>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skilled nursing facility </w:t>
      </w:r>
      <w:r>
        <w:rPr>
          <w:rFonts w:ascii="Arial" w:cs="Arial" w:eastAsia="Arial" w:hAnsi="Arial"/>
          <w:sz w:val="20"/>
          <w:szCs w:val="20"/>
          <w:color w:val="auto"/>
        </w:rPr>
        <w:t>during your</w:t>
      </w:r>
      <w:r>
        <w:rPr>
          <w:rFonts w:ascii="Arial" w:cs="Arial" w:eastAsia="Arial" w:hAnsi="Arial"/>
          <w:sz w:val="20"/>
          <w:szCs w:val="20"/>
          <w:b w:val="1"/>
          <w:bCs w:val="1"/>
          <w:color w:val="auto"/>
        </w:rPr>
        <w:t xml:space="preserve"> stay </w:t>
      </w:r>
      <w:r>
        <w:rPr>
          <w:rFonts w:ascii="Arial" w:cs="Arial" w:eastAsia="Arial" w:hAnsi="Arial"/>
          <w:sz w:val="20"/>
          <w:szCs w:val="20"/>
          <w:color w:val="auto"/>
        </w:rPr>
        <w:t>for the following services and supplies, up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maximums shown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including:</w:t>
      </w:r>
    </w:p>
    <w:p>
      <w:pPr>
        <w:spacing w:after="0" w:line="164" w:lineRule="exact"/>
        <w:rPr>
          <w:sz w:val="20"/>
          <w:szCs w:val="20"/>
          <w:color w:val="auto"/>
        </w:rPr>
      </w:pPr>
    </w:p>
    <w:p>
      <w:pPr>
        <w:ind w:left="440" w:right="80" w:hanging="330"/>
        <w:spacing w:after="0" w:line="253" w:lineRule="auto"/>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Room and board</w:t>
      </w:r>
      <w:r>
        <w:rPr>
          <w:rFonts w:ascii="Arial" w:cs="Arial" w:eastAsia="Arial" w:hAnsi="Arial"/>
          <w:sz w:val="20"/>
          <w:szCs w:val="20"/>
          <w:color w:val="auto"/>
        </w:rPr>
        <w:t>, up to the</w:t>
      </w:r>
      <w:r>
        <w:rPr>
          <w:rFonts w:ascii="Arial" w:cs="Arial" w:eastAsia="Arial" w:hAnsi="Arial"/>
          <w:sz w:val="20"/>
          <w:szCs w:val="20"/>
          <w:b w:val="1"/>
          <w:bCs w:val="1"/>
          <w:color w:val="auto"/>
        </w:rPr>
        <w:t xml:space="preserve"> semi-private room rate</w:t>
      </w:r>
      <w:r>
        <w:rPr>
          <w:rFonts w:ascii="Arial" w:cs="Arial" w:eastAsia="Arial" w:hAnsi="Arial"/>
          <w:sz w:val="20"/>
          <w:szCs w:val="20"/>
          <w:color w:val="auto"/>
        </w:rPr>
        <w:t>. The plan will cover up to the private room rate if it is needed due to an infectious</w:t>
      </w:r>
      <w:r>
        <w:rPr>
          <w:rFonts w:ascii="Arial" w:cs="Arial" w:eastAsia="Arial" w:hAnsi="Arial"/>
          <w:sz w:val="20"/>
          <w:szCs w:val="20"/>
          <w:b w:val="1"/>
          <w:bCs w:val="1"/>
          <w:color w:val="auto"/>
        </w:rPr>
        <w:t xml:space="preserve"> </w:t>
      </w:r>
      <w:r>
        <w:rPr>
          <w:rFonts w:ascii="Arial" w:cs="Arial" w:eastAsia="Arial" w:hAnsi="Arial"/>
          <w:sz w:val="20"/>
          <w:szCs w:val="20"/>
          <w:color w:val="auto"/>
        </w:rPr>
        <w:t>illness or a weak or compromised immune system;</w:t>
      </w:r>
    </w:p>
    <w:p>
      <w:pPr>
        <w:spacing w:after="0" w:line="1" w:lineRule="exact"/>
        <w:rPr>
          <w:rFonts w:ascii="Arial" w:cs="Arial" w:eastAsia="Arial" w:hAnsi="Arial"/>
          <w:sz w:val="20"/>
          <w:szCs w:val="20"/>
          <w:color w:val="auto"/>
        </w:rPr>
      </w:pPr>
    </w:p>
    <w:p>
      <w:pPr>
        <w:ind w:left="440" w:hanging="330"/>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Use of special treatment rooms;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Radiological services and lab work;</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Physical, occupational, or speech 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Oxygen and other gas therapy;</w:t>
      </w:r>
    </w:p>
    <w:p>
      <w:pPr>
        <w:spacing w:after="0" w:line="8" w:lineRule="exact"/>
        <w:rPr>
          <w:rFonts w:ascii="Arial" w:cs="Arial" w:eastAsia="Arial" w:hAnsi="Arial"/>
          <w:sz w:val="20"/>
          <w:szCs w:val="20"/>
          <w:color w:val="auto"/>
        </w:rPr>
      </w:pPr>
    </w:p>
    <w:p>
      <w:pPr>
        <w:ind w:left="440" w:right="140" w:hanging="330"/>
        <w:spacing w:after="0" w:line="242" w:lineRule="auto"/>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Other medical services and general nursing services usually given by a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(this does not include charges made for private or special nursing, or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services); and</w:t>
      </w:r>
    </w:p>
    <w:p>
      <w:pPr>
        <w:ind w:left="440" w:hanging="330"/>
        <w:spacing w:after="0"/>
        <w:tabs>
          <w:tab w:leader="none" w:pos="4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Medical supplies.</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 must meet the following conditions:</w:t>
      </w:r>
    </w:p>
    <w:p>
      <w:pPr>
        <w:spacing w:after="0" w:line="210" w:lineRule="exact"/>
        <w:rPr>
          <w:sz w:val="20"/>
          <w:szCs w:val="20"/>
          <w:color w:val="auto"/>
        </w:rPr>
      </w:pPr>
    </w:p>
    <w:p>
      <w:pPr>
        <w:ind w:left="440" w:hanging="330"/>
        <w:spacing w:after="0"/>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You are currently receiving inpatient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care, or inpatient subacute care; and</w:t>
      </w:r>
    </w:p>
    <w:p>
      <w:pPr>
        <w:spacing w:after="0" w:line="21" w:lineRule="exact"/>
        <w:rPr>
          <w:rFonts w:ascii="Arial" w:cs="Arial" w:eastAsia="Arial" w:hAnsi="Arial"/>
          <w:sz w:val="20"/>
          <w:szCs w:val="20"/>
          <w:color w:val="auto"/>
        </w:rPr>
      </w:pPr>
    </w:p>
    <w:p>
      <w:pPr>
        <w:ind w:left="440" w:right="140" w:hanging="330"/>
        <w:spacing w:after="0" w:line="239" w:lineRule="auto"/>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admission will take the place of an admission to, or continued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subacute facility; or it will take the place of three or more skilled nursing care visits per week at home; and</w:t>
      </w:r>
    </w:p>
    <w:p>
      <w:pPr>
        <w:spacing w:after="0" w:line="1" w:lineRule="exact"/>
        <w:rPr>
          <w:rFonts w:ascii="Arial" w:cs="Arial" w:eastAsia="Arial" w:hAnsi="Arial"/>
          <w:sz w:val="20"/>
          <w:szCs w:val="20"/>
          <w:color w:val="auto"/>
        </w:rPr>
      </w:pPr>
    </w:p>
    <w:p>
      <w:pPr>
        <w:ind w:left="440" w:right="360" w:hanging="330"/>
        <w:spacing w:after="0" w:line="242" w:lineRule="auto"/>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There is a reasonable expectation that your condition will improve sufficiently to permit discharge to your home within a reasonable amount of time; and</w:t>
      </w:r>
    </w:p>
    <w:p>
      <w:pPr>
        <w:ind w:left="440" w:hanging="330"/>
        <w:spacing w:after="0"/>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is severe enough to require constant or frequent skilled nursing care on a 24-hour basis;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Your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skilled nursing facility</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760" w:hanging="326"/>
        <w:spacing w:after="0"/>
        <w:tabs>
          <w:tab w:leader="none" w:pos="76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 xml:space="preserve">follows a </w:t>
      </w:r>
      <w:r>
        <w:rPr>
          <w:rFonts w:ascii="Arial" w:cs="Arial" w:eastAsia="Arial" w:hAnsi="Arial"/>
          <w:sz w:val="20"/>
          <w:szCs w:val="20"/>
          <w:b w:val="1"/>
          <w:bCs w:val="1"/>
          <w:color w:val="auto"/>
        </w:rPr>
        <w:t>hospital stay</w:t>
      </w:r>
      <w:r>
        <w:rPr>
          <w:rFonts w:ascii="Arial" w:cs="Arial" w:eastAsia="Arial" w:hAnsi="Arial"/>
          <w:sz w:val="20"/>
          <w:szCs w:val="20"/>
          <w:color w:val="auto"/>
        </w:rPr>
        <w:t xml:space="preserve"> of at least three days in a row; and</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 xml:space="preserve">begins within 14 days after your discharge from the </w:t>
      </w:r>
      <w:r>
        <w:rPr>
          <w:rFonts w:ascii="Arial" w:cs="Arial" w:eastAsia="Arial" w:hAnsi="Arial"/>
          <w:sz w:val="20"/>
          <w:szCs w:val="20"/>
          <w:b w:val="1"/>
          <w:bCs w:val="1"/>
          <w:color w:val="auto"/>
        </w:rPr>
        <w:t>hospital</w:t>
      </w:r>
      <w:r>
        <w:rPr>
          <w:rFonts w:ascii="Arial" w:cs="Arial" w:eastAsia="Arial" w:hAnsi="Arial"/>
          <w:sz w:val="20"/>
          <w:szCs w:val="20"/>
          <w:color w:val="auto"/>
        </w:rPr>
        <w:t>; and</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 xml:space="preserve">is necessary to recover from the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that caused the </w:t>
      </w:r>
      <w:r>
        <w:rPr>
          <w:rFonts w:ascii="Arial" w:cs="Arial" w:eastAsia="Arial" w:hAnsi="Arial"/>
          <w:sz w:val="20"/>
          <w:szCs w:val="20"/>
          <w:b w:val="1"/>
          <w:bCs w:val="1"/>
          <w:color w:val="auto"/>
        </w:rPr>
        <w:t>hospital stay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maximums.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for:</w:t>
      </w:r>
    </w:p>
    <w:p>
      <w:pPr>
        <w:spacing w:after="0" w:line="229" w:lineRule="exact"/>
        <w:rPr>
          <w:sz w:val="20"/>
          <w:szCs w:val="20"/>
          <w:color w:val="auto"/>
        </w:rPr>
      </w:pPr>
    </w:p>
    <w:p>
      <w:pPr>
        <w:ind w:left="440" w:hanging="330"/>
        <w:spacing w:after="0"/>
        <w:tabs>
          <w:tab w:leader="none" w:pos="4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Charges made for the treatment of:</w:t>
      </w:r>
    </w:p>
    <w:p>
      <w:pPr>
        <w:spacing w:after="0" w:line="26" w:lineRule="exact"/>
        <w:rPr>
          <w:rFonts w:ascii="Arial" w:cs="Arial" w:eastAsia="Arial" w:hAnsi="Arial"/>
          <w:sz w:val="20"/>
          <w:szCs w:val="20"/>
          <w:color w:val="auto"/>
        </w:rPr>
      </w:pPr>
    </w:p>
    <w:p>
      <w:pPr>
        <w:ind w:left="760" w:hanging="326"/>
        <w:spacing w:after="0"/>
        <w:tabs>
          <w:tab w:leader="none" w:pos="76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Drug addiction;</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Alcoholism;</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Senility;</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Mental retardation; or</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Any other mental illness; and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Daily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charges over the </w:t>
      </w:r>
      <w:r>
        <w:rPr>
          <w:rFonts w:ascii="Arial" w:cs="Arial" w:eastAsia="Arial" w:hAnsi="Arial"/>
          <w:sz w:val="20"/>
          <w:szCs w:val="20"/>
          <w:b w:val="1"/>
          <w:bCs w:val="1"/>
          <w:color w:val="auto"/>
        </w:rPr>
        <w:t>semi private rate</w:t>
      </w:r>
      <w:r>
        <w:rPr>
          <w:rFonts w:ascii="Arial" w:cs="Arial" w:eastAsia="Arial" w:hAnsi="Arial"/>
          <w:sz w:val="20"/>
          <w:szCs w:val="20"/>
          <w:color w:val="auto"/>
        </w:rPr>
        <w:t>.</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Hospice Care </w:t>
      </w:r>
      <w:r>
        <w:rPr>
          <w:rFonts w:ascii="Arial" w:cs="Arial" w:eastAsia="Arial" w:hAnsi="Arial"/>
          <w:sz w:val="14"/>
          <w:szCs w:val="14"/>
          <w:i w:val="1"/>
          <w:iCs w:val="1"/>
          <w:color w:val="auto"/>
        </w:rPr>
        <w:t>(GR-9N S-11-070-01 VA)</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Covered expenses </w:t>
      </w:r>
      <w:r>
        <w:rPr>
          <w:rFonts w:ascii="Arial" w:cs="Arial" w:eastAsia="Arial" w:hAnsi="Arial"/>
          <w:sz w:val="16"/>
          <w:szCs w:val="16"/>
          <w:color w:val="auto"/>
        </w:rPr>
        <w:t>include charges made by the following furnished to you for</w:t>
      </w:r>
      <w:r>
        <w:rPr>
          <w:rFonts w:ascii="Arial" w:cs="Arial" w:eastAsia="Arial" w:hAnsi="Arial"/>
          <w:sz w:val="16"/>
          <w:szCs w:val="16"/>
          <w:b w:val="1"/>
          <w:bCs w:val="1"/>
          <w:color w:val="auto"/>
        </w:rPr>
        <w:t xml:space="preserve"> hospice care </w:t>
      </w:r>
      <w:r>
        <w:rPr>
          <w:rFonts w:ascii="Arial" w:cs="Arial" w:eastAsia="Arial" w:hAnsi="Arial"/>
          <w:sz w:val="16"/>
          <w:szCs w:val="16"/>
          <w:color w:val="auto"/>
        </w:rPr>
        <w:t>when given as part of a</w:t>
      </w:r>
      <w:r>
        <w:rPr>
          <w:rFonts w:ascii="Arial" w:cs="Arial" w:eastAsia="Arial" w:hAnsi="Arial"/>
          <w:sz w:val="16"/>
          <w:szCs w:val="16"/>
          <w:b w:val="1"/>
          <w:bCs w:val="1"/>
          <w:color w:val="auto"/>
        </w:rPr>
        <w:t xml:space="preserve"> hospice care program</w:t>
      </w:r>
      <w:r>
        <w:rPr>
          <w:rFonts w:ascii="Arial" w:cs="Arial" w:eastAsia="Arial" w:hAnsi="Arial"/>
          <w:sz w:val="16"/>
          <w:szCs w:val="16"/>
          <w:color w:val="auto"/>
        </w:rPr>
        <w:t>.</w:t>
      </w:r>
    </w:p>
    <w:p>
      <w:pPr>
        <w:sectPr>
          <w:pgSz w:w="11900" w:h="16838" w:orient="portrait"/>
          <w:cols w:equalWidth="0" w:num="1">
            <w:col w:w="11260"/>
          </w:cols>
          <w:pgMar w:left="260" w:top="460" w:right="379" w:bottom="1440" w:gutter="0" w:footer="0" w:header="0"/>
        </w:sectPr>
      </w:pPr>
    </w:p>
    <w:bookmarkStart w:id="206" w:name="page207"/>
    <w:bookmarkEnd w:id="206"/>
    <w:p>
      <w:pPr>
        <w:ind w:left="100"/>
        <w:spacing w:after="0"/>
        <w:rPr>
          <w:sz w:val="20"/>
          <w:szCs w:val="20"/>
          <w:color w:val="auto"/>
        </w:rPr>
      </w:pPr>
      <w:r>
        <w:rPr>
          <w:rFonts w:ascii="Arial" w:cs="Arial" w:eastAsia="Arial" w:hAnsi="Arial"/>
          <w:sz w:val="22"/>
          <w:szCs w:val="22"/>
          <w:b w:val="1"/>
          <w:bCs w:val="1"/>
          <w:color w:val="auto"/>
        </w:rPr>
        <w:t>Facility Expenses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The charges made by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hospice</w:t>
      </w:r>
      <w:r>
        <w:rPr>
          <w:rFonts w:ascii="Arial" w:cs="Arial" w:eastAsia="Arial" w:hAnsi="Arial"/>
          <w:sz w:val="20"/>
          <w:szCs w:val="20"/>
          <w:color w:val="auto"/>
        </w:rPr>
        <w:t xml:space="preserve"> or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for:</w:t>
      </w:r>
    </w:p>
    <w:p>
      <w:pPr>
        <w:spacing w:after="0" w:line="194" w:lineRule="exact"/>
        <w:rPr>
          <w:sz w:val="20"/>
          <w:szCs w:val="20"/>
          <w:color w:val="auto"/>
        </w:rPr>
      </w:pPr>
    </w:p>
    <w:p>
      <w:pPr>
        <w:ind w:left="440" w:right="780" w:hanging="330"/>
        <w:spacing w:after="0" w:line="253" w:lineRule="auto"/>
        <w:tabs>
          <w:tab w:leader="none" w:pos="440" w:val="left"/>
        </w:tabs>
        <w:numPr>
          <w:ilvl w:val="0"/>
          <w:numId w:val="230"/>
        </w:numPr>
        <w:rPr>
          <w:rFonts w:ascii="Arial" w:cs="Arial" w:eastAsia="Arial" w:hAnsi="Arial"/>
          <w:sz w:val="20"/>
          <w:szCs w:val="20"/>
          <w:color w:val="auto"/>
        </w:rPr>
      </w:pPr>
      <w:r>
        <w:rPr>
          <w:rFonts w:ascii="Arial" w:cs="Arial" w:eastAsia="Arial" w:hAnsi="Arial"/>
          <w:sz w:val="20"/>
          <w:szCs w:val="20"/>
          <w:b w:val="1"/>
          <w:bCs w:val="1"/>
          <w:color w:val="auto"/>
        </w:rPr>
        <w:t xml:space="preserve">Room and Board </w:t>
      </w:r>
      <w:r>
        <w:rPr>
          <w:rFonts w:ascii="Arial" w:cs="Arial" w:eastAsia="Arial" w:hAnsi="Arial"/>
          <w:sz w:val="20"/>
          <w:szCs w:val="20"/>
          <w:color w:val="auto"/>
        </w:rPr>
        <w:t>and other services and supplies furnished during a</w:t>
      </w:r>
      <w:r>
        <w:rPr>
          <w:rFonts w:ascii="Arial" w:cs="Arial" w:eastAsia="Arial" w:hAnsi="Arial"/>
          <w:sz w:val="20"/>
          <w:szCs w:val="20"/>
          <w:b w:val="1"/>
          <w:bCs w:val="1"/>
          <w:color w:val="auto"/>
        </w:rPr>
        <w:t xml:space="preserve"> stay </w:t>
      </w:r>
      <w:r>
        <w:rPr>
          <w:rFonts w:ascii="Arial" w:cs="Arial" w:eastAsia="Arial" w:hAnsi="Arial"/>
          <w:sz w:val="20"/>
          <w:szCs w:val="20"/>
          <w:color w:val="auto"/>
        </w:rPr>
        <w:t>for pain control and other acute and chronic symptom</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and</w:t>
      </w:r>
    </w:p>
    <w:p>
      <w:pPr>
        <w:spacing w:after="0" w:line="1" w:lineRule="exact"/>
        <w:rPr>
          <w:rFonts w:ascii="Arial" w:cs="Arial" w:eastAsia="Arial" w:hAnsi="Arial"/>
          <w:sz w:val="20"/>
          <w:szCs w:val="20"/>
          <w:color w:val="auto"/>
        </w:rPr>
      </w:pPr>
    </w:p>
    <w:p>
      <w:pPr>
        <w:ind w:left="440" w:hanging="330"/>
        <w:spacing w:after="0"/>
        <w:tabs>
          <w:tab w:leader="none" w:pos="44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Services and supplies furnished to you on an outpatient basis.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Outpatient Hospice Expenses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on an outpatient basis by a</w:t>
      </w:r>
      <w:r>
        <w:rPr>
          <w:rFonts w:ascii="Arial" w:cs="Arial" w:eastAsia="Arial" w:hAnsi="Arial"/>
          <w:sz w:val="20"/>
          <w:szCs w:val="20"/>
          <w:b w:val="1"/>
          <w:bCs w:val="1"/>
          <w:color w:val="auto"/>
        </w:rPr>
        <w:t xml:space="preserve"> Hospice Care Agency </w:t>
      </w:r>
      <w:r>
        <w:rPr>
          <w:rFonts w:ascii="Arial" w:cs="Arial" w:eastAsia="Arial" w:hAnsi="Arial"/>
          <w:sz w:val="20"/>
          <w:szCs w:val="20"/>
          <w:color w:val="auto"/>
        </w:rPr>
        <w:t>for:</w:t>
      </w:r>
    </w:p>
    <w:p>
      <w:pPr>
        <w:spacing w:after="0" w:line="207" w:lineRule="exact"/>
        <w:rPr>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Part-time or intermittent nursing care by a </w:t>
      </w:r>
      <w:r>
        <w:rPr>
          <w:rFonts w:ascii="Arial" w:cs="Arial" w:eastAsia="Arial" w:hAnsi="Arial"/>
          <w:sz w:val="20"/>
          <w:szCs w:val="20"/>
          <w:b w:val="1"/>
          <w:bCs w:val="1"/>
          <w:color w:val="auto"/>
        </w:rPr>
        <w:t>R.N.</w:t>
      </w:r>
      <w:r>
        <w:rPr>
          <w:rFonts w:ascii="Arial" w:cs="Arial" w:eastAsia="Arial" w:hAnsi="Arial"/>
          <w:sz w:val="20"/>
          <w:szCs w:val="20"/>
          <w:color w:val="auto"/>
        </w:rPr>
        <w:t xml:space="preserve"> or </w:t>
      </w:r>
      <w:r>
        <w:rPr>
          <w:rFonts w:ascii="Arial" w:cs="Arial" w:eastAsia="Arial" w:hAnsi="Arial"/>
          <w:sz w:val="20"/>
          <w:szCs w:val="20"/>
          <w:b w:val="1"/>
          <w:bCs w:val="1"/>
          <w:color w:val="auto"/>
        </w:rPr>
        <w:t>L.P.N.</w:t>
      </w:r>
      <w:r>
        <w:rPr>
          <w:rFonts w:ascii="Arial" w:cs="Arial" w:eastAsia="Arial" w:hAnsi="Arial"/>
          <w:sz w:val="20"/>
          <w:szCs w:val="20"/>
          <w:color w:val="auto"/>
        </w:rPr>
        <w:t xml:space="preserve"> for up to eight hours a day;</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Part-time or intermittent home health aide services to care for you up to eight hours a day.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Medical social services under the direction of a </w:t>
      </w:r>
      <w:r>
        <w:rPr>
          <w:rFonts w:ascii="Arial" w:cs="Arial" w:eastAsia="Arial" w:hAnsi="Arial"/>
          <w:sz w:val="20"/>
          <w:szCs w:val="20"/>
          <w:b w:val="1"/>
          <w:bCs w:val="1"/>
          <w:color w:val="auto"/>
        </w:rPr>
        <w:t>physician</w:t>
      </w:r>
      <w:r>
        <w:rPr>
          <w:rFonts w:ascii="Arial" w:cs="Arial" w:eastAsia="Arial" w:hAnsi="Arial"/>
          <w:sz w:val="20"/>
          <w:szCs w:val="20"/>
          <w:color w:val="auto"/>
        </w:rPr>
        <w:t>. These include but are not limited to:</w:t>
      </w:r>
    </w:p>
    <w:p>
      <w:pPr>
        <w:spacing w:after="0" w:line="19" w:lineRule="exact"/>
        <w:rPr>
          <w:rFonts w:ascii="Arial" w:cs="Arial" w:eastAsia="Arial" w:hAnsi="Arial"/>
          <w:sz w:val="20"/>
          <w:szCs w:val="20"/>
          <w:color w:val="auto"/>
        </w:rPr>
      </w:pPr>
    </w:p>
    <w:p>
      <w:pPr>
        <w:ind w:left="760" w:hanging="326"/>
        <w:spacing w:after="0"/>
        <w:tabs>
          <w:tab w:leader="none" w:pos="76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Assessment of your social, emotional and medical needs, and your home and family situation;</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Identification of available community resources; and</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Assistance provided to you to obtain resources to meet your assessed needs.</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Physical and occupational therapy; and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Consultation or case management services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Medical supplies;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Prescription drugs;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Dietary counseling;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Psychological counseling.</w:t>
      </w:r>
    </w:p>
    <w:p>
      <w:pPr>
        <w:spacing w:after="0" w:line="207" w:lineRule="exact"/>
        <w:rPr>
          <w:sz w:val="20"/>
          <w:szCs w:val="20"/>
          <w:color w:val="auto"/>
        </w:rPr>
      </w:pPr>
    </w:p>
    <w:p>
      <w:pPr>
        <w:ind w:left="100"/>
        <w:spacing w:after="0" w:line="267" w:lineRule="auto"/>
        <w:rPr>
          <w:sz w:val="20"/>
          <w:szCs w:val="20"/>
          <w:color w:val="auto"/>
        </w:rPr>
      </w:pPr>
      <w:r>
        <w:rPr>
          <w:rFonts w:ascii="Arial" w:cs="Arial" w:eastAsia="Arial" w:hAnsi="Arial"/>
          <w:sz w:val="20"/>
          <w:szCs w:val="20"/>
          <w:color w:val="auto"/>
        </w:rPr>
        <w:t xml:space="preserve">Charges made by the providers below if they are not an employee of a </w:t>
      </w:r>
      <w:r>
        <w:rPr>
          <w:rFonts w:ascii="Arial" w:cs="Arial" w:eastAsia="Arial" w:hAnsi="Arial"/>
          <w:sz w:val="20"/>
          <w:szCs w:val="20"/>
          <w:b w:val="1"/>
          <w:bCs w:val="1"/>
          <w:color w:val="auto"/>
        </w:rPr>
        <w:t>Hospice Care Agency</w:t>
      </w:r>
      <w:r>
        <w:rPr>
          <w:rFonts w:ascii="Arial" w:cs="Arial" w:eastAsia="Arial" w:hAnsi="Arial"/>
          <w:sz w:val="20"/>
          <w:szCs w:val="20"/>
          <w:color w:val="auto"/>
        </w:rPr>
        <w:t>; and such Agency retains responsibility for your care:</w:t>
      </w:r>
    </w:p>
    <w:p>
      <w:pPr>
        <w:spacing w:after="0" w:line="177" w:lineRule="exact"/>
        <w:rPr>
          <w:sz w:val="20"/>
          <w:szCs w:val="20"/>
          <w:color w:val="auto"/>
        </w:rPr>
      </w:pPr>
    </w:p>
    <w:p>
      <w:pPr>
        <w:ind w:left="440" w:hanging="330"/>
        <w:spacing w:after="0"/>
        <w:tabs>
          <w:tab w:leader="none" w:pos="4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for a consultation or case management;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 physical or occupational therapist;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home health care agency</w:t>
      </w:r>
      <w:r>
        <w:rPr>
          <w:rFonts w:ascii="Arial" w:cs="Arial" w:eastAsia="Arial" w:hAnsi="Arial"/>
          <w:sz w:val="20"/>
          <w:szCs w:val="20"/>
          <w:color w:val="auto"/>
        </w:rPr>
        <w:t xml:space="preserve"> for:</w:t>
      </w:r>
    </w:p>
    <w:p>
      <w:pPr>
        <w:spacing w:after="0" w:line="19"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Physical and occupational therapy;</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Part time or intermittent home health aide services for your care up to eight hours a day;</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Medical supplies;</w:t>
      </w:r>
    </w:p>
    <w:p>
      <w:pPr>
        <w:spacing w:after="0" w:line="34"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b w:val="1"/>
          <w:bCs w:val="1"/>
          <w:color w:val="auto"/>
        </w:rPr>
        <w:t>Prescription drugs</w:t>
      </w:r>
      <w:r>
        <w:rPr>
          <w:rFonts w:ascii="Arial" w:cs="Arial" w:eastAsia="Arial" w:hAnsi="Arial"/>
          <w:sz w:val="20"/>
          <w:szCs w:val="20"/>
          <w:color w:val="auto"/>
        </w:rPr>
        <w:t>;</w:t>
      </w:r>
    </w:p>
    <w:p>
      <w:pPr>
        <w:spacing w:after="0" w:line="46"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Psychological counseling; and</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Dietary counseling.</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for:</w:t>
      </w:r>
    </w:p>
    <w:p>
      <w:pPr>
        <w:spacing w:after="0" w:line="194" w:lineRule="exact"/>
        <w:rPr>
          <w:sz w:val="20"/>
          <w:szCs w:val="20"/>
          <w:color w:val="auto"/>
        </w:rPr>
      </w:pPr>
    </w:p>
    <w:p>
      <w:pPr>
        <w:ind w:left="440" w:hanging="330"/>
        <w:spacing w:after="0"/>
        <w:tabs>
          <w:tab w:leader="none" w:pos="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Daily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charges over the </w:t>
      </w:r>
      <w:r>
        <w:rPr>
          <w:rFonts w:ascii="Arial" w:cs="Arial" w:eastAsia="Arial" w:hAnsi="Arial"/>
          <w:sz w:val="20"/>
          <w:szCs w:val="20"/>
          <w:b w:val="1"/>
          <w:bCs w:val="1"/>
          <w:color w:val="auto"/>
        </w:rPr>
        <w:t>semi-private room rate</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Funeral arrangements.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Pastoral counseling.</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Financial or legal counseling. This includes estate planning and the drafting of a will.</w:t>
      </w:r>
    </w:p>
    <w:p>
      <w:pPr>
        <w:spacing w:after="0" w:line="8" w:lineRule="exact"/>
        <w:rPr>
          <w:rFonts w:ascii="Arial" w:cs="Arial" w:eastAsia="Arial" w:hAnsi="Arial"/>
          <w:sz w:val="20"/>
          <w:szCs w:val="20"/>
          <w:color w:val="auto"/>
        </w:rPr>
      </w:pPr>
    </w:p>
    <w:p>
      <w:pPr>
        <w:ind w:left="440" w:right="40" w:hanging="330"/>
        <w:spacing w:after="0" w:line="244" w:lineRule="auto"/>
        <w:tabs>
          <w:tab w:leader="none" w:pos="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Homemaker or caretaker services. These are services which are not solely related to your care. These include, but are not limited to: sitter or companion services for either you or other family members; transportation; maintenance of the house.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maximums.</w:t>
      </w:r>
    </w:p>
    <w:p>
      <w:pPr>
        <w:sectPr>
          <w:pgSz w:w="11900" w:h="16838" w:orient="portrait"/>
          <w:cols w:equalWidth="0" w:num="1">
            <w:col w:w="11380"/>
          </w:cols>
          <w:pgMar w:left="260" w:top="436" w:right="259" w:bottom="1440" w:gutter="0" w:footer="0" w:header="0"/>
        </w:sectPr>
      </w:pPr>
    </w:p>
    <w:bookmarkStart w:id="207" w:name="page208"/>
    <w:bookmarkEnd w:id="207"/>
    <w:p>
      <w:pPr>
        <w:ind w:left="100"/>
        <w:spacing w:after="0"/>
        <w:rPr>
          <w:sz w:val="20"/>
          <w:szCs w:val="20"/>
          <w:color w:val="auto"/>
        </w:rPr>
      </w:pPr>
      <w:r>
        <w:rPr>
          <w:rFonts w:ascii="Arial" w:cs="Arial" w:eastAsia="Arial" w:hAnsi="Arial"/>
          <w:sz w:val="32"/>
          <w:szCs w:val="32"/>
          <w:b w:val="1"/>
          <w:bCs w:val="1"/>
          <w:color w:val="auto"/>
        </w:rPr>
        <w:t xml:space="preserve">Other Covered Health Care Expenses </w:t>
      </w:r>
      <w:r>
        <w:rPr>
          <w:rFonts w:ascii="Arial" w:cs="Arial" w:eastAsia="Arial" w:hAnsi="Arial"/>
          <w:sz w:val="14"/>
          <w:szCs w:val="14"/>
          <w:i w:val="1"/>
          <w:iCs w:val="1"/>
          <w:color w:val="auto"/>
        </w:rPr>
        <w:t>(GR-9N-11-080-01)</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Acupuncture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The plan covers charges made for acupuncture services provided by a </w:t>
      </w:r>
      <w:r>
        <w:rPr>
          <w:rFonts w:ascii="Arial" w:cs="Arial" w:eastAsia="Arial" w:hAnsi="Arial"/>
          <w:sz w:val="20"/>
          <w:szCs w:val="20"/>
          <w:b w:val="1"/>
          <w:bCs w:val="1"/>
          <w:color w:val="auto"/>
        </w:rPr>
        <w:t>physician</w:t>
      </w:r>
      <w:r>
        <w:rPr>
          <w:rFonts w:ascii="Arial" w:cs="Arial" w:eastAsia="Arial" w:hAnsi="Arial"/>
          <w:sz w:val="20"/>
          <w:szCs w:val="20"/>
          <w:color w:val="auto"/>
        </w:rPr>
        <w:t>, if the service is performed:</w:t>
      </w:r>
    </w:p>
    <w:p>
      <w:pPr>
        <w:spacing w:after="0" w:line="200" w:lineRule="exact"/>
        <w:rPr>
          <w:sz w:val="20"/>
          <w:szCs w:val="20"/>
          <w:color w:val="auto"/>
        </w:rPr>
      </w:pPr>
    </w:p>
    <w:p>
      <w:pPr>
        <w:ind w:left="440" w:hanging="330"/>
        <w:spacing w:after="0"/>
        <w:tabs>
          <w:tab w:leader="none" w:pos="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As a form of anesthesia in connection with a covered surgical procedure; and</w:t>
      </w:r>
    </w:p>
    <w:p>
      <w:pPr>
        <w:spacing w:after="0" w:line="15" w:lineRule="exact"/>
        <w:rPr>
          <w:rFonts w:ascii="Arial" w:cs="Arial" w:eastAsia="Arial" w:hAnsi="Arial"/>
          <w:sz w:val="20"/>
          <w:szCs w:val="20"/>
          <w:color w:val="auto"/>
        </w:rPr>
      </w:pPr>
    </w:p>
    <w:p>
      <w:pPr>
        <w:ind w:left="440" w:hanging="330"/>
        <w:spacing w:after="0"/>
        <w:tabs>
          <w:tab w:leader="none" w:pos="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To treat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to alleviate chronic pain.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acupuncture benefit maximum.</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Ambulance Service </w:t>
      </w:r>
      <w:r>
        <w:rPr>
          <w:rFonts w:ascii="Arial" w:cs="Arial" w:eastAsia="Arial" w:hAnsi="Arial"/>
          <w:sz w:val="14"/>
          <w:szCs w:val="14"/>
          <w:i w:val="1"/>
          <w:iCs w:val="1"/>
          <w:color w:val="auto"/>
        </w:rPr>
        <w:t>(GR-9N-11-080-01)</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 professional</w:t>
      </w:r>
      <w:r>
        <w:rPr>
          <w:rFonts w:ascii="Arial" w:cs="Arial" w:eastAsia="Arial" w:hAnsi="Arial"/>
          <w:sz w:val="20"/>
          <w:szCs w:val="20"/>
          <w:b w:val="1"/>
          <w:bCs w:val="1"/>
          <w:color w:val="auto"/>
        </w:rPr>
        <w:t xml:space="preserve"> ambulance</w:t>
      </w:r>
      <w:r>
        <w:rPr>
          <w:rFonts w:ascii="Arial" w:cs="Arial" w:eastAsia="Arial" w:hAnsi="Arial"/>
          <w:sz w:val="20"/>
          <w:szCs w:val="20"/>
          <w:color w:val="auto"/>
        </w:rPr>
        <w:t>, as follows:</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Ground Ambulance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transportation:</w:t>
      </w:r>
    </w:p>
    <w:p>
      <w:pPr>
        <w:spacing w:after="0" w:line="207" w:lineRule="exact"/>
        <w:rPr>
          <w:sz w:val="20"/>
          <w:szCs w:val="20"/>
          <w:color w:val="auto"/>
        </w:rPr>
      </w:pPr>
    </w:p>
    <w:p>
      <w:pPr>
        <w:ind w:left="440" w:hanging="330"/>
        <w:spacing w:after="0"/>
        <w:tabs>
          <w:tab w:leader="none" w:pos="4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To the first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where treatment is given in a medical emergency.</w:t>
      </w:r>
    </w:p>
    <w:p>
      <w:pPr>
        <w:spacing w:after="0" w:line="21" w:lineRule="exact"/>
        <w:rPr>
          <w:rFonts w:ascii="Arial" w:cs="Arial" w:eastAsia="Arial" w:hAnsi="Arial"/>
          <w:sz w:val="20"/>
          <w:szCs w:val="20"/>
          <w:color w:val="auto"/>
        </w:rPr>
      </w:pPr>
    </w:p>
    <w:p>
      <w:pPr>
        <w:ind w:left="440" w:right="140" w:hanging="330"/>
        <w:spacing w:after="0" w:line="239" w:lineRule="auto"/>
        <w:tabs>
          <w:tab w:leader="none" w:pos="4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From one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to another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in a medical emergency when the first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does not have the required services or facilities to treat your condition.</w:t>
      </w:r>
    </w:p>
    <w:p>
      <w:pPr>
        <w:spacing w:after="0" w:line="1" w:lineRule="exact"/>
        <w:rPr>
          <w:rFonts w:ascii="Arial" w:cs="Arial" w:eastAsia="Arial" w:hAnsi="Arial"/>
          <w:sz w:val="20"/>
          <w:szCs w:val="20"/>
          <w:color w:val="auto"/>
        </w:rPr>
      </w:pPr>
    </w:p>
    <w:p>
      <w:pPr>
        <w:ind w:left="440" w:right="700" w:hanging="330"/>
        <w:spacing w:after="0" w:line="239" w:lineRule="auto"/>
        <w:tabs>
          <w:tab w:leader="none" w:pos="4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From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to home or to another facility when other means of transportation would be considered unsafe due to your medical condition.</w:t>
      </w:r>
    </w:p>
    <w:p>
      <w:pPr>
        <w:spacing w:after="0" w:line="1" w:lineRule="exact"/>
        <w:rPr>
          <w:rFonts w:ascii="Arial" w:cs="Arial" w:eastAsia="Arial" w:hAnsi="Arial"/>
          <w:sz w:val="20"/>
          <w:szCs w:val="20"/>
          <w:color w:val="auto"/>
        </w:rPr>
      </w:pPr>
    </w:p>
    <w:p>
      <w:pPr>
        <w:ind w:left="440" w:right="120" w:hanging="330"/>
        <w:spacing w:after="0" w:line="239" w:lineRule="auto"/>
        <w:tabs>
          <w:tab w:leader="none" w:pos="4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From home to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for covered inpatient or outpatient treatment when other means of transportation would be considered unsafe due to your medical condition. Transport is limited to 100 miles.</w:t>
      </w:r>
    </w:p>
    <w:p>
      <w:pPr>
        <w:spacing w:after="0" w:line="1" w:lineRule="exact"/>
        <w:rPr>
          <w:rFonts w:ascii="Arial" w:cs="Arial" w:eastAsia="Arial" w:hAnsi="Arial"/>
          <w:sz w:val="20"/>
          <w:szCs w:val="20"/>
          <w:color w:val="auto"/>
        </w:rPr>
      </w:pPr>
    </w:p>
    <w:p>
      <w:pPr>
        <w:ind w:left="440" w:right="80" w:hanging="330"/>
        <w:spacing w:after="0" w:line="269" w:lineRule="auto"/>
        <w:tabs>
          <w:tab w:leader="none" w:pos="4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When during a covered inpatient </w:t>
      </w:r>
      <w:r>
        <w:rPr>
          <w:rFonts w:ascii="Arial" w:cs="Arial" w:eastAsia="Arial" w:hAnsi="Arial"/>
          <w:sz w:val="19"/>
          <w:szCs w:val="19"/>
          <w:b w:val="1"/>
          <w:bCs w:val="1"/>
          <w:color w:val="auto"/>
        </w:rPr>
        <w:t>stay</w:t>
      </w:r>
      <w:r>
        <w:rPr>
          <w:rFonts w:ascii="Arial" w:cs="Arial" w:eastAsia="Arial" w:hAnsi="Arial"/>
          <w:sz w:val="19"/>
          <w:szCs w:val="19"/>
          <w:color w:val="auto"/>
        </w:rPr>
        <w:t xml:space="preserve"> at a </w:t>
      </w:r>
      <w:r>
        <w:rPr>
          <w:rFonts w:ascii="Arial" w:cs="Arial" w:eastAsia="Arial" w:hAnsi="Arial"/>
          <w:sz w:val="19"/>
          <w:szCs w:val="19"/>
          <w:b w:val="1"/>
          <w:bCs w:val="1"/>
          <w:color w:val="auto"/>
        </w:rPr>
        <w:t>hospital</w:t>
      </w:r>
      <w:r>
        <w:rPr>
          <w:rFonts w:ascii="Arial" w:cs="Arial" w:eastAsia="Arial" w:hAnsi="Arial"/>
          <w:sz w:val="19"/>
          <w:szCs w:val="19"/>
          <w:color w:val="auto"/>
        </w:rPr>
        <w:t xml:space="preserve">, </w:t>
      </w:r>
      <w:r>
        <w:rPr>
          <w:rFonts w:ascii="Arial" w:cs="Arial" w:eastAsia="Arial" w:hAnsi="Arial"/>
          <w:sz w:val="19"/>
          <w:szCs w:val="19"/>
          <w:b w:val="1"/>
          <w:bCs w:val="1"/>
          <w:color w:val="auto"/>
        </w:rPr>
        <w:t>skilled nursing facility</w:t>
      </w:r>
      <w:r>
        <w:rPr>
          <w:rFonts w:ascii="Arial" w:cs="Arial" w:eastAsia="Arial" w:hAnsi="Arial"/>
          <w:sz w:val="19"/>
          <w:szCs w:val="19"/>
          <w:color w:val="auto"/>
        </w:rPr>
        <w:t xml:space="preserve"> or acute rehabilitation </w:t>
      </w:r>
      <w:r>
        <w:rPr>
          <w:rFonts w:ascii="Arial" w:cs="Arial" w:eastAsia="Arial" w:hAnsi="Arial"/>
          <w:sz w:val="19"/>
          <w:szCs w:val="19"/>
          <w:b w:val="1"/>
          <w:bCs w:val="1"/>
          <w:color w:val="auto"/>
        </w:rPr>
        <w:t>hospital</w:t>
      </w:r>
      <w:r>
        <w:rPr>
          <w:rFonts w:ascii="Arial" w:cs="Arial" w:eastAsia="Arial" w:hAnsi="Arial"/>
          <w:sz w:val="19"/>
          <w:szCs w:val="19"/>
          <w:color w:val="auto"/>
        </w:rPr>
        <w:t xml:space="preserve">, an </w:t>
      </w:r>
      <w:r>
        <w:rPr>
          <w:rFonts w:ascii="Arial" w:cs="Arial" w:eastAsia="Arial" w:hAnsi="Arial"/>
          <w:sz w:val="19"/>
          <w:szCs w:val="19"/>
          <w:b w:val="1"/>
          <w:bCs w:val="1"/>
          <w:color w:val="auto"/>
        </w:rPr>
        <w:t>ambulance</w:t>
      </w:r>
      <w:r>
        <w:rPr>
          <w:rFonts w:ascii="Arial" w:cs="Arial" w:eastAsia="Arial" w:hAnsi="Arial"/>
          <w:sz w:val="19"/>
          <w:szCs w:val="19"/>
          <w:color w:val="auto"/>
        </w:rPr>
        <w:t xml:space="preserve"> is required to safely and adequately transport you to or from inpatient or outpatient </w:t>
      </w:r>
      <w:r>
        <w:rPr>
          <w:rFonts w:ascii="Arial" w:cs="Arial" w:eastAsia="Arial" w:hAnsi="Arial"/>
          <w:sz w:val="19"/>
          <w:szCs w:val="19"/>
          <w:b w:val="1"/>
          <w:bCs w:val="1"/>
          <w:color w:val="auto"/>
        </w:rPr>
        <w:t>medically necessary</w:t>
      </w:r>
      <w:r>
        <w:rPr>
          <w:rFonts w:ascii="Arial" w:cs="Arial" w:eastAsia="Arial" w:hAnsi="Arial"/>
          <w:sz w:val="19"/>
          <w:szCs w:val="19"/>
          <w:color w:val="auto"/>
        </w:rPr>
        <w:t xml:space="preserve"> treatment.</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Air or Water Ambulance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transportation to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by air or water</w:t>
      </w:r>
      <w:r>
        <w:rPr>
          <w:rFonts w:ascii="Arial" w:cs="Arial" w:eastAsia="Arial" w:hAnsi="Arial"/>
          <w:sz w:val="20"/>
          <w:szCs w:val="20"/>
          <w:b w:val="1"/>
          <w:bCs w:val="1"/>
          <w:color w:val="auto"/>
        </w:rPr>
        <w:t xml:space="preserve"> ambulance </w:t>
      </w:r>
      <w:r>
        <w:rPr>
          <w:rFonts w:ascii="Arial" w:cs="Arial" w:eastAsia="Arial" w:hAnsi="Arial"/>
          <w:sz w:val="20"/>
          <w:szCs w:val="20"/>
          <w:color w:val="auto"/>
        </w:rPr>
        <w:t>when:</w:t>
      </w:r>
    </w:p>
    <w:p>
      <w:pPr>
        <w:spacing w:after="0" w:line="221" w:lineRule="exact"/>
        <w:rPr>
          <w:sz w:val="20"/>
          <w:szCs w:val="20"/>
          <w:color w:val="auto"/>
        </w:rPr>
      </w:pPr>
    </w:p>
    <w:p>
      <w:pPr>
        <w:ind w:left="440" w:hanging="330"/>
        <w:spacing w:after="0"/>
        <w:tabs>
          <w:tab w:leader="none" w:pos="4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Ground </w:t>
      </w:r>
      <w:r>
        <w:rPr>
          <w:rFonts w:ascii="Arial" w:cs="Arial" w:eastAsia="Arial" w:hAnsi="Arial"/>
          <w:sz w:val="20"/>
          <w:szCs w:val="20"/>
          <w:b w:val="1"/>
          <w:bCs w:val="1"/>
          <w:color w:val="auto"/>
        </w:rPr>
        <w:t>ambulance</w:t>
      </w:r>
      <w:r>
        <w:rPr>
          <w:rFonts w:ascii="Arial" w:cs="Arial" w:eastAsia="Arial" w:hAnsi="Arial"/>
          <w:sz w:val="20"/>
          <w:szCs w:val="20"/>
          <w:color w:val="auto"/>
        </w:rPr>
        <w:t xml:space="preserve"> transportation is not available; and</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Your condition is unstable, and requires medical supervision and rapid transport; and</w:t>
      </w:r>
    </w:p>
    <w:p>
      <w:pPr>
        <w:spacing w:after="0" w:line="13" w:lineRule="exact"/>
        <w:rPr>
          <w:rFonts w:ascii="Arial" w:cs="Arial" w:eastAsia="Arial" w:hAnsi="Arial"/>
          <w:sz w:val="20"/>
          <w:szCs w:val="20"/>
          <w:color w:val="auto"/>
        </w:rPr>
      </w:pPr>
    </w:p>
    <w:p>
      <w:pPr>
        <w:ind w:left="440" w:right="80" w:hanging="330"/>
        <w:spacing w:after="0" w:line="328" w:lineRule="auto"/>
        <w:tabs>
          <w:tab w:leader="none" w:pos="4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 a medical emergency, transportation from one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to another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when the first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does not have the required services or facilities to treat your condition and you need to be transported to another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w:t>
      </w:r>
      <w:r>
        <w:rPr>
          <w:rFonts w:ascii="Arial" w:cs="Arial" w:eastAsia="Arial" w:hAnsi="Arial"/>
          <w:sz w:val="18"/>
          <w:szCs w:val="18"/>
          <w:color w:val="auto"/>
        </w:rPr>
        <w:t xml:space="preserve"> the two conditions above are met.</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Not </w:t>
      </w:r>
      <w:r>
        <w:rPr>
          <w:rFonts w:ascii="Arial" w:cs="Arial" w:eastAsia="Arial" w:hAnsi="Arial"/>
          <w:sz w:val="20"/>
          <w:szCs w:val="20"/>
          <w:color w:val="auto"/>
        </w:rPr>
        <w:t>covered under this benefit are charges incurred to transport you:</w:t>
      </w:r>
    </w:p>
    <w:p>
      <w:pPr>
        <w:spacing w:after="0" w:line="237" w:lineRule="exact"/>
        <w:rPr>
          <w:sz w:val="20"/>
          <w:szCs w:val="20"/>
          <w:color w:val="auto"/>
        </w:rPr>
      </w:pPr>
    </w:p>
    <w:p>
      <w:pPr>
        <w:ind w:left="440" w:hanging="330"/>
        <w:spacing w:after="0"/>
        <w:tabs>
          <w:tab w:leader="none" w:pos="4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If an </w:t>
      </w:r>
      <w:r>
        <w:rPr>
          <w:rFonts w:ascii="Arial" w:cs="Arial" w:eastAsia="Arial" w:hAnsi="Arial"/>
          <w:sz w:val="20"/>
          <w:szCs w:val="20"/>
          <w:b w:val="1"/>
          <w:bCs w:val="1"/>
          <w:color w:val="auto"/>
        </w:rPr>
        <w:t>ambulance</w:t>
      </w:r>
      <w:r>
        <w:rPr>
          <w:rFonts w:ascii="Arial" w:cs="Arial" w:eastAsia="Arial" w:hAnsi="Arial"/>
          <w:sz w:val="20"/>
          <w:szCs w:val="20"/>
          <w:color w:val="auto"/>
        </w:rPr>
        <w:t xml:space="preserve"> service is not required by your physical condition; or</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If the type of </w:t>
      </w:r>
      <w:r>
        <w:rPr>
          <w:rFonts w:ascii="Arial" w:cs="Arial" w:eastAsia="Arial" w:hAnsi="Arial"/>
          <w:sz w:val="20"/>
          <w:szCs w:val="20"/>
          <w:b w:val="1"/>
          <w:bCs w:val="1"/>
          <w:color w:val="auto"/>
        </w:rPr>
        <w:t>ambulance</w:t>
      </w:r>
      <w:r>
        <w:rPr>
          <w:rFonts w:ascii="Arial" w:cs="Arial" w:eastAsia="Arial" w:hAnsi="Arial"/>
          <w:sz w:val="20"/>
          <w:szCs w:val="20"/>
          <w:color w:val="auto"/>
        </w:rPr>
        <w:t xml:space="preserve"> service provided is not required for your physical condition; or</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By any form of transportation other than a professional </w:t>
      </w:r>
      <w:r>
        <w:rPr>
          <w:rFonts w:ascii="Arial" w:cs="Arial" w:eastAsia="Arial" w:hAnsi="Arial"/>
          <w:sz w:val="20"/>
          <w:szCs w:val="20"/>
          <w:b w:val="1"/>
          <w:bCs w:val="1"/>
          <w:color w:val="auto"/>
        </w:rPr>
        <w:t>ambulance</w:t>
      </w:r>
      <w:r>
        <w:rPr>
          <w:rFonts w:ascii="Arial" w:cs="Arial" w:eastAsia="Arial" w:hAnsi="Arial"/>
          <w:sz w:val="20"/>
          <w:szCs w:val="20"/>
          <w:color w:val="auto"/>
        </w:rPr>
        <w:t xml:space="preserve"> service.</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 xml:space="preserve">Autism Spectrum Disorders </w:t>
      </w:r>
      <w:r>
        <w:rPr>
          <w:rFonts w:ascii="Arial" w:cs="Arial" w:eastAsia="Arial" w:hAnsi="Arial"/>
          <w:sz w:val="14"/>
          <w:szCs w:val="14"/>
          <w:i w:val="1"/>
          <w:iCs w:val="1"/>
          <w:color w:val="auto"/>
        </w:rPr>
        <w:t>(GR-9N 11-171 02 VA)</w:t>
      </w:r>
    </w:p>
    <w:p>
      <w:pPr>
        <w:spacing w:after="0" w:line="266" w:lineRule="exact"/>
        <w:rPr>
          <w:sz w:val="20"/>
          <w:szCs w:val="20"/>
          <w:color w:val="auto"/>
        </w:rPr>
      </w:pPr>
    </w:p>
    <w:p>
      <w:pPr>
        <w:ind w:left="10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the diagnosis and treatment of Autism Spectrum Disorder in covered individuals from age two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 six. Treatment of autism spectrum disorder shall be identified in a treatment plan and includes the following care prescribed or ordered for a covered individual diagnosed with autism spectrum disorder by a licensed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a licensed psychologist who determines the care to be </w:t>
      </w:r>
      <w:r>
        <w:rPr>
          <w:rFonts w:ascii="Arial" w:cs="Arial" w:eastAsia="Arial" w:hAnsi="Arial"/>
          <w:sz w:val="20"/>
          <w:szCs w:val="20"/>
          <w:b w:val="1"/>
          <w:bCs w:val="1"/>
          <w:color w:val="auto"/>
        </w:rPr>
        <w:t>medically necessary</w:t>
      </w:r>
      <w:r>
        <w:rPr>
          <w:rFonts w:ascii="Arial" w:cs="Arial" w:eastAsia="Arial" w:hAnsi="Arial"/>
          <w:sz w:val="20"/>
          <w:szCs w:val="20"/>
          <w:color w:val="auto"/>
        </w:rPr>
        <w:t>: (i) behavioral health treatment, (ii) pharmacy care, (iii) psychiatric care, (iv) psychological care, (v) therapeutic care, and</w:t>
      </w:r>
    </w:p>
    <w:p>
      <w:pPr>
        <w:spacing w:after="0" w:line="1" w:lineRule="exact"/>
        <w:rPr>
          <w:sz w:val="20"/>
          <w:szCs w:val="20"/>
          <w:color w:val="auto"/>
        </w:rPr>
      </w:pPr>
    </w:p>
    <w:p>
      <w:pPr>
        <w:ind w:left="100" w:right="220" w:firstLine="10"/>
        <w:spacing w:after="0" w:line="244" w:lineRule="auto"/>
        <w:tabs>
          <w:tab w:leader="none" w:pos="435"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applied behavioral analysis when provided by or supervised by a board certified behavior analyst who shall be licensed by the Board of Medicine.</w:t>
      </w:r>
    </w:p>
    <w:p>
      <w:pPr>
        <w:sectPr>
          <w:pgSz w:w="11900" w:h="16838" w:orient="portrait"/>
          <w:cols w:equalWidth="0" w:num="1">
            <w:col w:w="11380"/>
          </w:cols>
          <w:pgMar w:left="260" w:top="423" w:right="259" w:bottom="1440" w:gutter="0" w:footer="0" w:header="0"/>
        </w:sectPr>
      </w:pPr>
    </w:p>
    <w:bookmarkStart w:id="208" w:name="page209"/>
    <w:bookmarkEnd w:id="208"/>
    <w:p>
      <w:pPr>
        <w:ind w:left="100"/>
        <w:spacing w:after="0" w:line="250" w:lineRule="auto"/>
        <w:rPr>
          <w:sz w:val="20"/>
          <w:szCs w:val="20"/>
          <w:color w:val="auto"/>
        </w:rPr>
      </w:pPr>
      <w:r>
        <w:rPr>
          <w:rFonts w:ascii="Arial" w:cs="Arial" w:eastAsia="Arial" w:hAnsi="Arial"/>
          <w:sz w:val="20"/>
          <w:szCs w:val="20"/>
          <w:color w:val="auto"/>
        </w:rPr>
        <w:t>“Applied Behavioral Analysis” means the design, implementation, and evaluation of environmental modifications, using behavioral stimuli and consequences, to produce socially significant improvement in human behavior, including the use of direct observation, measurement, and functional analysis of the relationship between the environment and behavior.</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“Autism Spectrum Disorder” means any pervasive developmental disorder, including:</w:t>
      </w:r>
    </w:p>
    <w:p>
      <w:pPr>
        <w:spacing w:after="0" w:line="216" w:lineRule="exact"/>
        <w:rPr>
          <w:sz w:val="20"/>
          <w:szCs w:val="20"/>
          <w:color w:val="auto"/>
        </w:rPr>
      </w:pPr>
    </w:p>
    <w:p>
      <w:pPr>
        <w:ind w:left="440" w:hanging="330"/>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Autistic Disorder;</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Asperger's Syndrome;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Rett’s Syndrome;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Childhood Disintegrative Disorder; or</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Pervasive Developmental Disorder--Not Otherwise Specified;</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defined in the most recent edition of the Diagnostic and Statistical Manual of Mental Disorders of the American Psychiatric Association.</w:t>
      </w:r>
    </w:p>
    <w:p>
      <w:pPr>
        <w:spacing w:after="0" w:line="252" w:lineRule="exact"/>
        <w:rPr>
          <w:sz w:val="20"/>
          <w:szCs w:val="20"/>
          <w:color w:val="auto"/>
        </w:rPr>
      </w:pPr>
    </w:p>
    <w:p>
      <w:pPr>
        <w:ind w:left="100" w:right="420"/>
        <w:spacing w:after="0" w:line="291" w:lineRule="auto"/>
        <w:rPr>
          <w:sz w:val="20"/>
          <w:szCs w:val="20"/>
          <w:color w:val="auto"/>
        </w:rPr>
      </w:pPr>
      <w:r>
        <w:rPr>
          <w:rFonts w:ascii="Arial" w:cs="Arial" w:eastAsia="Arial" w:hAnsi="Arial"/>
          <w:sz w:val="18"/>
          <w:szCs w:val="18"/>
          <w:color w:val="auto"/>
        </w:rPr>
        <w:t>“Treatment plan” means a plan for the treatment of autism spectrum disorder developed by a licensed physician or licensed psychologist pursuant to a comprehensive evaluation or reevaluation performed in a manner consistent with the most recent clinical report or recommendation of the American Academy of Pediatrics or the American Academy of Child and Adolescent Psychiatry.</w:t>
      </w:r>
    </w:p>
    <w:p>
      <w:pPr>
        <w:spacing w:after="0" w:line="165" w:lineRule="exact"/>
        <w:rPr>
          <w:sz w:val="20"/>
          <w:szCs w:val="20"/>
          <w:color w:val="auto"/>
        </w:rPr>
      </w:pPr>
    </w:p>
    <w:p>
      <w:pPr>
        <w:ind w:left="100" w:right="140"/>
        <w:spacing w:after="0" w:line="260" w:lineRule="auto"/>
        <w:rPr>
          <w:sz w:val="20"/>
          <w:szCs w:val="20"/>
          <w:color w:val="auto"/>
        </w:rPr>
      </w:pPr>
      <w:r>
        <w:rPr>
          <w:rFonts w:ascii="Arial" w:cs="Arial" w:eastAsia="Arial" w:hAnsi="Arial"/>
          <w:sz w:val="20"/>
          <w:szCs w:val="20"/>
          <w:color w:val="auto"/>
        </w:rPr>
        <w:t xml:space="preserve">Coverage for Applied Behavioral Analysis for the diagnosis and treatment of Autism Spectrum Disorders is subject to the maximum benefit amount, if any, shown on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Diagnostic and Preoperative Testing </w:t>
      </w:r>
      <w:r>
        <w:rPr>
          <w:rFonts w:ascii="Arial" w:cs="Arial" w:eastAsia="Arial" w:hAnsi="Arial"/>
          <w:sz w:val="14"/>
          <w:szCs w:val="14"/>
          <w:i w:val="1"/>
          <w:iCs w:val="1"/>
          <w:color w:val="auto"/>
        </w:rPr>
        <w:t>(GR-9N-11-085-01)</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Diagnostic Complex Imaging Expenses</w:t>
      </w:r>
    </w:p>
    <w:p>
      <w:pPr>
        <w:spacing w:after="0" w:line="32" w:lineRule="exact"/>
        <w:rPr>
          <w:sz w:val="20"/>
          <w:szCs w:val="20"/>
          <w:color w:val="auto"/>
        </w:rPr>
      </w:pPr>
    </w:p>
    <w:p>
      <w:pPr>
        <w:ind w:left="100" w:right="480"/>
        <w:spacing w:after="0" w:line="244" w:lineRule="auto"/>
        <w:rPr>
          <w:sz w:val="20"/>
          <w:szCs w:val="20"/>
          <w:color w:val="auto"/>
        </w:rPr>
      </w:pPr>
      <w:r>
        <w:rPr>
          <w:rFonts w:ascii="Arial" w:cs="Arial" w:eastAsia="Arial" w:hAnsi="Arial"/>
          <w:sz w:val="20"/>
          <w:szCs w:val="20"/>
          <w:color w:val="auto"/>
        </w:rPr>
        <w:t xml:space="preserve">The plan covers charges made on an outpatient basis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a licensed imaging or radiological facility for complex imaging services to diagnose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including:</w:t>
      </w:r>
    </w:p>
    <w:p>
      <w:pPr>
        <w:spacing w:after="0" w:line="192" w:lineRule="exact"/>
        <w:rPr>
          <w:sz w:val="20"/>
          <w:szCs w:val="20"/>
          <w:color w:val="auto"/>
        </w:rPr>
      </w:pPr>
    </w:p>
    <w:p>
      <w:pPr>
        <w:ind w:left="440" w:hanging="330"/>
        <w:spacing w:after="0"/>
        <w:tabs>
          <w:tab w:leader="none" w:pos="4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C.A.T. scans;</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Magnetic Resonance Imaging (MRI);</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Positron Emission Tomography (PET) Scans;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Any other outpatient diagnostic imaging service costing over $500.</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Complex Imaging Expenses for preoperative testing will be payable under this benefit.</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28" w:lineRule="exact"/>
        <w:rPr>
          <w:sz w:val="20"/>
          <w:szCs w:val="20"/>
          <w:color w:val="auto"/>
        </w:rPr>
      </w:pPr>
    </w:p>
    <w:p>
      <w:pPr>
        <w:ind w:left="100" w:right="340"/>
        <w:spacing w:after="0" w:line="247" w:lineRule="auto"/>
        <w:rPr>
          <w:sz w:val="20"/>
          <w:szCs w:val="20"/>
          <w:color w:val="auto"/>
        </w:rPr>
      </w:pPr>
      <w:r>
        <w:rPr>
          <w:rFonts w:ascii="Arial" w:cs="Arial" w:eastAsia="Arial" w:hAnsi="Arial"/>
          <w:sz w:val="20"/>
          <w:szCs w:val="20"/>
          <w:color w:val="auto"/>
        </w:rPr>
        <w:t>The plan does not cover diagnostic complex imaging expenses under this part of the plan if such imaging expenses are covered under any other part of the plan.</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Outpatient Diagnostic Lab Work and Radiological Services</w:t>
      </w:r>
    </w:p>
    <w:p>
      <w:pPr>
        <w:spacing w:after="0" w:line="32" w:lineRule="exact"/>
        <w:rPr>
          <w:sz w:val="20"/>
          <w:szCs w:val="20"/>
          <w:color w:val="auto"/>
        </w:rPr>
      </w:pPr>
    </w:p>
    <w:p>
      <w:pPr>
        <w:ind w:left="100" w:right="20"/>
        <w:spacing w:after="0" w:line="260" w:lineRule="auto"/>
        <w:rPr>
          <w:sz w:val="20"/>
          <w:szCs w:val="20"/>
          <w:color w:val="auto"/>
        </w:rPr>
      </w:pPr>
      <w:r>
        <w:rPr>
          <w:rFonts w:ascii="Arial" w:cs="Arial" w:eastAsia="Arial" w:hAnsi="Arial"/>
          <w:sz w:val="19"/>
          <w:szCs w:val="19"/>
          <w:b w:val="1"/>
          <w:bCs w:val="1"/>
          <w:color w:val="auto"/>
        </w:rPr>
        <w:t xml:space="preserve">Covered expenses </w:t>
      </w:r>
      <w:r>
        <w:rPr>
          <w:rFonts w:ascii="Arial" w:cs="Arial" w:eastAsia="Arial" w:hAnsi="Arial"/>
          <w:sz w:val="19"/>
          <w:szCs w:val="19"/>
          <w:color w:val="auto"/>
        </w:rPr>
        <w:t>include charges for radiological services (other than diagnostic complex imaging), lab services, and pathology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tests provided to diagnose an </w:t>
      </w:r>
      <w:r>
        <w:rPr>
          <w:rFonts w:ascii="Arial" w:cs="Arial" w:eastAsia="Arial" w:hAnsi="Arial"/>
          <w:sz w:val="19"/>
          <w:szCs w:val="19"/>
          <w:b w:val="1"/>
          <w:bCs w:val="1"/>
          <w:color w:val="auto"/>
        </w:rPr>
        <w:t>illness</w:t>
      </w:r>
      <w:r>
        <w:rPr>
          <w:rFonts w:ascii="Arial" w:cs="Arial" w:eastAsia="Arial" w:hAnsi="Arial"/>
          <w:sz w:val="19"/>
          <w:szCs w:val="19"/>
          <w:color w:val="auto"/>
        </w:rPr>
        <w:t xml:space="preserve"> or </w:t>
      </w:r>
      <w:r>
        <w:rPr>
          <w:rFonts w:ascii="Arial" w:cs="Arial" w:eastAsia="Arial" w:hAnsi="Arial"/>
          <w:sz w:val="19"/>
          <w:szCs w:val="19"/>
          <w:b w:val="1"/>
          <w:bCs w:val="1"/>
          <w:color w:val="auto"/>
        </w:rPr>
        <w:t>injury</w:t>
      </w:r>
      <w:r>
        <w:rPr>
          <w:rFonts w:ascii="Arial" w:cs="Arial" w:eastAsia="Arial" w:hAnsi="Arial"/>
          <w:sz w:val="19"/>
          <w:szCs w:val="19"/>
          <w:color w:val="auto"/>
        </w:rPr>
        <w:t xml:space="preserve">. You must have definite symptoms that start, maintain or change a plan of treatment prescribed by a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The charges must be made by a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w:t>
      </w:r>
      <w:r>
        <w:rPr>
          <w:rFonts w:ascii="Arial" w:cs="Arial" w:eastAsia="Arial" w:hAnsi="Arial"/>
          <w:sz w:val="19"/>
          <w:szCs w:val="19"/>
          <w:b w:val="1"/>
          <w:bCs w:val="1"/>
          <w:color w:val="auto"/>
        </w:rPr>
        <w:t>hospital</w:t>
      </w:r>
      <w:r>
        <w:rPr>
          <w:rFonts w:ascii="Arial" w:cs="Arial" w:eastAsia="Arial" w:hAnsi="Arial"/>
          <w:sz w:val="19"/>
          <w:szCs w:val="19"/>
          <w:color w:val="auto"/>
        </w:rPr>
        <w:t xml:space="preserve"> or licensed radiological facility or lab.</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w:t>
      </w:r>
      <w:r>
        <w:rPr>
          <w:rFonts w:ascii="Arial" w:cs="Arial" w:eastAsia="Arial" w:hAnsi="Arial"/>
          <w:sz w:val="20"/>
          <w:szCs w:val="20"/>
          <w:b w:val="1"/>
          <w:bCs w:val="1"/>
          <w:color w:val="auto"/>
        </w:rPr>
        <w:t>deductible, coinsurance</w:t>
      </w:r>
      <w:r>
        <w:rPr>
          <w:rFonts w:ascii="Arial" w:cs="Arial" w:eastAsia="Arial" w:hAnsi="Arial"/>
          <w:sz w:val="20"/>
          <w:szCs w:val="20"/>
          <w:color w:val="auto"/>
        </w:rPr>
        <w:t xml:space="preserve"> and maximum that may apply to outpatient diagnostic testing, and lab and radiological services.</w:t>
      </w:r>
    </w:p>
    <w:p>
      <w:pPr>
        <w:sectPr>
          <w:pgSz w:w="11900" w:h="16838" w:orient="portrait"/>
          <w:cols w:equalWidth="0" w:num="1">
            <w:col w:w="11340"/>
          </w:cols>
          <w:pgMar w:left="260" w:top="433" w:right="299" w:bottom="1440" w:gutter="0" w:footer="0" w:header="0"/>
        </w:sectPr>
      </w:pPr>
    </w:p>
    <w:bookmarkStart w:id="209" w:name="page210"/>
    <w:bookmarkEnd w:id="209"/>
    <w:p>
      <w:pPr>
        <w:ind w:left="100"/>
        <w:spacing w:after="0"/>
        <w:rPr>
          <w:sz w:val="20"/>
          <w:szCs w:val="20"/>
          <w:color w:val="auto"/>
        </w:rPr>
      </w:pPr>
      <w:r>
        <w:rPr>
          <w:rFonts w:ascii="Arial" w:cs="Arial" w:eastAsia="Arial" w:hAnsi="Arial"/>
          <w:sz w:val="25"/>
          <w:szCs w:val="25"/>
          <w:b w:val="1"/>
          <w:bCs w:val="1"/>
          <w:color w:val="auto"/>
        </w:rPr>
        <w:t>Outpatient Preoperative Testing</w:t>
      </w:r>
    </w:p>
    <w:p>
      <w:pPr>
        <w:spacing w:after="0" w:line="32" w:lineRule="exact"/>
        <w:rPr>
          <w:sz w:val="20"/>
          <w:szCs w:val="20"/>
          <w:color w:val="auto"/>
        </w:rPr>
      </w:pPr>
    </w:p>
    <w:p>
      <w:pPr>
        <w:ind w:left="100"/>
        <w:spacing w:after="0" w:line="269" w:lineRule="auto"/>
        <w:rPr>
          <w:sz w:val="20"/>
          <w:szCs w:val="20"/>
          <w:color w:val="auto"/>
        </w:rPr>
      </w:pPr>
      <w:r>
        <w:rPr>
          <w:rFonts w:ascii="Arial" w:cs="Arial" w:eastAsia="Arial" w:hAnsi="Arial"/>
          <w:sz w:val="19"/>
          <w:szCs w:val="19"/>
          <w:color w:val="auto"/>
        </w:rPr>
        <w:t xml:space="preserve">Prior to a scheduled covered surgery,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include charges made for tests performed by a </w:t>
      </w:r>
      <w:r>
        <w:rPr>
          <w:rFonts w:ascii="Arial" w:cs="Arial" w:eastAsia="Arial" w:hAnsi="Arial"/>
          <w:sz w:val="19"/>
          <w:szCs w:val="19"/>
          <w:b w:val="1"/>
          <w:bCs w:val="1"/>
          <w:color w:val="auto"/>
        </w:rPr>
        <w:t>hospital</w:t>
      </w:r>
      <w:r>
        <w:rPr>
          <w:rFonts w:ascii="Arial" w:cs="Arial" w:eastAsia="Arial" w:hAnsi="Arial"/>
          <w:sz w:val="19"/>
          <w:szCs w:val="19"/>
          <w:color w:val="auto"/>
        </w:rPr>
        <w:t xml:space="preserve">, </w:t>
      </w:r>
      <w:r>
        <w:rPr>
          <w:rFonts w:ascii="Arial" w:cs="Arial" w:eastAsia="Arial" w:hAnsi="Arial"/>
          <w:sz w:val="19"/>
          <w:szCs w:val="19"/>
          <w:b w:val="1"/>
          <w:bCs w:val="1"/>
          <w:color w:val="auto"/>
        </w:rPr>
        <w:t>surgery center</w:t>
      </w:r>
      <w:r>
        <w:rPr>
          <w:rFonts w:ascii="Arial" w:cs="Arial" w:eastAsia="Arial" w:hAnsi="Arial"/>
          <w:sz w:val="19"/>
          <w:szCs w:val="19"/>
          <w:color w:val="auto"/>
        </w:rPr>
        <w:t xml:space="preserve">,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or licensed diagnostic laboratory provided the charges for the surgery are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and the tests are:</w:t>
      </w:r>
    </w:p>
    <w:p>
      <w:pPr>
        <w:spacing w:after="0" w:line="190" w:lineRule="exact"/>
        <w:rPr>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Related to your surgery, and the surgery takes place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surgery center</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Completed within 14 days before your surgery;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Performed on an outpatient basis;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Covered if you were an inpatient in a </w:t>
      </w:r>
      <w:r>
        <w:rPr>
          <w:rFonts w:ascii="Arial" w:cs="Arial" w:eastAsia="Arial" w:hAnsi="Arial"/>
          <w:sz w:val="20"/>
          <w:szCs w:val="20"/>
          <w:b w:val="1"/>
          <w:bCs w:val="1"/>
          <w:color w:val="auto"/>
        </w:rPr>
        <w:t>hospital</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Not repeated in or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surgery center</w:t>
      </w:r>
      <w:r>
        <w:rPr>
          <w:rFonts w:ascii="Arial" w:cs="Arial" w:eastAsia="Arial" w:hAnsi="Arial"/>
          <w:sz w:val="20"/>
          <w:szCs w:val="20"/>
          <w:color w:val="auto"/>
        </w:rPr>
        <w:t xml:space="preserve"> where the surgery will be performed.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Test results should appear in your medical record kept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surgery center</w:t>
      </w:r>
      <w:r>
        <w:rPr>
          <w:rFonts w:ascii="Arial" w:cs="Arial" w:eastAsia="Arial" w:hAnsi="Arial"/>
          <w:sz w:val="20"/>
          <w:szCs w:val="20"/>
          <w:color w:val="auto"/>
        </w:rPr>
        <w:t xml:space="preserve"> where the surgery is performed.</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ind w:left="100" w:right="400"/>
        <w:spacing w:after="0" w:line="244" w:lineRule="auto"/>
        <w:rPr>
          <w:sz w:val="20"/>
          <w:szCs w:val="20"/>
          <w:color w:val="auto"/>
        </w:rPr>
      </w:pPr>
      <w:r>
        <w:rPr>
          <w:rFonts w:ascii="Arial" w:cs="Arial" w:eastAsia="Arial" w:hAnsi="Arial"/>
          <w:sz w:val="20"/>
          <w:szCs w:val="20"/>
          <w:color w:val="auto"/>
        </w:rPr>
        <w:t>The plan does not cover diagnostic complex imaging expenses under this part of the plan if such imaging expenses are covered under any other part of the plan.</w:t>
      </w:r>
    </w:p>
    <w:p>
      <w:pPr>
        <w:spacing w:after="0" w:line="205" w:lineRule="exact"/>
        <w:rPr>
          <w:sz w:val="20"/>
          <w:szCs w:val="20"/>
          <w:color w:val="auto"/>
        </w:rPr>
      </w:pPr>
    </w:p>
    <w:p>
      <w:pPr>
        <w:ind w:left="440" w:right="380" w:hanging="330"/>
        <w:spacing w:after="0" w:line="307" w:lineRule="auto"/>
        <w:tabs>
          <w:tab w:leader="none" w:pos="4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If your tests indicate that surgery should not be performed because of your physical condition, the plan will pay for the tests, however surgery will </w:t>
      </w:r>
      <w:r>
        <w:rPr>
          <w:rFonts w:ascii="Arial" w:cs="Arial" w:eastAsia="Arial" w:hAnsi="Arial"/>
          <w:sz w:val="20"/>
          <w:szCs w:val="20"/>
          <w:b w:val="1"/>
          <w:bCs w:val="1"/>
          <w:i w:val="1"/>
          <w:iCs w:val="1"/>
          <w:color w:val="auto"/>
        </w:rPr>
        <w:t>not</w:t>
      </w:r>
      <w:r>
        <w:rPr>
          <w:rFonts w:ascii="Arial" w:cs="Arial" w:eastAsia="Arial" w:hAnsi="Arial"/>
          <w:sz w:val="20"/>
          <w:szCs w:val="20"/>
          <w:color w:val="auto"/>
        </w:rPr>
        <w:t xml:space="preserve"> be covered.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Complex Imaging testing for preoperative testing is covered under the complex imaging section. Separate cost sharing may apply. Refer to your </w:t>
      </w:r>
      <w:r>
        <w:rPr>
          <w:rFonts w:ascii="Arial" w:cs="Arial" w:eastAsia="Arial" w:hAnsi="Arial"/>
          <w:sz w:val="20"/>
          <w:szCs w:val="20"/>
          <w:i w:val="1"/>
          <w:iCs w:val="1"/>
          <w:color w:val="auto"/>
        </w:rPr>
        <w:t xml:space="preserve">Schedule of Benefits </w:t>
      </w:r>
      <w:r>
        <w:rPr>
          <w:rFonts w:ascii="Arial" w:cs="Arial" w:eastAsia="Arial" w:hAnsi="Arial"/>
          <w:sz w:val="20"/>
          <w:szCs w:val="20"/>
          <w:color w:val="auto"/>
        </w:rPr>
        <w:t>for information on cost sharing amounts for complex imaging.</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Durable Medical and Surgical Equipment (DME) </w:t>
      </w:r>
      <w:r>
        <w:rPr>
          <w:rFonts w:ascii="Arial" w:cs="Arial" w:eastAsia="Arial" w:hAnsi="Arial"/>
          <w:sz w:val="14"/>
          <w:szCs w:val="14"/>
          <w:i w:val="1"/>
          <w:iCs w:val="1"/>
          <w:color w:val="auto"/>
        </w:rPr>
        <w:t>(GR-9N 11-090-01)</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 xml:space="preserve">Covered expenses </w:t>
      </w:r>
      <w:r>
        <w:rPr>
          <w:rFonts w:ascii="Arial" w:cs="Arial" w:eastAsia="Arial" w:hAnsi="Arial"/>
          <w:sz w:val="19"/>
          <w:szCs w:val="19"/>
          <w:color w:val="auto"/>
        </w:rPr>
        <w:t>include charges by a</w:t>
      </w:r>
      <w:r>
        <w:rPr>
          <w:rFonts w:ascii="Arial" w:cs="Arial" w:eastAsia="Arial" w:hAnsi="Arial"/>
          <w:sz w:val="19"/>
          <w:szCs w:val="19"/>
          <w:b w:val="1"/>
          <w:bCs w:val="1"/>
          <w:color w:val="auto"/>
        </w:rPr>
        <w:t xml:space="preserve"> DME </w:t>
      </w:r>
      <w:r>
        <w:rPr>
          <w:rFonts w:ascii="Arial" w:cs="Arial" w:eastAsia="Arial" w:hAnsi="Arial"/>
          <w:sz w:val="19"/>
          <w:szCs w:val="19"/>
          <w:color w:val="auto"/>
        </w:rPr>
        <w:t>supplier for the rental of equipment or, in lieu of rental: The initial purchase of</w:t>
      </w:r>
      <w:r>
        <w:rPr>
          <w:rFonts w:ascii="Arial" w:cs="Arial" w:eastAsia="Arial" w:hAnsi="Arial"/>
          <w:sz w:val="19"/>
          <w:szCs w:val="19"/>
          <w:b w:val="1"/>
          <w:bCs w:val="1"/>
          <w:color w:val="auto"/>
        </w:rPr>
        <w:t xml:space="preserve"> DME </w:t>
      </w:r>
      <w:r>
        <w:rPr>
          <w:rFonts w:ascii="Arial" w:cs="Arial" w:eastAsia="Arial" w:hAnsi="Arial"/>
          <w:sz w:val="19"/>
          <w:szCs w:val="19"/>
          <w:color w:val="auto"/>
        </w:rPr>
        <w:t>if:</w:t>
      </w:r>
    </w:p>
    <w:p>
      <w:pPr>
        <w:spacing w:after="0" w:line="152" w:lineRule="exact"/>
        <w:rPr>
          <w:sz w:val="20"/>
          <w:szCs w:val="20"/>
          <w:color w:val="auto"/>
        </w:rPr>
      </w:pPr>
    </w:p>
    <w:p>
      <w:pPr>
        <w:ind w:left="440" w:hanging="330"/>
        <w:spacing w:after="0"/>
        <w:tabs>
          <w:tab w:leader="none" w:pos="4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Long term care is planned; and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equipment cannot be rented or is likely to cost less to purchase than to rent.</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Repair of purchased equipment. Maintenance and repairs needed due to misuse or abuse are not covered. Replacement of purchased</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equipment if:</w:t>
      </w:r>
    </w:p>
    <w:p>
      <w:pPr>
        <w:spacing w:after="0" w:line="135" w:lineRule="exact"/>
        <w:rPr>
          <w:sz w:val="20"/>
          <w:szCs w:val="20"/>
          <w:color w:val="auto"/>
        </w:rPr>
      </w:pPr>
    </w:p>
    <w:p>
      <w:pPr>
        <w:ind w:left="440" w:hanging="330"/>
        <w:spacing w:after="0"/>
        <w:tabs>
          <w:tab w:leader="none" w:pos="4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replacement is needed because of a change in your physical condition; and</w:t>
      </w:r>
    </w:p>
    <w:p>
      <w:pPr>
        <w:spacing w:after="0" w:line="15" w:lineRule="exact"/>
        <w:rPr>
          <w:rFonts w:ascii="Arial" w:cs="Arial" w:eastAsia="Arial" w:hAnsi="Arial"/>
          <w:sz w:val="20"/>
          <w:szCs w:val="20"/>
          <w:color w:val="auto"/>
        </w:rPr>
      </w:pPr>
    </w:p>
    <w:p>
      <w:pPr>
        <w:ind w:left="440" w:hanging="330"/>
        <w:spacing w:after="0"/>
        <w:tabs>
          <w:tab w:leader="none" w:pos="4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It is likely to cost less to replace the item than to repair the existing item or rent a similar item.</w:t>
      </w:r>
    </w:p>
    <w:p>
      <w:pPr>
        <w:spacing w:after="0" w:line="213" w:lineRule="exact"/>
        <w:rPr>
          <w:sz w:val="20"/>
          <w:szCs w:val="20"/>
          <w:color w:val="auto"/>
        </w:rPr>
      </w:pPr>
    </w:p>
    <w:p>
      <w:pPr>
        <w:ind w:left="100" w:right="300"/>
        <w:spacing w:after="0" w:line="250" w:lineRule="auto"/>
        <w:rPr>
          <w:sz w:val="20"/>
          <w:szCs w:val="20"/>
          <w:color w:val="auto"/>
        </w:rPr>
      </w:pPr>
      <w:r>
        <w:rPr>
          <w:rFonts w:ascii="Arial" w:cs="Arial" w:eastAsia="Arial" w:hAnsi="Arial"/>
          <w:sz w:val="20"/>
          <w:szCs w:val="20"/>
          <w:color w:val="auto"/>
        </w:rPr>
        <w:t>The plan limits coverage to one item of equipment, for the same or similar purpose and the accessories needed to operate the item. You are responsible for the entire cost of any additional pieces of the same or similar equipment you purchase or rent for personal convenience or mobility.</w:t>
      </w:r>
    </w:p>
    <w:p>
      <w:pPr>
        <w:spacing w:after="0" w:line="180" w:lineRule="exact"/>
        <w:rPr>
          <w:sz w:val="20"/>
          <w:szCs w:val="20"/>
          <w:color w:val="auto"/>
        </w:rPr>
      </w:pPr>
    </w:p>
    <w:p>
      <w:pPr>
        <w:jc w:val="both"/>
        <w:ind w:left="100" w:right="160"/>
        <w:spacing w:after="0" w:line="273" w:lineRule="auto"/>
        <w:rPr>
          <w:sz w:val="20"/>
          <w:szCs w:val="20"/>
          <w:color w:val="auto"/>
        </w:rPr>
      </w:pPr>
      <w:r>
        <w:rPr>
          <w:rFonts w:ascii="Arial" w:cs="Arial" w:eastAsia="Arial" w:hAnsi="Arial"/>
          <w:sz w:val="19"/>
          <w:szCs w:val="19"/>
          <w:color w:val="auto"/>
        </w:rPr>
        <w:t xml:space="preserve">Covered </w:t>
      </w:r>
      <w:r>
        <w:rPr>
          <w:rFonts w:ascii="Arial" w:cs="Arial" w:eastAsia="Arial" w:hAnsi="Arial"/>
          <w:sz w:val="19"/>
          <w:szCs w:val="19"/>
          <w:b w:val="1"/>
          <w:bCs w:val="1"/>
          <w:color w:val="auto"/>
        </w:rPr>
        <w:t>Durable Medical Equipment</w:t>
      </w:r>
      <w:r>
        <w:rPr>
          <w:rFonts w:ascii="Arial" w:cs="Arial" w:eastAsia="Arial" w:hAnsi="Arial"/>
          <w:sz w:val="19"/>
          <w:szCs w:val="19"/>
          <w:color w:val="auto"/>
        </w:rPr>
        <w:t xml:space="preserve"> includes those items covered by Medicare unless excluded in the Exclusions section of this Booklet-Certificate. </w:t>
      </w:r>
      <w:r>
        <w:rPr>
          <w:rFonts w:ascii="Arial" w:cs="Arial" w:eastAsia="Arial" w:hAnsi="Arial"/>
          <w:sz w:val="19"/>
          <w:szCs w:val="19"/>
          <w:b w:val="1"/>
          <w:bCs w:val="1"/>
          <w:color w:val="auto"/>
        </w:rPr>
        <w:t>Aetna</w:t>
      </w:r>
      <w:r>
        <w:rPr>
          <w:rFonts w:ascii="Arial" w:cs="Arial" w:eastAsia="Arial" w:hAnsi="Arial"/>
          <w:sz w:val="19"/>
          <w:szCs w:val="19"/>
          <w:color w:val="auto"/>
        </w:rPr>
        <w:t xml:space="preserve"> reserves the right to limit the payment of charges up to the most cost efficient and least restrictive level of service or item which can be safely and effectively provided. The decision to rent or purchase is at the discretion of </w:t>
      </w:r>
      <w:r>
        <w:rPr>
          <w:rFonts w:ascii="Arial" w:cs="Arial" w:eastAsia="Arial" w:hAnsi="Arial"/>
          <w:sz w:val="19"/>
          <w:szCs w:val="19"/>
          <w:b w:val="1"/>
          <w:bCs w:val="1"/>
          <w:color w:val="auto"/>
        </w:rPr>
        <w:t>Aetna</w:t>
      </w:r>
      <w:r>
        <w:rPr>
          <w:rFonts w:ascii="Arial" w:cs="Arial" w:eastAsia="Arial" w:hAnsi="Arial"/>
          <w:sz w:val="19"/>
          <w:szCs w:val="19"/>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for details about </w:t>
      </w:r>
      <w:r>
        <w:rPr>
          <w:rFonts w:ascii="Arial" w:cs="Arial" w:eastAsia="Arial" w:hAnsi="Arial"/>
          <w:sz w:val="16"/>
          <w:szCs w:val="16"/>
          <w:b w:val="1"/>
          <w:bCs w:val="1"/>
          <w:color w:val="auto"/>
        </w:rPr>
        <w:t>durable medical and surgical equipment deductible</w:t>
      </w:r>
      <w:r>
        <w:rPr>
          <w:rFonts w:ascii="Arial" w:cs="Arial" w:eastAsia="Arial" w:hAnsi="Arial"/>
          <w:sz w:val="16"/>
          <w:szCs w:val="16"/>
          <w:color w:val="auto"/>
        </w:rPr>
        <w:t xml:space="preserve">, </w:t>
      </w:r>
      <w:r>
        <w:rPr>
          <w:rFonts w:ascii="Arial" w:cs="Arial" w:eastAsia="Arial" w:hAnsi="Arial"/>
          <w:sz w:val="16"/>
          <w:szCs w:val="16"/>
          <w:b w:val="1"/>
          <w:bCs w:val="1"/>
          <w:color w:val="auto"/>
        </w:rPr>
        <w:t>coinsurance</w:t>
      </w:r>
      <w:r>
        <w:rPr>
          <w:rFonts w:ascii="Arial" w:cs="Arial" w:eastAsia="Arial" w:hAnsi="Arial"/>
          <w:sz w:val="16"/>
          <w:szCs w:val="16"/>
          <w:color w:val="auto"/>
        </w:rPr>
        <w:t xml:space="preserve"> and benefit maximums.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Also refer to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for information about Home and Mobility exclusions.</w:t>
      </w:r>
    </w:p>
    <w:p>
      <w:pPr>
        <w:sectPr>
          <w:pgSz w:w="11900" w:h="16838" w:orient="portrait"/>
          <w:cols w:equalWidth="0" w:num="1">
            <w:col w:w="11400"/>
          </w:cols>
          <w:pgMar w:left="260" w:top="427" w:right="239" w:bottom="1440" w:gutter="0" w:footer="0" w:header="0"/>
        </w:sectPr>
      </w:pPr>
    </w:p>
    <w:bookmarkStart w:id="210" w:name="page211"/>
    <w:bookmarkEnd w:id="210"/>
    <w:p>
      <w:pPr>
        <w:spacing w:after="0"/>
        <w:rPr>
          <w:sz w:val="20"/>
          <w:szCs w:val="20"/>
          <w:color w:val="auto"/>
        </w:rPr>
      </w:pPr>
      <w:r>
        <w:rPr>
          <w:rFonts w:ascii="Arial" w:cs="Arial" w:eastAsia="Arial" w:hAnsi="Arial"/>
          <w:sz w:val="25"/>
          <w:szCs w:val="25"/>
          <w:b w:val="1"/>
          <w:bCs w:val="1"/>
          <w:color w:val="auto"/>
        </w:rPr>
        <w:t>Experimental or Investigational Treatment</w:t>
      </w:r>
    </w:p>
    <w:p>
      <w:pPr>
        <w:spacing w:after="0" w:line="249" w:lineRule="exact"/>
        <w:rPr>
          <w:sz w:val="20"/>
          <w:szCs w:val="20"/>
          <w:color w:val="auto"/>
        </w:rPr>
      </w:pPr>
    </w:p>
    <w:p>
      <w:pPr>
        <w:ind w:right="300"/>
        <w:spacing w:after="0" w:line="299"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w:t>
      </w:r>
      <w:r>
        <w:rPr>
          <w:rFonts w:ascii="Arial" w:cs="Arial" w:eastAsia="Arial" w:hAnsi="Arial"/>
          <w:sz w:val="20"/>
          <w:szCs w:val="20"/>
          <w:b w:val="1"/>
          <w:bCs w:val="1"/>
          <w:color w:val="auto"/>
        </w:rPr>
        <w:t xml:space="preserve"> experimental or investigational </w:t>
      </w:r>
      <w:r>
        <w:rPr>
          <w:rFonts w:ascii="Arial" w:cs="Arial" w:eastAsia="Arial" w:hAnsi="Arial"/>
          <w:sz w:val="20"/>
          <w:szCs w:val="20"/>
          <w:color w:val="auto"/>
        </w:rPr>
        <w:t>drugs, devices, treatments or procedures, provided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all</w:t>
      </w:r>
      <w:r>
        <w:rPr>
          <w:rFonts w:ascii="Arial" w:cs="Arial" w:eastAsia="Arial" w:hAnsi="Arial"/>
          <w:sz w:val="20"/>
          <w:szCs w:val="20"/>
          <w:b w:val="1"/>
          <w:bCs w:val="1"/>
          <w:color w:val="auto"/>
        </w:rPr>
        <w:t xml:space="preserve"> </w:t>
      </w:r>
      <w:r>
        <w:rPr>
          <w:rFonts w:ascii="Arial" w:cs="Arial" w:eastAsia="Arial" w:hAnsi="Arial"/>
          <w:sz w:val="20"/>
          <w:szCs w:val="20"/>
          <w:color w:val="auto"/>
        </w:rPr>
        <w:t>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conditions are met:</w:t>
      </w:r>
    </w:p>
    <w:p>
      <w:pPr>
        <w:spacing w:after="0" w:line="180" w:lineRule="exact"/>
        <w:rPr>
          <w:sz w:val="20"/>
          <w:szCs w:val="20"/>
          <w:color w:val="auto"/>
        </w:rPr>
      </w:pPr>
    </w:p>
    <w:p>
      <w:pPr>
        <w:ind w:left="340" w:hanging="331"/>
        <w:spacing w:after="0"/>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You have been diagnosed with cancer or a condition likely to cause death within one year or less;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Standard therapies have not been effective or are inappropriate;</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Aetna </w:t>
      </w:r>
      <w:r>
        <w:rPr>
          <w:rFonts w:ascii="Arial" w:cs="Arial" w:eastAsia="Arial" w:hAnsi="Arial"/>
          <w:sz w:val="18"/>
          <w:szCs w:val="18"/>
          <w:color w:val="auto"/>
        </w:rPr>
        <w:t>determines, based on at least two documents of medical and scientific evidence, that you would likely benefit from the treatment;</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There is an ongoing clinical trial. You are enrolled in a clinical trial that meets these criteria:</w:t>
      </w:r>
    </w:p>
    <w:p>
      <w:pPr>
        <w:spacing w:after="0" w:line="8" w:lineRule="exact"/>
        <w:rPr>
          <w:rFonts w:ascii="Arial" w:cs="Arial" w:eastAsia="Arial" w:hAnsi="Arial"/>
          <w:sz w:val="20"/>
          <w:szCs w:val="20"/>
          <w:color w:val="auto"/>
        </w:rPr>
      </w:pPr>
    </w:p>
    <w:p>
      <w:pPr>
        <w:ind w:left="340" w:right="300" w:hanging="331"/>
        <w:spacing w:after="0" w:line="239" w:lineRule="auto"/>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drug, device, treatment or procedure to be investigated has been granted investigational new drug (IND) or Group c/treatment IND status;</w:t>
      </w:r>
    </w:p>
    <w:p>
      <w:pPr>
        <w:spacing w:after="0" w:line="1" w:lineRule="exact"/>
        <w:rPr>
          <w:rFonts w:ascii="Arial" w:cs="Arial" w:eastAsia="Arial" w:hAnsi="Arial"/>
          <w:sz w:val="20"/>
          <w:szCs w:val="20"/>
          <w:color w:val="auto"/>
        </w:rPr>
      </w:pPr>
    </w:p>
    <w:p>
      <w:pPr>
        <w:ind w:left="340" w:right="140" w:hanging="331"/>
        <w:spacing w:after="0" w:line="239" w:lineRule="auto"/>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clinical trial has passed independent scientific scrutiny and has been approved by an Institutional Review Board that will oversee the investigation;</w:t>
      </w:r>
    </w:p>
    <w:p>
      <w:pPr>
        <w:spacing w:after="0" w:line="1" w:lineRule="exact"/>
        <w:rPr>
          <w:rFonts w:ascii="Arial" w:cs="Arial" w:eastAsia="Arial" w:hAnsi="Arial"/>
          <w:sz w:val="20"/>
          <w:szCs w:val="20"/>
          <w:color w:val="auto"/>
        </w:rPr>
      </w:pPr>
    </w:p>
    <w:p>
      <w:pPr>
        <w:ind w:left="340" w:right="920" w:hanging="331"/>
        <w:spacing w:after="0" w:line="239" w:lineRule="auto"/>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clinical trial is sponsored by the National Cancer Institute (NCI) or similar national organization (such as the Food &amp; Drug Administration or the Department of Defense) and conforms to the NCI standards;</w:t>
      </w:r>
    </w:p>
    <w:p>
      <w:pPr>
        <w:spacing w:after="0" w:line="1" w:lineRule="exact"/>
        <w:rPr>
          <w:rFonts w:ascii="Arial" w:cs="Arial" w:eastAsia="Arial" w:hAnsi="Arial"/>
          <w:sz w:val="20"/>
          <w:szCs w:val="20"/>
          <w:color w:val="auto"/>
        </w:rPr>
      </w:pPr>
    </w:p>
    <w:p>
      <w:pPr>
        <w:ind w:left="340" w:right="200" w:hanging="331"/>
        <w:spacing w:after="0" w:line="239" w:lineRule="auto"/>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clinical trial is not a single institution or investigator study unless the clinical trial is performed at an NCI- designated cancer center; and</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You are treated in accordance with protocol.</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Pregnancy Related Expenses </w:t>
      </w:r>
      <w:r>
        <w:rPr>
          <w:rFonts w:ascii="Arial" w:cs="Arial" w:eastAsia="Arial" w:hAnsi="Arial"/>
          <w:sz w:val="14"/>
          <w:szCs w:val="14"/>
          <w:i w:val="1"/>
          <w:iCs w:val="1"/>
          <w:color w:val="auto"/>
        </w:rPr>
        <w:t>(GR-9N 11-100-01-VA)</w:t>
      </w:r>
    </w:p>
    <w:p>
      <w:pPr>
        <w:spacing w:after="0" w:line="299"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physician </w:t>
      </w:r>
      <w:r>
        <w:rPr>
          <w:rFonts w:ascii="Arial" w:cs="Arial" w:eastAsia="Arial" w:hAnsi="Arial"/>
          <w:sz w:val="20"/>
          <w:szCs w:val="20"/>
          <w:color w:val="auto"/>
        </w:rPr>
        <w:t>for pregnancy and childbirth services and supplies at the same level as any</w:t>
      </w:r>
      <w:r>
        <w:rPr>
          <w:rFonts w:ascii="Arial" w:cs="Arial" w:eastAsia="Arial" w:hAnsi="Arial"/>
          <w:sz w:val="20"/>
          <w:szCs w:val="20"/>
          <w:b w:val="1"/>
          <w:bCs w:val="1"/>
          <w:color w:val="auto"/>
        </w:rPr>
        <w:t xml:space="preserve"> illness </w:t>
      </w:r>
      <w:r>
        <w:rPr>
          <w:rFonts w:ascii="Arial" w:cs="Arial" w:eastAsia="Arial" w:hAnsi="Arial"/>
          <w:sz w:val="20"/>
          <w:szCs w:val="20"/>
          <w:color w:val="auto"/>
        </w:rPr>
        <w:t>or</w:t>
      </w:r>
      <w:r>
        <w:rPr>
          <w:rFonts w:ascii="Arial" w:cs="Arial" w:eastAsia="Arial" w:hAnsi="Arial"/>
          <w:sz w:val="20"/>
          <w:szCs w:val="20"/>
          <w:b w:val="1"/>
          <w:bCs w:val="1"/>
          <w:color w:val="auto"/>
        </w:rPr>
        <w:t xml:space="preserve"> injury</w:t>
      </w:r>
      <w:r>
        <w:rPr>
          <w:rFonts w:ascii="Arial" w:cs="Arial" w:eastAsia="Arial" w:hAnsi="Arial"/>
          <w:sz w:val="20"/>
          <w:szCs w:val="20"/>
          <w:color w:val="auto"/>
        </w:rPr>
        <w:t>. This includes prenatal visits, delivery and postnatal visits.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inpatient care of the mother and newborn child,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include charges made by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for a minimum of:</w:t>
      </w:r>
    </w:p>
    <w:p>
      <w:pPr>
        <w:spacing w:after="0" w:line="235" w:lineRule="exact"/>
        <w:rPr>
          <w:sz w:val="20"/>
          <w:szCs w:val="20"/>
          <w:color w:val="auto"/>
        </w:rPr>
      </w:pPr>
    </w:p>
    <w:p>
      <w:pPr>
        <w:ind w:left="340" w:hanging="331"/>
        <w:spacing w:after="0"/>
        <w:tabs>
          <w:tab w:leader="none" w:pos="34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48 hours after a vaginal delivery;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96 hours after a cesarean section.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A shorter stay, if the attending </w:t>
      </w:r>
      <w:r>
        <w:rPr>
          <w:rFonts w:ascii="Arial" w:cs="Arial" w:eastAsia="Arial" w:hAnsi="Arial"/>
          <w:sz w:val="20"/>
          <w:szCs w:val="20"/>
          <w:b w:val="1"/>
          <w:bCs w:val="1"/>
          <w:color w:val="auto"/>
        </w:rPr>
        <w:t>physician</w:t>
      </w:r>
      <w:r>
        <w:rPr>
          <w:rFonts w:ascii="Arial" w:cs="Arial" w:eastAsia="Arial" w:hAnsi="Arial"/>
          <w:sz w:val="20"/>
          <w:szCs w:val="20"/>
          <w:color w:val="auto"/>
        </w:rPr>
        <w:t>, with the consent of the mother, discharges the mother or newborn earlier.</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If the mother is discharged earlier, the plan will pay for 1 home health care visit scheduled to occur within 24 hours of discharge. An additional visit will be covered when prescribed by the provider. This benefit is in addition to the home health maximum number of visits, if any, shown on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No copayment or coinsurance will apply for these home health care visits.</w:t>
      </w:r>
    </w:p>
    <w:p>
      <w:pPr>
        <w:spacing w:after="0" w:line="191" w:lineRule="exact"/>
        <w:rPr>
          <w:sz w:val="20"/>
          <w:szCs w:val="20"/>
          <w:color w:val="auto"/>
        </w:rPr>
      </w:pPr>
    </w:p>
    <w:p>
      <w:pPr>
        <w:ind w:right="2500"/>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also include charges made by a</w:t>
      </w:r>
      <w:r>
        <w:rPr>
          <w:rFonts w:ascii="Arial" w:cs="Arial" w:eastAsia="Arial" w:hAnsi="Arial"/>
          <w:sz w:val="20"/>
          <w:szCs w:val="20"/>
          <w:b w:val="1"/>
          <w:bCs w:val="1"/>
          <w:color w:val="auto"/>
        </w:rPr>
        <w:t xml:space="preserve"> birthing center </w:t>
      </w:r>
      <w:r>
        <w:rPr>
          <w:rFonts w:ascii="Arial" w:cs="Arial" w:eastAsia="Arial" w:hAnsi="Arial"/>
          <w:sz w:val="20"/>
          <w:szCs w:val="20"/>
          <w:color w:val="auto"/>
        </w:rPr>
        <w:t>as described under Alternatives to</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Care.</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Note: </w:t>
      </w:r>
      <w:r>
        <w:rPr>
          <w:rFonts w:ascii="Arial" w:cs="Arial" w:eastAsia="Arial" w:hAnsi="Arial"/>
          <w:sz w:val="19"/>
          <w:szCs w:val="19"/>
          <w:b w:val="1"/>
          <w:bCs w:val="1"/>
          <w:color w:val="auto"/>
        </w:rPr>
        <w:t>Covered expenses</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also include services and supplies provided for circumcision of the newborn during the stay.</w:t>
      </w:r>
    </w:p>
    <w:p>
      <w:pPr>
        <w:sectPr>
          <w:pgSz w:w="11900" w:h="16838" w:orient="portrait"/>
          <w:cols w:equalWidth="0" w:num="1">
            <w:col w:w="11340"/>
          </w:cols>
          <w:pgMar w:left="320" w:top="427" w:right="239" w:bottom="1440" w:gutter="0" w:footer="0" w:header="0"/>
        </w:sectPr>
      </w:pPr>
    </w:p>
    <w:bookmarkStart w:id="211" w:name="page212"/>
    <w:bookmarkEnd w:id="211"/>
    <w:p>
      <w:pPr>
        <w:spacing w:after="0"/>
        <w:rPr>
          <w:sz w:val="20"/>
          <w:szCs w:val="20"/>
          <w:color w:val="auto"/>
        </w:rPr>
      </w:pPr>
      <w:r>
        <w:rPr>
          <w:rFonts w:ascii="Arial" w:cs="Arial" w:eastAsia="Arial" w:hAnsi="Arial"/>
          <w:sz w:val="32"/>
          <w:szCs w:val="32"/>
          <w:b w:val="1"/>
          <w:bCs w:val="1"/>
          <w:color w:val="auto"/>
        </w:rPr>
        <w:t xml:space="preserve">Prosthetic Devices </w:t>
      </w:r>
      <w:r>
        <w:rPr>
          <w:rFonts w:ascii="Arial" w:cs="Arial" w:eastAsia="Arial" w:hAnsi="Arial"/>
          <w:sz w:val="14"/>
          <w:szCs w:val="14"/>
          <w:i w:val="1"/>
          <w:iCs w:val="1"/>
          <w:color w:val="auto"/>
        </w:rPr>
        <w:t>(GR-9N-11-110-02 VA)</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Prosthetic Device</w:t>
      </w:r>
      <w:r>
        <w:rPr>
          <w:rFonts w:ascii="Arial" w:cs="Arial" w:eastAsia="Arial" w:hAnsi="Arial"/>
          <w:sz w:val="20"/>
          <w:szCs w:val="20"/>
          <w:color w:val="auto"/>
        </w:rPr>
        <w:t xml:space="preserve"> means: an artificial device to replace, in whole or in part, a limb.</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Limb</w:t>
      </w:r>
      <w:r>
        <w:rPr>
          <w:rFonts w:ascii="Arial" w:cs="Arial" w:eastAsia="Arial" w:hAnsi="Arial"/>
          <w:sz w:val="20"/>
          <w:szCs w:val="20"/>
          <w:color w:val="auto"/>
        </w:rPr>
        <w:t xml:space="preserve"> means: an arm, a hand, a leg, a foot or any portion of an arm, a hand, a leg or a foot.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Component</w:t>
      </w:r>
      <w:r>
        <w:rPr>
          <w:rFonts w:ascii="Arial" w:cs="Arial" w:eastAsia="Arial" w:hAnsi="Arial"/>
          <w:sz w:val="20"/>
          <w:szCs w:val="20"/>
          <w:color w:val="auto"/>
        </w:rPr>
        <w:t xml:space="preserve"> means: the materials and equipment needed to ensure the comfort and functioning of a prosthetic device.</w:t>
      </w:r>
    </w:p>
    <w:p>
      <w:pPr>
        <w:spacing w:after="0" w:line="22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made for medically necessary prosthetic devices, including their repair, fitting and replacement and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appliances, if the prosthetic device or appliance improves or restores body part function that has been lost or damaged by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w:t>
      </w:r>
      <w:r>
        <w:rPr>
          <w:rFonts w:ascii="Arial" w:cs="Arial" w:eastAsia="Arial" w:hAnsi="Arial"/>
          <w:sz w:val="18"/>
          <w:szCs w:val="18"/>
          <w:b w:val="1"/>
          <w:bCs w:val="1"/>
          <w:color w:val="auto"/>
        </w:rPr>
        <w:t>injury</w:t>
      </w:r>
      <w:r>
        <w:rPr>
          <w:rFonts w:ascii="Arial" w:cs="Arial" w:eastAsia="Arial" w:hAnsi="Arial"/>
          <w:sz w:val="18"/>
          <w:szCs w:val="18"/>
          <w:color w:val="auto"/>
        </w:rPr>
        <w:t xml:space="preserve"> or congenital defect. </w:t>
      </w:r>
      <w:r>
        <w:rPr>
          <w:rFonts w:ascii="Arial" w:cs="Arial" w:eastAsia="Arial" w:hAnsi="Arial"/>
          <w:sz w:val="18"/>
          <w:szCs w:val="18"/>
          <w:b w:val="1"/>
          <w:bCs w:val="1"/>
          <w:color w:val="auto"/>
        </w:rPr>
        <w:t>Covered expenses</w:t>
      </w:r>
      <w:r>
        <w:rPr>
          <w:rFonts w:ascii="Arial" w:cs="Arial" w:eastAsia="Arial" w:hAnsi="Arial"/>
          <w:sz w:val="18"/>
          <w:szCs w:val="18"/>
          <w:color w:val="auto"/>
        </w:rPr>
        <w:t xml:space="preserve"> also include instruction and incidental supplies needed to use a covered prosthetic device.</w:t>
      </w:r>
    </w:p>
    <w:p>
      <w:pPr>
        <w:spacing w:after="0" w:line="16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The plan also covers the first prosthesis, other than a limb, you need that temporarily or permanently replaces all or part of a body part lost or impaired as a result of disease or injury or congenital defects as described in the list of covered devices below for an:</w:t>
      </w:r>
    </w:p>
    <w:p>
      <w:pPr>
        <w:spacing w:after="0" w:line="166" w:lineRule="exact"/>
        <w:rPr>
          <w:sz w:val="20"/>
          <w:szCs w:val="20"/>
          <w:color w:val="auto"/>
        </w:rPr>
      </w:pPr>
    </w:p>
    <w:p>
      <w:pPr>
        <w:ind w:left="340" w:hanging="331"/>
        <w:spacing w:after="0"/>
        <w:tabs>
          <w:tab w:leader="none" w:pos="3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Internal body part or organ;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External body part.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list of covered devices and appliances includes but is not limited to:</w:t>
      </w:r>
    </w:p>
    <w:p>
      <w:pPr>
        <w:spacing w:after="0" w:line="216" w:lineRule="exact"/>
        <w:rPr>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 limb or artificial eye;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Eye lens;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An external breast prosthesis and the first bra made solely for use with it after a mastectomy;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 breast implant after a mastectomy;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Ostomy supplies, urinary catheters and external urinary collection devices;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Speech generating device;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 cardiac pacemaker and pacemaker defibrillators;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 durable brace that is custom made for and fitted for you.</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plan will not cover expenses and charges for, or expenses related to:</w:t>
      </w:r>
    </w:p>
    <w:p>
      <w:pPr>
        <w:spacing w:after="0" w:line="216" w:lineRule="exact"/>
        <w:rPr>
          <w:sz w:val="20"/>
          <w:szCs w:val="20"/>
          <w:color w:val="auto"/>
        </w:rPr>
      </w:pPr>
    </w:p>
    <w:p>
      <w:pPr>
        <w:ind w:left="340" w:right="160" w:hanging="331"/>
        <w:spacing w:after="0" w:line="250" w:lineRule="auto"/>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Orthopedic shoes, therapeutic shoes, foot orthotics, or other devices to support the feet, unless required for the treatment of or to prevent complications of diabetes; or if the orthopedic shoe is an integral part of a covered leg brace; or</w:t>
      </w:r>
    </w:p>
    <w:p>
      <w:pPr>
        <w:ind w:left="340" w:hanging="331"/>
        <w:spacing w:after="0"/>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Trusses, corsets, and other support items;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repair or replacement of any device due to neglect, misuse or abuse.</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any item listed in the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section.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Hearing Aids </w:t>
      </w:r>
      <w:r>
        <w:rPr>
          <w:rFonts w:ascii="Arial" w:cs="Arial" w:eastAsia="Arial" w:hAnsi="Arial"/>
          <w:sz w:val="14"/>
          <w:szCs w:val="14"/>
          <w:i w:val="1"/>
          <w:iCs w:val="1"/>
          <w:color w:val="auto"/>
        </w:rPr>
        <w:t>(GR-9N-26-005-01)</w:t>
      </w:r>
    </w:p>
    <w:p>
      <w:pPr>
        <w:spacing w:after="0" w:line="56" w:lineRule="exact"/>
        <w:rPr>
          <w:sz w:val="20"/>
          <w:szCs w:val="20"/>
          <w:color w:val="auto"/>
        </w:rPr>
      </w:pPr>
    </w:p>
    <w:p>
      <w:pPr>
        <w:ind w:right="1020"/>
        <w:spacing w:after="0" w:line="260" w:lineRule="auto"/>
        <w:rPr>
          <w:sz w:val="20"/>
          <w:szCs w:val="20"/>
          <w:color w:val="auto"/>
        </w:rPr>
      </w:pPr>
      <w:r>
        <w:rPr>
          <w:rFonts w:ascii="Arial" w:cs="Arial" w:eastAsia="Arial" w:hAnsi="Arial"/>
          <w:sz w:val="20"/>
          <w:szCs w:val="20"/>
          <w:color w:val="auto"/>
        </w:rPr>
        <w:t xml:space="preserve">Covered hearing care expenses include charges for electronic hearing aids (monaural and binaural), installed in accordance with a </w:t>
      </w:r>
      <w:r>
        <w:rPr>
          <w:rFonts w:ascii="Arial" w:cs="Arial" w:eastAsia="Arial" w:hAnsi="Arial"/>
          <w:sz w:val="20"/>
          <w:szCs w:val="20"/>
          <w:b w:val="1"/>
          <w:bCs w:val="1"/>
          <w:color w:val="auto"/>
        </w:rPr>
        <w:t xml:space="preserve">prescription </w:t>
      </w:r>
      <w:r>
        <w:rPr>
          <w:rFonts w:ascii="Arial" w:cs="Arial" w:eastAsia="Arial" w:hAnsi="Arial"/>
          <w:sz w:val="20"/>
          <w:szCs w:val="20"/>
          <w:color w:val="auto"/>
        </w:rPr>
        <w:t>written during a covered hearing exam.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Benefits are payable up to the hearing supply maximum listed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w:t>
      </w:r>
    </w:p>
    <w:p>
      <w:pPr>
        <w:spacing w:after="0" w:line="237" w:lineRule="exact"/>
        <w:rPr>
          <w:sz w:val="20"/>
          <w:szCs w:val="20"/>
          <w:color w:val="auto"/>
        </w:rPr>
      </w:pPr>
    </w:p>
    <w:p>
      <w:pPr>
        <w:ind w:right="2400"/>
        <w:spacing w:after="0" w:line="267" w:lineRule="auto"/>
        <w:rPr>
          <w:sz w:val="20"/>
          <w:szCs w:val="20"/>
          <w:color w:val="auto"/>
        </w:rPr>
      </w:pPr>
      <w:r>
        <w:rPr>
          <w:rFonts w:ascii="Arial" w:cs="Arial" w:eastAsia="Arial" w:hAnsi="Arial"/>
          <w:sz w:val="20"/>
          <w:szCs w:val="20"/>
          <w:color w:val="auto"/>
        </w:rPr>
        <w:t xml:space="preserve">All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are subject to the hearing expense exclusions in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and are subject to </w:t>
      </w:r>
      <w:r>
        <w:rPr>
          <w:rFonts w:ascii="Arial" w:cs="Arial" w:eastAsia="Arial" w:hAnsi="Arial"/>
          <w:sz w:val="20"/>
          <w:szCs w:val="20"/>
          <w:b w:val="1"/>
          <w:bCs w:val="1"/>
          <w:color w:val="auto"/>
        </w:rPr>
        <w:t>deductible(s)</w:t>
      </w:r>
      <w:r>
        <w:rPr>
          <w:rFonts w:ascii="Arial" w:cs="Arial" w:eastAsia="Arial" w:hAnsi="Arial"/>
          <w:sz w:val="20"/>
          <w:szCs w:val="20"/>
          <w:color w:val="auto"/>
        </w:rPr>
        <w:t>,</w:t>
      </w:r>
      <w:r>
        <w:rPr>
          <w:rFonts w:ascii="Arial" w:cs="Arial" w:eastAsia="Arial" w:hAnsi="Arial"/>
          <w:sz w:val="20"/>
          <w:szCs w:val="20"/>
          <w:b w:val="1"/>
          <w:bCs w:val="1"/>
          <w:color w:val="auto"/>
        </w:rPr>
        <w:t xml:space="preserve"> copayments </w:t>
      </w:r>
      <w:r>
        <w:rPr>
          <w:rFonts w:ascii="Arial" w:cs="Arial" w:eastAsia="Arial" w:hAnsi="Arial"/>
          <w:sz w:val="20"/>
          <w:szCs w:val="20"/>
          <w:color w:val="auto"/>
        </w:rPr>
        <w:t>or</w:t>
      </w:r>
      <w:r>
        <w:rPr>
          <w:rFonts w:ascii="Arial" w:cs="Arial" w:eastAsia="Arial" w:hAnsi="Arial"/>
          <w:sz w:val="20"/>
          <w:szCs w:val="20"/>
          <w:b w:val="1"/>
          <w:bCs w:val="1"/>
          <w:color w:val="auto"/>
        </w:rPr>
        <w:t xml:space="preserve"> coinsurance </w:t>
      </w:r>
      <w:r>
        <w:rPr>
          <w:rFonts w:ascii="Arial" w:cs="Arial" w:eastAsia="Arial" w:hAnsi="Arial"/>
          <w:sz w:val="20"/>
          <w:szCs w:val="20"/>
          <w:color w:val="auto"/>
        </w:rPr>
        <w:t>listed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Schedule of Benefits</w:t>
      </w:r>
      <w:r>
        <w:rPr>
          <w:rFonts w:ascii="Arial" w:cs="Arial" w:eastAsia="Arial" w:hAnsi="Arial"/>
          <w:sz w:val="20"/>
          <w:szCs w:val="20"/>
          <w:color w:val="auto"/>
        </w:rPr>
        <w:t>, if any.</w:t>
      </w:r>
    </w:p>
    <w:p>
      <w:pPr>
        <w:sectPr>
          <w:pgSz w:w="11900" w:h="16838" w:orient="portrait"/>
          <w:cols w:equalWidth="0" w:num="1">
            <w:col w:w="11300"/>
          </w:cols>
          <w:pgMar w:left="320" w:top="422" w:right="279" w:bottom="1440" w:gutter="0" w:footer="0" w:header="0"/>
        </w:sectPr>
      </w:pPr>
    </w:p>
    <w:bookmarkStart w:id="212" w:name="page213"/>
    <w:bookmarkEnd w:id="212"/>
    <w:p>
      <w:pPr>
        <w:spacing w:after="0"/>
        <w:rPr>
          <w:sz w:val="20"/>
          <w:szCs w:val="20"/>
          <w:color w:val="auto"/>
        </w:rPr>
      </w:pPr>
      <w:r>
        <w:rPr>
          <w:rFonts w:ascii="Arial" w:cs="Arial" w:eastAsia="Arial" w:hAnsi="Arial"/>
          <w:sz w:val="25"/>
          <w:szCs w:val="25"/>
          <w:b w:val="1"/>
          <w:bCs w:val="1"/>
          <w:color w:val="auto"/>
        </w:rPr>
        <w:t>Benefits After Termination of Coverage</w:t>
      </w:r>
    </w:p>
    <w:p>
      <w:pPr>
        <w:spacing w:after="0" w:line="3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Expenses incurred for hearing aids within 30 days of termination of the person’s coverage under this benefit section will be deemed to be covered hearing care expenses if during the 30 days before the date coverage ends:</w:t>
      </w:r>
    </w:p>
    <w:p>
      <w:pPr>
        <w:spacing w:after="0" w:line="213" w:lineRule="exact"/>
        <w:rPr>
          <w:sz w:val="20"/>
          <w:szCs w:val="20"/>
          <w:color w:val="auto"/>
        </w:rPr>
      </w:pPr>
    </w:p>
    <w:p>
      <w:pPr>
        <w:ind w:left="340" w:hanging="331"/>
        <w:spacing w:after="0"/>
        <w:tabs>
          <w:tab w:leader="none" w:pos="3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for the hearing aid was written; and</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hearing aid was ordered.</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Short-Term Rehabilitation Therapy Services </w:t>
      </w:r>
      <w:r>
        <w:rPr>
          <w:rFonts w:ascii="Arial" w:cs="Arial" w:eastAsia="Arial" w:hAnsi="Arial"/>
          <w:sz w:val="14"/>
          <w:szCs w:val="14"/>
          <w:i w:val="1"/>
          <w:iCs w:val="1"/>
          <w:color w:val="auto"/>
        </w:rPr>
        <w:t>(GR-9N 11-120-01 VA)</w:t>
      </w:r>
    </w:p>
    <w:p>
      <w:pPr>
        <w:spacing w:after="0" w:line="299" w:lineRule="exact"/>
        <w:rPr>
          <w:sz w:val="20"/>
          <w:szCs w:val="20"/>
          <w:color w:val="auto"/>
        </w:rPr>
      </w:pPr>
    </w:p>
    <w:p>
      <w:pPr>
        <w:ind w:right="540"/>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short-term therapy services when prescribed by a</w:t>
      </w:r>
      <w:r>
        <w:rPr>
          <w:rFonts w:ascii="Arial" w:cs="Arial" w:eastAsia="Arial" w:hAnsi="Arial"/>
          <w:sz w:val="20"/>
          <w:szCs w:val="20"/>
          <w:b w:val="1"/>
          <w:bCs w:val="1"/>
          <w:color w:val="auto"/>
        </w:rPr>
        <w:t xml:space="preserve"> physician </w:t>
      </w:r>
      <w:r>
        <w:rPr>
          <w:rFonts w:ascii="Arial" w:cs="Arial" w:eastAsia="Arial" w:hAnsi="Arial"/>
          <w:sz w:val="20"/>
          <w:szCs w:val="20"/>
          <w:color w:val="auto"/>
        </w:rPr>
        <w:t>as described below up to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maximums listed on your </w:t>
      </w:r>
      <w:r>
        <w:rPr>
          <w:rFonts w:ascii="Arial" w:cs="Arial" w:eastAsia="Arial" w:hAnsi="Arial"/>
          <w:sz w:val="20"/>
          <w:szCs w:val="20"/>
          <w:i w:val="1"/>
          <w:iCs w:val="1"/>
          <w:color w:val="auto"/>
        </w:rPr>
        <w:t>Schedule of Benefits</w:t>
      </w:r>
      <w:r>
        <w:rPr>
          <w:rFonts w:ascii="Arial" w:cs="Arial" w:eastAsia="Arial" w:hAnsi="Arial"/>
          <w:sz w:val="20"/>
          <w:szCs w:val="20"/>
          <w:color w:val="auto"/>
        </w:rPr>
        <w:t>. The services have to be performed by:</w:t>
      </w:r>
    </w:p>
    <w:p>
      <w:pPr>
        <w:spacing w:after="0" w:line="170" w:lineRule="exact"/>
        <w:rPr>
          <w:sz w:val="20"/>
          <w:szCs w:val="20"/>
          <w:color w:val="auto"/>
        </w:rPr>
      </w:pPr>
    </w:p>
    <w:p>
      <w:pPr>
        <w:ind w:left="340" w:hanging="331"/>
        <w:spacing w:after="0"/>
        <w:tabs>
          <w:tab w:leader="none" w:pos="3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 licensed or certified physical, occupational or speech therapist;</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or </w:t>
      </w:r>
      <w:r>
        <w:rPr>
          <w:rFonts w:ascii="Arial" w:cs="Arial" w:eastAsia="Arial" w:hAnsi="Arial"/>
          <w:sz w:val="20"/>
          <w:szCs w:val="20"/>
          <w:b w:val="1"/>
          <w:bCs w:val="1"/>
          <w:color w:val="auto"/>
        </w:rPr>
        <w:t>hospice facility</w:t>
      </w:r>
      <w:r>
        <w:rPr>
          <w:rFonts w:ascii="Arial" w:cs="Arial" w:eastAsia="Arial" w:hAnsi="Arial"/>
          <w:sz w:val="20"/>
          <w:szCs w:val="20"/>
          <w:color w:val="auto"/>
        </w:rPr>
        <w:t>;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Charges for the following short term rehabilitation expenses are covered: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Cardiac and Pulmonary Rehabilitation Benefits</w:t>
      </w:r>
      <w:r>
        <w:rPr>
          <w:rFonts w:ascii="Arial" w:cs="Arial" w:eastAsia="Arial" w:hAnsi="Arial"/>
          <w:sz w:val="19"/>
          <w:szCs w:val="19"/>
          <w:color w:val="auto"/>
        </w:rPr>
        <w:t>.</w:t>
      </w:r>
    </w:p>
    <w:p>
      <w:pPr>
        <w:spacing w:after="0" w:line="77" w:lineRule="exact"/>
        <w:rPr>
          <w:sz w:val="20"/>
          <w:szCs w:val="20"/>
          <w:color w:val="auto"/>
        </w:rPr>
      </w:pPr>
    </w:p>
    <w:p>
      <w:pPr>
        <w:ind w:left="340" w:hanging="331"/>
        <w:spacing w:after="0" w:line="245" w:lineRule="auto"/>
        <w:tabs>
          <w:tab w:leader="none" w:pos="3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 xml:space="preserve">Cardiac rehabilitation benefits are available as part of an inpatient </w:t>
      </w:r>
      <w:r>
        <w:rPr>
          <w:rFonts w:ascii="Arial" w:cs="Arial" w:eastAsia="Arial" w:hAnsi="Arial"/>
          <w:sz w:val="20"/>
          <w:szCs w:val="20"/>
          <w:b w:val="1"/>
          <w:bCs w:val="1"/>
          <w:color w:val="auto"/>
        </w:rPr>
        <w:t>hospital stay</w:t>
      </w:r>
      <w:r>
        <w:rPr>
          <w:rFonts w:ascii="Arial" w:cs="Arial" w:eastAsia="Arial" w:hAnsi="Arial"/>
          <w:sz w:val="20"/>
          <w:szCs w:val="20"/>
          <w:color w:val="auto"/>
        </w:rPr>
        <w:t>. A limited course of outpatient cardiac rehabilitation is covered when following angioplasty, cardiovascular surgery, congestive heart failure or myocardial infarction. The plan will cover charges in accordance with a treatment plan as determined by your risk level when recommended by a physician. This course of treatment is limited to a maximum of 36 sessions in a 12 week period.</w:t>
      </w:r>
    </w:p>
    <w:p>
      <w:pPr>
        <w:spacing w:after="0" w:line="1" w:lineRule="exact"/>
        <w:rPr>
          <w:rFonts w:ascii="Arial" w:cs="Arial" w:eastAsia="Arial" w:hAnsi="Arial"/>
          <w:sz w:val="20"/>
          <w:szCs w:val="20"/>
          <w:color w:val="auto"/>
        </w:rPr>
      </w:pPr>
    </w:p>
    <w:p>
      <w:pPr>
        <w:ind w:left="340" w:right="140" w:hanging="331"/>
        <w:spacing w:after="0" w:line="241" w:lineRule="auto"/>
        <w:tabs>
          <w:tab w:leader="none" w:pos="3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 xml:space="preserve">Pulmonary rehabilitation benefits are available as part of an inpatient </w:t>
      </w:r>
      <w:r>
        <w:rPr>
          <w:rFonts w:ascii="Arial" w:cs="Arial" w:eastAsia="Arial" w:hAnsi="Arial"/>
          <w:sz w:val="20"/>
          <w:szCs w:val="20"/>
          <w:b w:val="1"/>
          <w:bCs w:val="1"/>
          <w:color w:val="auto"/>
        </w:rPr>
        <w:t>hospital stay</w:t>
      </w:r>
      <w:r>
        <w:rPr>
          <w:rFonts w:ascii="Arial" w:cs="Arial" w:eastAsia="Arial" w:hAnsi="Arial"/>
          <w:sz w:val="20"/>
          <w:szCs w:val="20"/>
          <w:color w:val="auto"/>
        </w:rPr>
        <w:t>. A limited course of outpatient pulmonary rehabilitation is covered for the treatment of reversible pulmonary disease states. This course of treatment is limited to a maximum of 36 hours or a six week period.</w:t>
      </w:r>
    </w:p>
    <w:p>
      <w:pPr>
        <w:spacing w:after="0" w:line="190" w:lineRule="exact"/>
        <w:rPr>
          <w:sz w:val="20"/>
          <w:szCs w:val="20"/>
          <w:color w:val="auto"/>
        </w:rPr>
      </w:pPr>
    </w:p>
    <w:p>
      <w:pPr>
        <w:ind w:right="1220"/>
        <w:spacing w:after="0" w:line="257" w:lineRule="auto"/>
        <w:rPr>
          <w:sz w:val="20"/>
          <w:szCs w:val="20"/>
          <w:color w:val="auto"/>
        </w:rPr>
      </w:pPr>
      <w:r>
        <w:rPr>
          <w:rFonts w:ascii="Arial" w:cs="Arial" w:eastAsia="Arial" w:hAnsi="Arial"/>
          <w:sz w:val="25"/>
          <w:szCs w:val="25"/>
          <w:b w:val="1"/>
          <w:bCs w:val="1"/>
          <w:color w:val="auto"/>
        </w:rPr>
        <w:t>Outpatient Cognitive Therapy, Physical Therapy, Occupational Therapy and Speech Therapy Rehabilitation Benefits</w:t>
      </w:r>
      <w:r>
        <w:rPr>
          <w:rFonts w:ascii="Arial" w:cs="Arial" w:eastAsia="Arial" w:hAnsi="Arial"/>
          <w:sz w:val="25"/>
          <w:szCs w:val="25"/>
          <w:color w:val="auto"/>
        </w:rPr>
        <w:t>.</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 xml:space="preserve">Coverage is subject to the limits, if any, shown on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Inpatient rehabilitation benefits for the services listed will be paid as part of your Inpatient Hospital and Skilled Nursing Facility benefits provision in this </w:t>
      </w:r>
      <w:r>
        <w:rPr>
          <w:rFonts w:ascii="Arial" w:cs="Arial" w:eastAsia="Arial" w:hAnsi="Arial"/>
          <w:sz w:val="20"/>
          <w:szCs w:val="20"/>
          <w:b w:val="1"/>
          <w:bCs w:val="1"/>
          <w:color w:val="auto"/>
        </w:rPr>
        <w:t>Booklet-Certificate</w:t>
      </w:r>
      <w:r>
        <w:rPr>
          <w:rFonts w:ascii="Arial" w:cs="Arial" w:eastAsia="Arial" w:hAnsi="Arial"/>
          <w:sz w:val="20"/>
          <w:szCs w:val="20"/>
          <w:color w:val="auto"/>
        </w:rPr>
        <w:t>.</w:t>
      </w:r>
    </w:p>
    <w:p>
      <w:pPr>
        <w:spacing w:after="0" w:line="186" w:lineRule="exact"/>
        <w:rPr>
          <w:sz w:val="20"/>
          <w:szCs w:val="20"/>
          <w:color w:val="auto"/>
        </w:rPr>
      </w:pPr>
    </w:p>
    <w:p>
      <w:pPr>
        <w:ind w:left="340" w:right="440" w:hanging="331"/>
        <w:spacing w:after="0" w:line="260" w:lineRule="auto"/>
        <w:tabs>
          <w:tab w:leader="none" w:pos="3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Physical therapy is covered for non-chronic conditions and acute </w:t>
      </w:r>
      <w:r>
        <w:rPr>
          <w:rFonts w:ascii="Arial" w:cs="Arial" w:eastAsia="Arial" w:hAnsi="Arial"/>
          <w:sz w:val="19"/>
          <w:szCs w:val="19"/>
          <w:b w:val="1"/>
          <w:bCs w:val="1"/>
          <w:color w:val="auto"/>
        </w:rPr>
        <w:t>illnesses</w:t>
      </w:r>
      <w:r>
        <w:rPr>
          <w:rFonts w:ascii="Arial" w:cs="Arial" w:eastAsia="Arial" w:hAnsi="Arial"/>
          <w:sz w:val="19"/>
          <w:szCs w:val="19"/>
          <w:color w:val="auto"/>
        </w:rPr>
        <w:t xml:space="preserve"> and </w:t>
      </w:r>
      <w:r>
        <w:rPr>
          <w:rFonts w:ascii="Arial" w:cs="Arial" w:eastAsia="Arial" w:hAnsi="Arial"/>
          <w:sz w:val="19"/>
          <w:szCs w:val="19"/>
          <w:b w:val="1"/>
          <w:bCs w:val="1"/>
          <w:color w:val="auto"/>
        </w:rPr>
        <w:t>injuries</w:t>
      </w:r>
      <w:r>
        <w:rPr>
          <w:rFonts w:ascii="Arial" w:cs="Arial" w:eastAsia="Arial" w:hAnsi="Arial"/>
          <w:sz w:val="19"/>
          <w:szCs w:val="19"/>
          <w:color w:val="auto"/>
        </w:rPr>
        <w:t xml:space="preserve">, provided the therapy expects to significantly improve, develop or restore physical functions lost or impaired as a result of an acute </w:t>
      </w:r>
      <w:r>
        <w:rPr>
          <w:rFonts w:ascii="Arial" w:cs="Arial" w:eastAsia="Arial" w:hAnsi="Arial"/>
          <w:sz w:val="19"/>
          <w:szCs w:val="19"/>
          <w:b w:val="1"/>
          <w:bCs w:val="1"/>
          <w:color w:val="auto"/>
        </w:rPr>
        <w:t>illness</w:t>
      </w:r>
      <w:r>
        <w:rPr>
          <w:rFonts w:ascii="Arial" w:cs="Arial" w:eastAsia="Arial" w:hAnsi="Arial"/>
          <w:sz w:val="19"/>
          <w:szCs w:val="19"/>
          <w:color w:val="auto"/>
        </w:rPr>
        <w:t xml:space="preserve">, </w:t>
      </w:r>
      <w:r>
        <w:rPr>
          <w:rFonts w:ascii="Arial" w:cs="Arial" w:eastAsia="Arial" w:hAnsi="Arial"/>
          <w:sz w:val="19"/>
          <w:szCs w:val="19"/>
          <w:b w:val="1"/>
          <w:bCs w:val="1"/>
          <w:color w:val="auto"/>
        </w:rPr>
        <w:t>injury</w:t>
      </w:r>
      <w:r>
        <w:rPr>
          <w:rFonts w:ascii="Arial" w:cs="Arial" w:eastAsia="Arial" w:hAnsi="Arial"/>
          <w:sz w:val="19"/>
          <w:szCs w:val="19"/>
          <w:color w:val="auto"/>
        </w:rPr>
        <w:t xml:space="preserve"> or surgical procedure. Physical therapy does not include educational training or services designed to develop physical function.</w:t>
      </w:r>
    </w:p>
    <w:p>
      <w:pPr>
        <w:ind w:left="340" w:right="140" w:hanging="331"/>
        <w:spacing w:after="0" w:line="266" w:lineRule="auto"/>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Occupational therapy (except for vocational rehabilitation or employment counseling) is covered for non-chronic conditions and acute </w:t>
      </w:r>
      <w:r>
        <w:rPr>
          <w:rFonts w:ascii="Arial" w:cs="Arial" w:eastAsia="Arial" w:hAnsi="Arial"/>
          <w:sz w:val="18"/>
          <w:szCs w:val="18"/>
          <w:b w:val="1"/>
          <w:bCs w:val="1"/>
          <w:color w:val="auto"/>
        </w:rPr>
        <w:t xml:space="preserve">illnesses </w:t>
      </w:r>
      <w:r>
        <w:rPr>
          <w:rFonts w:ascii="Arial" w:cs="Arial" w:eastAsia="Arial" w:hAnsi="Arial"/>
          <w:sz w:val="18"/>
          <w:szCs w:val="18"/>
          <w:color w:val="auto"/>
        </w:rPr>
        <w:t>and</w:t>
      </w:r>
      <w:r>
        <w:rPr>
          <w:rFonts w:ascii="Arial" w:cs="Arial" w:eastAsia="Arial" w:hAnsi="Arial"/>
          <w:sz w:val="18"/>
          <w:szCs w:val="18"/>
          <w:b w:val="1"/>
          <w:bCs w:val="1"/>
          <w:color w:val="auto"/>
        </w:rPr>
        <w:t xml:space="preserve"> injuries</w:t>
      </w:r>
      <w:r>
        <w:rPr>
          <w:rFonts w:ascii="Arial" w:cs="Arial" w:eastAsia="Arial" w:hAnsi="Arial"/>
          <w:sz w:val="18"/>
          <w:szCs w:val="18"/>
          <w:color w:val="auto"/>
        </w:rPr>
        <w:t>, provided the therapy expects to significantly improve, develop or restore physical functions lost or impaired as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of an acute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w:t>
      </w:r>
      <w:r>
        <w:rPr>
          <w:rFonts w:ascii="Arial" w:cs="Arial" w:eastAsia="Arial" w:hAnsi="Arial"/>
          <w:sz w:val="18"/>
          <w:szCs w:val="18"/>
          <w:b w:val="1"/>
          <w:bCs w:val="1"/>
          <w:color w:val="auto"/>
        </w:rPr>
        <w:t>injury</w:t>
      </w:r>
      <w:r>
        <w:rPr>
          <w:rFonts w:ascii="Arial" w:cs="Arial" w:eastAsia="Arial" w:hAnsi="Arial"/>
          <w:sz w:val="18"/>
          <w:szCs w:val="18"/>
          <w:color w:val="auto"/>
        </w:rPr>
        <w:t xml:space="preserve"> or surgical procedure, or to relearn skills to significantly improve independence in the activities of daily living. Occupational therapy does not include educational training or services designed to develop physical function.</w:t>
      </w:r>
    </w:p>
    <w:p>
      <w:pPr>
        <w:ind w:left="340" w:right="60" w:hanging="331"/>
        <w:spacing w:after="0" w:line="239" w:lineRule="auto"/>
        <w:tabs>
          <w:tab w:leader="none" w:pos="3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Speech therapy is covered for non-chronic conditions and acute illnesses and injuries and expected to restore the speech function or correct a speech impairment resulting from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or for delays in speech function development as a result of a gross anatomical defect present at birth. Speech function is the ability to express thoughts, speak words and form sentences. Speech impairment is difficulty with expressing one’s thoughts with spoken words.</w:t>
      </w:r>
    </w:p>
    <w:p>
      <w:pPr>
        <w:spacing w:after="0" w:line="2" w:lineRule="exact"/>
        <w:rPr>
          <w:rFonts w:ascii="Arial" w:cs="Arial" w:eastAsia="Arial" w:hAnsi="Arial"/>
          <w:sz w:val="20"/>
          <w:szCs w:val="20"/>
          <w:color w:val="auto"/>
        </w:rPr>
      </w:pPr>
    </w:p>
    <w:p>
      <w:pPr>
        <w:ind w:left="340" w:right="500" w:hanging="331"/>
        <w:spacing w:after="0" w:line="241" w:lineRule="auto"/>
        <w:tabs>
          <w:tab w:leader="none" w:pos="3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Cognitive therapy associated with physical rehabilitation is covered when the cognitive deficits have been acquired as a result of neurologic impairment due to trauma, stroke, or encephalopathy, and when the therapy is part of a treatment plan intended to restore previous cognitive function.</w:t>
      </w:r>
    </w:p>
    <w:p>
      <w:pPr>
        <w:sectPr>
          <w:pgSz w:w="11900" w:h="16838" w:orient="portrait"/>
          <w:cols w:equalWidth="0" w:num="1">
            <w:col w:w="11300"/>
          </w:cols>
          <w:pgMar w:left="320" w:top="427" w:right="279" w:bottom="1440" w:gutter="0" w:footer="0" w:header="0"/>
        </w:sectPr>
      </w:pPr>
    </w:p>
    <w:bookmarkStart w:id="213" w:name="page214"/>
    <w:bookmarkEnd w:id="213"/>
    <w:p>
      <w:pPr>
        <w:ind w:left="100"/>
        <w:spacing w:after="0"/>
        <w:rPr>
          <w:sz w:val="20"/>
          <w:szCs w:val="20"/>
          <w:color w:val="auto"/>
        </w:rPr>
      </w:pPr>
      <w:r>
        <w:rPr>
          <w:rFonts w:ascii="Arial" w:cs="Arial" w:eastAsia="Arial" w:hAnsi="Arial"/>
          <w:sz w:val="19"/>
          <w:szCs w:val="19"/>
          <w:color w:val="auto"/>
        </w:rPr>
        <w:t xml:space="preserve">A “visit” consists of no more than one hour of therapy. Refer to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xml:space="preserve"> for the visit maximum that applies to the plan.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two therapy visits of no more than one hour in a 24-hour period.</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therapy should follow a specific treatment plan that:</w:t>
      </w:r>
    </w:p>
    <w:p>
      <w:pPr>
        <w:spacing w:after="0" w:line="229" w:lineRule="exact"/>
        <w:rPr>
          <w:sz w:val="20"/>
          <w:szCs w:val="20"/>
          <w:color w:val="auto"/>
        </w:rPr>
      </w:pPr>
    </w:p>
    <w:p>
      <w:pPr>
        <w:ind w:left="440" w:hanging="330"/>
        <w:spacing w:after="0"/>
        <w:tabs>
          <w:tab w:leader="none" w:pos="44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Details the treatment, and specifies frequency and duration; and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Provides for ongoing reviews and is renewed only if continued therapy is appropriate.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the short-term rehabilitation therapy maximum benefit.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specifically covered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for:</w:t>
      </w:r>
    </w:p>
    <w:p>
      <w:pPr>
        <w:spacing w:after="0" w:line="223" w:lineRule="exact"/>
        <w:rPr>
          <w:sz w:val="20"/>
          <w:szCs w:val="20"/>
          <w:color w:val="auto"/>
        </w:rPr>
      </w:pPr>
    </w:p>
    <w:p>
      <w:pPr>
        <w:ind w:left="440" w:hanging="330"/>
        <w:spacing w:after="0" w:line="256" w:lineRule="auto"/>
        <w:tabs>
          <w:tab w:leader="none" w:pos="4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Therapies for the treatment of delays in development, unless resulting from acute </w:t>
      </w:r>
      <w:r>
        <w:rPr>
          <w:rFonts w:ascii="Arial" w:cs="Arial" w:eastAsia="Arial" w:hAnsi="Arial"/>
          <w:sz w:val="19"/>
          <w:szCs w:val="19"/>
          <w:b w:val="1"/>
          <w:bCs w:val="1"/>
          <w:color w:val="auto"/>
        </w:rPr>
        <w:t>illness</w:t>
      </w:r>
      <w:r>
        <w:rPr>
          <w:rFonts w:ascii="Arial" w:cs="Arial" w:eastAsia="Arial" w:hAnsi="Arial"/>
          <w:sz w:val="19"/>
          <w:szCs w:val="19"/>
          <w:color w:val="auto"/>
        </w:rPr>
        <w:t xml:space="preserve"> or </w:t>
      </w:r>
      <w:r>
        <w:rPr>
          <w:rFonts w:ascii="Arial" w:cs="Arial" w:eastAsia="Arial" w:hAnsi="Arial"/>
          <w:sz w:val="19"/>
          <w:szCs w:val="19"/>
          <w:b w:val="1"/>
          <w:bCs w:val="1"/>
          <w:color w:val="auto"/>
        </w:rPr>
        <w:t>injury</w:t>
      </w:r>
      <w:r>
        <w:rPr>
          <w:rFonts w:ascii="Arial" w:cs="Arial" w:eastAsia="Arial" w:hAnsi="Arial"/>
          <w:sz w:val="19"/>
          <w:szCs w:val="19"/>
          <w:color w:val="auto"/>
        </w:rPr>
        <w:t xml:space="preserve">, or congenital defects amenable to surgical repair (such as cleft lip/palate). Examples of non-covered diagnoses include Pervasive Developmental Disorders, Down's Syndrome, and Cerebral Palsy, as they are considered both developmental and/or chronic in nature. This does not apply to physical therapy, occupational therapy or speech therapy provided for the treatment of Autism Spectrum Disorders. Physical therapy, occupational therapy and speech therapy services for the treatment of Autism Spectrum Disorder are not subject to the maximum benefits, if any shown in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xml:space="preserve"> applicable to this coverage.</w:t>
      </w:r>
    </w:p>
    <w:p>
      <w:pPr>
        <w:spacing w:after="0" w:line="1" w:lineRule="exact"/>
        <w:rPr>
          <w:rFonts w:ascii="Arial" w:cs="Arial" w:eastAsia="Arial" w:hAnsi="Arial"/>
          <w:sz w:val="19"/>
          <w:szCs w:val="19"/>
          <w:color w:val="auto"/>
        </w:rPr>
      </w:pPr>
    </w:p>
    <w:p>
      <w:pPr>
        <w:ind w:left="440" w:hanging="330"/>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Any services which are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in whole or in part under any other group plan sponsored by an employer;</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Any services unless provided in accordance with a specific treatment plan;</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Services provided during a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or </w:t>
      </w:r>
      <w:r>
        <w:rPr>
          <w:rFonts w:ascii="Arial" w:cs="Arial" w:eastAsia="Arial" w:hAnsi="Arial"/>
          <w:sz w:val="20"/>
          <w:szCs w:val="20"/>
          <w:b w:val="1"/>
          <w:bCs w:val="1"/>
          <w:color w:val="auto"/>
        </w:rPr>
        <w:t>hospice facility e</w:t>
      </w:r>
      <w:r>
        <w:rPr>
          <w:rFonts w:ascii="Arial" w:cs="Arial" w:eastAsia="Arial" w:hAnsi="Arial"/>
          <w:sz w:val="20"/>
          <w:szCs w:val="20"/>
          <w:color w:val="auto"/>
        </w:rPr>
        <w:t>xcept as stated above;</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Services provided by a </w:t>
      </w:r>
      <w:r>
        <w:rPr>
          <w:rFonts w:ascii="Arial" w:cs="Arial" w:eastAsia="Arial" w:hAnsi="Arial"/>
          <w:sz w:val="20"/>
          <w:szCs w:val="20"/>
          <w:b w:val="1"/>
          <w:bCs w:val="1"/>
          <w:color w:val="auto"/>
        </w:rPr>
        <w:t>home health care agency</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Services not performed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under the direct supervision of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Treatment covered as part of the Spinal Manipulation Treatment. This applies whether or not benefits have been paid under that section;</w:t>
      </w:r>
    </w:p>
    <w:p>
      <w:pPr>
        <w:spacing w:after="0" w:line="22" w:lineRule="exact"/>
        <w:rPr>
          <w:rFonts w:ascii="Arial" w:cs="Arial" w:eastAsia="Arial" w:hAnsi="Arial"/>
          <w:sz w:val="18"/>
          <w:szCs w:val="18"/>
          <w:color w:val="auto"/>
        </w:rPr>
      </w:pPr>
    </w:p>
    <w:p>
      <w:pPr>
        <w:ind w:left="440" w:right="340" w:hanging="330"/>
        <w:spacing w:after="0" w:line="239" w:lineRule="auto"/>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Services provided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physical, occupational or speech therapist who resides in your home; or who is a member of your family, or a member of your spouse’s family; or your domestic partner;</w:t>
      </w:r>
    </w:p>
    <w:p>
      <w:pPr>
        <w:spacing w:after="0" w:line="1" w:lineRule="exact"/>
        <w:rPr>
          <w:rFonts w:ascii="Arial" w:cs="Arial" w:eastAsia="Arial" w:hAnsi="Arial"/>
          <w:sz w:val="20"/>
          <w:szCs w:val="20"/>
          <w:color w:val="auto"/>
        </w:rPr>
      </w:pPr>
    </w:p>
    <w:p>
      <w:pPr>
        <w:ind w:left="440" w:right="340" w:hanging="330"/>
        <w:spacing w:after="0" w:line="244" w:lineRule="auto"/>
        <w:tabs>
          <w:tab w:leader="none" w:pos="4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Special education to instruct a person whose speech has been lost or impaired, to function without that ability. This includes lessons in sign language.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Reconstructive or Cosmetic Surgery and Supplies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Covered expenses include charges made by a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or </w:t>
      </w:r>
      <w:r>
        <w:rPr>
          <w:rFonts w:ascii="Arial" w:cs="Arial" w:eastAsia="Arial" w:hAnsi="Arial"/>
          <w:sz w:val="18"/>
          <w:szCs w:val="18"/>
          <w:b w:val="1"/>
          <w:bCs w:val="1"/>
          <w:color w:val="auto"/>
        </w:rPr>
        <w:t>surgery center</w:t>
      </w:r>
      <w:r>
        <w:rPr>
          <w:rFonts w:ascii="Arial" w:cs="Arial" w:eastAsia="Arial" w:hAnsi="Arial"/>
          <w:sz w:val="18"/>
          <w:szCs w:val="18"/>
          <w:color w:val="auto"/>
        </w:rPr>
        <w:t xml:space="preserve"> for reconstructive services and supplies, including:</w:t>
      </w:r>
    </w:p>
    <w:p>
      <w:pPr>
        <w:spacing w:after="0" w:line="245" w:lineRule="exact"/>
        <w:rPr>
          <w:sz w:val="20"/>
          <w:szCs w:val="20"/>
          <w:color w:val="auto"/>
        </w:rPr>
      </w:pPr>
    </w:p>
    <w:p>
      <w:pPr>
        <w:ind w:left="440" w:hanging="330"/>
        <w:spacing w:after="0"/>
        <w:tabs>
          <w:tab w:leader="none" w:pos="44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Surgery needed to improve a significant functional impairment of a body part.</w:t>
      </w:r>
    </w:p>
    <w:p>
      <w:pPr>
        <w:spacing w:after="0" w:line="15" w:lineRule="exact"/>
        <w:rPr>
          <w:rFonts w:ascii="Arial" w:cs="Arial" w:eastAsia="Arial" w:hAnsi="Arial"/>
          <w:sz w:val="20"/>
          <w:szCs w:val="20"/>
          <w:color w:val="auto"/>
        </w:rPr>
      </w:pPr>
    </w:p>
    <w:p>
      <w:pPr>
        <w:ind w:left="440" w:right="300" w:hanging="330"/>
        <w:spacing w:after="0" w:line="266" w:lineRule="auto"/>
        <w:tabs>
          <w:tab w:leader="none" w:pos="4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Surgery to correct the result of an accidental injury, including subsequent related or staged surgery, provided that the surgery occurs no more than 24 months after the original injury. For a covered child, the time period for coverage may be extended through age 18.</w:t>
      </w:r>
    </w:p>
    <w:p>
      <w:pPr>
        <w:ind w:left="440" w:right="40" w:hanging="330"/>
        <w:spacing w:after="0" w:line="239" w:lineRule="auto"/>
        <w:tabs>
          <w:tab w:leader="none" w:pos="44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Surgery to correct the result of an injury that occurred during a covered surgical procedure provided that the reconstructive surgery occurs no more than 24 months after the original injury.</w:t>
      </w:r>
    </w:p>
    <w:p>
      <w:pPr>
        <w:spacing w:after="0" w:line="1" w:lineRule="exact"/>
        <w:rPr>
          <w:sz w:val="20"/>
          <w:szCs w:val="20"/>
          <w:color w:val="auto"/>
        </w:rPr>
      </w:pPr>
    </w:p>
    <w:p>
      <w:pPr>
        <w:ind w:left="100" w:right="480"/>
        <w:spacing w:after="0" w:line="239" w:lineRule="auto"/>
        <w:rPr>
          <w:sz w:val="20"/>
          <w:szCs w:val="20"/>
          <w:color w:val="auto"/>
        </w:rPr>
      </w:pPr>
      <w:r>
        <w:rPr>
          <w:rFonts w:ascii="Arial" w:cs="Arial" w:eastAsia="Arial" w:hAnsi="Arial"/>
          <w:sz w:val="20"/>
          <w:szCs w:val="20"/>
          <w:color w:val="auto"/>
        </w:rPr>
        <w:t>Note: Injuries that occur as a result of a medical (</w:t>
      </w:r>
      <w:r>
        <w:rPr>
          <w:rFonts w:ascii="Arial" w:cs="Arial" w:eastAsia="Arial" w:hAnsi="Arial"/>
          <w:sz w:val="20"/>
          <w:szCs w:val="20"/>
          <w:i w:val="1"/>
          <w:iCs w:val="1"/>
          <w:color w:val="auto"/>
        </w:rPr>
        <w:t>i.e</w:t>
      </w:r>
      <w:r>
        <w:rPr>
          <w:rFonts w:ascii="Arial" w:cs="Arial" w:eastAsia="Arial" w:hAnsi="Arial"/>
          <w:sz w:val="20"/>
          <w:szCs w:val="20"/>
          <w:color w:val="auto"/>
        </w:rPr>
        <w:t>., non surgical) treatment are not considered accidental injuries, even if unplanned or unexpected.</w:t>
      </w:r>
    </w:p>
    <w:p>
      <w:pPr>
        <w:spacing w:after="0" w:line="1" w:lineRule="exact"/>
        <w:rPr>
          <w:sz w:val="20"/>
          <w:szCs w:val="20"/>
          <w:color w:val="auto"/>
        </w:rPr>
      </w:pPr>
    </w:p>
    <w:p>
      <w:pPr>
        <w:ind w:left="440" w:hanging="330"/>
        <w:spacing w:after="0"/>
        <w:tabs>
          <w:tab w:leader="none" w:pos="44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Surgery to correct a gross anatomical defect present at birth or appearing after birth (but not the result of an illness or injury) when</w:t>
      </w:r>
    </w:p>
    <w:p>
      <w:pPr>
        <w:spacing w:after="0" w:line="15" w:lineRule="exact"/>
        <w:rPr>
          <w:rFonts w:ascii="Arial" w:cs="Arial" w:eastAsia="Arial" w:hAnsi="Arial"/>
          <w:sz w:val="19"/>
          <w:szCs w:val="19"/>
          <w:color w:val="auto"/>
        </w:rPr>
      </w:pPr>
    </w:p>
    <w:p>
      <w:pPr>
        <w:ind w:left="760" w:hanging="326"/>
        <w:spacing w:after="0"/>
        <w:tabs>
          <w:tab w:leader="none" w:pos="760" w:val="left"/>
        </w:tabs>
        <w:numPr>
          <w:ilvl w:val="1"/>
          <w:numId w:val="257"/>
        </w:numPr>
        <w:rPr>
          <w:rFonts w:ascii="Arial" w:cs="Arial" w:eastAsia="Arial" w:hAnsi="Arial"/>
          <w:sz w:val="20"/>
          <w:szCs w:val="20"/>
          <w:color w:val="auto"/>
        </w:rPr>
      </w:pPr>
      <w:r>
        <w:rPr>
          <w:rFonts w:ascii="Arial" w:cs="Arial" w:eastAsia="Arial" w:hAnsi="Arial"/>
          <w:sz w:val="20"/>
          <w:szCs w:val="20"/>
          <w:color w:val="auto"/>
        </w:rPr>
        <w:t>the defect results in severe facial disfigurement, or</w:t>
      </w:r>
    </w:p>
    <w:p>
      <w:pPr>
        <w:spacing w:after="0" w:line="13" w:lineRule="exact"/>
        <w:rPr>
          <w:rFonts w:ascii="Arial" w:cs="Arial" w:eastAsia="Arial" w:hAnsi="Arial"/>
          <w:sz w:val="20"/>
          <w:szCs w:val="20"/>
          <w:color w:val="auto"/>
        </w:rPr>
      </w:pPr>
    </w:p>
    <w:p>
      <w:pPr>
        <w:ind w:left="760" w:hanging="326"/>
        <w:spacing w:after="0"/>
        <w:tabs>
          <w:tab w:leader="none" w:pos="760" w:val="left"/>
        </w:tabs>
        <w:numPr>
          <w:ilvl w:val="1"/>
          <w:numId w:val="257"/>
        </w:numPr>
        <w:rPr>
          <w:rFonts w:ascii="Arial" w:cs="Arial" w:eastAsia="Arial" w:hAnsi="Arial"/>
          <w:sz w:val="20"/>
          <w:szCs w:val="20"/>
          <w:color w:val="auto"/>
        </w:rPr>
      </w:pPr>
      <w:r>
        <w:rPr>
          <w:rFonts w:ascii="Arial" w:cs="Arial" w:eastAsia="Arial" w:hAnsi="Arial"/>
          <w:sz w:val="20"/>
          <w:szCs w:val="20"/>
          <w:color w:val="auto"/>
        </w:rPr>
        <w:t>the defect results in significant functional impairment and the surgery is needed to improve function</w:t>
      </w:r>
    </w:p>
    <w:p>
      <w:pPr>
        <w:sectPr>
          <w:pgSz w:w="11900" w:h="16838" w:orient="portrait"/>
          <w:cols w:equalWidth="0" w:num="1">
            <w:col w:w="11400"/>
          </w:cols>
          <w:pgMar w:left="260" w:top="433" w:right="239" w:bottom="1440" w:gutter="0" w:footer="0" w:header="0"/>
        </w:sectPr>
      </w:pPr>
    </w:p>
    <w:bookmarkStart w:id="214" w:name="page215"/>
    <w:bookmarkEnd w:id="214"/>
    <w:p>
      <w:pPr>
        <w:ind w:left="100"/>
        <w:spacing w:after="0"/>
        <w:rPr>
          <w:sz w:val="20"/>
          <w:szCs w:val="20"/>
          <w:color w:val="auto"/>
        </w:rPr>
      </w:pPr>
      <w:r>
        <w:rPr>
          <w:rFonts w:ascii="Arial" w:cs="Arial" w:eastAsia="Arial" w:hAnsi="Arial"/>
          <w:sz w:val="25"/>
          <w:szCs w:val="25"/>
          <w:b w:val="1"/>
          <w:bCs w:val="1"/>
          <w:color w:val="auto"/>
        </w:rPr>
        <w:t>Reconstructive Breast Surgery</w:t>
      </w:r>
    </w:p>
    <w:p>
      <w:pPr>
        <w:spacing w:after="0" w:line="32" w:lineRule="exact"/>
        <w:rPr>
          <w:sz w:val="20"/>
          <w:szCs w:val="20"/>
          <w:color w:val="auto"/>
        </w:rPr>
      </w:pPr>
    </w:p>
    <w:p>
      <w:pPr>
        <w:jc w:val="both"/>
        <w:ind w:left="100"/>
        <w:spacing w:after="0" w:line="241"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reconstruction of the breast on which a mastectomy was performed, including an implant and areolar</w:t>
      </w:r>
      <w:r>
        <w:rPr>
          <w:rFonts w:ascii="Arial" w:cs="Arial" w:eastAsia="Arial" w:hAnsi="Arial"/>
          <w:sz w:val="20"/>
          <w:szCs w:val="20"/>
          <w:b w:val="1"/>
          <w:bCs w:val="1"/>
          <w:color w:val="auto"/>
        </w:rPr>
        <w:t xml:space="preserve"> </w:t>
      </w:r>
      <w:r>
        <w:rPr>
          <w:rFonts w:ascii="Arial" w:cs="Arial" w:eastAsia="Arial" w:hAnsi="Arial"/>
          <w:sz w:val="20"/>
          <w:szCs w:val="20"/>
          <w:color w:val="auto"/>
        </w:rPr>
        <w:t>reconstruction. Also included is surgery on a healthy breast to make it symmetrical with the reconstructed breast and physical therapy to treat complications of mastectomy, including lymphedema.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Notice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benefit maximum may apply to reconstructive or </w:t>
      </w:r>
      <w:r>
        <w:rPr>
          <w:rFonts w:ascii="Arial" w:cs="Arial" w:eastAsia="Arial" w:hAnsi="Arial"/>
          <w:sz w:val="20"/>
          <w:szCs w:val="20"/>
          <w:b w:val="1"/>
          <w:bCs w:val="1"/>
          <w:color w:val="auto"/>
        </w:rPr>
        <w:t>cosmetic</w:t>
      </w:r>
      <w:r>
        <w:rPr>
          <w:rFonts w:ascii="Arial" w:cs="Arial" w:eastAsia="Arial" w:hAnsi="Arial"/>
          <w:sz w:val="20"/>
          <w:szCs w:val="20"/>
          <w:color w:val="auto"/>
        </w:rPr>
        <w:t xml:space="preserve"> surgery services. Please refer to the </w:t>
      </w:r>
      <w:r>
        <w:rPr>
          <w:rFonts w:ascii="Arial" w:cs="Arial" w:eastAsia="Arial" w:hAnsi="Arial"/>
          <w:sz w:val="20"/>
          <w:szCs w:val="20"/>
          <w:i w:val="1"/>
          <w:iCs w:val="1"/>
          <w:color w:val="auto"/>
        </w:rPr>
        <w:t>Schedule of Benefits.</w:t>
      </w:r>
    </w:p>
    <w:p>
      <w:pPr>
        <w:sectPr>
          <w:pgSz w:w="11900" w:h="16838" w:orient="portrait"/>
          <w:cols w:equalWidth="0" w:num="1">
            <w:col w:w="11400"/>
          </w:cols>
          <w:pgMar w:left="260" w:top="427" w:right="239" w:bottom="1440" w:gutter="0" w:footer="0" w:header="0"/>
        </w:sectPr>
      </w:pPr>
    </w:p>
    <w:bookmarkStart w:id="215" w:name="page216"/>
    <w:bookmarkEnd w:id="215"/>
    <w:p>
      <w:pPr>
        <w:spacing w:after="0"/>
        <w:rPr>
          <w:sz w:val="20"/>
          <w:szCs w:val="20"/>
          <w:color w:val="auto"/>
        </w:rPr>
      </w:pPr>
      <w:r>
        <w:rPr>
          <w:rFonts w:ascii="Arial" w:cs="Arial" w:eastAsia="Arial" w:hAnsi="Arial"/>
          <w:sz w:val="25"/>
          <w:szCs w:val="25"/>
          <w:b w:val="1"/>
          <w:bCs w:val="1"/>
          <w:color w:val="auto"/>
        </w:rPr>
        <w:t xml:space="preserve">Transgender (Sex Change) Surgery </w:t>
      </w:r>
      <w:r>
        <w:rPr>
          <w:rFonts w:ascii="Arial" w:cs="Arial" w:eastAsia="Arial" w:hAnsi="Arial"/>
          <w:sz w:val="14"/>
          <w:szCs w:val="14"/>
          <w:i w:val="1"/>
          <w:iCs w:val="1"/>
          <w:color w:val="auto"/>
        </w:rPr>
        <w:t>(GR-9N 11-126 800105-1 VA 1213)</w:t>
      </w:r>
    </w:p>
    <w:p>
      <w:pPr>
        <w:spacing w:after="0" w:line="266" w:lineRule="exact"/>
        <w:rPr>
          <w:sz w:val="20"/>
          <w:szCs w:val="20"/>
          <w:color w:val="auto"/>
        </w:rPr>
      </w:pPr>
    </w:p>
    <w:p>
      <w:pPr>
        <w:ind w:right="700"/>
        <w:spacing w:after="0" w:line="26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in connection with Transgender (Sex Change) Surgery as long as you or a covered dependent have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obtained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from </w:t>
      </w:r>
      <w:r>
        <w:rPr>
          <w:rFonts w:ascii="Arial" w:cs="Arial" w:eastAsia="Arial" w:hAnsi="Arial"/>
          <w:sz w:val="20"/>
          <w:szCs w:val="20"/>
          <w:b w:val="1"/>
          <w:bCs w:val="1"/>
          <w:color w:val="auto"/>
        </w:rPr>
        <w:t>Aetna</w:t>
      </w:r>
      <w:r>
        <w:rPr>
          <w:rFonts w:ascii="Arial" w:cs="Arial" w:eastAsia="Arial" w:hAnsi="Arial"/>
          <w:sz w:val="20"/>
          <w:szCs w:val="20"/>
          <w:color w:val="auto"/>
        </w:rPr>
        <w:t>; and have met the following conditions:</w:t>
      </w:r>
    </w:p>
    <w:p>
      <w:pPr>
        <w:spacing w:after="0" w:line="183" w:lineRule="exact"/>
        <w:rPr>
          <w:sz w:val="20"/>
          <w:szCs w:val="20"/>
          <w:color w:val="auto"/>
        </w:rPr>
      </w:pPr>
    </w:p>
    <w:p>
      <w:pPr>
        <w:ind w:left="980" w:hanging="323"/>
        <w:spacing w:after="0"/>
        <w:tabs>
          <w:tab w:leader="none" w:pos="98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You or your dependent is at least 18 years old; and</w:t>
      </w:r>
    </w:p>
    <w:p>
      <w:pPr>
        <w:spacing w:after="0" w:line="20" w:lineRule="exact"/>
        <w:rPr>
          <w:rFonts w:ascii="Arial" w:cs="Arial" w:eastAsia="Arial" w:hAnsi="Arial"/>
          <w:sz w:val="20"/>
          <w:szCs w:val="20"/>
          <w:color w:val="auto"/>
        </w:rPr>
      </w:pPr>
    </w:p>
    <w:p>
      <w:pPr>
        <w:ind w:left="980" w:hanging="323"/>
        <w:spacing w:after="0"/>
        <w:tabs>
          <w:tab w:leader="none" w:pos="98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You or your dependent have met criteria for the diagnosis of true transsexualism including:</w:t>
      </w:r>
    </w:p>
    <w:p>
      <w:pPr>
        <w:spacing w:after="0" w:line="8" w:lineRule="exact"/>
        <w:rPr>
          <w:rFonts w:ascii="Arial" w:cs="Arial" w:eastAsia="Arial" w:hAnsi="Arial"/>
          <w:sz w:val="20"/>
          <w:szCs w:val="20"/>
          <w:color w:val="auto"/>
        </w:rPr>
      </w:pPr>
    </w:p>
    <w:p>
      <w:pPr>
        <w:ind w:left="1300" w:hanging="319"/>
        <w:spacing w:after="0"/>
        <w:tabs>
          <w:tab w:leader="none" w:pos="1300" w:val="left"/>
        </w:tabs>
        <w:numPr>
          <w:ilvl w:val="2"/>
          <w:numId w:val="258"/>
        </w:numPr>
        <w:rPr>
          <w:rFonts w:ascii="Arial" w:cs="Arial" w:eastAsia="Arial" w:hAnsi="Arial"/>
          <w:sz w:val="15"/>
          <w:szCs w:val="15"/>
          <w:color w:val="auto"/>
        </w:rPr>
      </w:pPr>
      <w:r>
        <w:rPr>
          <w:rFonts w:ascii="Arial" w:cs="Arial" w:eastAsia="Arial" w:hAnsi="Arial"/>
          <w:sz w:val="19"/>
          <w:szCs w:val="19"/>
          <w:color w:val="auto"/>
        </w:rPr>
        <w:t>A life-long sense of belonging to the opposite sex and of having been born into the wrong sex, often since childhood;</w:t>
      </w:r>
    </w:p>
    <w:p>
      <w:pPr>
        <w:spacing w:after="0" w:line="11" w:lineRule="exact"/>
        <w:rPr>
          <w:rFonts w:ascii="Arial" w:cs="Arial" w:eastAsia="Arial" w:hAnsi="Arial"/>
          <w:sz w:val="15"/>
          <w:szCs w:val="15"/>
          <w:color w:val="auto"/>
        </w:rPr>
      </w:pPr>
    </w:p>
    <w:p>
      <w:pPr>
        <w:ind w:left="1300" w:hanging="319"/>
        <w:spacing w:after="0"/>
        <w:tabs>
          <w:tab w:leader="none" w:pos="1300" w:val="left"/>
        </w:tabs>
        <w:numPr>
          <w:ilvl w:val="2"/>
          <w:numId w:val="258"/>
        </w:numPr>
        <w:rPr>
          <w:rFonts w:ascii="Arial" w:cs="Arial" w:eastAsia="Arial" w:hAnsi="Arial"/>
          <w:sz w:val="14"/>
          <w:szCs w:val="14"/>
          <w:color w:val="auto"/>
        </w:rPr>
      </w:pPr>
      <w:r>
        <w:rPr>
          <w:rFonts w:ascii="Arial" w:cs="Arial" w:eastAsia="Arial" w:hAnsi="Arial"/>
          <w:sz w:val="18"/>
          <w:szCs w:val="18"/>
          <w:color w:val="auto"/>
        </w:rPr>
        <w:t>A sense of estrangement from one's own body; so that any evidence of one's own biological sex is regarded as repugnant;</w:t>
      </w:r>
    </w:p>
    <w:p>
      <w:pPr>
        <w:spacing w:after="0" w:line="22" w:lineRule="exact"/>
        <w:rPr>
          <w:rFonts w:ascii="Arial" w:cs="Arial" w:eastAsia="Arial" w:hAnsi="Arial"/>
          <w:sz w:val="14"/>
          <w:szCs w:val="14"/>
          <w:color w:val="auto"/>
        </w:rPr>
      </w:pPr>
    </w:p>
    <w:p>
      <w:pPr>
        <w:ind w:left="1300" w:hanging="319"/>
        <w:spacing w:after="0"/>
        <w:tabs>
          <w:tab w:leader="none" w:pos="1300" w:val="left"/>
        </w:tabs>
        <w:numPr>
          <w:ilvl w:val="2"/>
          <w:numId w:val="258"/>
        </w:numPr>
        <w:rPr>
          <w:rFonts w:ascii="Arial" w:cs="Arial" w:eastAsia="Arial" w:hAnsi="Arial"/>
          <w:sz w:val="14"/>
          <w:szCs w:val="14"/>
          <w:color w:val="auto"/>
        </w:rPr>
      </w:pPr>
      <w:r>
        <w:rPr>
          <w:rFonts w:ascii="Arial" w:cs="Arial" w:eastAsia="Arial" w:hAnsi="Arial"/>
          <w:sz w:val="18"/>
          <w:szCs w:val="18"/>
          <w:color w:val="auto"/>
        </w:rPr>
        <w:t>A desire to make his or her body as congruent as possible with the preferred sex through surgery and hormone treatment;</w:t>
      </w:r>
    </w:p>
    <w:p>
      <w:pPr>
        <w:spacing w:after="0" w:line="22" w:lineRule="exact"/>
        <w:rPr>
          <w:rFonts w:ascii="Arial" w:cs="Arial" w:eastAsia="Arial" w:hAnsi="Arial"/>
          <w:sz w:val="14"/>
          <w:szCs w:val="14"/>
          <w:color w:val="auto"/>
        </w:rPr>
      </w:pPr>
    </w:p>
    <w:p>
      <w:pPr>
        <w:ind w:left="1300" w:right="420" w:hanging="319"/>
        <w:spacing w:after="0" w:line="242"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A stable transsexual orientation evidenced by a desire to be rid of one's genitals; and to live in society as a member of the other sex for at least 2 years; (i.e. not limited to periods of stress);</w:t>
      </w:r>
    </w:p>
    <w:p>
      <w:pPr>
        <w:ind w:left="1300" w:hanging="319"/>
        <w:spacing w:after="0"/>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There is no sexual arousal from cross-dressing;</w:t>
      </w:r>
    </w:p>
    <w:p>
      <w:pPr>
        <w:spacing w:after="0" w:line="13" w:lineRule="exact"/>
        <w:rPr>
          <w:rFonts w:ascii="Arial" w:cs="Arial" w:eastAsia="Arial" w:hAnsi="Arial"/>
          <w:sz w:val="16"/>
          <w:szCs w:val="16"/>
          <w:color w:val="auto"/>
        </w:rPr>
      </w:pPr>
    </w:p>
    <w:p>
      <w:pPr>
        <w:ind w:left="1300" w:hanging="319"/>
        <w:spacing w:after="0"/>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There is an absence of physical inter-sex of genetic abnormality; and</w:t>
      </w:r>
    </w:p>
    <w:p>
      <w:pPr>
        <w:spacing w:after="0" w:line="8" w:lineRule="exact"/>
        <w:rPr>
          <w:rFonts w:ascii="Arial" w:cs="Arial" w:eastAsia="Arial" w:hAnsi="Arial"/>
          <w:sz w:val="16"/>
          <w:szCs w:val="16"/>
          <w:color w:val="auto"/>
        </w:rPr>
      </w:pPr>
    </w:p>
    <w:p>
      <w:pPr>
        <w:ind w:left="1300" w:hanging="319"/>
        <w:spacing w:after="0"/>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This is not due to another biological, chromosomal or associated psychiatric disorder; such as schizophrenia.</w:t>
      </w:r>
    </w:p>
    <w:p>
      <w:pPr>
        <w:spacing w:after="0" w:line="213" w:lineRule="exact"/>
        <w:rPr>
          <w:rFonts w:ascii="Arial" w:cs="Arial" w:eastAsia="Arial" w:hAnsi="Arial"/>
          <w:sz w:val="16"/>
          <w:szCs w:val="16"/>
          <w:color w:val="auto"/>
        </w:rPr>
      </w:pPr>
    </w:p>
    <w:p>
      <w:pPr>
        <w:ind w:left="980" w:right="280" w:hanging="323"/>
        <w:spacing w:after="0" w:line="247" w:lineRule="auto"/>
        <w:tabs>
          <w:tab w:leader="none" w:pos="98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You or your dependent must have completed a recognized program of transgender identity treatment; as evidenced by all of the following:</w:t>
      </w:r>
    </w:p>
    <w:p>
      <w:pPr>
        <w:spacing w:after="0" w:line="1" w:lineRule="exact"/>
        <w:rPr>
          <w:rFonts w:ascii="Arial" w:cs="Arial" w:eastAsia="Arial" w:hAnsi="Arial"/>
          <w:sz w:val="20"/>
          <w:szCs w:val="20"/>
          <w:color w:val="auto"/>
        </w:rPr>
      </w:pPr>
    </w:p>
    <w:p>
      <w:pPr>
        <w:ind w:left="1300" w:right="820" w:hanging="319"/>
        <w:spacing w:after="0" w:line="239"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Has successfully lived and worked within the desired gender role full-time for at least 12 months (so- called real-life experience); without periods of returning to the original gender;</w:t>
      </w:r>
    </w:p>
    <w:p>
      <w:pPr>
        <w:spacing w:after="0" w:line="1" w:lineRule="exact"/>
        <w:rPr>
          <w:rFonts w:ascii="Arial" w:cs="Arial" w:eastAsia="Arial" w:hAnsi="Arial"/>
          <w:sz w:val="16"/>
          <w:szCs w:val="16"/>
          <w:color w:val="auto"/>
        </w:rPr>
      </w:pPr>
    </w:p>
    <w:p>
      <w:pPr>
        <w:ind w:left="1300" w:right="160" w:hanging="319"/>
        <w:spacing w:after="0" w:line="239"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 xml:space="preserve">Unless medically contraindicated, has received at least 12 months of continuous hormonal sex change therapy recommended by 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and carried out by an endocrinologist (which can be simultaneous with the real-life experience);</w:t>
      </w:r>
    </w:p>
    <w:p>
      <w:pPr>
        <w:spacing w:after="0" w:line="1" w:lineRule="exact"/>
        <w:rPr>
          <w:rFonts w:ascii="Arial" w:cs="Arial" w:eastAsia="Arial" w:hAnsi="Arial"/>
          <w:sz w:val="16"/>
          <w:szCs w:val="16"/>
          <w:color w:val="auto"/>
        </w:rPr>
      </w:pPr>
    </w:p>
    <w:p>
      <w:pPr>
        <w:ind w:left="1300" w:right="180" w:hanging="319"/>
        <w:spacing w:after="0" w:line="239"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who has been acquainted with you or your dependent for at least 18 months recommends sex change surgery documented in the form of a written comprehensive evaluation;</w:t>
      </w:r>
    </w:p>
    <w:p>
      <w:pPr>
        <w:spacing w:after="0" w:line="1" w:lineRule="exact"/>
        <w:rPr>
          <w:rFonts w:ascii="Arial" w:cs="Arial" w:eastAsia="Arial" w:hAnsi="Arial"/>
          <w:sz w:val="16"/>
          <w:szCs w:val="16"/>
          <w:color w:val="auto"/>
        </w:rPr>
      </w:pPr>
    </w:p>
    <w:p>
      <w:pPr>
        <w:jc w:val="both"/>
        <w:ind w:left="1300" w:hanging="319"/>
        <w:spacing w:after="0" w:line="239"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 xml:space="preserve">A second concurring recommendation by another qualified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must be documented in the form of a written expert opinion; as long as one of the two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s possess a doctoral degree (e.g., Ph.D., Ed.D., D.Sc., D.S.W., Psy.D., or M.D.);</w:t>
      </w:r>
    </w:p>
    <w:p>
      <w:pPr>
        <w:spacing w:after="0" w:line="1" w:lineRule="exact"/>
        <w:rPr>
          <w:rFonts w:ascii="Arial" w:cs="Arial" w:eastAsia="Arial" w:hAnsi="Arial"/>
          <w:sz w:val="16"/>
          <w:szCs w:val="16"/>
          <w:color w:val="auto"/>
        </w:rPr>
      </w:pPr>
    </w:p>
    <w:p>
      <w:pPr>
        <w:ind w:left="1300" w:right="20" w:hanging="319"/>
        <w:spacing w:after="0" w:line="239"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 xml:space="preserve">Psychotherapy is not an absolute requirement for surgery unless the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's initial assessment leads to a recommendation for psychotherapy that specifies the goals of treatment, estimates its frequency and duration throughout the real life experience (usually a minimum of 3 months);</w:t>
      </w:r>
    </w:p>
    <w:p>
      <w:pPr>
        <w:spacing w:after="0" w:line="1" w:lineRule="exact"/>
        <w:rPr>
          <w:rFonts w:ascii="Arial" w:cs="Arial" w:eastAsia="Arial" w:hAnsi="Arial"/>
          <w:sz w:val="16"/>
          <w:szCs w:val="16"/>
          <w:color w:val="auto"/>
        </w:rPr>
      </w:pPr>
    </w:p>
    <w:p>
      <w:pPr>
        <w:ind w:left="1300" w:right="100" w:hanging="319"/>
        <w:spacing w:after="0" w:line="241"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For genital surgical sex change; you or your dependent has undergone a urological examination for the purpose of identifying and perhaps treating abnormalities of the genitourinary tract; since genital surgical sex change includes the invasion of, and the alteration of; the genitourinary tract (urological examination is not required for persons not undergoing genital change); and</w:t>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1300" w:right="340" w:hanging="319"/>
        <w:spacing w:after="0" w:line="250" w:lineRule="auto"/>
        <w:tabs>
          <w:tab w:leader="none" w:pos="1300" w:val="left"/>
        </w:tabs>
        <w:numPr>
          <w:ilvl w:val="2"/>
          <w:numId w:val="258"/>
        </w:numPr>
        <w:rPr>
          <w:rFonts w:ascii="Arial" w:cs="Arial" w:eastAsia="Arial" w:hAnsi="Arial"/>
          <w:sz w:val="16"/>
          <w:szCs w:val="16"/>
          <w:color w:val="auto"/>
        </w:rPr>
      </w:pPr>
      <w:r>
        <w:rPr>
          <w:rFonts w:ascii="Arial" w:cs="Arial" w:eastAsia="Arial" w:hAnsi="Arial"/>
          <w:sz w:val="20"/>
          <w:szCs w:val="20"/>
          <w:color w:val="auto"/>
        </w:rPr>
        <w:t>You or your dependent have demonstrated an understanding of the proposed male-to-female or female-to-male sex change surgery with its attendant costs, required lengths of hospitalization, likely complications, and post surgical rehabilitation requirements of the planned surgery.</w:t>
      </w:r>
    </w:p>
    <w:p>
      <w:pPr>
        <w:spacing w:after="0" w:line="193" w:lineRule="exact"/>
        <w:rPr>
          <w:rFonts w:ascii="Arial" w:cs="Arial" w:eastAsia="Arial" w:hAnsi="Arial"/>
          <w:sz w:val="16"/>
          <w:szCs w:val="16"/>
          <w:color w:val="auto"/>
        </w:rPr>
      </w:pPr>
    </w:p>
    <w:p>
      <w:pPr>
        <w:ind w:left="660" w:hanging="327"/>
        <w:spacing w:after="0"/>
        <w:tabs>
          <w:tab w:leader="none" w:pos="6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The covered person has obtained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from </w:t>
      </w:r>
      <w:r>
        <w:rPr>
          <w:rFonts w:ascii="Arial" w:cs="Arial" w:eastAsia="Arial" w:hAnsi="Arial"/>
          <w:sz w:val="20"/>
          <w:szCs w:val="20"/>
          <w:b w:val="1"/>
          <w:bCs w:val="1"/>
          <w:color w:val="auto"/>
        </w:rPr>
        <w:t>Aetna</w:t>
      </w:r>
      <w:r>
        <w:rPr>
          <w:rFonts w:ascii="Arial" w:cs="Arial" w:eastAsia="Arial" w:hAnsi="Arial"/>
          <w:sz w:val="20"/>
          <w:szCs w:val="20"/>
          <w:color w:val="auto"/>
        </w:rPr>
        <w:t>.</w:t>
      </w:r>
    </w:p>
    <w:p>
      <w:pPr>
        <w:sectPr>
          <w:pgSz w:w="11900" w:h="16838" w:orient="portrait"/>
          <w:cols w:equalWidth="0" w:num="1">
            <w:col w:w="11340"/>
          </w:cols>
          <w:pgMar w:left="320" w:top="427" w:right="239" w:bottom="1440" w:gutter="0" w:footer="0" w:header="0"/>
        </w:sectPr>
      </w:pPr>
    </w:p>
    <w:bookmarkStart w:id="216" w:name="page217"/>
    <w:bookmarkEnd w:id="216"/>
    <w:p>
      <w:pPr>
        <w:ind w:left="3"/>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w:t>
      </w:r>
    </w:p>
    <w:p>
      <w:pPr>
        <w:spacing w:after="0" w:line="229" w:lineRule="exact"/>
        <w:rPr>
          <w:sz w:val="20"/>
          <w:szCs w:val="20"/>
          <w:color w:val="auto"/>
        </w:rPr>
      </w:pPr>
    </w:p>
    <w:p>
      <w:pPr>
        <w:ind w:left="323" w:hanging="323"/>
        <w:spacing w:after="0"/>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Charges made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for:</w:t>
      </w:r>
    </w:p>
    <w:p>
      <w:pPr>
        <w:spacing w:after="0" w:line="235" w:lineRule="exact"/>
        <w:rPr>
          <w:rFonts w:ascii="Arial" w:cs="Arial" w:eastAsia="Arial" w:hAnsi="Arial"/>
          <w:sz w:val="20"/>
          <w:szCs w:val="20"/>
          <w:color w:val="auto"/>
        </w:rPr>
      </w:pPr>
    </w:p>
    <w:p>
      <w:pPr>
        <w:ind w:left="643" w:hanging="319"/>
        <w:spacing w:after="0"/>
        <w:tabs>
          <w:tab w:leader="none" w:pos="643" w:val="left"/>
        </w:tabs>
        <w:numPr>
          <w:ilvl w:val="1"/>
          <w:numId w:val="259"/>
        </w:numPr>
        <w:rPr>
          <w:rFonts w:ascii="Arial" w:cs="Arial" w:eastAsia="Arial" w:hAnsi="Arial"/>
          <w:sz w:val="20"/>
          <w:szCs w:val="20"/>
          <w:color w:val="auto"/>
        </w:rPr>
      </w:pPr>
      <w:r>
        <w:rPr>
          <w:rFonts w:ascii="Arial" w:cs="Arial" w:eastAsia="Arial" w:hAnsi="Arial"/>
          <w:sz w:val="20"/>
          <w:szCs w:val="20"/>
          <w:color w:val="auto"/>
        </w:rPr>
        <w:t>Performing the surgical procedure; and</w:t>
      </w:r>
    </w:p>
    <w:p>
      <w:pPr>
        <w:spacing w:after="0" w:line="15" w:lineRule="exact"/>
        <w:rPr>
          <w:rFonts w:ascii="Arial" w:cs="Arial" w:eastAsia="Arial" w:hAnsi="Arial"/>
          <w:sz w:val="20"/>
          <w:szCs w:val="20"/>
          <w:color w:val="auto"/>
        </w:rPr>
      </w:pPr>
    </w:p>
    <w:p>
      <w:pPr>
        <w:ind w:left="643" w:hanging="319"/>
        <w:spacing w:after="0"/>
        <w:tabs>
          <w:tab w:leader="none" w:pos="643" w:val="left"/>
        </w:tabs>
        <w:numPr>
          <w:ilvl w:val="1"/>
          <w:numId w:val="259"/>
        </w:numPr>
        <w:rPr>
          <w:rFonts w:ascii="Arial" w:cs="Arial" w:eastAsia="Arial" w:hAnsi="Arial"/>
          <w:sz w:val="20"/>
          <w:szCs w:val="20"/>
          <w:color w:val="auto"/>
        </w:rPr>
      </w:pPr>
      <w:r>
        <w:rPr>
          <w:rFonts w:ascii="Arial" w:cs="Arial" w:eastAsia="Arial" w:hAnsi="Arial"/>
          <w:sz w:val="20"/>
          <w:szCs w:val="20"/>
          <w:color w:val="auto"/>
        </w:rPr>
        <w:t xml:space="preserve">Pre-operative and post-operative </w:t>
      </w:r>
      <w:r>
        <w:rPr>
          <w:rFonts w:ascii="Arial" w:cs="Arial" w:eastAsia="Arial" w:hAnsi="Arial"/>
          <w:sz w:val="20"/>
          <w:szCs w:val="20"/>
          <w:b w:val="1"/>
          <w:bCs w:val="1"/>
          <w:color w:val="auto"/>
        </w:rPr>
        <w:t>hospital</w:t>
      </w:r>
      <w:r>
        <w:rPr>
          <w:rFonts w:ascii="Arial" w:cs="Arial" w:eastAsia="Arial" w:hAnsi="Arial"/>
          <w:sz w:val="20"/>
          <w:szCs w:val="20"/>
          <w:color w:val="auto"/>
        </w:rPr>
        <w:t>, office and home visits.</w:t>
      </w:r>
    </w:p>
    <w:p>
      <w:pPr>
        <w:spacing w:after="0" w:line="207" w:lineRule="exact"/>
        <w:rPr>
          <w:rFonts w:ascii="Arial" w:cs="Arial" w:eastAsia="Arial" w:hAnsi="Arial"/>
          <w:sz w:val="20"/>
          <w:szCs w:val="20"/>
          <w:color w:val="auto"/>
        </w:rPr>
      </w:pPr>
    </w:p>
    <w:p>
      <w:pPr>
        <w:jc w:val="both"/>
        <w:ind w:left="323" w:hanging="323"/>
        <w:spacing w:after="0" w:line="253" w:lineRule="auto"/>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Charges made by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for inpatient and outpatient services (including outpatient surgery).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charges in excess of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’s </w:t>
      </w:r>
      <w:r>
        <w:rPr>
          <w:rFonts w:ascii="Arial" w:cs="Arial" w:eastAsia="Arial" w:hAnsi="Arial"/>
          <w:sz w:val="20"/>
          <w:szCs w:val="20"/>
          <w:b w:val="1"/>
          <w:bCs w:val="1"/>
          <w:color w:val="auto"/>
        </w:rPr>
        <w:t>semi-private</w:t>
      </w:r>
      <w:r>
        <w:rPr>
          <w:rFonts w:ascii="Arial" w:cs="Arial" w:eastAsia="Arial" w:hAnsi="Arial"/>
          <w:sz w:val="20"/>
          <w:szCs w:val="20"/>
          <w:color w:val="auto"/>
        </w:rPr>
        <w:t xml:space="preserve"> rate will not be covered; unless a private room is ordered by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and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has been obtained.</w:t>
      </w:r>
    </w:p>
    <w:p>
      <w:pPr>
        <w:spacing w:after="0" w:line="191" w:lineRule="exact"/>
        <w:rPr>
          <w:rFonts w:ascii="Arial" w:cs="Arial" w:eastAsia="Arial" w:hAnsi="Arial"/>
          <w:sz w:val="20"/>
          <w:szCs w:val="20"/>
          <w:color w:val="auto"/>
        </w:rPr>
      </w:pPr>
    </w:p>
    <w:p>
      <w:pPr>
        <w:ind w:left="323" w:right="100" w:hanging="323"/>
        <w:spacing w:after="0" w:line="267" w:lineRule="auto"/>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Charges made by a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for inpatient services and supplies.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charges in excess of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’s </w:t>
      </w:r>
      <w:r>
        <w:rPr>
          <w:rFonts w:ascii="Arial" w:cs="Arial" w:eastAsia="Arial" w:hAnsi="Arial"/>
          <w:sz w:val="20"/>
          <w:szCs w:val="20"/>
          <w:b w:val="1"/>
          <w:bCs w:val="1"/>
          <w:color w:val="auto"/>
        </w:rPr>
        <w:t xml:space="preserve">semi-private </w:t>
      </w:r>
      <w:r>
        <w:rPr>
          <w:rFonts w:ascii="Arial" w:cs="Arial" w:eastAsia="Arial" w:hAnsi="Arial"/>
          <w:sz w:val="20"/>
          <w:szCs w:val="20"/>
          <w:color w:val="auto"/>
        </w:rPr>
        <w:t>rate will not be covered.</w:t>
      </w:r>
    </w:p>
    <w:p>
      <w:pPr>
        <w:spacing w:after="0" w:line="169" w:lineRule="exact"/>
        <w:rPr>
          <w:rFonts w:ascii="Arial" w:cs="Arial" w:eastAsia="Arial" w:hAnsi="Arial"/>
          <w:sz w:val="20"/>
          <w:szCs w:val="20"/>
          <w:color w:val="auto"/>
        </w:rPr>
      </w:pPr>
    </w:p>
    <w:p>
      <w:pPr>
        <w:ind w:left="323" w:hanging="323"/>
        <w:spacing w:after="0"/>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Charges made for the administration of anesthetics.</w:t>
      </w:r>
    </w:p>
    <w:p>
      <w:pPr>
        <w:spacing w:after="0" w:line="215" w:lineRule="exact"/>
        <w:rPr>
          <w:rFonts w:ascii="Arial" w:cs="Arial" w:eastAsia="Arial" w:hAnsi="Arial"/>
          <w:sz w:val="20"/>
          <w:szCs w:val="20"/>
          <w:color w:val="auto"/>
        </w:rPr>
      </w:pPr>
    </w:p>
    <w:p>
      <w:pPr>
        <w:ind w:left="323" w:hanging="323"/>
        <w:spacing w:after="0"/>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Charges for outpatient diagnostic laboratory and x-rays.</w:t>
      </w:r>
    </w:p>
    <w:p>
      <w:pPr>
        <w:spacing w:after="0" w:line="215" w:lineRule="exact"/>
        <w:rPr>
          <w:rFonts w:ascii="Arial" w:cs="Arial" w:eastAsia="Arial" w:hAnsi="Arial"/>
          <w:sz w:val="20"/>
          <w:szCs w:val="20"/>
          <w:color w:val="auto"/>
        </w:rPr>
      </w:pPr>
    </w:p>
    <w:p>
      <w:pPr>
        <w:ind w:left="323" w:right="560" w:hanging="323"/>
        <w:spacing w:after="0" w:line="260" w:lineRule="auto"/>
        <w:tabs>
          <w:tab w:leader="none" w:pos="32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Charges for blood transfusion and the cost of unreplaced blood and blood products. Also included are the charges for collecting, processing and storage of self-donated blood after the surgery has been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371475</wp:posOffset>
            </wp:positionV>
            <wp:extent cx="6182995" cy="823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3">
                      <a:extLst>
                        <a:ext uri="{28A0092B-C50C-407E-A947-70E740481C1C}"/>
                      </a:extLst>
                    </a:blip>
                    <a:srcRect/>
                    <a:stretch>
                      <a:fillRect/>
                    </a:stretch>
                  </pic:blipFill>
                  <pic:spPr bwMode="auto">
                    <a:xfrm>
                      <a:off x="0" y="0"/>
                      <a:ext cx="6182995" cy="8235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3"/>
        <w:spacing w:after="0"/>
        <w:rPr>
          <w:sz w:val="20"/>
          <w:szCs w:val="20"/>
          <w:color w:val="auto"/>
        </w:rPr>
      </w:pPr>
      <w:r>
        <w:rPr>
          <w:rFonts w:ascii="Arial" w:cs="Arial" w:eastAsia="Arial" w:hAnsi="Arial"/>
          <w:sz w:val="20"/>
          <w:szCs w:val="20"/>
          <w:b w:val="1"/>
          <w:bCs w:val="1"/>
          <w:color w:val="auto"/>
        </w:rPr>
        <w:t>Important Reminders</w:t>
      </w:r>
    </w:p>
    <w:p>
      <w:pPr>
        <w:spacing w:after="0" w:line="67" w:lineRule="exact"/>
        <w:rPr>
          <w:sz w:val="20"/>
          <w:szCs w:val="20"/>
          <w:color w:val="auto"/>
        </w:rPr>
      </w:pPr>
    </w:p>
    <w:p>
      <w:pPr>
        <w:ind w:left="23" w:right="3640"/>
        <w:spacing w:after="0" w:line="267" w:lineRule="auto"/>
        <w:rPr>
          <w:sz w:val="20"/>
          <w:szCs w:val="20"/>
          <w:color w:val="auto"/>
        </w:rPr>
      </w:pPr>
      <w:r>
        <w:rPr>
          <w:rFonts w:ascii="Arial" w:cs="Arial" w:eastAsia="Arial" w:hAnsi="Arial"/>
          <w:sz w:val="20"/>
          <w:szCs w:val="20"/>
          <w:color w:val="auto"/>
        </w:rPr>
        <w:t xml:space="preserve">No payment will be made for any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under this benefit unless they have been </w:t>
      </w:r>
      <w:r>
        <w:rPr>
          <w:rFonts w:ascii="Arial" w:cs="Arial" w:eastAsia="Arial" w:hAnsi="Arial"/>
          <w:sz w:val="20"/>
          <w:szCs w:val="20"/>
          <w:b w:val="1"/>
          <w:bCs w:val="1"/>
          <w:color w:val="auto"/>
        </w:rPr>
        <w:t xml:space="preserve">precertified </w:t>
      </w:r>
      <w:r>
        <w:rPr>
          <w:rFonts w:ascii="Arial" w:cs="Arial" w:eastAsia="Arial" w:hAnsi="Arial"/>
          <w:sz w:val="20"/>
          <w:szCs w:val="20"/>
          <w:color w:val="auto"/>
        </w:rPr>
        <w:t>by</w:t>
      </w:r>
      <w:r>
        <w:rPr>
          <w:rFonts w:ascii="Arial" w:cs="Arial" w:eastAsia="Arial" w:hAnsi="Arial"/>
          <w:sz w:val="20"/>
          <w:szCs w:val="20"/>
          <w:b w:val="1"/>
          <w:bCs w:val="1"/>
          <w:color w:val="auto"/>
        </w:rPr>
        <w:t xml:space="preserve"> Aetna</w:t>
      </w:r>
      <w:r>
        <w:rPr>
          <w:rFonts w:ascii="Arial" w:cs="Arial" w:eastAsia="Arial" w:hAnsi="Arial"/>
          <w:sz w:val="20"/>
          <w:szCs w:val="20"/>
          <w:color w:val="auto"/>
        </w:rPr>
        <w:t>.</w:t>
      </w:r>
    </w:p>
    <w:p>
      <w:pPr>
        <w:spacing w:after="0" w:line="177" w:lineRule="exact"/>
        <w:rPr>
          <w:sz w:val="20"/>
          <w:szCs w:val="20"/>
          <w:color w:val="auto"/>
        </w:rPr>
      </w:pPr>
    </w:p>
    <w:p>
      <w:pPr>
        <w:ind w:left="23"/>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w:t>
      </w:r>
      <w:r>
        <w:rPr>
          <w:rFonts w:ascii="Arial" w:cs="Arial" w:eastAsia="Arial" w:hAnsi="Arial"/>
          <w:sz w:val="20"/>
          <w:szCs w:val="20"/>
          <w:b w:val="1"/>
          <w:bCs w:val="1"/>
          <w:color w:val="auto"/>
        </w:rPr>
        <w:t>deductibles</w:t>
      </w:r>
      <w:r>
        <w:rPr>
          <w:rFonts w:ascii="Arial" w:cs="Arial" w:eastAsia="Arial" w:hAnsi="Arial"/>
          <w:sz w:val="20"/>
          <w:szCs w:val="20"/>
          <w:color w:val="auto"/>
        </w:rPr>
        <w:t xml:space="preserve">, </w:t>
      </w:r>
      <w:r>
        <w:rPr>
          <w:rFonts w:ascii="Arial" w:cs="Arial" w:eastAsia="Arial" w:hAnsi="Arial"/>
          <w:sz w:val="20"/>
          <w:szCs w:val="20"/>
          <w:b w:val="1"/>
          <w:bCs w:val="1"/>
          <w:color w:val="auto"/>
        </w:rPr>
        <w:t>coinsurance</w:t>
      </w:r>
      <w:r>
        <w:rPr>
          <w:rFonts w:ascii="Arial" w:cs="Arial" w:eastAsia="Arial" w:hAnsi="Arial"/>
          <w:sz w:val="20"/>
          <w:szCs w:val="20"/>
          <w:color w:val="auto"/>
        </w:rPr>
        <w:t>, benefit maximums.</w:t>
      </w:r>
    </w:p>
    <w:p>
      <w:pPr>
        <w:sectPr>
          <w:pgSz w:w="11900" w:h="16838" w:orient="portrait"/>
          <w:cols w:equalWidth="0" w:num="1">
            <w:col w:w="11023"/>
          </w:cols>
          <w:pgMar w:left="437" w:top="427" w:right="439" w:bottom="1440" w:gutter="0" w:footer="0" w:header="0"/>
        </w:sectPr>
      </w:pPr>
    </w:p>
    <w:bookmarkStart w:id="217" w:name="page218"/>
    <w:bookmarkEnd w:id="217"/>
    <w:p>
      <w:pPr>
        <w:ind w:left="100"/>
        <w:spacing w:after="0"/>
        <w:rPr>
          <w:sz w:val="20"/>
          <w:szCs w:val="20"/>
          <w:color w:val="auto"/>
        </w:rPr>
      </w:pPr>
      <w:r>
        <w:rPr>
          <w:rFonts w:ascii="Arial" w:cs="Arial" w:eastAsia="Arial" w:hAnsi="Arial"/>
          <w:sz w:val="32"/>
          <w:szCs w:val="32"/>
          <w:b w:val="1"/>
          <w:bCs w:val="1"/>
          <w:color w:val="auto"/>
        </w:rPr>
        <w:t xml:space="preserve">Specialized Care </w:t>
      </w:r>
      <w:r>
        <w:rPr>
          <w:rFonts w:ascii="Arial" w:cs="Arial" w:eastAsia="Arial" w:hAnsi="Arial"/>
          <w:sz w:val="14"/>
          <w:szCs w:val="14"/>
          <w:i w:val="1"/>
          <w:iCs w:val="1"/>
          <w:color w:val="auto"/>
        </w:rPr>
        <w:t>(GR-9N 11-135-01 VA)</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Chemotherapy</w:t>
      </w:r>
    </w:p>
    <w:p>
      <w:pPr>
        <w:spacing w:after="0" w:line="32" w:lineRule="exact"/>
        <w:rPr>
          <w:sz w:val="20"/>
          <w:szCs w:val="20"/>
          <w:color w:val="auto"/>
        </w:rPr>
      </w:pPr>
    </w:p>
    <w:p>
      <w:pPr>
        <w:ind w:left="100"/>
        <w:spacing w:after="0" w:line="282" w:lineRule="auto"/>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for chemotherapy treatment. Coverage levels depend on where treatment is received. In most cases,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chemotherapy is covered as outpatient care. Inpatient </w:t>
      </w:r>
      <w:r>
        <w:rPr>
          <w:rFonts w:ascii="Arial" w:cs="Arial" w:eastAsia="Arial" w:hAnsi="Arial"/>
          <w:sz w:val="18"/>
          <w:szCs w:val="18"/>
          <w:b w:val="1"/>
          <w:bCs w:val="1"/>
          <w:color w:val="auto"/>
        </w:rPr>
        <w:t>hospitalization</w:t>
      </w:r>
      <w:r>
        <w:rPr>
          <w:rFonts w:ascii="Arial" w:cs="Arial" w:eastAsia="Arial" w:hAnsi="Arial"/>
          <w:sz w:val="18"/>
          <w:szCs w:val="18"/>
          <w:color w:val="auto"/>
        </w:rPr>
        <w:t xml:space="preserve"> for chemotherapy is limited to the initial dose while </w:t>
      </w:r>
      <w:r>
        <w:rPr>
          <w:rFonts w:ascii="Arial" w:cs="Arial" w:eastAsia="Arial" w:hAnsi="Arial"/>
          <w:sz w:val="18"/>
          <w:szCs w:val="18"/>
          <w:b w:val="1"/>
          <w:bCs w:val="1"/>
          <w:color w:val="auto"/>
        </w:rPr>
        <w:t>hospitalized</w:t>
      </w:r>
      <w:r>
        <w:rPr>
          <w:rFonts w:ascii="Arial" w:cs="Arial" w:eastAsia="Arial" w:hAnsi="Arial"/>
          <w:sz w:val="18"/>
          <w:szCs w:val="18"/>
          <w:color w:val="auto"/>
        </w:rPr>
        <w:t xml:space="preserve"> for the diagnosis of cancer and when a </w:t>
      </w:r>
      <w:r>
        <w:rPr>
          <w:rFonts w:ascii="Arial" w:cs="Arial" w:eastAsia="Arial" w:hAnsi="Arial"/>
          <w:sz w:val="18"/>
          <w:szCs w:val="18"/>
          <w:b w:val="1"/>
          <w:bCs w:val="1"/>
          <w:color w:val="auto"/>
        </w:rPr>
        <w:t>hospital stay</w:t>
      </w:r>
      <w:r>
        <w:rPr>
          <w:rFonts w:ascii="Arial" w:cs="Arial" w:eastAsia="Arial" w:hAnsi="Arial"/>
          <w:sz w:val="18"/>
          <w:szCs w:val="18"/>
          <w:color w:val="auto"/>
        </w:rPr>
        <w:t xml:space="preserve"> is otherwise </w:t>
      </w:r>
      <w:r>
        <w:rPr>
          <w:rFonts w:ascii="Arial" w:cs="Arial" w:eastAsia="Arial" w:hAnsi="Arial"/>
          <w:sz w:val="18"/>
          <w:szCs w:val="18"/>
          <w:b w:val="1"/>
          <w:bCs w:val="1"/>
          <w:color w:val="auto"/>
        </w:rPr>
        <w:t>medically necessary</w:t>
      </w:r>
      <w:r>
        <w:rPr>
          <w:rFonts w:ascii="Arial" w:cs="Arial" w:eastAsia="Arial" w:hAnsi="Arial"/>
          <w:sz w:val="18"/>
          <w:szCs w:val="18"/>
          <w:color w:val="auto"/>
        </w:rPr>
        <w:t xml:space="preserve"> based on your health status.</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Radiation Therapy Benefits</w:t>
      </w:r>
    </w:p>
    <w:p>
      <w:pPr>
        <w:spacing w:after="0" w:line="32" w:lineRule="exact"/>
        <w:rPr>
          <w:sz w:val="20"/>
          <w:szCs w:val="20"/>
          <w:color w:val="auto"/>
        </w:rPr>
      </w:pPr>
    </w:p>
    <w:p>
      <w:pPr>
        <w:ind w:left="100" w:right="34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the treatment of</w:t>
      </w:r>
      <w:r>
        <w:rPr>
          <w:rFonts w:ascii="Arial" w:cs="Arial" w:eastAsia="Arial" w:hAnsi="Arial"/>
          <w:sz w:val="20"/>
          <w:szCs w:val="20"/>
          <w:b w:val="1"/>
          <w:bCs w:val="1"/>
          <w:color w:val="auto"/>
        </w:rPr>
        <w:t xml:space="preserve"> illness </w:t>
      </w:r>
      <w:r>
        <w:rPr>
          <w:rFonts w:ascii="Arial" w:cs="Arial" w:eastAsia="Arial" w:hAnsi="Arial"/>
          <w:sz w:val="20"/>
          <w:szCs w:val="20"/>
          <w:color w:val="auto"/>
        </w:rPr>
        <w:t>by x-ray, gamma ray, accelerated particles, mesons, neutrons, radium or</w:t>
      </w:r>
      <w:r>
        <w:rPr>
          <w:rFonts w:ascii="Arial" w:cs="Arial" w:eastAsia="Arial" w:hAnsi="Arial"/>
          <w:sz w:val="20"/>
          <w:szCs w:val="20"/>
          <w:b w:val="1"/>
          <w:bCs w:val="1"/>
          <w:color w:val="auto"/>
        </w:rPr>
        <w:t xml:space="preserve"> </w:t>
      </w:r>
      <w:r>
        <w:rPr>
          <w:rFonts w:ascii="Arial" w:cs="Arial" w:eastAsia="Arial" w:hAnsi="Arial"/>
          <w:sz w:val="20"/>
          <w:szCs w:val="20"/>
          <w:color w:val="auto"/>
        </w:rPr>
        <w:t>radioactive isotopes.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Outpatient Infusion Therapy Benefits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on an outpatient basis for infusion therapy by:</w:t>
      </w:r>
    </w:p>
    <w:p>
      <w:pPr>
        <w:spacing w:after="0" w:line="213" w:lineRule="exact"/>
        <w:rPr>
          <w:sz w:val="20"/>
          <w:szCs w:val="20"/>
          <w:color w:val="auto"/>
        </w:rPr>
      </w:pPr>
    </w:p>
    <w:p>
      <w:pPr>
        <w:ind w:left="440" w:hanging="330"/>
        <w:spacing w:after="0"/>
        <w:tabs>
          <w:tab w:leader="none" w:pos="4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 free-standing facility;</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The outpatient department of a </w:t>
      </w:r>
      <w:r>
        <w:rPr>
          <w:rFonts w:ascii="Arial" w:cs="Arial" w:eastAsia="Arial" w:hAnsi="Arial"/>
          <w:sz w:val="20"/>
          <w:szCs w:val="20"/>
          <w:b w:val="1"/>
          <w:bCs w:val="1"/>
          <w:color w:val="auto"/>
        </w:rPr>
        <w:t>hospital</w:t>
      </w:r>
      <w:r>
        <w:rPr>
          <w:rFonts w:ascii="Arial" w:cs="Arial" w:eastAsia="Arial" w:hAnsi="Arial"/>
          <w:sz w:val="20"/>
          <w:szCs w:val="20"/>
          <w:color w:val="auto"/>
        </w:rPr>
        <w:t>; or</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in his/her office or in your home.</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Infusion therapy is the intravenous or continuous administration of medications or solutions that are a part of your course of treatment.</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Charges for the following outpatient Infusion Therapy services and supplies are </w:t>
      </w:r>
      <w:r>
        <w:rPr>
          <w:rFonts w:ascii="Arial" w:cs="Arial" w:eastAsia="Arial" w:hAnsi="Arial"/>
          <w:sz w:val="20"/>
          <w:szCs w:val="20"/>
          <w:b w:val="1"/>
          <w:bCs w:val="1"/>
          <w:color w:val="auto"/>
        </w:rPr>
        <w:t>covered expenses</w:t>
      </w:r>
      <w:r>
        <w:rPr>
          <w:rFonts w:ascii="Arial" w:cs="Arial" w:eastAsia="Arial" w:hAnsi="Arial"/>
          <w:sz w:val="20"/>
          <w:szCs w:val="20"/>
          <w:color w:val="auto"/>
        </w:rPr>
        <w:t>:</w:t>
      </w:r>
    </w:p>
    <w:p>
      <w:pPr>
        <w:spacing w:after="0" w:line="200" w:lineRule="exact"/>
        <w:rPr>
          <w:sz w:val="20"/>
          <w:szCs w:val="20"/>
          <w:color w:val="auto"/>
        </w:rPr>
      </w:pPr>
    </w:p>
    <w:p>
      <w:pPr>
        <w:ind w:left="440" w:right="40" w:hanging="330"/>
        <w:spacing w:after="0" w:line="250" w:lineRule="auto"/>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pharmaceutical when administered in connection with infusion therapy and any medical supplies, equipment and nursing services required to support the infusion therapy;</w:t>
      </w: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Professional services;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Total parenteral nutrition (TPN);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Chemotherapy;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Drug therapy (includes antibiotic and antivirals);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Pain management (narcotics);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Hydration therapy (includes fluids, electrolytes and other additives).</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Not </w:t>
      </w:r>
      <w:r>
        <w:rPr>
          <w:rFonts w:ascii="Arial" w:cs="Arial" w:eastAsia="Arial" w:hAnsi="Arial"/>
          <w:sz w:val="20"/>
          <w:szCs w:val="20"/>
          <w:color w:val="auto"/>
        </w:rPr>
        <w:t>included under this infusion therapy benefit are charges incurred for:</w:t>
      </w:r>
    </w:p>
    <w:p>
      <w:pPr>
        <w:spacing w:after="0" w:line="216" w:lineRule="exact"/>
        <w:rPr>
          <w:sz w:val="20"/>
          <w:szCs w:val="20"/>
          <w:color w:val="auto"/>
        </w:rPr>
      </w:pPr>
    </w:p>
    <w:p>
      <w:pPr>
        <w:ind w:left="440" w:hanging="330"/>
        <w:spacing w:after="0"/>
        <w:tabs>
          <w:tab w:leader="none" w:pos="4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Enteral nutrition;</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Blood transfusions and blood products;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Dialysis;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Insulin.</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Coverage is subject to the maximums, if any, shown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w:t>
      </w:r>
    </w:p>
    <w:p>
      <w:pPr>
        <w:spacing w:after="0" w:line="243" w:lineRule="exact"/>
        <w:rPr>
          <w:sz w:val="20"/>
          <w:szCs w:val="20"/>
          <w:color w:val="auto"/>
        </w:rPr>
      </w:pPr>
    </w:p>
    <w:p>
      <w:pPr>
        <w:ind w:left="100" w:right="1680"/>
        <w:spacing w:after="0" w:line="260" w:lineRule="auto"/>
        <w:rPr>
          <w:sz w:val="20"/>
          <w:szCs w:val="20"/>
          <w:color w:val="auto"/>
        </w:rPr>
      </w:pPr>
      <w:r>
        <w:rPr>
          <w:rFonts w:ascii="Arial" w:cs="Arial" w:eastAsia="Arial" w:hAnsi="Arial"/>
          <w:sz w:val="20"/>
          <w:szCs w:val="20"/>
          <w:color w:val="auto"/>
        </w:rPr>
        <w:t xml:space="preserve">Coverage for inpatient infusion therapy is provided under the </w:t>
      </w:r>
      <w:r>
        <w:rPr>
          <w:rFonts w:ascii="Arial" w:cs="Arial" w:eastAsia="Arial" w:hAnsi="Arial"/>
          <w:sz w:val="20"/>
          <w:szCs w:val="20"/>
          <w:i w:val="1"/>
          <w:iCs w:val="1"/>
          <w:color w:val="auto"/>
        </w:rPr>
        <w:t>Inpatient Hospital</w:t>
      </w:r>
      <w:r>
        <w:rPr>
          <w:rFonts w:ascii="Arial" w:cs="Arial" w:eastAsia="Arial" w:hAnsi="Arial"/>
          <w:sz w:val="20"/>
          <w:szCs w:val="20"/>
          <w:color w:val="auto"/>
        </w:rPr>
        <w:t xml:space="preserve"> and </w:t>
      </w:r>
      <w:r>
        <w:rPr>
          <w:rFonts w:ascii="Arial" w:cs="Arial" w:eastAsia="Arial" w:hAnsi="Arial"/>
          <w:sz w:val="20"/>
          <w:szCs w:val="20"/>
          <w:i w:val="1"/>
          <w:iCs w:val="1"/>
          <w:color w:val="auto"/>
        </w:rPr>
        <w:t>Skilled Nursing Facility Benefits</w:t>
      </w:r>
      <w:r>
        <w:rPr>
          <w:rFonts w:ascii="Arial" w:cs="Arial" w:eastAsia="Arial" w:hAnsi="Arial"/>
          <w:sz w:val="20"/>
          <w:szCs w:val="20"/>
          <w:color w:val="auto"/>
        </w:rPr>
        <w:t xml:space="preserve"> sections of this </w:t>
      </w:r>
      <w:r>
        <w:rPr>
          <w:rFonts w:ascii="Arial" w:cs="Arial" w:eastAsia="Arial" w:hAnsi="Arial"/>
          <w:sz w:val="20"/>
          <w:szCs w:val="20"/>
          <w:i w:val="1"/>
          <w:iCs w:val="1"/>
          <w:color w:val="auto"/>
        </w:rPr>
        <w:t>Booklet-Certificate</w:t>
      </w:r>
      <w:r>
        <w:rPr>
          <w:rFonts w:ascii="Arial" w:cs="Arial" w:eastAsia="Arial" w:hAnsi="Arial"/>
          <w:sz w:val="20"/>
          <w:szCs w:val="20"/>
          <w:color w:val="auto"/>
        </w:rPr>
        <w:t>.</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Benefits payable for infusion therapy will not count toward any applicable </w:t>
      </w:r>
      <w:r>
        <w:rPr>
          <w:rFonts w:ascii="Arial" w:cs="Arial" w:eastAsia="Arial" w:hAnsi="Arial"/>
          <w:sz w:val="20"/>
          <w:szCs w:val="20"/>
          <w:b w:val="1"/>
          <w:bCs w:val="1"/>
          <w:color w:val="auto"/>
        </w:rPr>
        <w:t>Home Health Care</w:t>
      </w:r>
      <w:r>
        <w:rPr>
          <w:rFonts w:ascii="Arial" w:cs="Arial" w:eastAsia="Arial" w:hAnsi="Arial"/>
          <w:sz w:val="20"/>
          <w:szCs w:val="20"/>
          <w:color w:val="auto"/>
        </w:rPr>
        <w:t xml:space="preserve"> maximums.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any applicable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and maximum benefit limits.</w:t>
      </w:r>
    </w:p>
    <w:p>
      <w:pPr>
        <w:sectPr>
          <w:pgSz w:w="11900" w:h="16838" w:orient="portrait"/>
          <w:cols w:equalWidth="0" w:num="1">
            <w:col w:w="11100"/>
          </w:cols>
          <w:pgMar w:left="260" w:top="423" w:right="539" w:bottom="1440" w:gutter="0" w:footer="0" w:header="0"/>
        </w:sectPr>
      </w:pPr>
    </w:p>
    <w:bookmarkStart w:id="218" w:name="page219"/>
    <w:bookmarkEnd w:id="218"/>
    <w:p>
      <w:pPr>
        <w:spacing w:after="0"/>
        <w:rPr>
          <w:sz w:val="20"/>
          <w:szCs w:val="20"/>
          <w:color w:val="auto"/>
        </w:rPr>
      </w:pPr>
      <w:r>
        <w:rPr>
          <w:rFonts w:ascii="Arial" w:cs="Arial" w:eastAsia="Arial" w:hAnsi="Arial"/>
          <w:sz w:val="32"/>
          <w:szCs w:val="32"/>
          <w:b w:val="1"/>
          <w:bCs w:val="1"/>
          <w:color w:val="auto"/>
        </w:rPr>
        <w:t xml:space="preserve">Diabetic Supplies, Equipment, and Training Expenses </w:t>
      </w:r>
      <w:r>
        <w:rPr>
          <w:rFonts w:ascii="Arial" w:cs="Arial" w:eastAsia="Arial" w:hAnsi="Arial"/>
          <w:sz w:val="14"/>
          <w:szCs w:val="14"/>
          <w:i w:val="1"/>
          <w:iCs w:val="1"/>
          <w:color w:val="auto"/>
        </w:rPr>
        <w:t>(GR-9N 11-135-01 VA)</w:t>
      </w:r>
    </w:p>
    <w:p>
      <w:pPr>
        <w:spacing w:after="0" w:line="299"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diabetic supplies, equipment and self-management training and education. Medically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diabetic equipment and supplies and diabetic outpatient self-management training and educational services, including medical nutrition therapy, for the treatment of diabetic conditions are covered when ordered or prescribed by and obtained through a provider for the treatment of:</w:t>
      </w:r>
    </w:p>
    <w:p>
      <w:pPr>
        <w:spacing w:after="0" w:line="217" w:lineRule="exact"/>
        <w:rPr>
          <w:sz w:val="20"/>
          <w:szCs w:val="20"/>
          <w:color w:val="auto"/>
        </w:rPr>
      </w:pPr>
    </w:p>
    <w:p>
      <w:pPr>
        <w:ind w:left="340" w:hanging="331"/>
        <w:spacing w:after="0"/>
        <w:tabs>
          <w:tab w:leader="none" w:pos="3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Insulin-dependent diabetes;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Insulin-using diabetes;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Gestational diabetes;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Non-insulin using diabetes</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Treatment of Infertility </w:t>
      </w:r>
      <w:r>
        <w:rPr>
          <w:rFonts w:ascii="Arial" w:cs="Arial" w:eastAsia="Arial" w:hAnsi="Arial"/>
          <w:sz w:val="14"/>
          <w:szCs w:val="14"/>
          <w:i w:val="1"/>
          <w:iCs w:val="1"/>
          <w:color w:val="auto"/>
        </w:rPr>
        <w:t>(GR-9N 11-135-01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Basic Infertility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made by a</w:t>
      </w:r>
      <w:r>
        <w:rPr>
          <w:rFonts w:ascii="Arial" w:cs="Arial" w:eastAsia="Arial" w:hAnsi="Arial"/>
          <w:sz w:val="18"/>
          <w:szCs w:val="18"/>
          <w:b w:val="1"/>
          <w:bCs w:val="1"/>
          <w:color w:val="auto"/>
        </w:rPr>
        <w:t xml:space="preserve"> physician </w:t>
      </w:r>
      <w:r>
        <w:rPr>
          <w:rFonts w:ascii="Arial" w:cs="Arial" w:eastAsia="Arial" w:hAnsi="Arial"/>
          <w:sz w:val="18"/>
          <w:szCs w:val="18"/>
          <w:color w:val="auto"/>
        </w:rPr>
        <w:t>to diagnose and to surgically treat the underlying medical cause of</w:t>
      </w:r>
      <w:r>
        <w:rPr>
          <w:rFonts w:ascii="Arial" w:cs="Arial" w:eastAsia="Arial" w:hAnsi="Arial"/>
          <w:sz w:val="18"/>
          <w:szCs w:val="18"/>
          <w:b w:val="1"/>
          <w:bCs w:val="1"/>
          <w:color w:val="auto"/>
        </w:rPr>
        <w:t xml:space="preserve"> infertility</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Comprehensive Infertility and Advanced Reproductive Technology (ART) Expenses</w:t>
      </w:r>
    </w:p>
    <w:p>
      <w:pPr>
        <w:spacing w:after="0" w:line="3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 xml:space="preserve">To be an eligible covered female for benefits you must be covered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as an employee, or be a covered dependent who is the employee's spouse.</w:t>
      </w:r>
    </w:p>
    <w:p>
      <w:pPr>
        <w:spacing w:after="0" w:line="18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Even though not incurred for treatment of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will include expenses incurred by an eligible covered female for </w:t>
      </w:r>
      <w:r>
        <w:rPr>
          <w:rFonts w:ascii="Arial" w:cs="Arial" w:eastAsia="Arial" w:hAnsi="Arial"/>
          <w:sz w:val="20"/>
          <w:szCs w:val="20"/>
          <w:b w:val="1"/>
          <w:bCs w:val="1"/>
          <w:color w:val="auto"/>
        </w:rPr>
        <w:t>infertility</w:t>
      </w:r>
      <w:r>
        <w:rPr>
          <w:rFonts w:ascii="Arial" w:cs="Arial" w:eastAsia="Arial" w:hAnsi="Arial"/>
          <w:sz w:val="20"/>
          <w:szCs w:val="20"/>
          <w:color w:val="auto"/>
        </w:rPr>
        <w:t xml:space="preserve"> if all of the following tests are met:</w:t>
      </w:r>
    </w:p>
    <w:p>
      <w:pPr>
        <w:spacing w:after="0" w:line="164" w:lineRule="exact"/>
        <w:rPr>
          <w:sz w:val="20"/>
          <w:szCs w:val="20"/>
          <w:color w:val="auto"/>
        </w:rPr>
      </w:pPr>
    </w:p>
    <w:p>
      <w:pPr>
        <w:ind w:left="340" w:right="200" w:hanging="331"/>
        <w:spacing w:after="0" w:line="253" w:lineRule="auto"/>
        <w:tabs>
          <w:tab w:leader="none" w:pos="3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A condition that is a demonstrated cause of </w:t>
      </w:r>
      <w:r>
        <w:rPr>
          <w:rFonts w:ascii="Arial" w:cs="Arial" w:eastAsia="Arial" w:hAnsi="Arial"/>
          <w:sz w:val="20"/>
          <w:szCs w:val="20"/>
          <w:b w:val="1"/>
          <w:bCs w:val="1"/>
          <w:color w:val="auto"/>
        </w:rPr>
        <w:t>infertility</w:t>
      </w:r>
      <w:r>
        <w:rPr>
          <w:rFonts w:ascii="Arial" w:cs="Arial" w:eastAsia="Arial" w:hAnsi="Arial"/>
          <w:sz w:val="20"/>
          <w:szCs w:val="20"/>
          <w:color w:val="auto"/>
        </w:rPr>
        <w:t xml:space="preserve"> which has been recognized by a gynecologist, or an infertility specialist, and your </w:t>
      </w:r>
      <w:r>
        <w:rPr>
          <w:rFonts w:ascii="Arial" w:cs="Arial" w:eastAsia="Arial" w:hAnsi="Arial"/>
          <w:sz w:val="20"/>
          <w:szCs w:val="20"/>
          <w:b w:val="1"/>
          <w:bCs w:val="1"/>
          <w:color w:val="auto"/>
        </w:rPr>
        <w:t xml:space="preserve">physician </w:t>
      </w:r>
      <w:r>
        <w:rPr>
          <w:rFonts w:ascii="Arial" w:cs="Arial" w:eastAsia="Arial" w:hAnsi="Arial"/>
          <w:sz w:val="20"/>
          <w:szCs w:val="20"/>
          <w:color w:val="auto"/>
        </w:rPr>
        <w:t>who diagnosed you as</w:t>
      </w:r>
      <w:r>
        <w:rPr>
          <w:rFonts w:ascii="Arial" w:cs="Arial" w:eastAsia="Arial" w:hAnsi="Arial"/>
          <w:sz w:val="20"/>
          <w:szCs w:val="20"/>
          <w:b w:val="1"/>
          <w:bCs w:val="1"/>
          <w:color w:val="auto"/>
        </w:rPr>
        <w:t xml:space="preserve"> infertile</w:t>
      </w:r>
      <w:r>
        <w:rPr>
          <w:rFonts w:ascii="Arial" w:cs="Arial" w:eastAsia="Arial" w:hAnsi="Arial"/>
          <w:sz w:val="20"/>
          <w:szCs w:val="20"/>
          <w:color w:val="auto"/>
        </w:rPr>
        <w:t>, and it has been documented in your medical records.</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procedures are done while not confined in a hospital or any other facility as an inpatient.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Your FSH levels are less than, 19 miU on day 3 of the menstrual cycle.</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infertility</w:t>
      </w:r>
      <w:r>
        <w:rPr>
          <w:rFonts w:ascii="Arial" w:cs="Arial" w:eastAsia="Arial" w:hAnsi="Arial"/>
          <w:sz w:val="18"/>
          <w:szCs w:val="18"/>
          <w:color w:val="auto"/>
        </w:rPr>
        <w:t xml:space="preserve"> is not caused by voluntary sterilization of either one of the partners (with or without surgical reversal); or a hysterectomy.</w:t>
      </w:r>
    </w:p>
    <w:p>
      <w:pPr>
        <w:spacing w:after="0" w:line="27" w:lineRule="exact"/>
        <w:rPr>
          <w:rFonts w:ascii="Arial" w:cs="Arial" w:eastAsia="Arial" w:hAnsi="Arial"/>
          <w:sz w:val="18"/>
          <w:szCs w:val="18"/>
          <w:color w:val="auto"/>
        </w:rPr>
      </w:pPr>
    </w:p>
    <w:p>
      <w:pPr>
        <w:ind w:left="340" w:right="1920" w:hanging="331"/>
        <w:spacing w:after="0" w:line="253" w:lineRule="auto"/>
        <w:tabs>
          <w:tab w:leader="none" w:pos="3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A successful pregnancy cannot be attained through less costly treatment for which coverage is available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Comprehensive Infertility Services Benefits</w:t>
      </w:r>
    </w:p>
    <w:p>
      <w:pPr>
        <w:spacing w:after="0" w:line="3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 xml:space="preserve">If you meet the eligibility requirements above, the following comprehensive infertility services expenses are payable when provided by an infertility specialist, subject to all the exclusions and limitations of this </w:t>
      </w:r>
      <w:r>
        <w:rPr>
          <w:rFonts w:ascii="Arial" w:cs="Arial" w:eastAsia="Arial" w:hAnsi="Arial"/>
          <w:sz w:val="20"/>
          <w:szCs w:val="20"/>
          <w:i w:val="1"/>
          <w:iCs w:val="1"/>
          <w:color w:val="auto"/>
        </w:rPr>
        <w:t>Booklet-Certificate</w:t>
      </w:r>
      <w:r>
        <w:rPr>
          <w:rFonts w:ascii="Arial" w:cs="Arial" w:eastAsia="Arial" w:hAnsi="Arial"/>
          <w:sz w:val="20"/>
          <w:szCs w:val="20"/>
          <w:color w:val="auto"/>
        </w:rPr>
        <w:t>:</w:t>
      </w:r>
    </w:p>
    <w:p>
      <w:pPr>
        <w:spacing w:after="0" w:line="192" w:lineRule="exact"/>
        <w:rPr>
          <w:sz w:val="20"/>
          <w:szCs w:val="20"/>
          <w:color w:val="auto"/>
        </w:rPr>
      </w:pPr>
    </w:p>
    <w:p>
      <w:pPr>
        <w:jc w:val="both"/>
        <w:ind w:left="340" w:hanging="331"/>
        <w:spacing w:after="0" w:line="245" w:lineRule="auto"/>
        <w:tabs>
          <w:tab w:leader="none" w:pos="34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Ovulation induction with menotropins is subject to the maximum benefit, if any, shown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section of this </w:t>
      </w:r>
      <w:r>
        <w:rPr>
          <w:rFonts w:ascii="Arial" w:cs="Arial" w:eastAsia="Arial" w:hAnsi="Arial"/>
          <w:sz w:val="20"/>
          <w:szCs w:val="20"/>
          <w:i w:val="1"/>
          <w:iCs w:val="1"/>
          <w:color w:val="auto"/>
        </w:rPr>
        <w:t xml:space="preserve">Booklet-Certificate </w:t>
      </w:r>
      <w:r>
        <w:rPr>
          <w:rFonts w:ascii="Arial" w:cs="Arial" w:eastAsia="Arial" w:hAnsi="Arial"/>
          <w:sz w:val="20"/>
          <w:szCs w:val="20"/>
          <w:color w:val="auto"/>
        </w:rPr>
        <w:t>and has a maximum of 6 cycles per lifetime; (where lifetime is defined to include services received, provided or administered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or any affiliated company of </w:t>
      </w:r>
      <w:r>
        <w:rPr>
          <w:rFonts w:ascii="Arial" w:cs="Arial" w:eastAsia="Arial" w:hAnsi="Arial"/>
          <w:sz w:val="20"/>
          <w:szCs w:val="20"/>
          <w:b w:val="1"/>
          <w:bCs w:val="1"/>
          <w:color w:val="auto"/>
        </w:rPr>
        <w:t>Aetna</w:t>
      </w:r>
      <w:r>
        <w:rPr>
          <w:rFonts w:ascii="Arial" w:cs="Arial" w:eastAsia="Arial" w:hAnsi="Arial"/>
          <w:sz w:val="20"/>
          <w:szCs w:val="20"/>
          <w:color w:val="auto"/>
        </w:rPr>
        <w:t>); and</w:t>
      </w:r>
    </w:p>
    <w:p>
      <w:pPr>
        <w:ind w:left="340" w:right="40" w:hanging="331"/>
        <w:spacing w:after="0" w:line="241" w:lineRule="auto"/>
        <w:tabs>
          <w:tab w:leader="none" w:pos="34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Intrauterine insemination is subject to the maximum benefit, if any, shown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section of this </w:t>
      </w:r>
      <w:r>
        <w:rPr>
          <w:rFonts w:ascii="Arial" w:cs="Arial" w:eastAsia="Arial" w:hAnsi="Arial"/>
          <w:sz w:val="20"/>
          <w:szCs w:val="20"/>
          <w:i w:val="1"/>
          <w:iCs w:val="1"/>
          <w:color w:val="auto"/>
        </w:rPr>
        <w:t>Booklet-Certificate</w:t>
      </w:r>
      <w:r>
        <w:rPr>
          <w:rFonts w:ascii="Arial" w:cs="Arial" w:eastAsia="Arial" w:hAnsi="Arial"/>
          <w:sz w:val="20"/>
          <w:szCs w:val="20"/>
          <w:color w:val="auto"/>
        </w:rPr>
        <w:t xml:space="preserve"> and has a maximum of 6 cycles per lifetime; (where lifetime is defined to include services received, provided or administered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or any affiliated company of </w:t>
      </w:r>
      <w:r>
        <w:rPr>
          <w:rFonts w:ascii="Arial" w:cs="Arial" w:eastAsia="Arial" w:hAnsi="Arial"/>
          <w:sz w:val="20"/>
          <w:szCs w:val="20"/>
          <w:b w:val="1"/>
          <w:bCs w:val="1"/>
          <w:color w:val="auto"/>
        </w:rPr>
        <w:t>Aetna</w:t>
      </w: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Advanced Reproductive Technology (ART) Benefits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ART is defined as:</w:t>
      </w:r>
    </w:p>
    <w:p>
      <w:pPr>
        <w:spacing w:after="0" w:line="200" w:lineRule="exact"/>
        <w:rPr>
          <w:sz w:val="20"/>
          <w:szCs w:val="20"/>
          <w:color w:val="auto"/>
        </w:rPr>
      </w:pPr>
    </w:p>
    <w:p>
      <w:pPr>
        <w:ind w:left="340" w:hanging="331"/>
        <w:spacing w:after="0"/>
        <w:tabs>
          <w:tab w:leader="none" w:pos="34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 vitro fertilization (IVF);</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Zygote intrafallopian transfer (ZIFT);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Gamete intra-fallopian transfer (GIFT);</w:t>
      </w:r>
    </w:p>
    <w:p>
      <w:pPr>
        <w:sectPr>
          <w:pgSz w:w="11900" w:h="16838" w:orient="portrait"/>
          <w:cols w:equalWidth="0" w:num="1">
            <w:col w:w="11320"/>
          </w:cols>
          <w:pgMar w:left="320" w:top="423" w:right="259" w:bottom="1440" w:gutter="0" w:footer="0" w:header="0"/>
        </w:sectPr>
      </w:pPr>
    </w:p>
    <w:bookmarkStart w:id="219" w:name="page220"/>
    <w:bookmarkEnd w:id="219"/>
    <w:p>
      <w:pPr>
        <w:ind w:left="340" w:hanging="331"/>
        <w:spacing w:after="0"/>
        <w:tabs>
          <w:tab w:leader="none" w:pos="34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Cryopreserved embryo transfers;</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Intracytoplasmic sperm injection (ICSI); or ovum microsurgery.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 services for procedures that are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 for ART Benefits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be eligible for ART benefits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 you must meet the requirements above and:</w:t>
      </w:r>
    </w:p>
    <w:p>
      <w:pPr>
        <w:spacing w:after="0" w:line="200" w:lineRule="exact"/>
        <w:rPr>
          <w:sz w:val="20"/>
          <w:szCs w:val="20"/>
          <w:color w:val="auto"/>
        </w:rPr>
      </w:pPr>
    </w:p>
    <w:p>
      <w:pPr>
        <w:ind w:left="340" w:right="460" w:hanging="331"/>
        <w:spacing w:after="0" w:line="247" w:lineRule="auto"/>
        <w:tabs>
          <w:tab w:leader="none" w:pos="3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First exhaust the comprehensive infertility services benefits. Coverage for ART services is available only if comprehensive infertility services do not result in a pregnancy in which a fetal heartbeat is detected;</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Be referred by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to </w:t>
      </w:r>
      <w:r>
        <w:rPr>
          <w:rFonts w:ascii="Arial" w:cs="Arial" w:eastAsia="Arial" w:hAnsi="Arial"/>
          <w:sz w:val="20"/>
          <w:szCs w:val="20"/>
          <w:b w:val="1"/>
          <w:bCs w:val="1"/>
          <w:color w:val="auto"/>
        </w:rPr>
        <w:t>Aetna's</w:t>
      </w:r>
      <w:r>
        <w:rPr>
          <w:rFonts w:ascii="Arial" w:cs="Arial" w:eastAsia="Arial" w:hAnsi="Arial"/>
          <w:sz w:val="20"/>
          <w:szCs w:val="20"/>
          <w:color w:val="auto"/>
        </w:rPr>
        <w:t xml:space="preserve"> infertility case management unit.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Covered ART Benefits</w:t>
      </w:r>
    </w:p>
    <w:p>
      <w:pPr>
        <w:spacing w:after="0" w:line="3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 xml:space="preserve">The following charges are covered benefits for eligible covered females when all of the above conditions are met, subject to the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Limitations </w:t>
      </w:r>
      <w:r>
        <w:rPr>
          <w:rFonts w:ascii="Arial" w:cs="Arial" w:eastAsia="Arial" w:hAnsi="Arial"/>
          <w:sz w:val="20"/>
          <w:szCs w:val="20"/>
          <w:color w:val="auto"/>
        </w:rPr>
        <w:t>section of the</w:t>
      </w:r>
      <w:r>
        <w:rPr>
          <w:rFonts w:ascii="Arial" w:cs="Arial" w:eastAsia="Arial" w:hAnsi="Arial"/>
          <w:sz w:val="20"/>
          <w:szCs w:val="20"/>
          <w:i w:val="1"/>
          <w:iCs w:val="1"/>
          <w:color w:val="auto"/>
        </w:rPr>
        <w:t xml:space="preserve"> Booklet-Certificate</w:t>
      </w:r>
      <w:r>
        <w:rPr>
          <w:rFonts w:ascii="Arial" w:cs="Arial" w:eastAsia="Arial" w:hAnsi="Arial"/>
          <w:sz w:val="20"/>
          <w:szCs w:val="20"/>
          <w:color w:val="auto"/>
        </w:rPr>
        <w:t>:</w:t>
      </w:r>
    </w:p>
    <w:p>
      <w:pPr>
        <w:spacing w:after="0" w:line="192" w:lineRule="exact"/>
        <w:rPr>
          <w:sz w:val="20"/>
          <w:szCs w:val="20"/>
          <w:color w:val="auto"/>
        </w:rPr>
      </w:pPr>
    </w:p>
    <w:p>
      <w:pPr>
        <w:ind w:left="340" w:right="120" w:hanging="331"/>
        <w:spacing w:after="0" w:line="258" w:lineRule="auto"/>
        <w:tabs>
          <w:tab w:leader="none" w:pos="3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Up to 3 cycles and subject to the maximum benefit, if any, shown in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xml:space="preserve"> section of any combination of the following ART services per lifetime (where lifetime is defined to include all ART services received, provided or administered by </w:t>
      </w:r>
      <w:r>
        <w:rPr>
          <w:rFonts w:ascii="Arial" w:cs="Arial" w:eastAsia="Arial" w:hAnsi="Arial"/>
          <w:sz w:val="19"/>
          <w:szCs w:val="19"/>
          <w:b w:val="1"/>
          <w:bCs w:val="1"/>
          <w:color w:val="auto"/>
        </w:rPr>
        <w:t>Aetna</w:t>
      </w:r>
      <w:r>
        <w:rPr>
          <w:rFonts w:ascii="Arial" w:cs="Arial" w:eastAsia="Arial" w:hAnsi="Arial"/>
          <w:sz w:val="19"/>
          <w:szCs w:val="19"/>
          <w:color w:val="auto"/>
        </w:rPr>
        <w:t xml:space="preserve"> or any affiliated company of </w:t>
      </w:r>
      <w:r>
        <w:rPr>
          <w:rFonts w:ascii="Arial" w:cs="Arial" w:eastAsia="Arial" w:hAnsi="Arial"/>
          <w:sz w:val="19"/>
          <w:szCs w:val="19"/>
          <w:b w:val="1"/>
          <w:bCs w:val="1"/>
          <w:color w:val="auto"/>
        </w:rPr>
        <w:t>Aetna</w:t>
      </w:r>
      <w:r>
        <w:rPr>
          <w:rFonts w:ascii="Arial" w:cs="Arial" w:eastAsia="Arial" w:hAnsi="Arial"/>
          <w:sz w:val="19"/>
          <w:szCs w:val="19"/>
          <w:color w:val="auto"/>
        </w:rPr>
        <w:t>) which only include: IVF; GIFT; ZIFT; or cryopreserved embryo transfers;</w:t>
      </w:r>
    </w:p>
    <w:p>
      <w:pPr>
        <w:ind w:left="340" w:right="520" w:hanging="331"/>
        <w:spacing w:after="0" w:line="239" w:lineRule="auto"/>
        <w:tabs>
          <w:tab w:leader="none" w:pos="3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IVF; Intra-cytoplasmic sperm injection (“ICSI”); ovum microsurgery; GIFT; ZIFT; or cryopreserved embryo transfers subject to the maximum benefit shown on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section while covered under an </w:t>
      </w:r>
      <w:r>
        <w:rPr>
          <w:rFonts w:ascii="Arial" w:cs="Arial" w:eastAsia="Arial" w:hAnsi="Arial"/>
          <w:sz w:val="20"/>
          <w:szCs w:val="20"/>
          <w:b w:val="1"/>
          <w:bCs w:val="1"/>
          <w:color w:val="auto"/>
        </w:rPr>
        <w:t>Aetna</w:t>
      </w:r>
      <w:r>
        <w:rPr>
          <w:rFonts w:ascii="Arial" w:cs="Arial" w:eastAsia="Arial" w:hAnsi="Arial"/>
          <w:sz w:val="20"/>
          <w:szCs w:val="20"/>
          <w:color w:val="auto"/>
        </w:rPr>
        <w:t xml:space="preserve"> plan;</w:t>
      </w:r>
    </w:p>
    <w:p>
      <w:pPr>
        <w:spacing w:after="0" w:line="1" w:lineRule="exact"/>
        <w:rPr>
          <w:rFonts w:ascii="Arial" w:cs="Arial" w:eastAsia="Arial" w:hAnsi="Arial"/>
          <w:sz w:val="20"/>
          <w:szCs w:val="20"/>
          <w:color w:val="auto"/>
        </w:rPr>
      </w:pPr>
    </w:p>
    <w:p>
      <w:pPr>
        <w:ind w:left="340" w:right="720" w:hanging="331"/>
        <w:spacing w:after="0" w:line="242" w:lineRule="auto"/>
        <w:tabs>
          <w:tab w:leader="none" w:pos="3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Payment for charges associated with the care of the an eligible covered person under this plan who is participating in a donor IVF program, including fertilization and culture; and</w:t>
      </w:r>
    </w:p>
    <w:p>
      <w:pPr>
        <w:ind w:left="340" w:right="2580" w:hanging="331"/>
        <w:spacing w:after="0" w:line="253" w:lineRule="auto"/>
        <w:tabs>
          <w:tab w:leader="none" w:pos="3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Charges associated with obtaining the spouse's sperm for ART, when the spouse is also covered under this </w:t>
      </w:r>
      <w:r>
        <w:rPr>
          <w:rFonts w:ascii="Arial" w:cs="Arial" w:eastAsia="Arial" w:hAnsi="Arial"/>
          <w:sz w:val="20"/>
          <w:szCs w:val="20"/>
          <w:i w:val="1"/>
          <w:iCs w:val="1"/>
          <w:color w:val="auto"/>
        </w:rPr>
        <w:t>Booklet-Certificate</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Exclusions and Limitations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Unless otherwise specified above, the following charges will not be payable as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under this </w:t>
      </w:r>
      <w:r>
        <w:rPr>
          <w:rFonts w:ascii="Arial" w:cs="Arial" w:eastAsia="Arial" w:hAnsi="Arial"/>
          <w:sz w:val="19"/>
          <w:szCs w:val="19"/>
          <w:i w:val="1"/>
          <w:iCs w:val="1"/>
          <w:color w:val="auto"/>
        </w:rPr>
        <w:t>Booklet- Certificate</w:t>
      </w:r>
      <w:r>
        <w:rPr>
          <w:rFonts w:ascii="Arial" w:cs="Arial" w:eastAsia="Arial" w:hAnsi="Arial"/>
          <w:sz w:val="19"/>
          <w:szCs w:val="19"/>
          <w:color w:val="auto"/>
        </w:rPr>
        <w:t>:</w:t>
      </w:r>
    </w:p>
    <w:p>
      <w:pPr>
        <w:spacing w:after="0" w:line="225" w:lineRule="exact"/>
        <w:rPr>
          <w:sz w:val="20"/>
          <w:szCs w:val="20"/>
          <w:color w:val="auto"/>
        </w:rPr>
      </w:pPr>
    </w:p>
    <w:p>
      <w:pPr>
        <w:ind w:left="340" w:right="40" w:hanging="331"/>
        <w:spacing w:after="0" w:line="258" w:lineRule="auto"/>
        <w:tabs>
          <w:tab w:leader="none" w:pos="3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ART services for a female attempting to become pregnant who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had at least 1 year or more of timed, unprotected coitus, or 12 cycles of artificial insemination (for covered persons under 35 years of age), or 6 months or more of timed, unprotected coitus, or 6 cycles of artificial insemination (for covered persons 35 years of age or older) prior to enrolling in the </w:t>
      </w:r>
      <w:r>
        <w:rPr>
          <w:rFonts w:ascii="Arial" w:cs="Arial" w:eastAsia="Arial" w:hAnsi="Arial"/>
          <w:sz w:val="19"/>
          <w:szCs w:val="19"/>
          <w:b w:val="1"/>
          <w:bCs w:val="1"/>
          <w:color w:val="auto"/>
        </w:rPr>
        <w:t>infertility</w:t>
      </w:r>
      <w:r>
        <w:rPr>
          <w:rFonts w:ascii="Arial" w:cs="Arial" w:eastAsia="Arial" w:hAnsi="Arial"/>
          <w:sz w:val="19"/>
          <w:szCs w:val="19"/>
          <w:color w:val="auto"/>
        </w:rPr>
        <w:t xml:space="preserve"> program;</w:t>
      </w:r>
    </w:p>
    <w:p>
      <w:pPr>
        <w:ind w:left="340" w:hanging="331"/>
        <w:spacing w:after="0"/>
        <w:tabs>
          <w:tab w:leader="none" w:pos="3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ART services for couples in which 1 of the partners has had a previous sterilization procedure, with or without surgical reversal;</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Reversal of sterilization surgery;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b w:val="1"/>
          <w:bCs w:val="1"/>
          <w:color w:val="auto"/>
        </w:rPr>
        <w:t xml:space="preserve">Infertility </w:t>
      </w:r>
      <w:r>
        <w:rPr>
          <w:rFonts w:ascii="Arial" w:cs="Arial" w:eastAsia="Arial" w:hAnsi="Arial"/>
          <w:sz w:val="20"/>
          <w:szCs w:val="20"/>
          <w:color w:val="auto"/>
        </w:rPr>
        <w:t>services for females with FSH levels 19 or greater mIU/ml on day 3 of the menstrual cycle;</w:t>
      </w:r>
    </w:p>
    <w:p>
      <w:pPr>
        <w:spacing w:after="0" w:line="8" w:lineRule="exact"/>
        <w:rPr>
          <w:rFonts w:ascii="Arial" w:cs="Arial" w:eastAsia="Arial" w:hAnsi="Arial"/>
          <w:sz w:val="20"/>
          <w:szCs w:val="20"/>
          <w:color w:val="auto"/>
        </w:rPr>
      </w:pPr>
    </w:p>
    <w:p>
      <w:pPr>
        <w:ind w:left="340" w:hanging="331"/>
        <w:spacing w:after="0" w:line="239" w:lineRule="auto"/>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purchase of donor sperm and any charges for the storage of sperm; the purchase of donor eggs and any charges associated with care of the donor required for donor egg retrievals or transfers or gestational carriers (or surrogacy); all charges associated with a gestational carrier program for the covered person or the gestational carrier;</w:t>
      </w:r>
    </w:p>
    <w:p>
      <w:pPr>
        <w:spacing w:after="0" w:line="1" w:lineRule="exact"/>
        <w:rPr>
          <w:rFonts w:ascii="Arial" w:cs="Arial" w:eastAsia="Arial" w:hAnsi="Arial"/>
          <w:sz w:val="20"/>
          <w:szCs w:val="20"/>
          <w:color w:val="auto"/>
        </w:rPr>
      </w:pPr>
    </w:p>
    <w:p>
      <w:pPr>
        <w:ind w:left="340" w:right="340" w:hanging="331"/>
        <w:spacing w:after="0" w:line="242" w:lineRule="auto"/>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Charges associated with cryopreservation or storage of cryopreserved eggs and embryos (e.g., office, </w:t>
      </w:r>
      <w:r>
        <w:rPr>
          <w:rFonts w:ascii="Arial" w:cs="Arial" w:eastAsia="Arial" w:hAnsi="Arial"/>
          <w:sz w:val="20"/>
          <w:szCs w:val="20"/>
          <w:b w:val="1"/>
          <w:bCs w:val="1"/>
          <w:color w:val="auto"/>
        </w:rPr>
        <w:t>hospital</w:t>
      </w:r>
      <w:r>
        <w:rPr>
          <w:rFonts w:ascii="Arial" w:cs="Arial" w:eastAsia="Arial" w:hAnsi="Arial"/>
          <w:sz w:val="20"/>
          <w:szCs w:val="20"/>
          <w:color w:val="auto"/>
        </w:rPr>
        <w:t>, ultrasounds, laboratory tests, etc.);</w:t>
      </w: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Home ovulation prediction kits;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Drugs related to the treatment of non-covered benefits;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Injectable </w:t>
      </w:r>
      <w:r>
        <w:rPr>
          <w:rFonts w:ascii="Arial" w:cs="Arial" w:eastAsia="Arial" w:hAnsi="Arial"/>
          <w:sz w:val="20"/>
          <w:szCs w:val="20"/>
          <w:b w:val="1"/>
          <w:bCs w:val="1"/>
          <w:color w:val="auto"/>
        </w:rPr>
        <w:t>infertility</w:t>
      </w:r>
      <w:r>
        <w:rPr>
          <w:rFonts w:ascii="Arial" w:cs="Arial" w:eastAsia="Arial" w:hAnsi="Arial"/>
          <w:sz w:val="20"/>
          <w:szCs w:val="20"/>
          <w:color w:val="auto"/>
        </w:rPr>
        <w:t xml:space="preserve"> medications, including but not limited to, menotropins, hCG, GnRH agonists, and IVIG;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b w:val="1"/>
          <w:bCs w:val="1"/>
          <w:color w:val="auto"/>
        </w:rPr>
        <w:t xml:space="preserve">Infertility </w:t>
      </w:r>
      <w:r>
        <w:rPr>
          <w:rFonts w:ascii="Arial" w:cs="Arial" w:eastAsia="Arial" w:hAnsi="Arial"/>
          <w:sz w:val="20"/>
          <w:szCs w:val="20"/>
          <w:color w:val="auto"/>
        </w:rPr>
        <w:t>Services that are not reasonably likely to result in success;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Ovulation induction and intrauterine insemination services if you are not </w:t>
      </w:r>
      <w:r>
        <w:rPr>
          <w:rFonts w:ascii="Arial" w:cs="Arial" w:eastAsia="Arial" w:hAnsi="Arial"/>
          <w:sz w:val="20"/>
          <w:szCs w:val="20"/>
          <w:b w:val="1"/>
          <w:bCs w:val="1"/>
          <w:color w:val="auto"/>
        </w:rPr>
        <w:t>infertile</w:t>
      </w:r>
      <w:r>
        <w:rPr>
          <w:rFonts w:ascii="Arial" w:cs="Arial" w:eastAsia="Arial" w:hAnsi="Arial"/>
          <w:sz w:val="20"/>
          <w:szCs w:val="20"/>
          <w:color w:val="auto"/>
        </w:rPr>
        <w:t>;</w:t>
      </w:r>
    </w:p>
    <w:p>
      <w:pPr>
        <w:sectPr>
          <w:pgSz w:w="11900" w:h="16838" w:orient="portrait"/>
          <w:cols w:equalWidth="0" w:num="1">
            <w:col w:w="11320"/>
          </w:cols>
          <w:pgMar w:left="320" w:top="433" w:right="259" w:bottom="1440" w:gutter="0" w:footer="0" w:header="0"/>
        </w:sectPr>
      </w:pPr>
    </w:p>
    <w:bookmarkStart w:id="220" w:name="page221"/>
    <w:bookmarkEnd w:id="220"/>
    <w:p>
      <w:pPr>
        <w:ind w:left="100"/>
        <w:spacing w:after="0"/>
        <w:rPr>
          <w:sz w:val="20"/>
          <w:szCs w:val="20"/>
          <w:color w:val="auto"/>
        </w:rPr>
      </w:pPr>
      <w:r>
        <w:rPr>
          <w:rFonts w:ascii="Arial" w:cs="Arial" w:eastAsia="Arial" w:hAnsi="Arial"/>
          <w:sz w:val="25"/>
          <w:szCs w:val="25"/>
          <w:b w:val="1"/>
          <w:bCs w:val="1"/>
          <w:color w:val="auto"/>
        </w:rPr>
        <w:t>Exclusions and Limitations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Unless otherwise specified above, the following charges will not be payable as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under this </w:t>
      </w:r>
      <w:r>
        <w:rPr>
          <w:rFonts w:ascii="Arial" w:cs="Arial" w:eastAsia="Arial" w:hAnsi="Arial"/>
          <w:sz w:val="19"/>
          <w:szCs w:val="19"/>
          <w:i w:val="1"/>
          <w:iCs w:val="1"/>
          <w:color w:val="auto"/>
        </w:rPr>
        <w:t>Booklet- Certificate</w:t>
      </w:r>
      <w:r>
        <w:rPr>
          <w:rFonts w:ascii="Arial" w:cs="Arial" w:eastAsia="Arial" w:hAnsi="Arial"/>
          <w:sz w:val="19"/>
          <w:szCs w:val="19"/>
          <w:color w:val="auto"/>
        </w:rPr>
        <w:t>:</w:t>
      </w:r>
    </w:p>
    <w:p>
      <w:pPr>
        <w:spacing w:after="0" w:line="219" w:lineRule="exact"/>
        <w:rPr>
          <w:sz w:val="20"/>
          <w:szCs w:val="20"/>
          <w:color w:val="auto"/>
        </w:rPr>
      </w:pPr>
    </w:p>
    <w:p>
      <w:pPr>
        <w:ind w:left="440" w:hanging="330"/>
        <w:spacing w:after="0"/>
        <w:tabs>
          <w:tab w:leader="none" w:pos="4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Infertility </w:t>
      </w:r>
      <w:r>
        <w:rPr>
          <w:rFonts w:ascii="Arial" w:cs="Arial" w:eastAsia="Arial" w:hAnsi="Arial"/>
          <w:sz w:val="18"/>
          <w:szCs w:val="18"/>
          <w:color w:val="auto"/>
        </w:rPr>
        <w:t>services for couples in which 1 of the partners has had a previous sterilization procedure, with or without surgical reversal;</w:t>
      </w:r>
    </w:p>
    <w:p>
      <w:pPr>
        <w:spacing w:after="0" w:line="49" w:lineRule="exact"/>
        <w:rPr>
          <w:rFonts w:ascii="Arial" w:cs="Arial" w:eastAsia="Arial" w:hAnsi="Arial"/>
          <w:sz w:val="18"/>
          <w:szCs w:val="18"/>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Reversal of sterilization surgery;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b w:val="1"/>
          <w:bCs w:val="1"/>
          <w:color w:val="auto"/>
        </w:rPr>
        <w:t xml:space="preserve">Infertility </w:t>
      </w:r>
      <w:r>
        <w:rPr>
          <w:rFonts w:ascii="Arial" w:cs="Arial" w:eastAsia="Arial" w:hAnsi="Arial"/>
          <w:sz w:val="20"/>
          <w:szCs w:val="20"/>
          <w:color w:val="auto"/>
        </w:rPr>
        <w:t>services for females with FSH levels 19 or greater mIU/ml on day 3 of the menstrual cycle;</w:t>
      </w:r>
    </w:p>
    <w:p>
      <w:pPr>
        <w:spacing w:after="0" w:line="8" w:lineRule="exact"/>
        <w:rPr>
          <w:rFonts w:ascii="Arial" w:cs="Arial" w:eastAsia="Arial" w:hAnsi="Arial"/>
          <w:sz w:val="20"/>
          <w:szCs w:val="20"/>
          <w:color w:val="auto"/>
        </w:rPr>
      </w:pPr>
    </w:p>
    <w:p>
      <w:pPr>
        <w:jc w:val="both"/>
        <w:ind w:left="440" w:hanging="330"/>
        <w:spacing w:after="0" w:line="239" w:lineRule="auto"/>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purchase of donor sperm and any charges for the storage of sperm; the purchase of donor eggs and any charges associated with care of the donor required for donor egg retrievals or transfers or gestational carriers (or surrogacy); all charges associated with a gestational carrier program for the covered person or the gestational carrier;</w:t>
      </w:r>
    </w:p>
    <w:p>
      <w:pPr>
        <w:spacing w:after="0" w:line="1" w:lineRule="exact"/>
        <w:rPr>
          <w:rFonts w:ascii="Arial" w:cs="Arial" w:eastAsia="Arial" w:hAnsi="Arial"/>
          <w:sz w:val="20"/>
          <w:szCs w:val="20"/>
          <w:color w:val="auto"/>
        </w:rPr>
      </w:pPr>
    </w:p>
    <w:p>
      <w:pPr>
        <w:ind w:left="440" w:right="140" w:hanging="330"/>
        <w:spacing w:after="0" w:line="242" w:lineRule="auto"/>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Charges associated with cryopreservation or storage of cryopreserved eggs and embryos (e.g., office, </w:t>
      </w:r>
      <w:r>
        <w:rPr>
          <w:rFonts w:ascii="Arial" w:cs="Arial" w:eastAsia="Arial" w:hAnsi="Arial"/>
          <w:sz w:val="20"/>
          <w:szCs w:val="20"/>
          <w:b w:val="1"/>
          <w:bCs w:val="1"/>
          <w:color w:val="auto"/>
        </w:rPr>
        <w:t>hospital</w:t>
      </w:r>
      <w:r>
        <w:rPr>
          <w:rFonts w:ascii="Arial" w:cs="Arial" w:eastAsia="Arial" w:hAnsi="Arial"/>
          <w:sz w:val="20"/>
          <w:szCs w:val="20"/>
          <w:color w:val="auto"/>
        </w:rPr>
        <w:t>, ultrasounds, laboratory tests, etc.);</w:t>
      </w: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Home ovulation prediction kits;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Drugs related to the treatment of non-covered benefits;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Injectable </w:t>
      </w:r>
      <w:r>
        <w:rPr>
          <w:rFonts w:ascii="Arial" w:cs="Arial" w:eastAsia="Arial" w:hAnsi="Arial"/>
          <w:sz w:val="20"/>
          <w:szCs w:val="20"/>
          <w:b w:val="1"/>
          <w:bCs w:val="1"/>
          <w:color w:val="auto"/>
        </w:rPr>
        <w:t>infertility</w:t>
      </w:r>
      <w:r>
        <w:rPr>
          <w:rFonts w:ascii="Arial" w:cs="Arial" w:eastAsia="Arial" w:hAnsi="Arial"/>
          <w:sz w:val="20"/>
          <w:szCs w:val="20"/>
          <w:color w:val="auto"/>
        </w:rPr>
        <w:t xml:space="preserve"> medications, including but not limited to, menotropins, hCG, GnRH agonists, and IVIG;</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b w:val="1"/>
          <w:bCs w:val="1"/>
          <w:color w:val="auto"/>
        </w:rPr>
        <w:t xml:space="preserve">Infertility </w:t>
      </w:r>
      <w:r>
        <w:rPr>
          <w:rFonts w:ascii="Arial" w:cs="Arial" w:eastAsia="Arial" w:hAnsi="Arial"/>
          <w:sz w:val="20"/>
          <w:szCs w:val="20"/>
          <w:color w:val="auto"/>
        </w:rPr>
        <w:t>Services that are not reasonably likely to result in success;</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Ovulation induction and intrauterine insemination services if you are not </w:t>
      </w:r>
      <w:r>
        <w:rPr>
          <w:rFonts w:ascii="Arial" w:cs="Arial" w:eastAsia="Arial" w:hAnsi="Arial"/>
          <w:sz w:val="20"/>
          <w:szCs w:val="20"/>
          <w:b w:val="1"/>
          <w:bCs w:val="1"/>
          <w:color w:val="auto"/>
        </w:rPr>
        <w:t>infertile</w:t>
      </w:r>
      <w:r>
        <w:rPr>
          <w:rFonts w:ascii="Arial" w:cs="Arial" w:eastAsia="Arial" w:hAnsi="Arial"/>
          <w:sz w:val="20"/>
          <w:szCs w:val="20"/>
          <w:color w:val="auto"/>
        </w:rPr>
        <w:t>;</w:t>
      </w:r>
    </w:p>
    <w:p>
      <w:pPr>
        <w:ind w:left="440" w:right="460" w:hanging="330"/>
        <w:spacing w:after="0" w:line="252" w:lineRule="auto"/>
        <w:tabs>
          <w:tab w:leader="none" w:pos="4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Any ART procedure or services related to such procedures, including but not limited to in vitro fertilization (“IVF”), gamete intra-fallopian transfer (“GIFT”), zygote intra-fallopian transfer (“ZIFT”), and intra-cytoplasmic sperm injection (“ICSI”); or</w:t>
      </w:r>
    </w:p>
    <w:p>
      <w:pPr>
        <w:ind w:left="440" w:right="360" w:hanging="330"/>
        <w:spacing w:after="0" w:line="244" w:lineRule="auto"/>
        <w:tabs>
          <w:tab w:leader="none" w:pos="44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Any charges associated with care required to obtain ART services (e.g., office, </w:t>
      </w:r>
      <w:r>
        <w:rPr>
          <w:rFonts w:ascii="Arial" w:cs="Arial" w:eastAsia="Arial" w:hAnsi="Arial"/>
          <w:sz w:val="20"/>
          <w:szCs w:val="20"/>
          <w:b w:val="1"/>
          <w:bCs w:val="1"/>
          <w:color w:val="auto"/>
        </w:rPr>
        <w:t>hospital</w:t>
      </w:r>
      <w:r>
        <w:rPr>
          <w:rFonts w:ascii="Arial" w:cs="Arial" w:eastAsia="Arial" w:hAnsi="Arial"/>
          <w:sz w:val="20"/>
          <w:szCs w:val="20"/>
          <w:color w:val="auto"/>
        </w:rPr>
        <w:t>, ultrasounds, laboratory tests, etc.); and any charges associated with obtaining sperm for any ART procedures.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the maximums that apply to </w:t>
      </w:r>
      <w:r>
        <w:rPr>
          <w:rFonts w:ascii="Arial" w:cs="Arial" w:eastAsia="Arial" w:hAnsi="Arial"/>
          <w:sz w:val="20"/>
          <w:szCs w:val="20"/>
          <w:b w:val="1"/>
          <w:bCs w:val="1"/>
          <w:color w:val="auto"/>
        </w:rPr>
        <w:t>infertility</w:t>
      </w:r>
      <w:r>
        <w:rPr>
          <w:rFonts w:ascii="Arial" w:cs="Arial" w:eastAsia="Arial" w:hAnsi="Arial"/>
          <w:sz w:val="20"/>
          <w:szCs w:val="20"/>
          <w:color w:val="auto"/>
        </w:rPr>
        <w:t xml:space="preserve"> services. The </w:t>
      </w:r>
      <w:r>
        <w:rPr>
          <w:rFonts w:ascii="Arial" w:cs="Arial" w:eastAsia="Arial" w:hAnsi="Arial"/>
          <w:sz w:val="20"/>
          <w:szCs w:val="20"/>
          <w:b w:val="1"/>
          <w:bCs w:val="1"/>
          <w:color w:val="auto"/>
        </w:rPr>
        <w:t>lifetime maximums</w:t>
      </w:r>
      <w:r>
        <w:rPr>
          <w:rFonts w:ascii="Arial" w:cs="Arial" w:eastAsia="Arial" w:hAnsi="Arial"/>
          <w:sz w:val="20"/>
          <w:szCs w:val="20"/>
          <w:color w:val="auto"/>
        </w:rPr>
        <w:t xml:space="preserve"> that apply to </w:t>
      </w:r>
      <w:r>
        <w:rPr>
          <w:rFonts w:ascii="Arial" w:cs="Arial" w:eastAsia="Arial" w:hAnsi="Arial"/>
          <w:sz w:val="20"/>
          <w:szCs w:val="20"/>
          <w:b w:val="1"/>
          <w:bCs w:val="1"/>
          <w:color w:val="auto"/>
        </w:rPr>
        <w:t xml:space="preserve">infertility </w:t>
      </w:r>
      <w:r>
        <w:rPr>
          <w:rFonts w:ascii="Arial" w:cs="Arial" w:eastAsia="Arial" w:hAnsi="Arial"/>
          <w:sz w:val="20"/>
          <w:szCs w:val="20"/>
          <w:color w:val="auto"/>
        </w:rPr>
        <w:t>services apply differently than other</w:t>
      </w:r>
      <w:r>
        <w:rPr>
          <w:rFonts w:ascii="Arial" w:cs="Arial" w:eastAsia="Arial" w:hAnsi="Arial"/>
          <w:sz w:val="20"/>
          <w:szCs w:val="20"/>
          <w:b w:val="1"/>
          <w:bCs w:val="1"/>
          <w:color w:val="auto"/>
        </w:rPr>
        <w:t xml:space="preserve"> lifetime maximums </w:t>
      </w:r>
      <w:r>
        <w:rPr>
          <w:rFonts w:ascii="Arial" w:cs="Arial" w:eastAsia="Arial" w:hAnsi="Arial"/>
          <w:sz w:val="20"/>
          <w:szCs w:val="20"/>
          <w:color w:val="auto"/>
        </w:rPr>
        <w:t>under the plan.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Spinal Manipulation Treatment </w:t>
      </w:r>
      <w:r>
        <w:rPr>
          <w:rFonts w:ascii="Arial" w:cs="Arial" w:eastAsia="Arial" w:hAnsi="Arial"/>
          <w:sz w:val="14"/>
          <w:szCs w:val="14"/>
          <w:i w:val="1"/>
          <w:iCs w:val="1"/>
          <w:color w:val="auto"/>
        </w:rPr>
        <w:t>(GR-9N 11-150-01-VA)</w:t>
      </w:r>
    </w:p>
    <w:p>
      <w:pPr>
        <w:spacing w:after="0" w:line="299" w:lineRule="exact"/>
        <w:rPr>
          <w:sz w:val="20"/>
          <w:szCs w:val="20"/>
          <w:color w:val="auto"/>
        </w:rPr>
      </w:pPr>
    </w:p>
    <w:p>
      <w:pPr>
        <w:ind w:left="100" w:right="400"/>
        <w:spacing w:after="0" w:line="293" w:lineRule="auto"/>
        <w:rPr>
          <w:sz w:val="20"/>
          <w:szCs w:val="20"/>
          <w:color w:val="auto"/>
        </w:rPr>
      </w:pPr>
      <w:r>
        <w:rPr>
          <w:rFonts w:ascii="Arial" w:cs="Arial" w:eastAsia="Arial" w:hAnsi="Arial"/>
          <w:sz w:val="19"/>
          <w:szCs w:val="19"/>
          <w:b w:val="1"/>
          <w:bCs w:val="1"/>
          <w:color w:val="auto"/>
        </w:rPr>
        <w:t xml:space="preserve">Covered expenses </w:t>
      </w:r>
      <w:r>
        <w:rPr>
          <w:rFonts w:ascii="Arial" w:cs="Arial" w:eastAsia="Arial" w:hAnsi="Arial"/>
          <w:sz w:val="19"/>
          <w:szCs w:val="19"/>
          <w:color w:val="auto"/>
        </w:rPr>
        <w:t>include charges made by a</w:t>
      </w:r>
      <w:r>
        <w:rPr>
          <w:rFonts w:ascii="Arial" w:cs="Arial" w:eastAsia="Arial" w:hAnsi="Arial"/>
          <w:sz w:val="19"/>
          <w:szCs w:val="19"/>
          <w:b w:val="1"/>
          <w:bCs w:val="1"/>
          <w:color w:val="auto"/>
        </w:rPr>
        <w:t xml:space="preserve"> physician </w:t>
      </w:r>
      <w:r>
        <w:rPr>
          <w:rFonts w:ascii="Arial" w:cs="Arial" w:eastAsia="Arial" w:hAnsi="Arial"/>
          <w:sz w:val="19"/>
          <w:szCs w:val="19"/>
          <w:color w:val="auto"/>
        </w:rPr>
        <w:t>on an outpatient basis for manipulative (adjustive) treatment or other physical</w:t>
      </w:r>
      <w:r>
        <w:rPr>
          <w:rFonts w:ascii="Arial" w:cs="Arial" w:eastAsia="Arial" w:hAnsi="Arial"/>
          <w:sz w:val="19"/>
          <w:szCs w:val="19"/>
          <w:b w:val="1"/>
          <w:bCs w:val="1"/>
          <w:color w:val="auto"/>
        </w:rPr>
        <w:t xml:space="preserve"> </w:t>
      </w:r>
      <w:r>
        <w:rPr>
          <w:rFonts w:ascii="Arial" w:cs="Arial" w:eastAsia="Arial" w:hAnsi="Arial"/>
          <w:sz w:val="19"/>
          <w:szCs w:val="19"/>
          <w:color w:val="auto"/>
        </w:rPr>
        <w:t>treatment for conditions caused by (or related to) biomechanical or nerve conduction disorders of the spine.</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Your benefits are subject to the maximum shown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However, this maximum does not apply to expenses incurred:</w:t>
      </w:r>
    </w:p>
    <w:p>
      <w:pPr>
        <w:spacing w:after="0" w:line="233" w:lineRule="exact"/>
        <w:rPr>
          <w:sz w:val="20"/>
          <w:szCs w:val="20"/>
          <w:color w:val="auto"/>
        </w:rPr>
      </w:pPr>
    </w:p>
    <w:p>
      <w:pPr>
        <w:ind w:left="440" w:hanging="330"/>
        <w:spacing w:after="0"/>
        <w:tabs>
          <w:tab w:leader="none" w:pos="4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 xml:space="preserve">During your </w:t>
      </w:r>
      <w:r>
        <w:rPr>
          <w:rFonts w:ascii="Arial" w:cs="Arial" w:eastAsia="Arial" w:hAnsi="Arial"/>
          <w:sz w:val="20"/>
          <w:szCs w:val="20"/>
          <w:b w:val="1"/>
          <w:bCs w:val="1"/>
          <w:color w:val="auto"/>
        </w:rPr>
        <w:t>hospital stay</w:t>
      </w:r>
      <w:r>
        <w:rPr>
          <w:rFonts w:ascii="Arial" w:cs="Arial" w:eastAsia="Arial" w:hAnsi="Arial"/>
          <w:sz w:val="20"/>
          <w:szCs w:val="20"/>
          <w:color w:val="auto"/>
        </w:rPr>
        <w:t>; or</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 xml:space="preserve">For surgery. This includes pre- and post-surgical care provided or ordered by the operating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Cleft Lip or Palate Treatment </w:t>
      </w:r>
      <w:r>
        <w:rPr>
          <w:rFonts w:ascii="Arial" w:cs="Arial" w:eastAsia="Arial" w:hAnsi="Arial"/>
          <w:sz w:val="14"/>
          <w:szCs w:val="14"/>
          <w:i w:val="1"/>
          <w:iCs w:val="1"/>
          <w:color w:val="auto"/>
        </w:rPr>
        <w:t>(GR-9N 11-155-01)</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(Dependent Children Under Age 18 only)</w:t>
      </w:r>
    </w:p>
    <w:p>
      <w:pPr>
        <w:spacing w:after="0" w:line="22" w:lineRule="exact"/>
        <w:rPr>
          <w:sz w:val="20"/>
          <w:szCs w:val="20"/>
          <w:color w:val="auto"/>
        </w:rPr>
      </w:pPr>
    </w:p>
    <w:p>
      <w:pPr>
        <w:ind w:left="100" w:right="10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 the treatment of a congenital cleft lip or cleft palate, or of a condition related to the cleft lip or</w:t>
      </w:r>
      <w:r>
        <w:rPr>
          <w:rFonts w:ascii="Arial" w:cs="Arial" w:eastAsia="Arial" w:hAnsi="Arial"/>
          <w:sz w:val="20"/>
          <w:szCs w:val="20"/>
          <w:b w:val="1"/>
          <w:bCs w:val="1"/>
          <w:color w:val="auto"/>
        </w:rPr>
        <w:t xml:space="preserve"> </w:t>
      </w:r>
      <w:r>
        <w:rPr>
          <w:rFonts w:ascii="Arial" w:cs="Arial" w:eastAsia="Arial" w:hAnsi="Arial"/>
          <w:sz w:val="20"/>
          <w:szCs w:val="20"/>
          <w:color w:val="auto"/>
        </w:rPr>
        <w:t>palate, including:</w:t>
      </w:r>
    </w:p>
    <w:p>
      <w:pPr>
        <w:spacing w:after="0" w:line="199" w:lineRule="exact"/>
        <w:rPr>
          <w:sz w:val="20"/>
          <w:szCs w:val="20"/>
          <w:color w:val="auto"/>
        </w:rPr>
      </w:pPr>
    </w:p>
    <w:p>
      <w:pPr>
        <w:ind w:left="440" w:hanging="330"/>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Oral surgery and facial surgery, including pre and post-operative care provided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Oral prosthesis treatment, including obturators and orthotic devices, speech and feeding appliances;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Initial installation of dentures, whether fixed or removable, partial or full;</w:t>
      </w:r>
    </w:p>
    <w:p>
      <w:pPr>
        <w:spacing w:after="0" w:line="8" w:lineRule="exact"/>
        <w:rPr>
          <w:rFonts w:ascii="Arial" w:cs="Arial" w:eastAsia="Arial" w:hAnsi="Arial"/>
          <w:sz w:val="20"/>
          <w:szCs w:val="20"/>
          <w:color w:val="auto"/>
        </w:rPr>
      </w:pPr>
    </w:p>
    <w:p>
      <w:pPr>
        <w:ind w:left="440" w:right="300" w:hanging="330"/>
        <w:spacing w:after="0" w:line="242" w:lineRule="auto"/>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Replacement of dentures by dentures or fixed partial dentures when needed because of structural changes in the mouth or jaw due to growth;</w:t>
      </w:r>
    </w:p>
    <w:p>
      <w:pPr>
        <w:ind w:left="440" w:hanging="330"/>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Cleft orthodontic therapy;</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Orthodontic, otolaryngology or prosthetic treatment and management;</w:t>
      </w:r>
    </w:p>
    <w:p>
      <w:pPr>
        <w:sectPr>
          <w:pgSz w:w="11900" w:h="16838" w:orient="portrait"/>
          <w:cols w:equalWidth="0" w:num="1">
            <w:col w:w="11220"/>
          </w:cols>
          <w:pgMar w:left="260" w:top="427" w:right="419" w:bottom="1440" w:gutter="0" w:footer="0" w:header="0"/>
        </w:sectPr>
      </w:pPr>
    </w:p>
    <w:bookmarkStart w:id="221" w:name="page222"/>
    <w:bookmarkEnd w:id="221"/>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Installation of crowns;</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Diagnostic services provided by a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to determine the extent of loss or impairment in your speaking or hearing ability;</w:t>
      </w:r>
    </w:p>
    <w:p>
      <w:pPr>
        <w:spacing w:after="0" w:line="11" w:lineRule="exact"/>
        <w:rPr>
          <w:rFonts w:ascii="Arial" w:cs="Arial" w:eastAsia="Arial" w:hAnsi="Arial"/>
          <w:sz w:val="19"/>
          <w:szCs w:val="19"/>
          <w:color w:val="auto"/>
        </w:rPr>
      </w:pPr>
    </w:p>
    <w:p>
      <w:pPr>
        <w:ind w:left="340" w:right="340" w:hanging="331"/>
        <w:spacing w:after="0" w:line="239" w:lineRule="auto"/>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Speech therapy to treat delays in speech development given by a </w:t>
      </w:r>
      <w:r>
        <w:rPr>
          <w:rFonts w:ascii="Arial" w:cs="Arial" w:eastAsia="Arial" w:hAnsi="Arial"/>
          <w:sz w:val="20"/>
          <w:szCs w:val="20"/>
          <w:b w:val="1"/>
          <w:bCs w:val="1"/>
          <w:color w:val="auto"/>
        </w:rPr>
        <w:t>physician</w:t>
      </w:r>
      <w:r>
        <w:rPr>
          <w:rFonts w:ascii="Arial" w:cs="Arial" w:eastAsia="Arial" w:hAnsi="Arial"/>
          <w:sz w:val="20"/>
          <w:szCs w:val="20"/>
          <w:color w:val="auto"/>
        </w:rPr>
        <w:t>. Such therapy is expected to overcome congenital or early acquired handicaps;</w:t>
      </w:r>
    </w:p>
    <w:p>
      <w:pPr>
        <w:spacing w:after="0" w:line="1" w:lineRule="exact"/>
        <w:rPr>
          <w:rFonts w:ascii="Arial" w:cs="Arial" w:eastAsia="Arial" w:hAnsi="Arial"/>
          <w:sz w:val="20"/>
          <w:szCs w:val="20"/>
          <w:color w:val="auto"/>
        </w:rPr>
      </w:pPr>
    </w:p>
    <w:p>
      <w:pPr>
        <w:ind w:left="340" w:right="120" w:hanging="331"/>
        <w:spacing w:after="0" w:line="242" w:lineRule="auto"/>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Speech therapy provided by a </w:t>
      </w:r>
      <w:r>
        <w:rPr>
          <w:rFonts w:ascii="Arial" w:cs="Arial" w:eastAsia="Arial" w:hAnsi="Arial"/>
          <w:sz w:val="20"/>
          <w:szCs w:val="20"/>
          <w:b w:val="1"/>
          <w:bCs w:val="1"/>
          <w:color w:val="auto"/>
        </w:rPr>
        <w:t>physician</w:t>
      </w:r>
      <w:r>
        <w:rPr>
          <w:rFonts w:ascii="Arial" w:cs="Arial" w:eastAsia="Arial" w:hAnsi="Arial"/>
          <w:sz w:val="20"/>
          <w:szCs w:val="20"/>
          <w:color w:val="auto"/>
        </w:rPr>
        <w:t>, if the therapy is expected to restore or improve your ability to speak. Coverage includes speech aids and training to use the speech aids;</w:t>
      </w:r>
    </w:p>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Psychological assessment and counseling;</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Genetic assessment and counseling;</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Hearing aids;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Audiological assessment, treatment and management, including surgically implanted amplification devices;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Physical therapy assessment and treatment.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legally qualified audiologist or speech therapist will be deemed a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for purposes of this coverage. Unless specified above, </w:t>
      </w:r>
      <w:r>
        <w:rPr>
          <w:rFonts w:ascii="Arial" w:cs="Arial" w:eastAsia="Arial" w:hAnsi="Arial"/>
          <w:sz w:val="18"/>
          <w:szCs w:val="18"/>
          <w:i w:val="1"/>
          <w:iCs w:val="1"/>
          <w:color w:val="auto"/>
        </w:rPr>
        <w:t>not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covered under this benefit are:</w:t>
      </w:r>
    </w:p>
    <w:p>
      <w:pPr>
        <w:spacing w:after="0" w:line="121" w:lineRule="exact"/>
        <w:rPr>
          <w:sz w:val="20"/>
          <w:szCs w:val="20"/>
          <w:color w:val="auto"/>
        </w:rPr>
      </w:pPr>
    </w:p>
    <w:p>
      <w:pPr>
        <w:ind w:left="340" w:right="320" w:hanging="331"/>
        <w:spacing w:after="0" w:line="247" w:lineRule="auto"/>
        <w:tabs>
          <w:tab w:leader="none" w:pos="3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Oral prostheses, dentures or fixed partial dentures that were ordered before your coverage became effective or ordered while you were covered, but installed or delivered more than 60 days after your coverage ended;</w:t>
      </w:r>
    </w:p>
    <w:p>
      <w:pPr>
        <w:spacing w:after="0" w:line="1" w:lineRule="exact"/>
        <w:rPr>
          <w:rFonts w:ascii="Arial" w:cs="Arial" w:eastAsia="Arial" w:hAnsi="Arial"/>
          <w:sz w:val="20"/>
          <w:szCs w:val="20"/>
          <w:color w:val="auto"/>
        </w:rPr>
      </w:pPr>
    </w:p>
    <w:p>
      <w:pPr>
        <w:ind w:left="340" w:right="400" w:hanging="331"/>
        <w:spacing w:after="0" w:line="244" w:lineRule="auto"/>
        <w:tabs>
          <w:tab w:leader="none" w:pos="3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Augmentative (assistive) communication systems and usage training. (These aids are used in the special education of a person whose ability to speak or hear has been impaired, including lessons in sign language.)</w:t>
      </w:r>
    </w:p>
    <w:p>
      <w:pPr>
        <w:spacing w:after="0" w:line="1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Transplant Services </w:t>
      </w:r>
      <w:r>
        <w:rPr>
          <w:rFonts w:ascii="Arial" w:cs="Arial" w:eastAsia="Arial" w:hAnsi="Arial"/>
          <w:sz w:val="14"/>
          <w:szCs w:val="14"/>
          <w:i w:val="1"/>
          <w:iCs w:val="1"/>
          <w:color w:val="auto"/>
        </w:rPr>
        <w:t>(GR-9N 11-160-01 VA)</w:t>
      </w:r>
    </w:p>
    <w:p>
      <w:pPr>
        <w:spacing w:after="0" w:line="299"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incurred during a transplant occurrence. The following will be considered to be one transplant occurrence</w:t>
      </w:r>
      <w:r>
        <w:rPr>
          <w:rFonts w:ascii="Arial" w:cs="Arial" w:eastAsia="Arial" w:hAnsi="Arial"/>
          <w:sz w:val="20"/>
          <w:szCs w:val="20"/>
          <w:b w:val="1"/>
          <w:bCs w:val="1"/>
          <w:color w:val="auto"/>
        </w:rPr>
        <w:t xml:space="preserve"> </w:t>
      </w:r>
      <w:r>
        <w:rPr>
          <w:rFonts w:ascii="Arial" w:cs="Arial" w:eastAsia="Arial" w:hAnsi="Arial"/>
          <w:sz w:val="20"/>
          <w:szCs w:val="20"/>
          <w:color w:val="auto"/>
        </w:rPr>
        <w:t>once it has been determined that you or one of your dependents may require an organ transplant. Organ means solid organ; stem cell; bone marrow; and tissue.</w:t>
      </w:r>
    </w:p>
    <w:p>
      <w:pPr>
        <w:spacing w:after="0" w:line="211" w:lineRule="exact"/>
        <w:rPr>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Heart;</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Lung;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Heart/Lung;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Simultaneous Pancreas Kidney (SPK);</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Pancreas;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Kidney;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Liver;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Intestine;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Bone Marrow/Stem Cell;</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Multiple organs replaced during one transplant surgery;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Tandem transplants (Stem Cell);</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Sequential transplants;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Re-transplant of same organ type within 180 days of the first transplant;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other single organ transplant, unless otherwise excluded under the plan.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will be considered to be </w:t>
      </w:r>
      <w:r>
        <w:rPr>
          <w:rFonts w:ascii="Arial" w:cs="Arial" w:eastAsia="Arial" w:hAnsi="Arial"/>
          <w:sz w:val="20"/>
          <w:szCs w:val="20"/>
          <w:i w:val="1"/>
          <w:iCs w:val="1"/>
          <w:color w:val="auto"/>
        </w:rPr>
        <w:t>more than one</w:t>
      </w:r>
      <w:r>
        <w:rPr>
          <w:rFonts w:ascii="Arial" w:cs="Arial" w:eastAsia="Arial" w:hAnsi="Arial"/>
          <w:sz w:val="20"/>
          <w:szCs w:val="20"/>
          <w:color w:val="auto"/>
        </w:rPr>
        <w:t xml:space="preserve"> Transplant Occurrence:</w:t>
      </w:r>
    </w:p>
    <w:p>
      <w:pPr>
        <w:spacing w:after="0" w:line="216" w:lineRule="exact"/>
        <w:rPr>
          <w:sz w:val="20"/>
          <w:szCs w:val="20"/>
          <w:color w:val="auto"/>
        </w:rPr>
      </w:pPr>
    </w:p>
    <w:p>
      <w:pPr>
        <w:ind w:left="340" w:hanging="331"/>
        <w:spacing w:after="0"/>
        <w:tabs>
          <w:tab w:leader="none" w:pos="3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Autologous blood/bone marrow transplant followed by allogenic blood/bone marrow transplant (when not part of a tandem transplant);</w:t>
      </w:r>
    </w:p>
    <w:p>
      <w:pPr>
        <w:spacing w:after="0" w:line="38" w:lineRule="exact"/>
        <w:rPr>
          <w:rFonts w:ascii="Arial" w:cs="Arial" w:eastAsia="Arial" w:hAnsi="Arial"/>
          <w:sz w:val="18"/>
          <w:szCs w:val="18"/>
          <w:color w:val="auto"/>
        </w:rPr>
      </w:pPr>
    </w:p>
    <w:p>
      <w:pPr>
        <w:ind w:left="340" w:hanging="331"/>
        <w:spacing w:after="0"/>
        <w:tabs>
          <w:tab w:leader="none" w:pos="3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Allogenic blood/bone marrow transplant followed by an autologous blood/bone marrow transplant (when not part of a tandem transplant);</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Re-transplant after 180 days of the first transplant;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Pancreas transplant following a kidney transplant;</w:t>
      </w:r>
    </w:p>
    <w:p>
      <w:pPr>
        <w:sectPr>
          <w:pgSz w:w="11900" w:h="16838" w:orient="portrait"/>
          <w:cols w:equalWidth="0" w:num="1">
            <w:col w:w="11280"/>
          </w:cols>
          <w:pgMar w:left="320" w:top="433" w:right="299" w:bottom="1440" w:gutter="0" w:footer="0" w:header="0"/>
        </w:sectPr>
      </w:pPr>
    </w:p>
    <w:bookmarkStart w:id="222" w:name="page223"/>
    <w:bookmarkEnd w:id="222"/>
    <w:p>
      <w:pPr>
        <w:ind w:left="440" w:hanging="330"/>
        <w:spacing w:after="0"/>
        <w:tabs>
          <w:tab w:leader="none" w:pos="44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 transplant necessitated by an additional organ failure during the original transplant surgery/process;</w:t>
      </w:r>
    </w:p>
    <w:p>
      <w:pPr>
        <w:spacing w:after="0" w:line="15" w:lineRule="exact"/>
        <w:rPr>
          <w:rFonts w:ascii="Arial" w:cs="Arial" w:eastAsia="Arial" w:hAnsi="Arial"/>
          <w:sz w:val="20"/>
          <w:szCs w:val="20"/>
          <w:color w:val="auto"/>
        </w:rPr>
      </w:pPr>
    </w:p>
    <w:p>
      <w:pPr>
        <w:ind w:left="440" w:right="840" w:hanging="330"/>
        <w:spacing w:after="0" w:line="244" w:lineRule="auto"/>
        <w:tabs>
          <w:tab w:leader="none" w:pos="44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More than one transplant when not performed as part of a planned tandem or sequential transplant, (e.g., a liver transplant with subsequent heart transplant).</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plan covers:</w:t>
      </w:r>
    </w:p>
    <w:p>
      <w:pPr>
        <w:spacing w:after="0" w:line="237" w:lineRule="exact"/>
        <w:rPr>
          <w:sz w:val="20"/>
          <w:szCs w:val="20"/>
          <w:color w:val="auto"/>
        </w:rPr>
      </w:pPr>
    </w:p>
    <w:p>
      <w:pPr>
        <w:ind w:left="440" w:hanging="330"/>
        <w:spacing w:after="0"/>
        <w:tabs>
          <w:tab w:leader="none" w:pos="4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Charges made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transplant team.</w:t>
      </w:r>
    </w:p>
    <w:p>
      <w:pPr>
        <w:spacing w:after="0" w:line="21" w:lineRule="exact"/>
        <w:rPr>
          <w:rFonts w:ascii="Arial" w:cs="Arial" w:eastAsia="Arial" w:hAnsi="Arial"/>
          <w:sz w:val="20"/>
          <w:szCs w:val="20"/>
          <w:color w:val="auto"/>
        </w:rPr>
      </w:pPr>
    </w:p>
    <w:p>
      <w:pPr>
        <w:ind w:left="440" w:right="80" w:hanging="330"/>
        <w:spacing w:after="0" w:line="239" w:lineRule="auto"/>
        <w:tabs>
          <w:tab w:leader="none" w:pos="4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Charges made by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outpatient facility or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for the medical and surgical expenses of a live donor, but only to the extent not covered by another plan or program.</w:t>
      </w:r>
    </w:p>
    <w:p>
      <w:pPr>
        <w:spacing w:after="0" w:line="1" w:lineRule="exact"/>
        <w:rPr>
          <w:rFonts w:ascii="Arial" w:cs="Arial" w:eastAsia="Arial" w:hAnsi="Arial"/>
          <w:sz w:val="20"/>
          <w:szCs w:val="20"/>
          <w:color w:val="auto"/>
        </w:rPr>
      </w:pPr>
    </w:p>
    <w:p>
      <w:pPr>
        <w:ind w:left="440" w:right="200" w:hanging="330"/>
        <w:spacing w:after="0" w:line="302" w:lineRule="auto"/>
        <w:tabs>
          <w:tab w:leader="none" w:pos="4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Related supplies and services provided by the facility during the transplant process. These services and supplies may include: physical, speech and occupational therapy; bio-medicals and immunosuppressants; home health care expenses and home infusion services.</w:t>
      </w:r>
    </w:p>
    <w:p>
      <w:pPr>
        <w:ind w:left="440" w:hanging="330"/>
        <w:spacing w:after="0"/>
        <w:tabs>
          <w:tab w:leader="none" w:pos="4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Charges for activating the donor search process with national registries.</w:t>
      </w:r>
    </w:p>
    <w:p>
      <w:pPr>
        <w:spacing w:after="0" w:line="8" w:lineRule="exact"/>
        <w:rPr>
          <w:rFonts w:ascii="Arial" w:cs="Arial" w:eastAsia="Arial" w:hAnsi="Arial"/>
          <w:sz w:val="20"/>
          <w:szCs w:val="20"/>
          <w:color w:val="auto"/>
        </w:rPr>
      </w:pPr>
    </w:p>
    <w:p>
      <w:pPr>
        <w:ind w:left="440" w:right="40" w:hanging="330"/>
        <w:spacing w:after="0" w:line="254" w:lineRule="auto"/>
        <w:tabs>
          <w:tab w:leader="none" w:pos="4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Compatibility testing of prospective organ donors who are immediate family members. For the purpose of this coverage, an “immediate” family member is defined as a first-degree biological relative. These are your biological parents, siblings or children.</w:t>
      </w:r>
    </w:p>
    <w:p>
      <w:pPr>
        <w:spacing w:after="0" w:line="1" w:lineRule="exact"/>
        <w:rPr>
          <w:rFonts w:ascii="Arial" w:cs="Arial" w:eastAsia="Arial" w:hAnsi="Arial"/>
          <w:sz w:val="19"/>
          <w:szCs w:val="19"/>
          <w:color w:val="auto"/>
        </w:rPr>
      </w:pPr>
    </w:p>
    <w:p>
      <w:pPr>
        <w:ind w:left="440" w:hanging="330"/>
        <w:spacing w:after="0"/>
        <w:tabs>
          <w:tab w:leader="none" w:pos="4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Inpatient and outpatient expenses directly related to a transplant.</w:t>
      </w:r>
    </w:p>
    <w:p>
      <w:pPr>
        <w:spacing w:after="0" w:line="222" w:lineRule="exact"/>
        <w:rPr>
          <w:sz w:val="20"/>
          <w:szCs w:val="20"/>
          <w:color w:val="auto"/>
        </w:rPr>
      </w:pPr>
    </w:p>
    <w:p>
      <w:pPr>
        <w:ind w:left="100" w:right="460"/>
        <w:spacing w:after="0" w:line="260" w:lineRule="auto"/>
        <w:rPr>
          <w:sz w:val="20"/>
          <w:szCs w:val="20"/>
          <w:color w:val="auto"/>
        </w:rPr>
      </w:pPr>
      <w:r>
        <w:rPr>
          <w:rFonts w:ascii="Arial" w:cs="Arial" w:eastAsia="Arial" w:hAnsi="Arial"/>
          <w:sz w:val="20"/>
          <w:szCs w:val="20"/>
          <w:color w:val="auto"/>
        </w:rPr>
        <w:t>Covered transplant expenses are typically incurred during the four phases of transplant care described below. Expenses incurred for one transplant during these four phases of care will be considered one transplant occurrence.</w:t>
      </w:r>
    </w:p>
    <w:p>
      <w:pPr>
        <w:spacing w:after="0" w:line="204" w:lineRule="exact"/>
        <w:rPr>
          <w:sz w:val="20"/>
          <w:szCs w:val="20"/>
          <w:color w:val="auto"/>
        </w:rPr>
      </w:pPr>
    </w:p>
    <w:p>
      <w:pPr>
        <w:ind w:left="100" w:right="180"/>
        <w:spacing w:after="0" w:line="285" w:lineRule="auto"/>
        <w:rPr>
          <w:sz w:val="20"/>
          <w:szCs w:val="20"/>
          <w:color w:val="auto"/>
        </w:rPr>
      </w:pPr>
      <w:r>
        <w:rPr>
          <w:rFonts w:ascii="Arial" w:cs="Arial" w:eastAsia="Arial" w:hAnsi="Arial"/>
          <w:sz w:val="20"/>
          <w:szCs w:val="20"/>
          <w:color w:val="auto"/>
        </w:rPr>
        <w:t xml:space="preserve">A transplant occurrence is considered to begin at the point of evaluation for a transplant and end either 180 days from the date of the transplant; </w:t>
      </w:r>
      <w:r>
        <w:rPr>
          <w:rFonts w:ascii="Arial" w:cs="Arial" w:eastAsia="Arial" w:hAnsi="Arial"/>
          <w:sz w:val="20"/>
          <w:szCs w:val="20"/>
          <w:b w:val="1"/>
          <w:bCs w:val="1"/>
          <w:i w:val="1"/>
          <w:iCs w:val="1"/>
          <w:color w:val="auto"/>
        </w:rPr>
        <w:t>or</w:t>
      </w:r>
      <w:r>
        <w:rPr>
          <w:rFonts w:ascii="Arial" w:cs="Arial" w:eastAsia="Arial" w:hAnsi="Arial"/>
          <w:sz w:val="20"/>
          <w:szCs w:val="20"/>
          <w:color w:val="auto"/>
        </w:rPr>
        <w:t xml:space="preserve"> upon the date you are discharged from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outpatient facility for the admission or visit(s) related to the transplant, whichever is later.</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four phases of one transplant occurrence and a summary of covered transplant expenses during each phase are:</w:t>
      </w:r>
    </w:p>
    <w:p>
      <w:pPr>
        <w:spacing w:after="0" w:line="229" w:lineRule="exact"/>
        <w:rPr>
          <w:sz w:val="20"/>
          <w:szCs w:val="20"/>
          <w:color w:val="auto"/>
        </w:rPr>
      </w:pPr>
    </w:p>
    <w:p>
      <w:pPr>
        <w:ind w:left="440" w:right="540" w:hanging="330"/>
        <w:spacing w:after="0" w:line="247" w:lineRule="auto"/>
        <w:tabs>
          <w:tab w:leader="none" w:pos="44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Pre-transplant evaluation/screening: Includes all transplant-related professional and technical components required for assessment, evaluation and acceptance into a transplant facility’s transplant program;</w:t>
      </w:r>
    </w:p>
    <w:p>
      <w:pPr>
        <w:spacing w:after="0" w:line="1" w:lineRule="exact"/>
        <w:rPr>
          <w:rFonts w:ascii="Arial" w:cs="Arial" w:eastAsia="Arial" w:hAnsi="Arial"/>
          <w:sz w:val="20"/>
          <w:szCs w:val="20"/>
          <w:color w:val="auto"/>
        </w:rPr>
      </w:pPr>
    </w:p>
    <w:p>
      <w:pPr>
        <w:ind w:left="440" w:right="240" w:hanging="330"/>
        <w:spacing w:after="0" w:line="239" w:lineRule="auto"/>
        <w:tabs>
          <w:tab w:leader="none" w:pos="44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Pre-transplant/candidacy screening: Includes HLA typing/compatibility testing of prospective organ donors who are immediate family members;</w:t>
      </w:r>
    </w:p>
    <w:p>
      <w:pPr>
        <w:spacing w:after="0" w:line="1" w:lineRule="exact"/>
        <w:rPr>
          <w:rFonts w:ascii="Arial" w:cs="Arial" w:eastAsia="Arial" w:hAnsi="Arial"/>
          <w:sz w:val="20"/>
          <w:szCs w:val="20"/>
          <w:color w:val="auto"/>
        </w:rPr>
      </w:pPr>
    </w:p>
    <w:p>
      <w:pPr>
        <w:ind w:left="440" w:hanging="330"/>
        <w:spacing w:after="0" w:line="266" w:lineRule="auto"/>
        <w:tabs>
          <w:tab w:leader="none" w:pos="4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Transplant event: Includes inpatient and outpatient services for all covered transplant-related health services and supplies provided to you and a donor during the one or more surgical procedures or medical therapies for a transplant; </w:t>
      </w:r>
      <w:r>
        <w:rPr>
          <w:rFonts w:ascii="Arial" w:cs="Arial" w:eastAsia="Arial" w:hAnsi="Arial"/>
          <w:sz w:val="18"/>
          <w:szCs w:val="18"/>
          <w:b w:val="1"/>
          <w:bCs w:val="1"/>
          <w:color w:val="auto"/>
        </w:rPr>
        <w:t>prescription drugs</w:t>
      </w:r>
      <w:r>
        <w:rPr>
          <w:rFonts w:ascii="Arial" w:cs="Arial" w:eastAsia="Arial" w:hAnsi="Arial"/>
          <w:sz w:val="18"/>
          <w:szCs w:val="18"/>
          <w:color w:val="auto"/>
        </w:rPr>
        <w:t xml:space="preserve"> provided during your inpatient </w:t>
      </w:r>
      <w:r>
        <w:rPr>
          <w:rFonts w:ascii="Arial" w:cs="Arial" w:eastAsia="Arial" w:hAnsi="Arial"/>
          <w:sz w:val="18"/>
          <w:szCs w:val="18"/>
          <w:b w:val="1"/>
          <w:bCs w:val="1"/>
          <w:color w:val="auto"/>
        </w:rPr>
        <w:t>stay</w:t>
      </w:r>
      <w:r>
        <w:rPr>
          <w:rFonts w:ascii="Arial" w:cs="Arial" w:eastAsia="Arial" w:hAnsi="Arial"/>
          <w:sz w:val="18"/>
          <w:szCs w:val="18"/>
          <w:color w:val="auto"/>
        </w:rPr>
        <w:t xml:space="preserve"> or outpatient visit(s), including bio-medical and immunosuppressant drugs; physical, speech or occupational therapy provided during your inpatient </w:t>
      </w:r>
      <w:r>
        <w:rPr>
          <w:rFonts w:ascii="Arial" w:cs="Arial" w:eastAsia="Arial" w:hAnsi="Arial"/>
          <w:sz w:val="18"/>
          <w:szCs w:val="18"/>
          <w:b w:val="1"/>
          <w:bCs w:val="1"/>
          <w:color w:val="auto"/>
        </w:rPr>
        <w:t>stay</w:t>
      </w:r>
      <w:r>
        <w:rPr>
          <w:rFonts w:ascii="Arial" w:cs="Arial" w:eastAsia="Arial" w:hAnsi="Arial"/>
          <w:sz w:val="18"/>
          <w:szCs w:val="18"/>
          <w:color w:val="auto"/>
        </w:rPr>
        <w:t xml:space="preserve"> or outpatient visit(s); cadaveric and live donor organ procurement; and</w:t>
      </w:r>
    </w:p>
    <w:p>
      <w:pPr>
        <w:ind w:left="440" w:right="500" w:hanging="330"/>
        <w:spacing w:after="0" w:line="244" w:lineRule="auto"/>
        <w:tabs>
          <w:tab w:leader="none" w:pos="44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Follow-up care: Includes all covered transplant expenses; home health care services; home infusion services; and transplant-related outpatient services rendered within 180 days from the date of the transplant event.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details about transplant expense maximums, if applicable.</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incurred for:</w:t>
      </w:r>
    </w:p>
    <w:p>
      <w:pPr>
        <w:spacing w:after="0" w:line="200" w:lineRule="exact"/>
        <w:rPr>
          <w:sz w:val="20"/>
          <w:szCs w:val="20"/>
          <w:color w:val="auto"/>
        </w:rPr>
      </w:pPr>
    </w:p>
    <w:p>
      <w:pPr>
        <w:ind w:left="440" w:hanging="330"/>
        <w:spacing w:after="0"/>
        <w:tabs>
          <w:tab w:leader="none" w:pos="4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Outpatient drugs including bio-medicals and immunosuppressants not expressly related to an outpatient transplant occurrence;</w:t>
      </w:r>
    </w:p>
    <w:p>
      <w:pPr>
        <w:spacing w:after="0" w:line="31" w:lineRule="exact"/>
        <w:rPr>
          <w:rFonts w:ascii="Arial" w:cs="Arial" w:eastAsia="Arial" w:hAnsi="Arial"/>
          <w:sz w:val="19"/>
          <w:szCs w:val="19"/>
          <w:color w:val="auto"/>
        </w:rPr>
      </w:pPr>
    </w:p>
    <w:p>
      <w:pPr>
        <w:ind w:left="440" w:hanging="330"/>
        <w:spacing w:after="0"/>
        <w:tabs>
          <w:tab w:leader="none" w:pos="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Services that are covered under any other part of this plan;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Services and supplies furnished to a donor when the recipient is not covered under this plan;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Home infusion therapy after the transplant occurrence;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Harvesting or storage of organs, without the expectation of immediate transplantation for an existing illness;</w:t>
      </w:r>
    </w:p>
    <w:p>
      <w:pPr>
        <w:sectPr>
          <w:pgSz w:w="11900" w:h="16838" w:orient="portrait"/>
          <w:cols w:equalWidth="0" w:num="1">
            <w:col w:w="11320"/>
          </w:cols>
          <w:pgMar w:left="260" w:top="434" w:right="319" w:bottom="1440" w:gutter="0" w:footer="0" w:header="0"/>
        </w:sectPr>
      </w:pPr>
    </w:p>
    <w:bookmarkStart w:id="223" w:name="page224"/>
    <w:bookmarkEnd w:id="223"/>
    <w:p>
      <w:pPr>
        <w:ind w:left="440" w:right="640" w:hanging="330"/>
        <w:spacing w:after="0" w:line="247" w:lineRule="auto"/>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Harvesting and/or storage of bone marrow, tissue or stem cells, without the expectation of transplantation within 12 months for an existing illness;</w:t>
      </w:r>
    </w:p>
    <w:p>
      <w:pPr>
        <w:spacing w:after="0" w:line="1" w:lineRule="exact"/>
        <w:rPr>
          <w:rFonts w:ascii="Arial" w:cs="Arial" w:eastAsia="Arial" w:hAnsi="Arial"/>
          <w:sz w:val="20"/>
          <w:szCs w:val="20"/>
          <w:color w:val="auto"/>
        </w:rPr>
      </w:pPr>
    </w:p>
    <w:p>
      <w:pPr>
        <w:ind w:left="440" w:right="540" w:hanging="330"/>
        <w:spacing w:after="0" w:line="244" w:lineRule="auto"/>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 xml:space="preserve">Cornea (Corneal Graft with Amniotic Membrane) or Cartilage (autologous chondrocyte or autologous osteochondral mosaicplasty) transplants, unless otherwise authorized by </w:t>
      </w:r>
      <w:r>
        <w:rPr>
          <w:rFonts w:ascii="Arial" w:cs="Arial" w:eastAsia="Arial" w:hAnsi="Arial"/>
          <w:sz w:val="20"/>
          <w:szCs w:val="20"/>
          <w:b w:val="1"/>
          <w:bCs w:val="1"/>
          <w:color w:val="auto"/>
        </w:rPr>
        <w:t>Aetna</w:t>
      </w:r>
      <w:r>
        <w:rPr>
          <w:rFonts w:ascii="Arial" w:cs="Arial" w:eastAsia="Arial" w:hAnsi="Arial"/>
          <w:sz w:val="20"/>
          <w:szCs w:val="20"/>
          <w:color w:val="auto"/>
        </w:rPr>
        <w: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Morbid Obesity Treatment</w:t>
      </w:r>
      <w:r>
        <w:rPr>
          <w:rFonts w:ascii="Arial" w:cs="Arial" w:eastAsia="Arial" w:hAnsi="Arial"/>
          <w:sz w:val="14"/>
          <w:szCs w:val="14"/>
          <w:i w:val="1"/>
          <w:iCs w:val="1"/>
          <w:color w:val="auto"/>
        </w:rPr>
        <w:t>(GR-9N 11-165VA)</w:t>
      </w:r>
    </w:p>
    <w:p>
      <w:pPr>
        <w:spacing w:after="0" w:line="299" w:lineRule="exact"/>
        <w:rPr>
          <w:sz w:val="20"/>
          <w:szCs w:val="20"/>
          <w:color w:val="auto"/>
        </w:rPr>
      </w:pPr>
    </w:p>
    <w:p>
      <w:pPr>
        <w:jc w:val="both"/>
        <w:ind w:left="100" w:right="420"/>
        <w:spacing w:after="0" w:line="253"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for a covered person include charges made on an inpatient or outpatient basis by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or a</w:t>
      </w:r>
      <w:r>
        <w:rPr>
          <w:rFonts w:ascii="Arial" w:cs="Arial" w:eastAsia="Arial" w:hAnsi="Arial"/>
          <w:sz w:val="20"/>
          <w:szCs w:val="20"/>
          <w:b w:val="1"/>
          <w:bCs w:val="1"/>
          <w:color w:val="auto"/>
        </w:rPr>
        <w:t xml:space="preserve"> physician </w:t>
      </w:r>
      <w:r>
        <w:rPr>
          <w:rFonts w:ascii="Arial" w:cs="Arial" w:eastAsia="Arial" w:hAnsi="Arial"/>
          <w:sz w:val="20"/>
          <w:szCs w:val="20"/>
          <w:color w:val="auto"/>
        </w:rPr>
        <w:t>for gastric</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bypass surgery or other such methods as may be recognized by the National Institutes of Health as effective for the long-term reversal of </w:t>
      </w:r>
      <w:r>
        <w:rPr>
          <w:rFonts w:ascii="Arial" w:cs="Arial" w:eastAsia="Arial" w:hAnsi="Arial"/>
          <w:sz w:val="20"/>
          <w:szCs w:val="20"/>
          <w:b w:val="1"/>
          <w:bCs w:val="1"/>
          <w:color w:val="auto"/>
        </w:rPr>
        <w:t>morbid obesity</w:t>
      </w:r>
      <w:r>
        <w:rPr>
          <w:rFonts w:ascii="Arial" w:cs="Arial" w:eastAsia="Arial" w:hAnsi="Arial"/>
          <w:sz w:val="20"/>
          <w:szCs w:val="20"/>
          <w:color w:val="auto"/>
        </w:rPr>
        <w:t>.</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are payable to the same extent as any other illness.</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Limitations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Unless specified above, </w:t>
      </w:r>
      <w:r>
        <w:rPr>
          <w:rFonts w:ascii="Arial" w:cs="Arial" w:eastAsia="Arial" w:hAnsi="Arial"/>
          <w:sz w:val="20"/>
          <w:szCs w:val="20"/>
          <w:i w:val="1"/>
          <w:iCs w:val="1"/>
          <w:color w:val="auto"/>
        </w:rPr>
        <w:t>not</w:t>
      </w:r>
      <w:r>
        <w:rPr>
          <w:rFonts w:ascii="Arial" w:cs="Arial" w:eastAsia="Arial" w:hAnsi="Arial"/>
          <w:sz w:val="20"/>
          <w:szCs w:val="20"/>
          <w:color w:val="auto"/>
        </w:rPr>
        <w:t xml:space="preserve"> covered under this benefit are charges incurred for:</w:t>
      </w:r>
    </w:p>
    <w:p>
      <w:pPr>
        <w:spacing w:after="0" w:line="200" w:lineRule="exact"/>
        <w:rPr>
          <w:sz w:val="20"/>
          <w:szCs w:val="20"/>
          <w:color w:val="auto"/>
        </w:rPr>
      </w:pPr>
    </w:p>
    <w:p>
      <w:pPr>
        <w:ind w:left="440" w:hanging="330"/>
        <w:spacing w:after="0" w:line="282" w:lineRule="auto"/>
        <w:tabs>
          <w:tab w:leader="none" w:pos="4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Weight control services including surgical procedures, medical treatments, weight control/loss programs, dietary regimens and supplements, food or food supplements, appetite suppressants and other medications; exercise programs, exercise or other equipment; and other services and supplies that are primarily intended to control weight or treat obesity, including </w:t>
      </w:r>
      <w:r>
        <w:rPr>
          <w:rFonts w:ascii="Arial" w:cs="Arial" w:eastAsia="Arial" w:hAnsi="Arial"/>
          <w:sz w:val="18"/>
          <w:szCs w:val="18"/>
          <w:b w:val="1"/>
          <w:bCs w:val="1"/>
          <w:color w:val="auto"/>
        </w:rPr>
        <w:t>morbid obesity</w:t>
      </w:r>
      <w:r>
        <w:rPr>
          <w:rFonts w:ascii="Arial" w:cs="Arial" w:eastAsia="Arial" w:hAnsi="Arial"/>
          <w:sz w:val="18"/>
          <w:szCs w:val="18"/>
          <w:color w:val="auto"/>
        </w:rPr>
        <w:t xml:space="preserve">, or for the purpose of weight reduction, regardless of the existence of comorbid conditions; except as provided in this </w:t>
      </w:r>
      <w:r>
        <w:rPr>
          <w:rFonts w:ascii="Arial" w:cs="Arial" w:eastAsia="Arial" w:hAnsi="Arial"/>
          <w:sz w:val="18"/>
          <w:szCs w:val="18"/>
          <w:i w:val="1"/>
          <w:iCs w:val="1"/>
          <w:color w:val="auto"/>
        </w:rPr>
        <w:t>Booklet-Certificate</w:t>
      </w:r>
      <w:r>
        <w:rPr>
          <w:rFonts w:ascii="Arial" w:cs="Arial" w:eastAsia="Arial" w:hAnsi="Arial"/>
          <w:sz w:val="18"/>
          <w:szCs w:val="18"/>
          <w:color w:val="auto"/>
        </w:rPr>
        <w:t>.</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 xml:space="preserve">Treatment of Mental Disorders and Substance Abuse </w:t>
      </w:r>
      <w:r>
        <w:rPr>
          <w:rFonts w:ascii="Arial" w:cs="Arial" w:eastAsia="Arial" w:hAnsi="Arial"/>
          <w:sz w:val="14"/>
          <w:szCs w:val="14"/>
          <w:i w:val="1"/>
          <w:iCs w:val="1"/>
          <w:color w:val="auto"/>
        </w:rPr>
        <w:t>(GR-9N-11-172-01)</w:t>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Treatment of Mental Disorders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 the treatment of</w:t>
      </w:r>
      <w:r>
        <w:rPr>
          <w:rFonts w:ascii="Arial" w:cs="Arial" w:eastAsia="Arial" w:hAnsi="Arial"/>
          <w:sz w:val="20"/>
          <w:szCs w:val="20"/>
          <w:b w:val="1"/>
          <w:bCs w:val="1"/>
          <w:color w:val="auto"/>
        </w:rPr>
        <w:t xml:space="preserve"> mental disorders </w:t>
      </w:r>
      <w:r>
        <w:rPr>
          <w:rFonts w:ascii="Arial" w:cs="Arial" w:eastAsia="Arial" w:hAnsi="Arial"/>
          <w:sz w:val="20"/>
          <w:szCs w:val="20"/>
          <w:color w:val="auto"/>
        </w:rPr>
        <w:t>by</w:t>
      </w:r>
      <w:r>
        <w:rPr>
          <w:rFonts w:ascii="Arial" w:cs="Arial" w:eastAsia="Arial" w:hAnsi="Arial"/>
          <w:sz w:val="20"/>
          <w:szCs w:val="20"/>
          <w:b w:val="1"/>
          <w:bCs w:val="1"/>
          <w:color w:val="auto"/>
        </w:rPr>
        <w:t xml:space="preserve"> behavioral health providers</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660"/>
        <w:spacing w:after="0" w:line="244" w:lineRule="auto"/>
        <w:rPr>
          <w:sz w:val="20"/>
          <w:szCs w:val="20"/>
          <w:color w:val="auto"/>
        </w:rPr>
      </w:pPr>
      <w:r>
        <w:rPr>
          <w:rFonts w:ascii="Arial" w:cs="Arial" w:eastAsia="Arial" w:hAnsi="Arial"/>
          <w:sz w:val="20"/>
          <w:szCs w:val="20"/>
          <w:color w:val="auto"/>
        </w:rPr>
        <w:t xml:space="preserve">Not all types of services are covered. For example, educational services and certain types of therapies are not covered. See </w:t>
      </w:r>
      <w:r>
        <w:rPr>
          <w:rFonts w:ascii="Arial" w:cs="Arial" w:eastAsia="Arial" w:hAnsi="Arial"/>
          <w:sz w:val="20"/>
          <w:szCs w:val="20"/>
          <w:i w:val="1"/>
          <w:iCs w:val="1"/>
          <w:color w:val="auto"/>
        </w:rPr>
        <w:t>Health Plan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Exclusions and Limits </w:t>
      </w:r>
      <w:r>
        <w:rPr>
          <w:rFonts w:ascii="Arial" w:cs="Arial" w:eastAsia="Arial" w:hAnsi="Arial"/>
          <w:sz w:val="20"/>
          <w:szCs w:val="20"/>
          <w:color w:val="auto"/>
        </w:rPr>
        <w:t>for more information.</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In addition to meeting all other conditions for coverage, the treatment must meet the following criteria:</w:t>
      </w:r>
    </w:p>
    <w:p>
      <w:pPr>
        <w:spacing w:after="0" w:line="210" w:lineRule="exact"/>
        <w:rPr>
          <w:sz w:val="20"/>
          <w:szCs w:val="20"/>
          <w:color w:val="auto"/>
        </w:rPr>
      </w:pPr>
    </w:p>
    <w:p>
      <w:pPr>
        <w:ind w:left="440" w:hanging="330"/>
        <w:spacing w:after="0"/>
        <w:tabs>
          <w:tab w:leader="none" w:pos="44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The treatment must be </w:t>
      </w:r>
      <w:r>
        <w:rPr>
          <w:rFonts w:ascii="Arial" w:cs="Arial" w:eastAsia="Arial" w:hAnsi="Arial"/>
          <w:sz w:val="20"/>
          <w:szCs w:val="20"/>
          <w:b w:val="1"/>
          <w:bCs w:val="1"/>
          <w:color w:val="auto"/>
        </w:rPr>
        <w:t>medically necessary</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There is a written treatment plan prescribed and supervised by 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This Plan includes follow-up treatment.</w:t>
      </w:r>
    </w:p>
    <w:p>
      <w:pPr>
        <w:spacing w:after="0" w:line="229" w:lineRule="exact"/>
        <w:rPr>
          <w:sz w:val="20"/>
          <w:szCs w:val="20"/>
          <w:color w:val="auto"/>
        </w:rPr>
      </w:pPr>
    </w:p>
    <w:p>
      <w:pPr>
        <w:ind w:left="100" w:right="2460"/>
        <w:spacing w:after="0" w:line="293" w:lineRule="auto"/>
        <w:rPr>
          <w:sz w:val="20"/>
          <w:szCs w:val="20"/>
          <w:color w:val="auto"/>
        </w:rPr>
      </w:pPr>
      <w:r>
        <w:rPr>
          <w:rFonts w:ascii="Arial" w:cs="Arial" w:eastAsia="Arial" w:hAnsi="Arial"/>
          <w:sz w:val="19"/>
          <w:szCs w:val="19"/>
          <w:color w:val="auto"/>
        </w:rPr>
        <w:t xml:space="preserve">Benefits are payable for charges incurred in a </w:t>
      </w:r>
      <w:r>
        <w:rPr>
          <w:rFonts w:ascii="Arial" w:cs="Arial" w:eastAsia="Arial" w:hAnsi="Arial"/>
          <w:sz w:val="19"/>
          <w:szCs w:val="19"/>
          <w:b w:val="1"/>
          <w:bCs w:val="1"/>
          <w:color w:val="auto"/>
        </w:rPr>
        <w:t>hospital, psychiatric hospital, residential treatment facility</w:t>
      </w:r>
      <w:r>
        <w:rPr>
          <w:rFonts w:ascii="Arial" w:cs="Arial" w:eastAsia="Arial" w:hAnsi="Arial"/>
          <w:sz w:val="19"/>
          <w:szCs w:val="19"/>
          <w:color w:val="auto"/>
        </w:rPr>
        <w:t xml:space="preserve"> or </w:t>
      </w:r>
      <w:r>
        <w:rPr>
          <w:rFonts w:ascii="Arial" w:cs="Arial" w:eastAsia="Arial" w:hAnsi="Arial"/>
          <w:sz w:val="19"/>
          <w:szCs w:val="19"/>
          <w:b w:val="1"/>
          <w:bCs w:val="1"/>
          <w:color w:val="auto"/>
        </w:rPr>
        <w:t xml:space="preserve">behavioral health provider's </w:t>
      </w:r>
      <w:r>
        <w:rPr>
          <w:rFonts w:ascii="Arial" w:cs="Arial" w:eastAsia="Arial" w:hAnsi="Arial"/>
          <w:sz w:val="19"/>
          <w:szCs w:val="19"/>
          <w:color w:val="auto"/>
        </w:rPr>
        <w:t>office for the treatment of</w:t>
      </w:r>
      <w:r>
        <w:rPr>
          <w:rFonts w:ascii="Arial" w:cs="Arial" w:eastAsia="Arial" w:hAnsi="Arial"/>
          <w:sz w:val="19"/>
          <w:szCs w:val="19"/>
          <w:b w:val="1"/>
          <w:bCs w:val="1"/>
          <w:color w:val="auto"/>
        </w:rPr>
        <w:t xml:space="preserve"> mental disorders </w:t>
      </w:r>
      <w:r>
        <w:rPr>
          <w:rFonts w:ascii="Arial" w:cs="Arial" w:eastAsia="Arial" w:hAnsi="Arial"/>
          <w:sz w:val="19"/>
          <w:szCs w:val="19"/>
          <w:color w:val="auto"/>
        </w:rPr>
        <w:t>as follows:</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Inpatient Treatment</w:t>
      </w:r>
    </w:p>
    <w:p>
      <w:pPr>
        <w:spacing w:after="0" w:line="17" w:lineRule="exact"/>
        <w:rPr>
          <w:sz w:val="20"/>
          <w:szCs w:val="20"/>
          <w:color w:val="auto"/>
        </w:rPr>
      </w:pPr>
    </w:p>
    <w:p>
      <w:pPr>
        <w:ind w:left="100"/>
        <w:spacing w:after="0" w:line="241"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w:t>
      </w:r>
      <w:r>
        <w:rPr>
          <w:rFonts w:ascii="Arial" w:cs="Arial" w:eastAsia="Arial" w:hAnsi="Arial"/>
          <w:sz w:val="20"/>
          <w:szCs w:val="20"/>
          <w:b w:val="1"/>
          <w:bCs w:val="1"/>
          <w:color w:val="auto"/>
        </w:rPr>
        <w:t xml:space="preserve"> room and board </w:t>
      </w:r>
      <w:r>
        <w:rPr>
          <w:rFonts w:ascii="Arial" w:cs="Arial" w:eastAsia="Arial" w:hAnsi="Arial"/>
          <w:sz w:val="20"/>
          <w:szCs w:val="20"/>
          <w:color w:val="auto"/>
        </w:rPr>
        <w:t>at the</w:t>
      </w:r>
      <w:r>
        <w:rPr>
          <w:rFonts w:ascii="Arial" w:cs="Arial" w:eastAsia="Arial" w:hAnsi="Arial"/>
          <w:sz w:val="20"/>
          <w:szCs w:val="20"/>
          <w:b w:val="1"/>
          <w:bCs w:val="1"/>
          <w:color w:val="auto"/>
        </w:rPr>
        <w:t xml:space="preserve"> semi-private room rate, </w:t>
      </w:r>
      <w:r>
        <w:rPr>
          <w:rFonts w:ascii="Arial" w:cs="Arial" w:eastAsia="Arial" w:hAnsi="Arial"/>
          <w:sz w:val="20"/>
          <w:szCs w:val="20"/>
          <w:color w:val="auto"/>
        </w:rPr>
        <w:t>and other services and supplies provided during your</w:t>
      </w:r>
      <w:r>
        <w:rPr>
          <w:rFonts w:ascii="Arial" w:cs="Arial" w:eastAsia="Arial" w:hAnsi="Arial"/>
          <w:sz w:val="20"/>
          <w:szCs w:val="20"/>
          <w:b w:val="1"/>
          <w:bCs w:val="1"/>
          <w:color w:val="auto"/>
        </w:rPr>
        <w:t xml:space="preserve"> stay </w:t>
      </w:r>
      <w:r>
        <w:rPr>
          <w:rFonts w:ascii="Arial" w:cs="Arial" w:eastAsia="Arial" w:hAnsi="Arial"/>
          <w:sz w:val="20"/>
          <w:szCs w:val="20"/>
          <w:color w:val="auto"/>
        </w:rPr>
        <w:t>in a</w:t>
      </w:r>
      <w:r>
        <w:rPr>
          <w:rFonts w:ascii="Arial" w:cs="Arial" w:eastAsia="Arial" w:hAnsi="Arial"/>
          <w:sz w:val="20"/>
          <w:szCs w:val="20"/>
          <w:b w:val="1"/>
          <w:bCs w:val="1"/>
          <w:color w:val="auto"/>
        </w:rPr>
        <w:t xml:space="preserve"> hospital, psychiatric hospital </w:t>
      </w:r>
      <w:r>
        <w:rPr>
          <w:rFonts w:ascii="Arial" w:cs="Arial" w:eastAsia="Arial" w:hAnsi="Arial"/>
          <w:sz w:val="20"/>
          <w:szCs w:val="20"/>
          <w:color w:val="auto"/>
        </w:rPr>
        <w:t>or</w:t>
      </w:r>
      <w:r>
        <w:rPr>
          <w:rFonts w:ascii="Arial" w:cs="Arial" w:eastAsia="Arial" w:hAnsi="Arial"/>
          <w:sz w:val="20"/>
          <w:szCs w:val="20"/>
          <w:b w:val="1"/>
          <w:bCs w:val="1"/>
          <w:color w:val="auto"/>
        </w:rPr>
        <w:t xml:space="preserve"> residential treatment facility</w:t>
      </w:r>
      <w:r>
        <w:rPr>
          <w:rFonts w:ascii="Arial" w:cs="Arial" w:eastAsia="Arial" w:hAnsi="Arial"/>
          <w:sz w:val="20"/>
          <w:szCs w:val="20"/>
          <w:color w:val="auto"/>
        </w:rPr>
        <w:t>. Inpatient benefits are payable only if your condition requires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that are only available in an inpatient setting.</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Partial Confinement Treatment</w:t>
      </w:r>
    </w:p>
    <w:p>
      <w:pPr>
        <w:spacing w:after="0" w:line="17" w:lineRule="exact"/>
        <w:rPr>
          <w:sz w:val="20"/>
          <w:szCs w:val="20"/>
          <w:color w:val="auto"/>
        </w:rPr>
      </w:pPr>
    </w:p>
    <w:p>
      <w:pPr>
        <w:ind w:left="100"/>
        <w:spacing w:after="0" w:line="241"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w:t>
      </w:r>
      <w:r>
        <w:rPr>
          <w:rFonts w:ascii="Arial" w:cs="Arial" w:eastAsia="Arial" w:hAnsi="Arial"/>
          <w:sz w:val="20"/>
          <w:szCs w:val="20"/>
          <w:b w:val="1"/>
          <w:bCs w:val="1"/>
          <w:color w:val="auto"/>
        </w:rPr>
        <w:t xml:space="preserve"> partial confinement treatment </w:t>
      </w:r>
      <w:r>
        <w:rPr>
          <w:rFonts w:ascii="Arial" w:cs="Arial" w:eastAsia="Arial" w:hAnsi="Arial"/>
          <w:sz w:val="20"/>
          <w:szCs w:val="20"/>
          <w:color w:val="auto"/>
        </w:rPr>
        <w:t>provided in a facility or program for the intermediate short-term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medically-directed intensive treatment of a </w:t>
      </w:r>
      <w:r>
        <w:rPr>
          <w:rFonts w:ascii="Arial" w:cs="Arial" w:eastAsia="Arial" w:hAnsi="Arial"/>
          <w:sz w:val="20"/>
          <w:szCs w:val="20"/>
          <w:b w:val="1"/>
          <w:bCs w:val="1"/>
          <w:color w:val="auto"/>
        </w:rPr>
        <w:t>mental disorder</w:t>
      </w:r>
      <w:r>
        <w:rPr>
          <w:rFonts w:ascii="Arial" w:cs="Arial" w:eastAsia="Arial" w:hAnsi="Arial"/>
          <w:sz w:val="20"/>
          <w:szCs w:val="20"/>
          <w:color w:val="auto"/>
        </w:rPr>
        <w:t xml:space="preserve">. Such benefits are payable if your condition requires services that are only available in a </w:t>
      </w:r>
      <w:r>
        <w:rPr>
          <w:rFonts w:ascii="Arial" w:cs="Arial" w:eastAsia="Arial" w:hAnsi="Arial"/>
          <w:sz w:val="20"/>
          <w:szCs w:val="20"/>
          <w:b w:val="1"/>
          <w:bCs w:val="1"/>
          <w:color w:val="auto"/>
        </w:rPr>
        <w:t>partial confinement treatment</w:t>
      </w:r>
      <w:r>
        <w:rPr>
          <w:rFonts w:ascii="Arial" w:cs="Arial" w:eastAsia="Arial" w:hAnsi="Arial"/>
          <w:sz w:val="20"/>
          <w:szCs w:val="20"/>
          <w:color w:val="auto"/>
        </w:rPr>
        <w:t xml:space="preserve"> setting.</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Outpatient Treatment</w:t>
      </w:r>
    </w:p>
    <w:p>
      <w:pPr>
        <w:spacing w:after="0" w:line="17" w:lineRule="exact"/>
        <w:rPr>
          <w:sz w:val="20"/>
          <w:szCs w:val="20"/>
          <w:color w:val="auto"/>
        </w:rPr>
      </w:pPr>
    </w:p>
    <w:p>
      <w:pPr>
        <w:ind w:left="100" w:right="28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treatment received while not confined as a full-time inpatient in a</w:t>
      </w:r>
      <w:r>
        <w:rPr>
          <w:rFonts w:ascii="Arial" w:cs="Arial" w:eastAsia="Arial" w:hAnsi="Arial"/>
          <w:sz w:val="20"/>
          <w:szCs w:val="20"/>
          <w:b w:val="1"/>
          <w:bCs w:val="1"/>
          <w:color w:val="auto"/>
        </w:rPr>
        <w:t xml:space="preserve"> hospital</w:t>
      </w:r>
      <w:r>
        <w:rPr>
          <w:rFonts w:ascii="Arial" w:cs="Arial" w:eastAsia="Arial" w:hAnsi="Arial"/>
          <w:sz w:val="20"/>
          <w:szCs w:val="20"/>
          <w:color w:val="auto"/>
        </w:rPr>
        <w:t>,</w:t>
      </w:r>
      <w:r>
        <w:rPr>
          <w:rFonts w:ascii="Arial" w:cs="Arial" w:eastAsia="Arial" w:hAnsi="Arial"/>
          <w:sz w:val="20"/>
          <w:szCs w:val="20"/>
          <w:b w:val="1"/>
          <w:bCs w:val="1"/>
          <w:color w:val="auto"/>
        </w:rPr>
        <w:t xml:space="preserve"> psychiatric hospital </w:t>
      </w:r>
      <w:r>
        <w:rPr>
          <w:rFonts w:ascii="Arial" w:cs="Arial" w:eastAsia="Arial" w:hAnsi="Arial"/>
          <w:sz w:val="20"/>
          <w:szCs w:val="20"/>
          <w:color w:val="auto"/>
        </w:rPr>
        <w:t>or</w:t>
      </w:r>
      <w:r>
        <w:rPr>
          <w:rFonts w:ascii="Arial" w:cs="Arial" w:eastAsia="Arial" w:hAnsi="Arial"/>
          <w:sz w:val="20"/>
          <w:szCs w:val="20"/>
          <w:b w:val="1"/>
          <w:bCs w:val="1"/>
          <w:color w:val="auto"/>
        </w:rPr>
        <w:t xml:space="preserve"> residential treatment facility</w:t>
      </w:r>
      <w:r>
        <w:rPr>
          <w:rFonts w:ascii="Arial" w:cs="Arial" w:eastAsia="Arial" w:hAnsi="Arial"/>
          <w:sz w:val="20"/>
          <w:szCs w:val="20"/>
          <w:color w:val="auto"/>
        </w:rPr>
        <w:t>.</w:t>
      </w:r>
    </w:p>
    <w:p>
      <w:pPr>
        <w:sectPr>
          <w:pgSz w:w="11900" w:h="16838" w:orient="portrait"/>
          <w:cols w:equalWidth="0" w:num="1">
            <w:col w:w="11360"/>
          </w:cols>
          <w:pgMar w:left="260" w:top="434" w:right="279" w:bottom="1440" w:gutter="0" w:footer="0" w:header="0"/>
        </w:sectPr>
      </w:pPr>
    </w:p>
    <w:bookmarkStart w:id="224" w:name="page225"/>
    <w:bookmarkEnd w:id="224"/>
    <w:p>
      <w:pPr>
        <w:ind w:left="100" w:right="160"/>
        <w:spacing w:after="0" w:line="253" w:lineRule="auto"/>
        <w:rPr>
          <w:sz w:val="20"/>
          <w:szCs w:val="20"/>
          <w:color w:val="auto"/>
        </w:rPr>
      </w:pPr>
      <w:r>
        <w:rPr>
          <w:rFonts w:ascii="Arial" w:cs="Arial" w:eastAsia="Arial" w:hAnsi="Arial"/>
          <w:sz w:val="20"/>
          <w:szCs w:val="20"/>
          <w:color w:val="auto"/>
        </w:rPr>
        <w:t xml:space="preserve">The plan covers partial </w:t>
      </w:r>
      <w:r>
        <w:rPr>
          <w:rFonts w:ascii="Arial" w:cs="Arial" w:eastAsia="Arial" w:hAnsi="Arial"/>
          <w:sz w:val="20"/>
          <w:szCs w:val="20"/>
          <w:b w:val="1"/>
          <w:bCs w:val="1"/>
          <w:color w:val="auto"/>
        </w:rPr>
        <w:t>hospitalization</w:t>
      </w:r>
      <w:r>
        <w:rPr>
          <w:rFonts w:ascii="Arial" w:cs="Arial" w:eastAsia="Arial" w:hAnsi="Arial"/>
          <w:sz w:val="20"/>
          <w:szCs w:val="20"/>
          <w:color w:val="auto"/>
        </w:rPr>
        <w:t xml:space="preserve"> services (more than 4 hours, but less than 24 hours per day) provided in a facility or program for the intermediate short-term or medically-directed intensive treatment. The partial </w:t>
      </w:r>
      <w:r>
        <w:rPr>
          <w:rFonts w:ascii="Arial" w:cs="Arial" w:eastAsia="Arial" w:hAnsi="Arial"/>
          <w:sz w:val="20"/>
          <w:szCs w:val="20"/>
          <w:b w:val="1"/>
          <w:bCs w:val="1"/>
          <w:color w:val="auto"/>
        </w:rPr>
        <w:t>hospitalization</w:t>
      </w:r>
      <w:r>
        <w:rPr>
          <w:rFonts w:ascii="Arial" w:cs="Arial" w:eastAsia="Arial" w:hAnsi="Arial"/>
          <w:sz w:val="20"/>
          <w:szCs w:val="20"/>
          <w:color w:val="auto"/>
        </w:rPr>
        <w:t xml:space="preserve"> will only be covered if you would need inpatient care if you were not admitted to this type of facility.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ind w:left="400" w:hanging="331"/>
        <w:spacing w:after="0"/>
        <w:tabs>
          <w:tab w:leader="none" w:pos="4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 xml:space="preserve">Please refer to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xml:space="preserve"> for any </w:t>
      </w:r>
      <w:r>
        <w:rPr>
          <w:rFonts w:ascii="Arial" w:cs="Arial" w:eastAsia="Arial" w:hAnsi="Arial"/>
          <w:sz w:val="19"/>
          <w:szCs w:val="19"/>
          <w:b w:val="1"/>
          <w:bCs w:val="1"/>
          <w:color w:val="auto"/>
        </w:rPr>
        <w:t>copayments</w:t>
      </w:r>
      <w:r>
        <w:rPr>
          <w:rFonts w:ascii="Arial" w:cs="Arial" w:eastAsia="Arial" w:hAnsi="Arial"/>
          <w:sz w:val="19"/>
          <w:szCs w:val="19"/>
          <w:color w:val="auto"/>
        </w:rPr>
        <w:t>/</w:t>
      </w:r>
      <w:r>
        <w:rPr>
          <w:rFonts w:ascii="Arial" w:cs="Arial" w:eastAsia="Arial" w:hAnsi="Arial"/>
          <w:sz w:val="19"/>
          <w:szCs w:val="19"/>
          <w:b w:val="1"/>
          <w:bCs w:val="1"/>
          <w:color w:val="auto"/>
        </w:rPr>
        <w:t>deductibles</w:t>
      </w:r>
      <w:r>
        <w:rPr>
          <w:rFonts w:ascii="Arial" w:cs="Arial" w:eastAsia="Arial" w:hAnsi="Arial"/>
          <w:sz w:val="19"/>
          <w:szCs w:val="19"/>
          <w:color w:val="auto"/>
        </w:rPr>
        <w:t xml:space="preserve">, maximums and </w:t>
      </w:r>
      <w:r>
        <w:rPr>
          <w:rFonts w:ascii="Arial" w:cs="Arial" w:eastAsia="Arial" w:hAnsi="Arial"/>
          <w:sz w:val="19"/>
          <w:szCs w:val="19"/>
          <w:b w:val="1"/>
          <w:bCs w:val="1"/>
          <w:color w:val="auto"/>
        </w:rPr>
        <w:t>Coinsurance Limit</w:t>
      </w:r>
      <w:r>
        <w:rPr>
          <w:rFonts w:ascii="Arial" w:cs="Arial" w:eastAsia="Arial" w:hAnsi="Arial"/>
          <w:sz w:val="19"/>
          <w:szCs w:val="19"/>
          <w:color w:val="auto"/>
        </w:rPr>
        <w:t xml:space="preserve"> that may apply.</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Treatment of Substance Abuse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 the treatment of</w:t>
      </w:r>
      <w:r>
        <w:rPr>
          <w:rFonts w:ascii="Arial" w:cs="Arial" w:eastAsia="Arial" w:hAnsi="Arial"/>
          <w:sz w:val="20"/>
          <w:szCs w:val="20"/>
          <w:b w:val="1"/>
          <w:bCs w:val="1"/>
          <w:color w:val="auto"/>
        </w:rPr>
        <w:t xml:space="preserve"> substance abuse </w:t>
      </w:r>
      <w:r>
        <w:rPr>
          <w:rFonts w:ascii="Arial" w:cs="Arial" w:eastAsia="Arial" w:hAnsi="Arial"/>
          <w:sz w:val="20"/>
          <w:szCs w:val="20"/>
          <w:color w:val="auto"/>
        </w:rPr>
        <w:t>by</w:t>
      </w:r>
      <w:r>
        <w:rPr>
          <w:rFonts w:ascii="Arial" w:cs="Arial" w:eastAsia="Arial" w:hAnsi="Arial"/>
          <w:sz w:val="20"/>
          <w:szCs w:val="20"/>
          <w:b w:val="1"/>
          <w:bCs w:val="1"/>
          <w:color w:val="auto"/>
        </w:rPr>
        <w:t xml:space="preserve"> behavioral health providers</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2" w:lineRule="exact"/>
        <w:rPr>
          <w:sz w:val="20"/>
          <w:szCs w:val="20"/>
          <w:color w:val="auto"/>
        </w:rPr>
      </w:pPr>
    </w:p>
    <w:p>
      <w:pPr>
        <w:ind w:right="660"/>
        <w:spacing w:after="0" w:line="244" w:lineRule="auto"/>
        <w:rPr>
          <w:sz w:val="20"/>
          <w:szCs w:val="20"/>
          <w:color w:val="auto"/>
        </w:rPr>
      </w:pPr>
      <w:r>
        <w:rPr>
          <w:rFonts w:ascii="Arial" w:cs="Arial" w:eastAsia="Arial" w:hAnsi="Arial"/>
          <w:sz w:val="20"/>
          <w:szCs w:val="20"/>
          <w:color w:val="auto"/>
        </w:rPr>
        <w:t xml:space="preserve">Not all types of services are covered. For example, educational services and certain types of therapies are not covered. See </w:t>
      </w:r>
      <w:r>
        <w:rPr>
          <w:rFonts w:ascii="Arial" w:cs="Arial" w:eastAsia="Arial" w:hAnsi="Arial"/>
          <w:sz w:val="20"/>
          <w:szCs w:val="20"/>
          <w:i w:val="1"/>
          <w:iCs w:val="1"/>
          <w:color w:val="auto"/>
        </w:rPr>
        <w:t>Health Plan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Exclusions and Limits </w:t>
      </w:r>
      <w:r>
        <w:rPr>
          <w:rFonts w:ascii="Arial" w:cs="Arial" w:eastAsia="Arial" w:hAnsi="Arial"/>
          <w:sz w:val="20"/>
          <w:szCs w:val="20"/>
          <w:color w:val="auto"/>
        </w:rPr>
        <w:t>for more information.</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Substance Abuse</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In addition to meeting all other conditions for coverage, the treatment must meet the following criteria:</w:t>
      </w:r>
    </w:p>
    <w:p>
      <w:pPr>
        <w:spacing w:after="0" w:line="194" w:lineRule="exact"/>
        <w:rPr>
          <w:sz w:val="20"/>
          <w:szCs w:val="20"/>
          <w:color w:val="auto"/>
        </w:rPr>
      </w:pPr>
    </w:p>
    <w:p>
      <w:pPr>
        <w:ind w:left="440" w:hanging="330"/>
        <w:spacing w:after="0"/>
        <w:tabs>
          <w:tab w:leader="none" w:pos="44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There is a program of therapy prescribed and supervised by 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The program of therapy includes either:</w:t>
      </w:r>
    </w:p>
    <w:p>
      <w:pPr>
        <w:spacing w:after="0" w:line="13" w:lineRule="exact"/>
        <w:rPr>
          <w:rFonts w:ascii="Arial" w:cs="Arial" w:eastAsia="Arial" w:hAnsi="Arial"/>
          <w:sz w:val="20"/>
          <w:szCs w:val="20"/>
          <w:color w:val="auto"/>
        </w:rPr>
      </w:pPr>
    </w:p>
    <w:p>
      <w:pPr>
        <w:ind w:left="760" w:hanging="326"/>
        <w:spacing w:after="0"/>
        <w:tabs>
          <w:tab w:leader="none" w:pos="760" w:val="left"/>
        </w:tabs>
        <w:numPr>
          <w:ilvl w:val="1"/>
          <w:numId w:val="286"/>
        </w:numPr>
        <w:rPr>
          <w:rFonts w:ascii="Arial" w:cs="Arial" w:eastAsia="Arial" w:hAnsi="Arial"/>
          <w:sz w:val="20"/>
          <w:szCs w:val="20"/>
          <w:color w:val="auto"/>
        </w:rPr>
      </w:pPr>
      <w:r>
        <w:rPr>
          <w:rFonts w:ascii="Arial" w:cs="Arial" w:eastAsia="Arial" w:hAnsi="Arial"/>
          <w:sz w:val="20"/>
          <w:szCs w:val="20"/>
          <w:color w:val="auto"/>
        </w:rPr>
        <w:t xml:space="preserve">A follow up program directed by 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on at least a monthly basis; or</w:t>
      </w:r>
    </w:p>
    <w:p>
      <w:pPr>
        <w:spacing w:after="0" w:line="26" w:lineRule="exact"/>
        <w:rPr>
          <w:rFonts w:ascii="Arial" w:cs="Arial" w:eastAsia="Arial" w:hAnsi="Arial"/>
          <w:sz w:val="20"/>
          <w:szCs w:val="20"/>
          <w:color w:val="auto"/>
        </w:rPr>
      </w:pPr>
    </w:p>
    <w:p>
      <w:pPr>
        <w:ind w:left="760" w:hanging="326"/>
        <w:spacing w:after="0"/>
        <w:tabs>
          <w:tab w:leader="none" w:pos="760" w:val="left"/>
        </w:tabs>
        <w:numPr>
          <w:ilvl w:val="1"/>
          <w:numId w:val="286"/>
        </w:numPr>
        <w:rPr>
          <w:rFonts w:ascii="Arial" w:cs="Arial" w:eastAsia="Arial" w:hAnsi="Arial"/>
          <w:sz w:val="20"/>
          <w:szCs w:val="20"/>
          <w:color w:val="auto"/>
        </w:rPr>
      </w:pPr>
      <w:r>
        <w:rPr>
          <w:rFonts w:ascii="Arial" w:cs="Arial" w:eastAsia="Arial" w:hAnsi="Arial"/>
          <w:sz w:val="20"/>
          <w:szCs w:val="20"/>
          <w:color w:val="auto"/>
        </w:rPr>
        <w:t xml:space="preserve">Meetings at least twice a month with an organization devoted to the treatment of alcoholism or </w:t>
      </w:r>
      <w:r>
        <w:rPr>
          <w:rFonts w:ascii="Arial" w:cs="Arial" w:eastAsia="Arial" w:hAnsi="Arial"/>
          <w:sz w:val="20"/>
          <w:szCs w:val="20"/>
          <w:b w:val="1"/>
          <w:bCs w:val="1"/>
          <w:color w:val="auto"/>
        </w:rPr>
        <w:t>substance abuse</w:t>
      </w:r>
      <w:r>
        <w:rPr>
          <w:rFonts w:ascii="Arial" w:cs="Arial" w:eastAsia="Arial" w:hAnsi="Arial"/>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Please refer to the </w:t>
      </w:r>
      <w:r>
        <w:rPr>
          <w:rFonts w:ascii="Arial" w:cs="Arial" w:eastAsia="Arial" w:hAnsi="Arial"/>
          <w:sz w:val="19"/>
          <w:szCs w:val="19"/>
          <w:i w:val="1"/>
          <w:iCs w:val="1"/>
          <w:color w:val="auto"/>
        </w:rPr>
        <w:t>Schedule of Benefits</w:t>
      </w:r>
      <w:r>
        <w:rPr>
          <w:rFonts w:ascii="Arial" w:cs="Arial" w:eastAsia="Arial" w:hAnsi="Arial"/>
          <w:sz w:val="19"/>
          <w:szCs w:val="19"/>
          <w:color w:val="auto"/>
        </w:rPr>
        <w:t xml:space="preserve"> for any </w:t>
      </w:r>
      <w:r>
        <w:rPr>
          <w:rFonts w:ascii="Arial" w:cs="Arial" w:eastAsia="Arial" w:hAnsi="Arial"/>
          <w:sz w:val="19"/>
          <w:szCs w:val="19"/>
          <w:b w:val="1"/>
          <w:bCs w:val="1"/>
          <w:color w:val="auto"/>
        </w:rPr>
        <w:t>substance abuse deductibles</w:t>
      </w:r>
      <w:r>
        <w:rPr>
          <w:rFonts w:ascii="Arial" w:cs="Arial" w:eastAsia="Arial" w:hAnsi="Arial"/>
          <w:sz w:val="19"/>
          <w:szCs w:val="19"/>
          <w:color w:val="auto"/>
        </w:rPr>
        <w:t xml:space="preserve">, maximums and </w:t>
      </w:r>
      <w:r>
        <w:rPr>
          <w:rFonts w:ascii="Arial" w:cs="Arial" w:eastAsia="Arial" w:hAnsi="Arial"/>
          <w:sz w:val="19"/>
          <w:szCs w:val="19"/>
          <w:b w:val="1"/>
          <w:bCs w:val="1"/>
          <w:color w:val="auto"/>
        </w:rPr>
        <w:t>Coinsurance Limit</w:t>
      </w:r>
      <w:r>
        <w:rPr>
          <w:rFonts w:ascii="Arial" w:cs="Arial" w:eastAsia="Arial" w:hAnsi="Arial"/>
          <w:sz w:val="19"/>
          <w:szCs w:val="19"/>
          <w:color w:val="auto"/>
        </w:rPr>
        <w:t xml:space="preserve"> that may apply.</w:t>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Inpatient Treatment</w:t>
      </w:r>
    </w:p>
    <w:p>
      <w:pPr>
        <w:spacing w:after="0" w:line="17" w:lineRule="exact"/>
        <w:rPr>
          <w:sz w:val="20"/>
          <w:szCs w:val="20"/>
          <w:color w:val="auto"/>
        </w:rPr>
      </w:pPr>
    </w:p>
    <w:p>
      <w:pPr>
        <w:ind w:left="100" w:right="80"/>
        <w:spacing w:after="0" w:line="269" w:lineRule="auto"/>
        <w:rPr>
          <w:sz w:val="20"/>
          <w:szCs w:val="20"/>
          <w:color w:val="auto"/>
        </w:rPr>
      </w:pPr>
      <w:r>
        <w:rPr>
          <w:rFonts w:ascii="Arial" w:cs="Arial" w:eastAsia="Arial" w:hAnsi="Arial"/>
          <w:sz w:val="19"/>
          <w:szCs w:val="19"/>
          <w:color w:val="auto"/>
        </w:rPr>
        <w:t xml:space="preserve">This Plan covers </w:t>
      </w:r>
      <w:r>
        <w:rPr>
          <w:rFonts w:ascii="Arial" w:cs="Arial" w:eastAsia="Arial" w:hAnsi="Arial"/>
          <w:sz w:val="19"/>
          <w:szCs w:val="19"/>
          <w:b w:val="1"/>
          <w:bCs w:val="1"/>
          <w:color w:val="auto"/>
        </w:rPr>
        <w:t>room and board</w:t>
      </w:r>
      <w:r>
        <w:rPr>
          <w:rFonts w:ascii="Arial" w:cs="Arial" w:eastAsia="Arial" w:hAnsi="Arial"/>
          <w:sz w:val="19"/>
          <w:szCs w:val="19"/>
          <w:color w:val="auto"/>
        </w:rPr>
        <w:t xml:space="preserve"> at the </w:t>
      </w:r>
      <w:r>
        <w:rPr>
          <w:rFonts w:ascii="Arial" w:cs="Arial" w:eastAsia="Arial" w:hAnsi="Arial"/>
          <w:sz w:val="19"/>
          <w:szCs w:val="19"/>
          <w:b w:val="1"/>
          <w:bCs w:val="1"/>
          <w:color w:val="auto"/>
        </w:rPr>
        <w:t>semi-private room rate</w:t>
      </w:r>
      <w:r>
        <w:rPr>
          <w:rFonts w:ascii="Arial" w:cs="Arial" w:eastAsia="Arial" w:hAnsi="Arial"/>
          <w:sz w:val="19"/>
          <w:szCs w:val="19"/>
          <w:color w:val="auto"/>
        </w:rPr>
        <w:t xml:space="preserve"> and other services and supplies provided during your </w:t>
      </w:r>
      <w:r>
        <w:rPr>
          <w:rFonts w:ascii="Arial" w:cs="Arial" w:eastAsia="Arial" w:hAnsi="Arial"/>
          <w:sz w:val="19"/>
          <w:szCs w:val="19"/>
          <w:b w:val="1"/>
          <w:bCs w:val="1"/>
          <w:color w:val="auto"/>
        </w:rPr>
        <w:t>stay</w:t>
      </w:r>
      <w:r>
        <w:rPr>
          <w:rFonts w:ascii="Arial" w:cs="Arial" w:eastAsia="Arial" w:hAnsi="Arial"/>
          <w:sz w:val="19"/>
          <w:szCs w:val="19"/>
          <w:color w:val="auto"/>
        </w:rPr>
        <w:t xml:space="preserve"> in a </w:t>
      </w:r>
      <w:r>
        <w:rPr>
          <w:rFonts w:ascii="Arial" w:cs="Arial" w:eastAsia="Arial" w:hAnsi="Arial"/>
          <w:sz w:val="19"/>
          <w:szCs w:val="19"/>
          <w:b w:val="1"/>
          <w:bCs w:val="1"/>
          <w:color w:val="auto"/>
        </w:rPr>
        <w:t>psychiatric</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hospital </w:t>
      </w:r>
      <w:r>
        <w:rPr>
          <w:rFonts w:ascii="Arial" w:cs="Arial" w:eastAsia="Arial" w:hAnsi="Arial"/>
          <w:sz w:val="19"/>
          <w:szCs w:val="19"/>
          <w:color w:val="auto"/>
        </w:rPr>
        <w:t>or</w:t>
      </w:r>
      <w:r>
        <w:rPr>
          <w:rFonts w:ascii="Arial" w:cs="Arial" w:eastAsia="Arial" w:hAnsi="Arial"/>
          <w:sz w:val="19"/>
          <w:szCs w:val="19"/>
          <w:b w:val="1"/>
          <w:bCs w:val="1"/>
          <w:color w:val="auto"/>
        </w:rPr>
        <w:t xml:space="preserve"> residential treatment facility</w:t>
      </w:r>
      <w:r>
        <w:rPr>
          <w:rFonts w:ascii="Arial" w:cs="Arial" w:eastAsia="Arial" w:hAnsi="Arial"/>
          <w:sz w:val="19"/>
          <w:szCs w:val="19"/>
          <w:color w:val="auto"/>
        </w:rPr>
        <w:t>, appropriately licensed by the state Department of Health or its equivalent.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Coverage includes:</w:t>
      </w:r>
    </w:p>
    <w:p>
      <w:pPr>
        <w:spacing w:after="0" w:line="237" w:lineRule="exact"/>
        <w:rPr>
          <w:sz w:val="20"/>
          <w:szCs w:val="20"/>
          <w:color w:val="auto"/>
        </w:rPr>
      </w:pPr>
    </w:p>
    <w:p>
      <w:pPr>
        <w:ind w:left="440" w:hanging="330"/>
        <w:spacing w:after="0"/>
        <w:tabs>
          <w:tab w:leader="none" w:pos="44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 xml:space="preserve">Treatment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for the medical complications of </w:t>
      </w:r>
      <w:r>
        <w:rPr>
          <w:rFonts w:ascii="Arial" w:cs="Arial" w:eastAsia="Arial" w:hAnsi="Arial"/>
          <w:sz w:val="20"/>
          <w:szCs w:val="20"/>
          <w:b w:val="1"/>
          <w:bCs w:val="1"/>
          <w:color w:val="auto"/>
        </w:rPr>
        <w:t>substance abuse</w:t>
      </w:r>
      <w:r>
        <w:rPr>
          <w:rFonts w:ascii="Arial" w:cs="Arial" w:eastAsia="Arial" w:hAnsi="Arial"/>
          <w:sz w:val="20"/>
          <w:szCs w:val="20"/>
          <w:color w:val="auto"/>
        </w:rPr>
        <w:t>.</w:t>
      </w:r>
    </w:p>
    <w:p>
      <w:pPr>
        <w:spacing w:after="0" w:line="21" w:lineRule="exact"/>
        <w:rPr>
          <w:rFonts w:ascii="Arial" w:cs="Arial" w:eastAsia="Arial" w:hAnsi="Arial"/>
          <w:sz w:val="20"/>
          <w:szCs w:val="20"/>
          <w:color w:val="auto"/>
        </w:rPr>
      </w:pPr>
    </w:p>
    <w:p>
      <w:pPr>
        <w:ind w:left="440" w:right="680" w:hanging="330"/>
        <w:spacing w:after="0" w:line="242" w:lineRule="auto"/>
        <w:tabs>
          <w:tab w:leader="none" w:pos="44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 xml:space="preserve">“Medical complications” include </w:t>
      </w:r>
      <w:r>
        <w:rPr>
          <w:rFonts w:ascii="Arial" w:cs="Arial" w:eastAsia="Arial" w:hAnsi="Arial"/>
          <w:sz w:val="20"/>
          <w:szCs w:val="20"/>
          <w:b w:val="1"/>
          <w:bCs w:val="1"/>
          <w:color w:val="auto"/>
        </w:rPr>
        <w:t>detoxification</w:t>
      </w:r>
      <w:r>
        <w:rPr>
          <w:rFonts w:ascii="Arial" w:cs="Arial" w:eastAsia="Arial" w:hAnsi="Arial"/>
          <w:sz w:val="20"/>
          <w:szCs w:val="20"/>
          <w:color w:val="auto"/>
        </w:rPr>
        <w:t>, electrolyte imbalances, malnutrition, cirrhosis of the liver, delirium tremens and hepatitis.</w:t>
      </w:r>
    </w:p>
    <w:p>
      <w:pPr>
        <w:ind w:left="440" w:hanging="330"/>
        <w:spacing w:after="0"/>
        <w:tabs>
          <w:tab w:leader="none" w:pos="44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 xml:space="preserve">Treatment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is covered only when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does not have a separate treatment facility section.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Outpatient Treatment</w:t>
      </w:r>
    </w:p>
    <w:p>
      <w:pPr>
        <w:spacing w:after="0" w:line="17" w:lineRule="exact"/>
        <w:rPr>
          <w:sz w:val="20"/>
          <w:szCs w:val="20"/>
          <w:color w:val="auto"/>
        </w:rPr>
      </w:pPr>
    </w:p>
    <w:p>
      <w:pPr>
        <w:ind w:left="100" w:right="120"/>
        <w:spacing w:after="0" w:line="244" w:lineRule="auto"/>
        <w:rPr>
          <w:sz w:val="20"/>
          <w:szCs w:val="20"/>
          <w:color w:val="auto"/>
        </w:rPr>
      </w:pPr>
      <w:r>
        <w:rPr>
          <w:rFonts w:ascii="Arial" w:cs="Arial" w:eastAsia="Arial" w:hAnsi="Arial"/>
          <w:sz w:val="20"/>
          <w:szCs w:val="20"/>
          <w:b w:val="1"/>
          <w:bCs w:val="1"/>
          <w:color w:val="auto"/>
        </w:rPr>
        <w:t xml:space="preserve">Outpatient treatment </w:t>
      </w:r>
      <w:r>
        <w:rPr>
          <w:rFonts w:ascii="Arial" w:cs="Arial" w:eastAsia="Arial" w:hAnsi="Arial"/>
          <w:sz w:val="20"/>
          <w:szCs w:val="20"/>
          <w:color w:val="auto"/>
        </w:rPr>
        <w:t>includes charges for treatment received for</w:t>
      </w:r>
      <w:r>
        <w:rPr>
          <w:rFonts w:ascii="Arial" w:cs="Arial" w:eastAsia="Arial" w:hAnsi="Arial"/>
          <w:sz w:val="20"/>
          <w:szCs w:val="20"/>
          <w:b w:val="1"/>
          <w:bCs w:val="1"/>
          <w:color w:val="auto"/>
        </w:rPr>
        <w:t xml:space="preserve"> substance abuse </w:t>
      </w:r>
      <w:r>
        <w:rPr>
          <w:rFonts w:ascii="Arial" w:cs="Arial" w:eastAsia="Arial" w:hAnsi="Arial"/>
          <w:sz w:val="20"/>
          <w:szCs w:val="20"/>
          <w:color w:val="auto"/>
        </w:rPr>
        <w:t>while not confined as a full-time inpatient in a</w:t>
      </w:r>
      <w:r>
        <w:rPr>
          <w:rFonts w:ascii="Arial" w:cs="Arial" w:eastAsia="Arial" w:hAnsi="Arial"/>
          <w:sz w:val="20"/>
          <w:szCs w:val="20"/>
          <w:b w:val="1"/>
          <w:bCs w:val="1"/>
          <w:color w:val="auto"/>
        </w:rPr>
        <w:t xml:space="preserve"> hospital</w:t>
      </w:r>
      <w:r>
        <w:rPr>
          <w:rFonts w:ascii="Arial" w:cs="Arial" w:eastAsia="Arial" w:hAnsi="Arial"/>
          <w:sz w:val="20"/>
          <w:szCs w:val="20"/>
          <w:color w:val="auto"/>
        </w:rPr>
        <w:t>,</w:t>
      </w:r>
      <w:r>
        <w:rPr>
          <w:rFonts w:ascii="Arial" w:cs="Arial" w:eastAsia="Arial" w:hAnsi="Arial"/>
          <w:sz w:val="20"/>
          <w:szCs w:val="20"/>
          <w:b w:val="1"/>
          <w:bCs w:val="1"/>
          <w:color w:val="auto"/>
        </w:rPr>
        <w:t xml:space="preserve"> psychiatric hospital </w:t>
      </w:r>
      <w:r>
        <w:rPr>
          <w:rFonts w:ascii="Arial" w:cs="Arial" w:eastAsia="Arial" w:hAnsi="Arial"/>
          <w:sz w:val="20"/>
          <w:szCs w:val="20"/>
          <w:color w:val="auto"/>
        </w:rPr>
        <w:t>or</w:t>
      </w:r>
      <w:r>
        <w:rPr>
          <w:rFonts w:ascii="Arial" w:cs="Arial" w:eastAsia="Arial" w:hAnsi="Arial"/>
          <w:sz w:val="20"/>
          <w:szCs w:val="20"/>
          <w:b w:val="1"/>
          <w:bCs w:val="1"/>
          <w:color w:val="auto"/>
        </w:rPr>
        <w:t xml:space="preserve"> residential treatment facility</w:t>
      </w:r>
      <w:r>
        <w:rPr>
          <w:rFonts w:ascii="Arial" w:cs="Arial" w:eastAsia="Arial" w:hAnsi="Arial"/>
          <w:sz w:val="20"/>
          <w:szCs w:val="20"/>
          <w:color w:val="auto"/>
        </w:rPr>
        <w:t>.</w:t>
      </w:r>
    </w:p>
    <w:p>
      <w:pPr>
        <w:spacing w:after="0" w:line="199" w:lineRule="exact"/>
        <w:rPr>
          <w:sz w:val="20"/>
          <w:szCs w:val="20"/>
          <w:color w:val="auto"/>
        </w:rPr>
      </w:pPr>
    </w:p>
    <w:p>
      <w:pPr>
        <w:jc w:val="both"/>
        <w:ind w:left="100" w:right="20"/>
        <w:spacing w:after="0" w:line="253" w:lineRule="auto"/>
        <w:rPr>
          <w:sz w:val="20"/>
          <w:szCs w:val="20"/>
          <w:color w:val="auto"/>
        </w:rPr>
      </w:pPr>
      <w:r>
        <w:rPr>
          <w:rFonts w:ascii="Arial" w:cs="Arial" w:eastAsia="Arial" w:hAnsi="Arial"/>
          <w:sz w:val="20"/>
          <w:szCs w:val="20"/>
          <w:color w:val="auto"/>
        </w:rPr>
        <w:t xml:space="preserve">This Plan covers partial </w:t>
      </w:r>
      <w:r>
        <w:rPr>
          <w:rFonts w:ascii="Arial" w:cs="Arial" w:eastAsia="Arial" w:hAnsi="Arial"/>
          <w:sz w:val="20"/>
          <w:szCs w:val="20"/>
          <w:b w:val="1"/>
          <w:bCs w:val="1"/>
          <w:color w:val="auto"/>
        </w:rPr>
        <w:t>hospitalization</w:t>
      </w:r>
      <w:r>
        <w:rPr>
          <w:rFonts w:ascii="Arial" w:cs="Arial" w:eastAsia="Arial" w:hAnsi="Arial"/>
          <w:sz w:val="20"/>
          <w:szCs w:val="20"/>
          <w:color w:val="auto"/>
        </w:rPr>
        <w:t xml:space="preserve"> services (more than 4 hours, but less than 24 hours per day) provided in a facility or program for the intermediate short-term or medically-directed intensive treatment of alcohol or drug abuse. The partial </w:t>
      </w:r>
      <w:r>
        <w:rPr>
          <w:rFonts w:ascii="Arial" w:cs="Arial" w:eastAsia="Arial" w:hAnsi="Arial"/>
          <w:sz w:val="20"/>
          <w:szCs w:val="20"/>
          <w:b w:val="1"/>
          <w:bCs w:val="1"/>
          <w:color w:val="auto"/>
        </w:rPr>
        <w:t>hospitalization</w:t>
      </w:r>
      <w:r>
        <w:rPr>
          <w:rFonts w:ascii="Arial" w:cs="Arial" w:eastAsia="Arial" w:hAnsi="Arial"/>
          <w:sz w:val="20"/>
          <w:szCs w:val="20"/>
          <w:color w:val="auto"/>
        </w:rPr>
        <w:t xml:space="preserve"> will only be covered if you would need inpatient treatment if you were not admitted to this type of facility.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Partial Confinement Treatment</w:t>
      </w:r>
    </w:p>
    <w:p>
      <w:pPr>
        <w:spacing w:after="0" w:line="28" w:lineRule="exact"/>
        <w:rPr>
          <w:sz w:val="20"/>
          <w:szCs w:val="20"/>
          <w:color w:val="auto"/>
        </w:rPr>
      </w:pPr>
    </w:p>
    <w:p>
      <w:pPr>
        <w:jc w:val="both"/>
        <w:ind w:left="100"/>
        <w:spacing w:after="0" w:line="247"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for</w:t>
      </w:r>
      <w:r>
        <w:rPr>
          <w:rFonts w:ascii="Arial" w:cs="Arial" w:eastAsia="Arial" w:hAnsi="Arial"/>
          <w:sz w:val="20"/>
          <w:szCs w:val="20"/>
          <w:b w:val="1"/>
          <w:bCs w:val="1"/>
          <w:color w:val="auto"/>
        </w:rPr>
        <w:t xml:space="preserve"> partial confinement treatment </w:t>
      </w:r>
      <w:r>
        <w:rPr>
          <w:rFonts w:ascii="Arial" w:cs="Arial" w:eastAsia="Arial" w:hAnsi="Arial"/>
          <w:sz w:val="20"/>
          <w:szCs w:val="20"/>
          <w:color w:val="auto"/>
        </w:rPr>
        <w:t>provided in a facility or program for the intermediate short-term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medically-directed intensive treatment of </w:t>
      </w:r>
      <w:r>
        <w:rPr>
          <w:rFonts w:ascii="Arial" w:cs="Arial" w:eastAsia="Arial" w:hAnsi="Arial"/>
          <w:sz w:val="20"/>
          <w:szCs w:val="20"/>
          <w:b w:val="1"/>
          <w:bCs w:val="1"/>
          <w:color w:val="auto"/>
        </w:rPr>
        <w:t>substance abuse</w:t>
      </w:r>
      <w:r>
        <w:rPr>
          <w:rFonts w:ascii="Arial" w:cs="Arial" w:eastAsia="Arial" w:hAnsi="Arial"/>
          <w:sz w:val="20"/>
          <w:szCs w:val="20"/>
          <w:color w:val="auto"/>
        </w:rPr>
        <w: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Such benefits are payable if your condition requires services that are only available in a </w:t>
      </w:r>
      <w:r>
        <w:rPr>
          <w:rFonts w:ascii="Arial" w:cs="Arial" w:eastAsia="Arial" w:hAnsi="Arial"/>
          <w:sz w:val="19"/>
          <w:szCs w:val="19"/>
          <w:b w:val="1"/>
          <w:bCs w:val="1"/>
          <w:color w:val="auto"/>
        </w:rPr>
        <w:t>partial confinement treatment</w:t>
      </w:r>
      <w:r>
        <w:rPr>
          <w:rFonts w:ascii="Arial" w:cs="Arial" w:eastAsia="Arial" w:hAnsi="Arial"/>
          <w:sz w:val="19"/>
          <w:szCs w:val="19"/>
          <w:color w:val="auto"/>
        </w:rPr>
        <w:t xml:space="preserve"> setting.</w:t>
      </w:r>
    </w:p>
    <w:p>
      <w:pPr>
        <w:sectPr>
          <w:pgSz w:w="11900" w:h="16838" w:orient="portrait"/>
          <w:cols w:equalWidth="0" w:num="1">
            <w:col w:w="11360"/>
          </w:cols>
          <w:pgMar w:left="260" w:top="427" w:right="279"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b w:val="1"/>
          <w:bCs w:val="1"/>
          <w:color w:val="auto"/>
        </w:rPr>
        <w:t>Important Reminder</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 xml:space="preserve">Please refer to the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for any </w:t>
      </w:r>
      <w:r>
        <w:rPr>
          <w:rFonts w:ascii="Arial" w:cs="Arial" w:eastAsia="Arial" w:hAnsi="Arial"/>
          <w:sz w:val="16"/>
          <w:szCs w:val="16"/>
          <w:b w:val="1"/>
          <w:bCs w:val="1"/>
          <w:color w:val="auto"/>
        </w:rPr>
        <w:t>copayments</w:t>
      </w:r>
      <w:r>
        <w:rPr>
          <w:rFonts w:ascii="Arial" w:cs="Arial" w:eastAsia="Arial" w:hAnsi="Arial"/>
          <w:sz w:val="16"/>
          <w:szCs w:val="16"/>
          <w:color w:val="auto"/>
        </w:rPr>
        <w:t>/</w:t>
      </w:r>
      <w:r>
        <w:rPr>
          <w:rFonts w:ascii="Arial" w:cs="Arial" w:eastAsia="Arial" w:hAnsi="Arial"/>
          <w:sz w:val="16"/>
          <w:szCs w:val="16"/>
          <w:b w:val="1"/>
          <w:bCs w:val="1"/>
          <w:color w:val="auto"/>
        </w:rPr>
        <w:t>deductibles</w:t>
      </w:r>
      <w:r>
        <w:rPr>
          <w:rFonts w:ascii="Arial" w:cs="Arial" w:eastAsia="Arial" w:hAnsi="Arial"/>
          <w:sz w:val="16"/>
          <w:szCs w:val="16"/>
          <w:color w:val="auto"/>
        </w:rPr>
        <w:t xml:space="preserve">, maximums and </w:t>
      </w:r>
      <w:r>
        <w:rPr>
          <w:rFonts w:ascii="Arial" w:cs="Arial" w:eastAsia="Arial" w:hAnsi="Arial"/>
          <w:sz w:val="16"/>
          <w:szCs w:val="16"/>
          <w:b w:val="1"/>
          <w:bCs w:val="1"/>
          <w:color w:val="auto"/>
        </w:rPr>
        <w:t>Coinsurance Limit</w:t>
      </w:r>
      <w:r>
        <w:rPr>
          <w:rFonts w:ascii="Arial" w:cs="Arial" w:eastAsia="Arial" w:hAnsi="Arial"/>
          <w:sz w:val="16"/>
          <w:szCs w:val="16"/>
          <w:color w:val="auto"/>
        </w:rPr>
        <w:t xml:space="preserve"> that may apply.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Oral and Maxillofacial Treatment (Mouth, Jaws and Teeth)</w:t>
      </w:r>
      <w:r>
        <w:rPr>
          <w:rFonts w:ascii="Arial" w:cs="Arial" w:eastAsia="Arial" w:hAnsi="Arial"/>
          <w:sz w:val="14"/>
          <w:szCs w:val="14"/>
          <w:i w:val="1"/>
          <w:iCs w:val="1"/>
          <w:color w:val="auto"/>
        </w:rPr>
        <w:t>(GR-9N 11-180-01)</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made by a</w:t>
      </w:r>
      <w:r>
        <w:rPr>
          <w:rFonts w:ascii="Arial" w:cs="Arial" w:eastAsia="Arial" w:hAnsi="Arial"/>
          <w:sz w:val="20"/>
          <w:szCs w:val="20"/>
          <w:b w:val="1"/>
          <w:bCs w:val="1"/>
          <w:color w:val="auto"/>
        </w:rPr>
        <w:t xml:space="preserve"> physician</w:t>
      </w:r>
      <w:r>
        <w:rPr>
          <w:rFonts w:ascii="Arial" w:cs="Arial" w:eastAsia="Arial" w:hAnsi="Arial"/>
          <w:sz w:val="20"/>
          <w:szCs w:val="20"/>
          <w:color w:val="auto"/>
        </w:rPr>
        <w:t>, a</w:t>
      </w:r>
      <w:r>
        <w:rPr>
          <w:rFonts w:ascii="Arial" w:cs="Arial" w:eastAsia="Arial" w:hAnsi="Arial"/>
          <w:sz w:val="20"/>
          <w:szCs w:val="20"/>
          <w:b w:val="1"/>
          <w:bCs w:val="1"/>
          <w:color w:val="auto"/>
        </w:rPr>
        <w:t xml:space="preserve"> dentist </w:t>
      </w:r>
      <w:r>
        <w:rPr>
          <w:rFonts w:ascii="Arial" w:cs="Arial" w:eastAsia="Arial" w:hAnsi="Arial"/>
          <w:sz w:val="20"/>
          <w:szCs w:val="20"/>
          <w:color w:val="auto"/>
        </w:rPr>
        <w:t>and</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for:</w:t>
      </w:r>
    </w:p>
    <w:p>
      <w:pPr>
        <w:spacing w:after="0" w:line="222" w:lineRule="exact"/>
        <w:rPr>
          <w:sz w:val="20"/>
          <w:szCs w:val="20"/>
          <w:color w:val="auto"/>
        </w:rPr>
      </w:pPr>
    </w:p>
    <w:p>
      <w:pPr>
        <w:ind w:left="460" w:hanging="330"/>
        <w:spacing w:after="0"/>
        <w:tabs>
          <w:tab w:leader="none" w:pos="46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Non-surgical treatment of infections or diseases of the mouth, jaw joints or supporting tissues.</w:t>
      </w:r>
    </w:p>
    <w:p>
      <w:pPr>
        <w:spacing w:after="0" w:line="229" w:lineRule="exact"/>
        <w:rPr>
          <w:sz w:val="20"/>
          <w:szCs w:val="20"/>
          <w:color w:val="auto"/>
        </w:rPr>
      </w:pPr>
    </w:p>
    <w:p>
      <w:pPr>
        <w:ind w:left="120"/>
        <w:spacing w:after="0" w:line="260" w:lineRule="auto"/>
        <w:rPr>
          <w:sz w:val="20"/>
          <w:szCs w:val="20"/>
          <w:color w:val="auto"/>
        </w:rPr>
      </w:pPr>
      <w:r>
        <w:rPr>
          <w:rFonts w:ascii="Arial" w:cs="Arial" w:eastAsia="Arial" w:hAnsi="Arial"/>
          <w:sz w:val="20"/>
          <w:szCs w:val="20"/>
          <w:color w:val="auto"/>
        </w:rPr>
        <w:t>Services and supplies for treatment of, or related conditions of, the teeth, mouth, jaws, jaw joints or supporting tissues, (this includes bones, muscles, and nerves), for surgery needed to:</w:t>
      </w:r>
    </w:p>
    <w:p>
      <w:pPr>
        <w:spacing w:after="0" w:line="177" w:lineRule="exact"/>
        <w:rPr>
          <w:sz w:val="20"/>
          <w:szCs w:val="20"/>
          <w:color w:val="auto"/>
        </w:rPr>
      </w:pPr>
    </w:p>
    <w:p>
      <w:pPr>
        <w:ind w:left="460" w:hanging="330"/>
        <w:spacing w:after="0"/>
        <w:tabs>
          <w:tab w:leader="none" w:pos="4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Treat a fracture, dislocation, or wound.</w:t>
      </w:r>
    </w:p>
    <w:p>
      <w:pPr>
        <w:spacing w:after="0" w:line="20" w:lineRule="exact"/>
        <w:rPr>
          <w:rFonts w:ascii="Arial" w:cs="Arial" w:eastAsia="Arial" w:hAnsi="Arial"/>
          <w:sz w:val="20"/>
          <w:szCs w:val="20"/>
          <w:color w:val="auto"/>
        </w:rPr>
      </w:pPr>
    </w:p>
    <w:p>
      <w:pPr>
        <w:ind w:left="460" w:hanging="330"/>
        <w:spacing w:after="0"/>
        <w:tabs>
          <w:tab w:leader="none" w:pos="4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Cut out cysts, tumors, or other diseased tissues.</w:t>
      </w:r>
    </w:p>
    <w:p>
      <w:pPr>
        <w:spacing w:after="0" w:line="13" w:lineRule="exact"/>
        <w:rPr>
          <w:rFonts w:ascii="Arial" w:cs="Arial" w:eastAsia="Arial" w:hAnsi="Arial"/>
          <w:sz w:val="20"/>
          <w:szCs w:val="20"/>
          <w:color w:val="auto"/>
        </w:rPr>
      </w:pPr>
    </w:p>
    <w:p>
      <w:pPr>
        <w:ind w:left="460" w:right="180" w:hanging="330"/>
        <w:spacing w:after="0" w:line="251" w:lineRule="auto"/>
        <w:tabs>
          <w:tab w:leader="none" w:pos="4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Cut into gums and tissues of the mouth. This is only covered when </w:t>
      </w:r>
      <w:r>
        <w:rPr>
          <w:rFonts w:ascii="Arial" w:cs="Arial" w:eastAsia="Arial" w:hAnsi="Arial"/>
          <w:sz w:val="20"/>
          <w:szCs w:val="20"/>
          <w:b w:val="1"/>
          <w:bCs w:val="1"/>
          <w:i w:val="1"/>
          <w:iCs w:val="1"/>
          <w:color w:val="auto"/>
        </w:rPr>
        <w:t>not</w:t>
      </w:r>
      <w:r>
        <w:rPr>
          <w:rFonts w:ascii="Arial" w:cs="Arial" w:eastAsia="Arial" w:hAnsi="Arial"/>
          <w:sz w:val="20"/>
          <w:szCs w:val="20"/>
          <w:color w:val="auto"/>
        </w:rPr>
        <w:t xml:space="preserve"> done in connection with the removal, replacement or repair of teeth.</w:t>
      </w:r>
    </w:p>
    <w:p>
      <w:pPr>
        <w:ind w:left="460" w:right="820" w:hanging="330"/>
        <w:spacing w:after="0" w:line="244" w:lineRule="auto"/>
        <w:tabs>
          <w:tab w:leader="none" w:pos="4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Alter the jaw, jaw joints, or bite relationships by a cutting procedure when appliance therapy alone cannot result in functional improvement.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Hospital </w:t>
      </w:r>
      <w:r>
        <w:rPr>
          <w:rFonts w:ascii="Arial" w:cs="Arial" w:eastAsia="Arial" w:hAnsi="Arial"/>
          <w:sz w:val="20"/>
          <w:szCs w:val="20"/>
          <w:color w:val="auto"/>
        </w:rPr>
        <w:t>services and supplies received for a</w:t>
      </w:r>
      <w:r>
        <w:rPr>
          <w:rFonts w:ascii="Arial" w:cs="Arial" w:eastAsia="Arial" w:hAnsi="Arial"/>
          <w:sz w:val="20"/>
          <w:szCs w:val="20"/>
          <w:b w:val="1"/>
          <w:bCs w:val="1"/>
          <w:color w:val="auto"/>
        </w:rPr>
        <w:t xml:space="preserve"> stay </w:t>
      </w:r>
      <w:r>
        <w:rPr>
          <w:rFonts w:ascii="Arial" w:cs="Arial" w:eastAsia="Arial" w:hAnsi="Arial"/>
          <w:sz w:val="20"/>
          <w:szCs w:val="20"/>
          <w:color w:val="auto"/>
        </w:rPr>
        <w:t>required because of your condition.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Dental work, surgery and </w:t>
      </w:r>
      <w:r>
        <w:rPr>
          <w:rFonts w:ascii="Arial" w:cs="Arial" w:eastAsia="Arial" w:hAnsi="Arial"/>
          <w:sz w:val="20"/>
          <w:szCs w:val="20"/>
          <w:b w:val="1"/>
          <w:bCs w:val="1"/>
          <w:color w:val="auto"/>
        </w:rPr>
        <w:t>orthodontic treatment</w:t>
      </w:r>
      <w:r>
        <w:rPr>
          <w:rFonts w:ascii="Arial" w:cs="Arial" w:eastAsia="Arial" w:hAnsi="Arial"/>
          <w:sz w:val="20"/>
          <w:szCs w:val="20"/>
          <w:color w:val="auto"/>
        </w:rPr>
        <w:t xml:space="preserve"> needed to remove, repair, restore or reposition:</w:t>
      </w:r>
    </w:p>
    <w:p>
      <w:pPr>
        <w:spacing w:after="0" w:line="249" w:lineRule="exact"/>
        <w:rPr>
          <w:sz w:val="20"/>
          <w:szCs w:val="20"/>
          <w:color w:val="auto"/>
        </w:rPr>
      </w:pPr>
    </w:p>
    <w:p>
      <w:pPr>
        <w:ind w:left="680" w:hanging="550"/>
        <w:spacing w:after="0"/>
        <w:tabs>
          <w:tab w:leader="none" w:pos="6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Natural teeth damaged, lost, or removed; or</w:t>
      </w:r>
    </w:p>
    <w:p>
      <w:pPr>
        <w:spacing w:after="0" w:line="155" w:lineRule="exact"/>
        <w:rPr>
          <w:rFonts w:ascii="Arial" w:cs="Arial" w:eastAsia="Arial" w:hAnsi="Arial"/>
          <w:sz w:val="20"/>
          <w:szCs w:val="20"/>
          <w:color w:val="auto"/>
        </w:rPr>
      </w:pPr>
    </w:p>
    <w:p>
      <w:pPr>
        <w:ind w:left="680" w:hanging="550"/>
        <w:spacing w:after="0"/>
        <w:tabs>
          <w:tab w:leader="none" w:pos="6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Other body tissues of the mouth fractured or cut due to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Any such teeth must have been free from decay or in good repair, and are firmly attached to the jaw bone at the time of the </w:t>
      </w:r>
      <w:r>
        <w:rPr>
          <w:rFonts w:ascii="Arial" w:cs="Arial" w:eastAsia="Arial" w:hAnsi="Arial"/>
          <w:sz w:val="19"/>
          <w:szCs w:val="19"/>
          <w:b w:val="1"/>
          <w:bCs w:val="1"/>
          <w:color w:val="auto"/>
        </w:rPr>
        <w:t>injury</w:t>
      </w:r>
      <w:r>
        <w:rPr>
          <w:rFonts w:ascii="Arial" w:cs="Arial" w:eastAsia="Arial" w:hAnsi="Arial"/>
          <w:sz w:val="19"/>
          <w:szCs w:val="19"/>
          <w:color w:val="auto"/>
        </w:rPr>
        <w:t>.</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treatment must be completed in the Calendar Year of the </w:t>
      </w:r>
      <w:r>
        <w:rPr>
          <w:rFonts w:ascii="Arial" w:cs="Arial" w:eastAsia="Arial" w:hAnsi="Arial"/>
          <w:sz w:val="20"/>
          <w:szCs w:val="20"/>
          <w:b w:val="1"/>
          <w:bCs w:val="1"/>
          <w:color w:val="auto"/>
        </w:rPr>
        <w:t>accident</w:t>
      </w:r>
      <w:r>
        <w:rPr>
          <w:rFonts w:ascii="Arial" w:cs="Arial" w:eastAsia="Arial" w:hAnsi="Arial"/>
          <w:sz w:val="20"/>
          <w:szCs w:val="20"/>
          <w:color w:val="auto"/>
        </w:rPr>
        <w:t xml:space="preserve"> or in the next Calendar Year.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If crowns, dentures, bridges, or in-mouth appliances are installed due to </w:t>
      </w:r>
      <w:r>
        <w:rPr>
          <w:rFonts w:ascii="Arial" w:cs="Arial" w:eastAsia="Arial" w:hAnsi="Arial"/>
          <w:sz w:val="20"/>
          <w:szCs w:val="20"/>
          <w:b w:val="1"/>
          <w:bCs w:val="1"/>
          <w:color w:val="auto"/>
        </w:rPr>
        <w:t>injury</w:t>
      </w:r>
      <w:r>
        <w:rPr>
          <w:rFonts w:ascii="Arial" w:cs="Arial" w:eastAsia="Arial" w:hAnsi="Arial"/>
          <w:sz w:val="20"/>
          <w:szCs w:val="20"/>
          <w:color w:val="auto"/>
        </w:rPr>
        <w:t xml:space="preserve">,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only include charges for:</w:t>
      </w:r>
    </w:p>
    <w:p>
      <w:pPr>
        <w:spacing w:after="0" w:line="249" w:lineRule="exact"/>
        <w:rPr>
          <w:sz w:val="20"/>
          <w:szCs w:val="20"/>
          <w:color w:val="auto"/>
        </w:rPr>
      </w:pPr>
    </w:p>
    <w:p>
      <w:pPr>
        <w:ind w:left="460" w:hanging="330"/>
        <w:spacing w:after="0"/>
        <w:tabs>
          <w:tab w:leader="none" w:pos="4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first denture or fixed bridgework to replace lost teeth;</w:t>
      </w:r>
    </w:p>
    <w:p>
      <w:pPr>
        <w:spacing w:after="0" w:line="20" w:lineRule="exact"/>
        <w:rPr>
          <w:rFonts w:ascii="Arial" w:cs="Arial" w:eastAsia="Arial" w:hAnsi="Arial"/>
          <w:sz w:val="20"/>
          <w:szCs w:val="20"/>
          <w:color w:val="auto"/>
        </w:rPr>
      </w:pPr>
    </w:p>
    <w:p>
      <w:pPr>
        <w:ind w:left="460" w:hanging="330"/>
        <w:spacing w:after="0"/>
        <w:tabs>
          <w:tab w:leader="none" w:pos="4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first crown needed to repair each damaged tooth; and</w:t>
      </w:r>
    </w:p>
    <w:p>
      <w:pPr>
        <w:spacing w:after="0" w:line="8" w:lineRule="exact"/>
        <w:rPr>
          <w:rFonts w:ascii="Arial" w:cs="Arial" w:eastAsia="Arial" w:hAnsi="Arial"/>
          <w:sz w:val="20"/>
          <w:szCs w:val="20"/>
          <w:color w:val="auto"/>
        </w:rPr>
      </w:pPr>
    </w:p>
    <w:p>
      <w:pPr>
        <w:ind w:left="460" w:hanging="330"/>
        <w:spacing w:after="0"/>
        <w:tabs>
          <w:tab w:leader="none" w:pos="4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xml:space="preserve">An in-mouth appliance used in the first course of </w:t>
      </w:r>
      <w:r>
        <w:rPr>
          <w:rFonts w:ascii="Arial" w:cs="Arial" w:eastAsia="Arial" w:hAnsi="Arial"/>
          <w:sz w:val="20"/>
          <w:szCs w:val="20"/>
          <w:b w:val="1"/>
          <w:bCs w:val="1"/>
          <w:color w:val="auto"/>
        </w:rPr>
        <w:t>orthodontic treatment</w:t>
      </w:r>
      <w:r>
        <w:rPr>
          <w:rFonts w:ascii="Arial" w:cs="Arial" w:eastAsia="Arial" w:hAnsi="Arial"/>
          <w:sz w:val="20"/>
          <w:szCs w:val="20"/>
          <w:color w:val="auto"/>
        </w:rPr>
        <w:t xml:space="preserve"> after the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xml:space="preserve">Other Services </w:t>
      </w:r>
      <w:r>
        <w:rPr>
          <w:rFonts w:ascii="Arial" w:cs="Arial" w:eastAsia="Arial" w:hAnsi="Arial"/>
          <w:sz w:val="14"/>
          <w:szCs w:val="14"/>
          <w:i w:val="1"/>
          <w:iCs w:val="1"/>
          <w:color w:val="auto"/>
        </w:rPr>
        <w:t>(GR-9N-11-195-01-VA)</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Routine Screening for Cancer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Even though not incurred in connection with a disease or </w:t>
      </w:r>
      <w:r>
        <w:rPr>
          <w:rFonts w:ascii="Arial" w:cs="Arial" w:eastAsia="Arial" w:hAnsi="Arial"/>
          <w:sz w:val="19"/>
          <w:szCs w:val="19"/>
          <w:b w:val="1"/>
          <w:bCs w:val="1"/>
          <w:color w:val="auto"/>
        </w:rPr>
        <w:t>injury</w:t>
      </w:r>
      <w:r>
        <w:rPr>
          <w:rFonts w:ascii="Arial" w:cs="Arial" w:eastAsia="Arial" w:hAnsi="Arial"/>
          <w:sz w:val="19"/>
          <w:szCs w:val="19"/>
          <w:color w:val="auto"/>
        </w:rPr>
        <w:t xml:space="preserve">,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include charges incurred by a covered person:</w:t>
      </w:r>
    </w:p>
    <w:p>
      <w:pPr>
        <w:spacing w:after="0" w:line="238" w:lineRule="exact"/>
        <w:rPr>
          <w:sz w:val="20"/>
          <w:szCs w:val="20"/>
          <w:color w:val="auto"/>
        </w:rPr>
      </w:pPr>
    </w:p>
    <w:p>
      <w:pPr>
        <w:ind w:left="460" w:hanging="330"/>
        <w:spacing w:after="0"/>
        <w:tabs>
          <w:tab w:leader="none" w:pos="46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age 35 but less than 40 for one screening mammogram.</w:t>
      </w:r>
    </w:p>
    <w:p>
      <w:pPr>
        <w:spacing w:after="0" w:line="20" w:lineRule="exact"/>
        <w:rPr>
          <w:rFonts w:ascii="Arial" w:cs="Arial" w:eastAsia="Arial" w:hAnsi="Arial"/>
          <w:sz w:val="20"/>
          <w:szCs w:val="20"/>
          <w:color w:val="auto"/>
        </w:rPr>
      </w:pPr>
    </w:p>
    <w:p>
      <w:pPr>
        <w:ind w:left="460" w:hanging="330"/>
        <w:spacing w:after="0"/>
        <w:tabs>
          <w:tab w:leader="none" w:pos="46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age 40 and over for one screening mammogram every calendar year.</w:t>
      </w:r>
    </w:p>
    <w:p>
      <w:pPr>
        <w:spacing w:after="0" w:line="8" w:lineRule="exact"/>
        <w:rPr>
          <w:rFonts w:ascii="Arial" w:cs="Arial" w:eastAsia="Arial" w:hAnsi="Arial"/>
          <w:sz w:val="20"/>
          <w:szCs w:val="20"/>
          <w:color w:val="auto"/>
        </w:rPr>
      </w:pPr>
    </w:p>
    <w:p>
      <w:pPr>
        <w:ind w:left="460" w:hanging="330"/>
        <w:spacing w:after="0"/>
        <w:tabs>
          <w:tab w:leader="none" w:pos="46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for an annual Pap smear and for annual testing using any FDA-approved gynecologic cytology screening technologies.</w:t>
      </w:r>
    </w:p>
    <w:p>
      <w:pPr>
        <w:sectPr>
          <w:pgSz w:w="11900" w:h="16838" w:orient="portrait"/>
          <w:cols w:equalWidth="0" w:num="1">
            <w:col w:w="11200"/>
          </w:cols>
          <w:pgMar w:left="240" w:top="373" w:right="459" w:bottom="1440" w:gutter="0" w:footer="0" w:header="0"/>
        </w:sectPr>
      </w:pPr>
    </w:p>
    <w:bookmarkStart w:id="226" w:name="page227"/>
    <w:bookmarkEnd w:id="226"/>
    <w:p>
      <w:pPr>
        <w:ind w:left="340" w:right="60" w:hanging="331"/>
        <w:spacing w:after="0" w:line="281" w:lineRule="auto"/>
        <w:tabs>
          <w:tab w:leader="none" w:pos="3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age 50 and over; and persons age 40 and over who are at high risk for prostate cancer according to the most recent published guidelines of the American Cancer Society, and that occur in connection with an annual exam for screening for cancer of the prostate:</w:t>
      </w:r>
    </w:p>
    <w:p>
      <w:pPr>
        <w:spacing w:after="0" w:line="1" w:lineRule="exact"/>
        <w:rPr>
          <w:rFonts w:ascii="Arial" w:cs="Arial" w:eastAsia="Arial" w:hAnsi="Arial"/>
          <w:sz w:val="18"/>
          <w:szCs w:val="18"/>
          <w:color w:val="auto"/>
        </w:rPr>
      </w:pPr>
    </w:p>
    <w:p>
      <w:pPr>
        <w:ind w:left="660" w:hanging="327"/>
        <w:spacing w:after="0"/>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a digital rectal exam; and</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a prostate specific antigen (PSA) test.</w:t>
      </w:r>
    </w:p>
    <w:p>
      <w:pPr>
        <w:spacing w:after="0" w:line="20" w:lineRule="exact"/>
        <w:rPr>
          <w:rFonts w:ascii="Arial" w:cs="Arial" w:eastAsia="Arial" w:hAnsi="Arial"/>
          <w:sz w:val="20"/>
          <w:szCs w:val="20"/>
          <w:color w:val="auto"/>
        </w:rPr>
      </w:pPr>
    </w:p>
    <w:p>
      <w:pPr>
        <w:ind w:left="340" w:right="360" w:hanging="331"/>
        <w:spacing w:after="0" w:line="246" w:lineRule="auto"/>
        <w:tabs>
          <w:tab w:leader="none" w:pos="34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in connection with an annual exam for screening of colorectal cancer and provided in accordance with the most recently published recommendations established by the American College of Gastroenterology, in consultation with the American Cancer Society, for the ages, family histories, and frequencies referenced in such recommendations:</w:t>
      </w:r>
    </w:p>
    <w:p>
      <w:pPr>
        <w:spacing w:after="0" w:line="1" w:lineRule="exact"/>
        <w:rPr>
          <w:rFonts w:ascii="Arial" w:cs="Arial" w:eastAsia="Arial" w:hAnsi="Arial"/>
          <w:sz w:val="20"/>
          <w:szCs w:val="20"/>
          <w:color w:val="auto"/>
        </w:rPr>
      </w:pPr>
    </w:p>
    <w:p>
      <w:pPr>
        <w:ind w:left="660" w:hanging="327"/>
        <w:spacing w:after="0"/>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fecal occult blood test; and</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flexible sigmoidoscopy or colonoscopy, or in appropriate circumstances radiologic imaging.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Anesthesia for Dental Care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general anesthesia and associated</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or ambulatory facility charges in conjunction with dental care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 covered person, if the person is determined by a licensed </w:t>
      </w:r>
      <w:r>
        <w:rPr>
          <w:rFonts w:ascii="Arial" w:cs="Arial" w:eastAsia="Arial" w:hAnsi="Arial"/>
          <w:sz w:val="20"/>
          <w:szCs w:val="20"/>
          <w:b w:val="1"/>
          <w:bCs w:val="1"/>
          <w:color w:val="auto"/>
        </w:rPr>
        <w:t>dentist</w:t>
      </w:r>
      <w:r>
        <w:rPr>
          <w:rFonts w:ascii="Arial" w:cs="Arial" w:eastAsia="Arial" w:hAnsi="Arial"/>
          <w:sz w:val="20"/>
          <w:szCs w:val="20"/>
          <w:color w:val="auto"/>
        </w:rPr>
        <w:t xml:space="preserve"> in consultation with the person’s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to require these services to effectively and safely provide dental care; and</w:t>
      </w:r>
    </w:p>
    <w:p>
      <w:pPr>
        <w:spacing w:after="0" w:line="223" w:lineRule="exact"/>
        <w:rPr>
          <w:sz w:val="20"/>
          <w:szCs w:val="20"/>
          <w:color w:val="auto"/>
        </w:rPr>
      </w:pPr>
    </w:p>
    <w:p>
      <w:pPr>
        <w:ind w:left="340" w:hanging="331"/>
        <w:spacing w:after="0"/>
        <w:tabs>
          <w:tab w:leader="none" w:pos="3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is under 5 years of age;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is severely disabled; or</w:t>
      </w:r>
    </w:p>
    <w:p>
      <w:pPr>
        <w:spacing w:after="0" w:line="8" w:lineRule="exact"/>
        <w:rPr>
          <w:rFonts w:ascii="Arial" w:cs="Arial" w:eastAsia="Arial" w:hAnsi="Arial"/>
          <w:sz w:val="20"/>
          <w:szCs w:val="20"/>
          <w:color w:val="auto"/>
        </w:rPr>
      </w:pPr>
    </w:p>
    <w:p>
      <w:pPr>
        <w:ind w:left="340" w:right="840" w:hanging="331"/>
        <w:spacing w:after="0" w:line="244" w:lineRule="auto"/>
        <w:tabs>
          <w:tab w:leader="none" w:pos="3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has a medical condition that requires admission to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outpatient </w:t>
      </w:r>
      <w:r>
        <w:rPr>
          <w:rFonts w:ascii="Arial" w:cs="Arial" w:eastAsia="Arial" w:hAnsi="Arial"/>
          <w:sz w:val="20"/>
          <w:szCs w:val="20"/>
          <w:b w:val="1"/>
          <w:bCs w:val="1"/>
          <w:color w:val="auto"/>
        </w:rPr>
        <w:t>surgery center</w:t>
      </w:r>
      <w:r>
        <w:rPr>
          <w:rFonts w:ascii="Arial" w:cs="Arial" w:eastAsia="Arial" w:hAnsi="Arial"/>
          <w:sz w:val="20"/>
          <w:szCs w:val="20"/>
          <w:color w:val="auto"/>
        </w:rPr>
        <w:t xml:space="preserve"> and general anesthesia for dental care treatment.</w:t>
      </w:r>
    </w:p>
    <w:p>
      <w:pPr>
        <w:spacing w:after="0" w:line="199"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color w:val="auto"/>
        </w:rPr>
        <w:t xml:space="preserve">Coverage is NOT provided for dental services associated with general anesthesia and associated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ambulatory facility charges, except as otherwise provided in this Plan.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Childhood Immunization Expenses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incurred by a covered dependent child between the ages of birth and 36-months for all routine and</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immunizations administered on an outpatient basis.</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Routine and necessary immunizations mean immunizations against diphtheria, pertussis, tetanus, polio, hepatitis B, measles, mumps, rubella, and other such immunizations as may be prescribed by the Virginia Commissioner of Health.</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Infant Hearing Screening Expenses</w:t>
      </w:r>
    </w:p>
    <w:p>
      <w:pPr>
        <w:spacing w:after="0" w:line="22"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for infant hearing screenings and all necessary audiological examinations for newborn children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pursuant to the Virginia Hearing Impairment Identification and Monitoring System and include the use of any technology approved by the United States Food and Drug Administration, and as recommended by the national Joint Committee on Infant Hearing in its most current position statement addressing early hearing detection and intervention programs. Coverage includes a follow-up audiological examination, recommended by a physician or audiologist and performed by a licensed audiologist to confirm the existence or absence of hearing loss, for those infants whose hearing screenings indicated the need for a diagnostic audiological examination.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Bones or Joints of the Head, Neck, Face or Jaw Expenses</w:t>
      </w:r>
    </w:p>
    <w:p>
      <w:pPr>
        <w:spacing w:after="0" w:line="2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color w:val="auto"/>
        </w:rPr>
        <w:t xml:space="preserve">Covered expenses </w:t>
      </w:r>
      <w:r>
        <w:rPr>
          <w:rFonts w:ascii="Arial" w:cs="Arial" w:eastAsia="Arial" w:hAnsi="Arial"/>
          <w:sz w:val="16"/>
          <w:szCs w:val="16"/>
          <w:color w:val="auto"/>
        </w:rPr>
        <w:t>include charges for diagnostic and surgical treatment involving any bone or joint of the head, neck, face or jaw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treatment is required due to a medical condition or injury which prevents normal function of the joint or bone and is deemed </w:t>
      </w:r>
      <w:r>
        <w:rPr>
          <w:rFonts w:ascii="Arial" w:cs="Arial" w:eastAsia="Arial" w:hAnsi="Arial"/>
          <w:sz w:val="16"/>
          <w:szCs w:val="16"/>
          <w:b w:val="1"/>
          <w:bCs w:val="1"/>
          <w:color w:val="auto"/>
        </w:rPr>
        <w:t>medically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necessary </w:t>
      </w:r>
      <w:r>
        <w:rPr>
          <w:rFonts w:ascii="Arial" w:cs="Arial" w:eastAsia="Arial" w:hAnsi="Arial"/>
          <w:sz w:val="16"/>
          <w:szCs w:val="16"/>
          <w:color w:val="auto"/>
        </w:rPr>
        <w:t>to attain functional capacity of the affected part. Treatment performed by prosthesis placed directly on the teeth is not covered.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Blood Products and Blood Infusion Equipment Expenses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blood products and blood infusion equipment for covered persons diagnosed with hemophilia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congenital bleeding disorders.</w:t>
      </w:r>
    </w:p>
    <w:p>
      <w:pPr>
        <w:sectPr>
          <w:pgSz w:w="11900" w:h="16838" w:orient="portrait"/>
          <w:cols w:equalWidth="0" w:num="1">
            <w:col w:w="11340"/>
          </w:cols>
          <w:pgMar w:left="320" w:top="433" w:right="239" w:bottom="1440" w:gutter="0" w:footer="0" w:header="0"/>
        </w:sectPr>
      </w:pPr>
    </w:p>
    <w:bookmarkStart w:id="227" w:name="page228"/>
    <w:bookmarkEnd w:id="227"/>
    <w:p>
      <w:pPr>
        <w:spacing w:after="0"/>
        <w:rPr>
          <w:sz w:val="20"/>
          <w:szCs w:val="20"/>
          <w:color w:val="auto"/>
        </w:rPr>
      </w:pPr>
      <w:r>
        <w:rPr>
          <w:rFonts w:ascii="Arial" w:cs="Arial" w:eastAsia="Arial" w:hAnsi="Arial"/>
          <w:sz w:val="20"/>
          <w:szCs w:val="20"/>
          <w:b w:val="1"/>
          <w:bCs w:val="1"/>
          <w:color w:val="auto"/>
        </w:rPr>
        <w:t>Mastectomy and Hysterectomy Expenses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following a mastectomy for the treatment of breast cancer include charges for:</w:t>
      </w:r>
    </w:p>
    <w:p>
      <w:pPr>
        <w:spacing w:after="0" w:line="200" w:lineRule="exact"/>
        <w:rPr>
          <w:sz w:val="20"/>
          <w:szCs w:val="20"/>
          <w:color w:val="auto"/>
        </w:rPr>
      </w:pPr>
    </w:p>
    <w:p>
      <w:pPr>
        <w:ind w:left="340" w:hanging="331"/>
        <w:spacing w:after="0"/>
        <w:tabs>
          <w:tab w:leader="none" w:pos="34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up to 48-hours of inpatient care in a hospital following a radical or modified mastectomy;</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up to 24-hours of inpatient care in a hospital following a total mastectomy or partial mastectomy with lymph node dissection.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following a hysterectomy include charges for:</w:t>
      </w:r>
    </w:p>
    <w:p>
      <w:pPr>
        <w:spacing w:after="0" w:line="235" w:lineRule="exact"/>
        <w:rPr>
          <w:sz w:val="20"/>
          <w:szCs w:val="20"/>
          <w:color w:val="auto"/>
        </w:rPr>
      </w:pPr>
    </w:p>
    <w:p>
      <w:pPr>
        <w:ind w:left="340" w:hanging="331"/>
        <w:spacing w:after="0"/>
        <w:tabs>
          <w:tab w:leader="none" w:pos="3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 minimum stay in a hospital of not less than 23-hours following a laparoscopy-assisted vaginal hysterectomy;</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 minimum stay in a hospital of not less than 48-hours following a vaginal hysterectomy; or</w:t>
      </w:r>
    </w:p>
    <w:p>
      <w:pPr>
        <w:spacing w:after="0" w:line="8" w:lineRule="exact"/>
        <w:rPr>
          <w:rFonts w:ascii="Arial" w:cs="Arial" w:eastAsia="Arial" w:hAnsi="Arial"/>
          <w:sz w:val="20"/>
          <w:szCs w:val="20"/>
          <w:color w:val="auto"/>
        </w:rPr>
      </w:pPr>
    </w:p>
    <w:p>
      <w:pPr>
        <w:ind w:left="340" w:right="680" w:hanging="331"/>
        <w:spacing w:after="0" w:line="244" w:lineRule="auto"/>
        <w:tabs>
          <w:tab w:leader="none" w:pos="3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 shorter hospital stay, if the attending provider, in consultation with the covered person, determines that a shorter length of stay is appropriate.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Treatment of Lymphedema</w:t>
      </w:r>
    </w:p>
    <w:p>
      <w:pPr>
        <w:spacing w:after="0" w:line="22" w:lineRule="exact"/>
        <w:rPr>
          <w:sz w:val="20"/>
          <w:szCs w:val="20"/>
          <w:color w:val="auto"/>
        </w:rPr>
      </w:pPr>
    </w:p>
    <w:p>
      <w:pPr>
        <w:ind w:right="440"/>
        <w:spacing w:after="0" w:line="298" w:lineRule="auto"/>
        <w:rPr>
          <w:sz w:val="20"/>
          <w:szCs w:val="20"/>
          <w:color w:val="auto"/>
        </w:rPr>
      </w:pPr>
      <w:r>
        <w:rPr>
          <w:rFonts w:ascii="Arial" w:cs="Arial" w:eastAsia="Arial" w:hAnsi="Arial"/>
          <w:sz w:val="18"/>
          <w:szCs w:val="18"/>
          <w:b w:val="1"/>
          <w:bCs w:val="1"/>
          <w:color w:val="auto"/>
        </w:rPr>
        <w:t xml:space="preserve">Covered expenses </w:t>
      </w:r>
      <w:r>
        <w:rPr>
          <w:rFonts w:ascii="Arial" w:cs="Arial" w:eastAsia="Arial" w:hAnsi="Arial"/>
          <w:sz w:val="18"/>
          <w:szCs w:val="18"/>
          <w:color w:val="auto"/>
        </w:rPr>
        <w:t>include charges for equipment, supplies, complex decongestive therapy, and outpatient self- management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 for the treatment of lymphedema, when provided by a provider legally authorized to provide such items under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Early Intervention Services</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charges for speech and language therapy, occupational therapy, physical therapy and assistive technology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and devices for a covered person if:</w:t>
      </w:r>
    </w:p>
    <w:p>
      <w:pPr>
        <w:spacing w:after="0" w:line="205" w:lineRule="exact"/>
        <w:rPr>
          <w:sz w:val="20"/>
          <w:szCs w:val="20"/>
          <w:color w:val="auto"/>
        </w:rPr>
      </w:pPr>
    </w:p>
    <w:p>
      <w:pPr>
        <w:ind w:left="340" w:hanging="331"/>
        <w:spacing w:after="0"/>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They are between the ages of birth and 3 years;</w:t>
      </w:r>
    </w:p>
    <w:p>
      <w:pPr>
        <w:spacing w:after="0" w:line="15" w:lineRule="exact"/>
        <w:rPr>
          <w:rFonts w:ascii="Arial" w:cs="Arial" w:eastAsia="Arial" w:hAnsi="Arial"/>
          <w:sz w:val="20"/>
          <w:szCs w:val="20"/>
          <w:color w:val="auto"/>
        </w:rPr>
      </w:pPr>
    </w:p>
    <w:p>
      <w:pPr>
        <w:ind w:left="340" w:right="440" w:hanging="331"/>
        <w:spacing w:after="0" w:line="242" w:lineRule="auto"/>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They are certified by the Department of Mental Health, Mental Retardation and Substance Abuse Services as eligible for the services under Part H of the Individuals with Disabilities Education Act; and</w:t>
      </w:r>
    </w:p>
    <w:p>
      <w:pPr>
        <w:ind w:left="340" w:hanging="331"/>
        <w:spacing w:after="0"/>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services are designed to attain or retain the capacity to function age-appropriately within their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benefit for these services is limited to $5,000 per covered person per Calendar Year.</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Cancer Clinical Trial Expenses</w:t>
      </w:r>
    </w:p>
    <w:p>
      <w:pPr>
        <w:spacing w:after="0" w:line="22"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include coverage for "Patient Costs" incurred by a covered person participating in clinical trials for treatment studies on</w:t>
      </w:r>
      <w:r>
        <w:rPr>
          <w:rFonts w:ascii="Arial" w:cs="Arial" w:eastAsia="Arial" w:hAnsi="Arial"/>
          <w:sz w:val="20"/>
          <w:szCs w:val="20"/>
          <w:b w:val="1"/>
          <w:bCs w:val="1"/>
          <w:color w:val="auto"/>
        </w:rPr>
        <w:t xml:space="preserve"> </w:t>
      </w:r>
      <w:r>
        <w:rPr>
          <w:rFonts w:ascii="Arial" w:cs="Arial" w:eastAsia="Arial" w:hAnsi="Arial"/>
          <w:sz w:val="20"/>
          <w:szCs w:val="20"/>
          <w:color w:val="auto"/>
        </w:rPr>
        <w:t>cancer.</w:t>
      </w:r>
    </w:p>
    <w:p>
      <w:pPr>
        <w:spacing w:after="0" w:line="199"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auto"/>
        </w:rPr>
        <w:t xml:space="preserve">"Patient Cost" is defined as the cost of </w:t>
      </w:r>
      <w:r>
        <w:rPr>
          <w:rFonts w:ascii="Arial" w:cs="Arial" w:eastAsia="Arial" w:hAnsi="Arial"/>
          <w:sz w:val="20"/>
          <w:szCs w:val="20"/>
          <w:b w:val="1"/>
          <w:bCs w:val="1"/>
          <w:color w:val="auto"/>
        </w:rPr>
        <w:t>a medically necessary</w:t>
      </w:r>
      <w:r>
        <w:rPr>
          <w:rFonts w:ascii="Arial" w:cs="Arial" w:eastAsia="Arial" w:hAnsi="Arial"/>
          <w:sz w:val="20"/>
          <w:szCs w:val="20"/>
          <w:color w:val="auto"/>
        </w:rPr>
        <w:t xml:space="preserve"> health care service incurred for treatment of a covered person for purposes of a clinical trial</w:t>
      </w:r>
    </w:p>
    <w:p>
      <w:pPr>
        <w:spacing w:after="0" w:line="170" w:lineRule="exact"/>
        <w:rPr>
          <w:sz w:val="20"/>
          <w:szCs w:val="20"/>
          <w:color w:val="auto"/>
        </w:rPr>
      </w:pPr>
    </w:p>
    <w:p>
      <w:pPr>
        <w:jc w:val="both"/>
        <w:ind w:right="440"/>
        <w:spacing w:after="0" w:line="250" w:lineRule="auto"/>
        <w:rPr>
          <w:sz w:val="20"/>
          <w:szCs w:val="20"/>
          <w:color w:val="auto"/>
        </w:rPr>
      </w:pPr>
      <w:r>
        <w:rPr>
          <w:rFonts w:ascii="Arial" w:cs="Arial" w:eastAsia="Arial" w:hAnsi="Arial"/>
          <w:sz w:val="20"/>
          <w:szCs w:val="20"/>
          <w:color w:val="auto"/>
        </w:rPr>
        <w:t>NOTE: This definition excludes the cost of: (a) an investigational drug or device; (b) non-health services required as a result of treatment received in a clinical trial; (c) managing research associated with the clinical trial; and (d) services or items that would be excluded from coverage under the patient's policy, plan or contract for noninvestigational treatment.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Coverage of patient costs will be provided if:</w:t>
      </w:r>
    </w:p>
    <w:p>
      <w:pPr>
        <w:spacing w:after="0" w:line="243" w:lineRule="exact"/>
        <w:rPr>
          <w:sz w:val="20"/>
          <w:szCs w:val="20"/>
          <w:color w:val="auto"/>
        </w:rPr>
      </w:pPr>
    </w:p>
    <w:p>
      <w:pPr>
        <w:ind w:left="340" w:hanging="331"/>
        <w:spacing w:after="0"/>
        <w:tabs>
          <w:tab w:leader="none" w:pos="3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treatment or studies are part of a Phase II-IV clinical trial for cancer;</w:t>
      </w:r>
    </w:p>
    <w:p>
      <w:pPr>
        <w:spacing w:after="0" w:line="15" w:lineRule="exact"/>
        <w:rPr>
          <w:rFonts w:ascii="Arial" w:cs="Arial" w:eastAsia="Arial" w:hAnsi="Arial"/>
          <w:sz w:val="20"/>
          <w:szCs w:val="20"/>
          <w:color w:val="auto"/>
        </w:rPr>
      </w:pPr>
    </w:p>
    <w:p>
      <w:pPr>
        <w:jc w:val="both"/>
        <w:ind w:left="340" w:hanging="331"/>
        <w:spacing w:after="0" w:line="266" w:lineRule="auto"/>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treatment is being provided in a clinical trial approved by the National Cancer Institute (NCI), an NCI cooperative group or center, the FDA as part of an investigational new drug application, the Federal Department of Veterans Affairs, or an institutional review board which has a multiple project assurance contract approved by the office of protection from research risks of the National Cancer Institute;</w:t>
      </w:r>
    </w:p>
    <w:p>
      <w:pPr>
        <w:ind w:left="340" w:right="420" w:hanging="331"/>
        <w:spacing w:after="0" w:line="242" w:lineRule="auto"/>
        <w:tabs>
          <w:tab w:leader="none" w:pos="3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treating facility and personnel have the expertise and capability to render the treatment as a result of their experience, training and volume of patients;</w:t>
      </w:r>
    </w:p>
    <w:p>
      <w:pPr>
        <w:ind w:left="340" w:hanging="331"/>
        <w:spacing w:after="0"/>
        <w:tabs>
          <w:tab w:leader="none" w:pos="3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there is no clearly superior, non-investigational treatment alternative; and</w:t>
      </w:r>
    </w:p>
    <w:p>
      <w:pPr>
        <w:spacing w:after="0" w:line="8" w:lineRule="exact"/>
        <w:rPr>
          <w:rFonts w:ascii="Arial" w:cs="Arial" w:eastAsia="Arial" w:hAnsi="Arial"/>
          <w:sz w:val="20"/>
          <w:szCs w:val="20"/>
          <w:color w:val="auto"/>
        </w:rPr>
      </w:pPr>
    </w:p>
    <w:p>
      <w:pPr>
        <w:ind w:left="340" w:right="940" w:hanging="331"/>
        <w:spacing w:after="0" w:line="244" w:lineRule="auto"/>
        <w:tabs>
          <w:tab w:leader="none" w:pos="3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available clinical or pre-clinical data provide a reasonable expectation that the treatment will be at least as effective as the non-investigational alternative.</w:t>
      </w:r>
    </w:p>
    <w:p>
      <w:pPr>
        <w:sectPr>
          <w:pgSz w:w="11900" w:h="16838" w:orient="portrait"/>
          <w:cols w:equalWidth="0" w:num="1">
            <w:col w:w="11320"/>
          </w:cols>
          <w:pgMar w:left="320" w:top="441" w:right="25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t>The above coverage may be provided on a case-by-case basis if treatment is being provided in a Phase I clinical trial for cancer.</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Benefits are payable on the same basis as any other illness.</w:t>
      </w:r>
    </w:p>
    <w:p>
      <w:pPr>
        <w:sectPr>
          <w:pgSz w:w="11900" w:h="16838" w:orient="portrait"/>
          <w:cols w:equalWidth="0" w:num="1">
            <w:col w:w="10139"/>
          </w:cols>
          <w:pgMar w:left="320" w:top="434" w:right="1440" w:bottom="1440" w:gutter="0" w:footer="0" w:header="0"/>
        </w:sectPr>
      </w:pPr>
    </w:p>
    <w:bookmarkStart w:id="229" w:name="page230"/>
    <w:bookmarkEnd w:id="229"/>
    <w:p>
      <w:pPr>
        <w:ind w:left="100"/>
        <w:spacing w:after="0"/>
        <w:rPr>
          <w:sz w:val="20"/>
          <w:szCs w:val="20"/>
          <w:color w:val="auto"/>
        </w:rPr>
      </w:pPr>
      <w:r>
        <w:rPr>
          <w:rFonts w:ascii="Arial" w:cs="Arial" w:eastAsia="Arial" w:hAnsi="Arial"/>
          <w:sz w:val="32"/>
          <w:szCs w:val="32"/>
          <w:b w:val="1"/>
          <w:bCs w:val="1"/>
          <w:color w:val="auto"/>
        </w:rPr>
        <w:t xml:space="preserve">Medical Plan Exclusions </w:t>
      </w:r>
      <w:r>
        <w:rPr>
          <w:rFonts w:ascii="Arial" w:cs="Arial" w:eastAsia="Arial" w:hAnsi="Arial"/>
          <w:sz w:val="14"/>
          <w:szCs w:val="14"/>
          <w:i w:val="1"/>
          <w:iCs w:val="1"/>
          <w:color w:val="auto"/>
        </w:rPr>
        <w:t>(GR-9N-28-015-07)</w:t>
      </w:r>
    </w:p>
    <w:p>
      <w:pPr>
        <w:spacing w:after="0" w:line="299" w:lineRule="exact"/>
        <w:rPr>
          <w:sz w:val="20"/>
          <w:szCs w:val="20"/>
          <w:color w:val="auto"/>
        </w:rPr>
      </w:pPr>
    </w:p>
    <w:p>
      <w:pPr>
        <w:ind w:left="100" w:right="100"/>
        <w:spacing w:after="0" w:line="248" w:lineRule="auto"/>
        <w:rPr>
          <w:sz w:val="20"/>
          <w:szCs w:val="20"/>
          <w:color w:val="auto"/>
        </w:rPr>
      </w:pPr>
      <w:r>
        <w:rPr>
          <w:rFonts w:ascii="Arial" w:cs="Arial" w:eastAsia="Arial" w:hAnsi="Arial"/>
          <w:sz w:val="20"/>
          <w:szCs w:val="20"/>
          <w:color w:val="auto"/>
        </w:rPr>
        <w:t xml:space="preserve">Not every medical service or supply is covered by the plan, even if prescribed, recommended, or approved by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w:t>
      </w:r>
      <w:r>
        <w:rPr>
          <w:rFonts w:ascii="Arial" w:cs="Arial" w:eastAsia="Arial" w:hAnsi="Arial"/>
          <w:sz w:val="20"/>
          <w:szCs w:val="20"/>
          <w:b w:val="1"/>
          <w:bCs w:val="1"/>
          <w:color w:val="auto"/>
        </w:rPr>
        <w:t>dentist</w:t>
      </w:r>
      <w:r>
        <w:rPr>
          <w:rFonts w:ascii="Arial" w:cs="Arial" w:eastAsia="Arial" w:hAnsi="Arial"/>
          <w:sz w:val="20"/>
          <w:szCs w:val="20"/>
          <w:color w:val="auto"/>
        </w:rPr>
        <w:t xml:space="preserve">. The plan covers only those services and supplies that are </w:t>
      </w:r>
      <w:r>
        <w:rPr>
          <w:rFonts w:ascii="Arial" w:cs="Arial" w:eastAsia="Arial" w:hAnsi="Arial"/>
          <w:sz w:val="20"/>
          <w:szCs w:val="20"/>
          <w:b w:val="1"/>
          <w:bCs w:val="1"/>
          <w:color w:val="auto"/>
        </w:rPr>
        <w:t>medically necessary</w:t>
      </w:r>
      <w:r>
        <w:rPr>
          <w:rFonts w:ascii="Arial" w:cs="Arial" w:eastAsia="Arial" w:hAnsi="Arial"/>
          <w:sz w:val="20"/>
          <w:szCs w:val="20"/>
          <w:color w:val="auto"/>
        </w:rPr>
        <w:t xml:space="preserve"> and included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Charges made for the following are not covered except to the extent listed under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or by amendment attached to this Booklet-Certificate.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r>
        <w:rPr>
          <w:rFonts w:ascii="Arial" w:cs="Arial" w:eastAsia="Arial" w:hAnsi="Arial"/>
          <w:sz w:val="20"/>
          <w:szCs w:val="20"/>
          <w:color w:val="auto"/>
        </w:rPr>
        <w:t>:</w:t>
      </w:r>
    </w:p>
    <w:p>
      <w:pPr>
        <w:spacing w:after="0" w:line="22" w:lineRule="exact"/>
        <w:rPr>
          <w:sz w:val="20"/>
          <w:szCs w:val="20"/>
          <w:color w:val="auto"/>
        </w:rPr>
      </w:pPr>
    </w:p>
    <w:p>
      <w:pPr>
        <w:jc w:val="both"/>
        <w:ind w:right="400"/>
        <w:spacing w:after="0" w:line="241" w:lineRule="auto"/>
        <w:rPr>
          <w:sz w:val="20"/>
          <w:szCs w:val="20"/>
          <w:color w:val="auto"/>
        </w:rPr>
      </w:pPr>
      <w:r>
        <w:rPr>
          <w:rFonts w:ascii="Arial" w:cs="Arial" w:eastAsia="Arial" w:hAnsi="Arial"/>
          <w:sz w:val="20"/>
          <w:szCs w:val="20"/>
          <w:color w:val="auto"/>
        </w:rPr>
        <w:t xml:space="preserve">You have medical and prescription drug insurance coverage. The exclusions listed below apply to all coverage under your plan. Additional exclusions apply to specific prescription drug coverage. Those additional exclusions are listed separately under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for each of these benefits.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Acupuncture, acupressure and acupuncture therapy, except as provided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229" w:lineRule="exact"/>
        <w:rPr>
          <w:sz w:val="20"/>
          <w:szCs w:val="20"/>
          <w:color w:val="auto"/>
        </w:rPr>
      </w:pPr>
    </w:p>
    <w:p>
      <w:pPr>
        <w:ind w:left="100" w:right="200"/>
        <w:spacing w:after="0" w:line="260" w:lineRule="auto"/>
        <w:rPr>
          <w:sz w:val="20"/>
          <w:szCs w:val="20"/>
          <w:color w:val="auto"/>
        </w:rPr>
      </w:pPr>
      <w:r>
        <w:rPr>
          <w:rFonts w:ascii="Arial" w:cs="Arial" w:eastAsia="Arial" w:hAnsi="Arial"/>
          <w:sz w:val="20"/>
          <w:szCs w:val="20"/>
          <w:color w:val="auto"/>
        </w:rPr>
        <w:t>Allergy: Specific non-standard allergy services and supplies, including but not limited to, skin titration (Rinkel method), cytotoxicity testing (Bryan’s Test) treatment of non-specific candida sensitivity, and urine autoinjections.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Any charges in excess of the benefit, dollar, day, visit or supply limits stated in this Booklet-Certificate.</w:t>
      </w:r>
    </w:p>
    <w:p>
      <w:pPr>
        <w:spacing w:after="0" w:line="223" w:lineRule="exact"/>
        <w:rPr>
          <w:sz w:val="20"/>
          <w:szCs w:val="20"/>
          <w:color w:val="auto"/>
        </w:rPr>
      </w:pPr>
    </w:p>
    <w:p>
      <w:pPr>
        <w:ind w:left="100"/>
        <w:spacing w:after="0" w:line="267" w:lineRule="auto"/>
        <w:rPr>
          <w:sz w:val="20"/>
          <w:szCs w:val="20"/>
          <w:color w:val="auto"/>
        </w:rPr>
      </w:pPr>
      <w:r>
        <w:rPr>
          <w:rFonts w:ascii="Arial" w:cs="Arial" w:eastAsia="Arial" w:hAnsi="Arial"/>
          <w:sz w:val="20"/>
          <w:szCs w:val="20"/>
          <w:color w:val="auto"/>
        </w:rPr>
        <w:t xml:space="preserve">Any non-emergency charges incurred outside of the United States if you traveled to such location to obtain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or supplies, even if otherwise covered under this Booklet-Certificate. This also includes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or supplies if:</w:t>
      </w:r>
    </w:p>
    <w:p>
      <w:pPr>
        <w:spacing w:after="0" w:line="110" w:lineRule="exact"/>
        <w:rPr>
          <w:sz w:val="20"/>
          <w:szCs w:val="20"/>
          <w:color w:val="auto"/>
        </w:rPr>
      </w:pPr>
    </w:p>
    <w:p>
      <w:pPr>
        <w:ind w:left="440" w:hanging="330"/>
        <w:spacing w:after="0"/>
        <w:tabs>
          <w:tab w:leader="none" w:pos="44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 xml:space="preserve">such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or supplies are unavailable or illegal in the United States; or</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 xml:space="preserve">the purchase of such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or supplies outside the United States is considered illegal.</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Applied Behavioral Analysis, the LEAP, TEACCH, Denver and Rutgers programs. Behavioral Health Services:</w:t>
      </w:r>
    </w:p>
    <w:p>
      <w:pPr>
        <w:spacing w:after="0" w:line="115" w:lineRule="exact"/>
        <w:rPr>
          <w:sz w:val="20"/>
          <w:szCs w:val="20"/>
          <w:color w:val="auto"/>
        </w:rPr>
      </w:pPr>
    </w:p>
    <w:p>
      <w:pPr>
        <w:ind w:left="440" w:right="20" w:hanging="330"/>
        <w:spacing w:after="0" w:line="278" w:lineRule="auto"/>
        <w:tabs>
          <w:tab w:leader="none" w:pos="4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Alcoholism or </w:t>
      </w:r>
      <w:r>
        <w:rPr>
          <w:rFonts w:ascii="Arial" w:cs="Arial" w:eastAsia="Arial" w:hAnsi="Arial"/>
          <w:sz w:val="18"/>
          <w:szCs w:val="18"/>
          <w:b w:val="1"/>
          <w:bCs w:val="1"/>
          <w:color w:val="auto"/>
        </w:rPr>
        <w:t>substance abuse</w:t>
      </w:r>
      <w:r>
        <w:rPr>
          <w:rFonts w:ascii="Arial" w:cs="Arial" w:eastAsia="Arial" w:hAnsi="Arial"/>
          <w:sz w:val="18"/>
          <w:szCs w:val="18"/>
          <w:color w:val="auto"/>
        </w:rPr>
        <w:t xml:space="preserve"> rehabilitation treatment on an inpatient or outpatient basis, except to the extent coverage for </w:t>
      </w:r>
      <w:r>
        <w:rPr>
          <w:rFonts w:ascii="Arial" w:cs="Arial" w:eastAsia="Arial" w:hAnsi="Arial"/>
          <w:sz w:val="18"/>
          <w:szCs w:val="18"/>
          <w:b w:val="1"/>
          <w:bCs w:val="1"/>
          <w:color w:val="auto"/>
        </w:rPr>
        <w:t xml:space="preserve">detoxification </w:t>
      </w:r>
      <w:r>
        <w:rPr>
          <w:rFonts w:ascii="Arial" w:cs="Arial" w:eastAsia="Arial" w:hAnsi="Arial"/>
          <w:sz w:val="18"/>
          <w:szCs w:val="18"/>
          <w:color w:val="auto"/>
        </w:rPr>
        <w:t>or treatment of alcoholism or</w:t>
      </w:r>
      <w:r>
        <w:rPr>
          <w:rFonts w:ascii="Arial" w:cs="Arial" w:eastAsia="Arial" w:hAnsi="Arial"/>
          <w:sz w:val="18"/>
          <w:szCs w:val="18"/>
          <w:b w:val="1"/>
          <w:bCs w:val="1"/>
          <w:color w:val="auto"/>
        </w:rPr>
        <w:t xml:space="preserve"> substance abuse </w:t>
      </w:r>
      <w:r>
        <w:rPr>
          <w:rFonts w:ascii="Arial" w:cs="Arial" w:eastAsia="Arial" w:hAnsi="Arial"/>
          <w:sz w:val="18"/>
          <w:szCs w:val="18"/>
          <w:color w:val="auto"/>
        </w:rPr>
        <w:t>is specifically provided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What the Medical Plan Covers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p>
    <w:p>
      <w:pPr>
        <w:spacing w:after="0" w:line="1" w:lineRule="exact"/>
        <w:rPr>
          <w:rFonts w:ascii="Arial" w:cs="Arial" w:eastAsia="Arial" w:hAnsi="Arial"/>
          <w:sz w:val="18"/>
          <w:szCs w:val="18"/>
          <w:color w:val="auto"/>
        </w:rPr>
      </w:pPr>
    </w:p>
    <w:p>
      <w:pPr>
        <w:ind w:left="440" w:right="240" w:hanging="330"/>
        <w:spacing w:after="0" w:line="239" w:lineRule="auto"/>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Treatment of a covered health care provider who specializes in the mental health care field and who receives treatment as a part of their training in that field.</w:t>
      </w:r>
    </w:p>
    <w:p>
      <w:pPr>
        <w:spacing w:after="0" w:line="1" w:lineRule="exact"/>
        <w:rPr>
          <w:rFonts w:ascii="Arial" w:cs="Arial" w:eastAsia="Arial" w:hAnsi="Arial"/>
          <w:sz w:val="20"/>
          <w:szCs w:val="20"/>
          <w:color w:val="auto"/>
        </w:rPr>
      </w:pPr>
    </w:p>
    <w:p>
      <w:pPr>
        <w:ind w:left="440" w:hanging="330"/>
        <w:spacing w:after="0"/>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Treatment of impulse control disorders such as pathological gambling, kleptomania, pedophilia, caffeine or nicotine use.</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Treatment of antisocial personality disorder.</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Treatment in wilderness programs or other similar programs.</w:t>
      </w:r>
    </w:p>
    <w:p>
      <w:pPr>
        <w:spacing w:after="0" w:line="8" w:lineRule="exact"/>
        <w:rPr>
          <w:rFonts w:ascii="Arial" w:cs="Arial" w:eastAsia="Arial" w:hAnsi="Arial"/>
          <w:sz w:val="20"/>
          <w:szCs w:val="20"/>
          <w:color w:val="auto"/>
        </w:rPr>
      </w:pPr>
    </w:p>
    <w:p>
      <w:pPr>
        <w:ind w:left="440" w:right="40" w:hanging="330"/>
        <w:spacing w:after="0" w:line="298" w:lineRule="auto"/>
        <w:tabs>
          <w:tab w:leader="none" w:pos="4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Treatment of mental retardation, defects, and deficiencies. This exclusion does not apply to mental health services or to medical treatment of mentally retarded in accordance with the benefits provided in the </w:t>
      </w:r>
      <w:r>
        <w:rPr>
          <w:rFonts w:ascii="Arial" w:cs="Arial" w:eastAsia="Arial" w:hAnsi="Arial"/>
          <w:sz w:val="18"/>
          <w:szCs w:val="18"/>
          <w:i w:val="1"/>
          <w:iCs w:val="1"/>
          <w:color w:val="auto"/>
        </w:rPr>
        <w:t>What the Plan Covers</w:t>
      </w:r>
      <w:r>
        <w:rPr>
          <w:rFonts w:ascii="Arial" w:cs="Arial" w:eastAsia="Arial" w:hAnsi="Arial"/>
          <w:sz w:val="18"/>
          <w:szCs w:val="18"/>
          <w:color w:val="auto"/>
        </w:rPr>
        <w:t xml:space="preserve"> section of this Booklet-Certificate.</w:t>
      </w:r>
    </w:p>
    <w:p>
      <w:pPr>
        <w:spacing w:after="0" w:line="159" w:lineRule="exact"/>
        <w:rPr>
          <w:sz w:val="20"/>
          <w:szCs w:val="20"/>
          <w:color w:val="auto"/>
        </w:rPr>
      </w:pPr>
    </w:p>
    <w:p>
      <w:pPr>
        <w:jc w:val="both"/>
        <w:ind w:left="100" w:right="200"/>
        <w:spacing w:after="0" w:line="291" w:lineRule="auto"/>
        <w:rPr>
          <w:sz w:val="20"/>
          <w:szCs w:val="20"/>
          <w:color w:val="auto"/>
        </w:rPr>
      </w:pPr>
      <w:r>
        <w:rPr>
          <w:rFonts w:ascii="Arial" w:cs="Arial" w:eastAsia="Arial" w:hAnsi="Arial"/>
          <w:sz w:val="18"/>
          <w:szCs w:val="18"/>
          <w:color w:val="auto"/>
        </w:rPr>
        <w:t>Blood, blood plasma, synthetic blood, blood derivatives or substitutes, including but not limited to, the provision of blood, other than blood derived clotting factors. Any related services including processing, storage or replacement costs, and the services of blood donors, apheresis or plasmapheresis are not covered. For autologous blood donations, only administration and processing costs are covered.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Charges for a service or supply furnished by a </w:t>
      </w:r>
      <w:r>
        <w:rPr>
          <w:rFonts w:ascii="Arial" w:cs="Arial" w:eastAsia="Arial" w:hAnsi="Arial"/>
          <w:sz w:val="20"/>
          <w:szCs w:val="20"/>
          <w:b w:val="1"/>
          <w:bCs w:val="1"/>
          <w:color w:val="auto"/>
        </w:rPr>
        <w:t>provider</w:t>
      </w:r>
      <w:r>
        <w:rPr>
          <w:rFonts w:ascii="Arial" w:cs="Arial" w:eastAsia="Arial" w:hAnsi="Arial"/>
          <w:sz w:val="20"/>
          <w:szCs w:val="20"/>
          <w:color w:val="auto"/>
        </w:rPr>
        <w:t xml:space="preserve"> in excess of the </w:t>
      </w:r>
      <w:r>
        <w:rPr>
          <w:rFonts w:ascii="Arial" w:cs="Arial" w:eastAsia="Arial" w:hAnsi="Arial"/>
          <w:sz w:val="20"/>
          <w:szCs w:val="20"/>
          <w:b w:val="1"/>
          <w:bCs w:val="1"/>
          <w:color w:val="auto"/>
        </w:rPr>
        <w:t>recognized charge</w:t>
      </w:r>
      <w:r>
        <w:rPr>
          <w:rFonts w:ascii="Arial" w:cs="Arial" w:eastAsia="Arial" w:hAnsi="Arial"/>
          <w:sz w:val="20"/>
          <w:szCs w:val="20"/>
          <w:color w:val="auto"/>
        </w:rPr>
        <w:t>.</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Charges submitted for services that are not rendered, or rendered to a person not eligible for coverage under the plan.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Charges submitted for services by an unlicensed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or other provider or not within the scope of the provider’s license.</w:t>
      </w:r>
    </w:p>
    <w:p>
      <w:pPr>
        <w:sectPr>
          <w:pgSz w:w="11900" w:h="16838" w:orient="portrait"/>
          <w:cols w:equalWidth="0" w:num="1">
            <w:col w:w="11400"/>
          </w:cols>
          <w:pgMar w:left="260" w:top="423" w:right="2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 xml:space="preserve">Contraception, except as specifically described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216" w:lineRule="exact"/>
        <w:rPr>
          <w:sz w:val="20"/>
          <w:szCs w:val="20"/>
          <w:color w:val="auto"/>
        </w:rPr>
      </w:pPr>
    </w:p>
    <w:p>
      <w:pPr>
        <w:ind w:left="340" w:hanging="331"/>
        <w:spacing w:after="0"/>
        <w:tabs>
          <w:tab w:leader="none" w:pos="34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Over the counter contraceptive supplies including but not limited to condoms, contraceptive foams, jellies and ointments.</w:t>
      </w:r>
    </w:p>
    <w:p>
      <w:pPr>
        <w:spacing w:after="0" w:line="21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Cosmetic services and plastic surgery: any treatment, surgery (cosmetic or plastic), service or supply to alter, improve or enhance the shape or appearance of the body whether or not for psychological or emotional reasons including:</w:t>
      </w:r>
    </w:p>
    <w:p>
      <w:pPr>
        <w:spacing w:after="0" w:line="177" w:lineRule="exact"/>
        <w:rPr>
          <w:sz w:val="20"/>
          <w:szCs w:val="20"/>
          <w:color w:val="auto"/>
        </w:rPr>
      </w:pPr>
    </w:p>
    <w:p>
      <w:pPr>
        <w:ind w:left="340" w:right="700" w:hanging="331"/>
        <w:spacing w:after="0" w:line="247" w:lineRule="auto"/>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Face lifts, body lifts, tummy tucks, liposuctions, removal of excess skin, removal or reduction of non-malignant moles, blemishes, varicose veins, cosmetic eyelid surgery and other surgical procedures;</w:t>
      </w:r>
    </w:p>
    <w:p>
      <w:pPr>
        <w:spacing w:after="0" w:line="1" w:lineRule="exact"/>
        <w:rPr>
          <w:rFonts w:ascii="Arial" w:cs="Arial" w:eastAsia="Arial" w:hAnsi="Arial"/>
          <w:sz w:val="20"/>
          <w:szCs w:val="20"/>
          <w:color w:val="auto"/>
        </w:rPr>
      </w:pPr>
    </w:p>
    <w:p>
      <w:pPr>
        <w:ind w:left="340" w:right="880" w:hanging="331"/>
        <w:spacing w:after="0" w:line="242" w:lineRule="auto"/>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Chemical peels, dermabrasion, laser or light treatments, bleaching, creams, ointments or other treatments or supplies to alter the appearance or texture of the skin;</w:t>
      </w:r>
    </w:p>
    <w:p>
      <w:pPr>
        <w:ind w:left="340" w:hanging="331"/>
        <w:spacing w:after="0"/>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Insertion or removal of any implant that alters the appearance of the body (such as breast or chin implants);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Removal of tattoos;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Repair of piercings and other voluntary body modifications, including removal of injected or implanted substances or devices;</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Surgery to correct Gynecomastia;</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Breast augmentation;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Otoplasty.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Counseling: Services and treatment for marriage, religious, family, career, social adjustment, pastoral, or financial counselor.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Court ordered services, including those required as a condition of parole or release.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Custodial Care</w:t>
      </w:r>
    </w:p>
    <w:p>
      <w:pPr>
        <w:spacing w:after="0" w:line="222"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Dental Services: any treatment, services or supplies related to the care, filling, removal or replacement of teeth and the treatment of injuries and diseases of the teeth, gums, and other structures supporting the teeth. This includes but is not limited to:</w:t>
      </w:r>
    </w:p>
    <w:p>
      <w:pPr>
        <w:spacing w:after="0" w:line="147" w:lineRule="exact"/>
        <w:rPr>
          <w:sz w:val="20"/>
          <w:szCs w:val="20"/>
          <w:color w:val="auto"/>
        </w:rPr>
      </w:pPr>
    </w:p>
    <w:p>
      <w:pPr>
        <w:ind w:left="340" w:right="20" w:hanging="331"/>
        <w:spacing w:after="0" w:line="247" w:lineRule="auto"/>
        <w:tabs>
          <w:tab w:leader="none" w:pos="3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services of </w:t>
      </w:r>
      <w:r>
        <w:rPr>
          <w:rFonts w:ascii="Arial" w:cs="Arial" w:eastAsia="Arial" w:hAnsi="Arial"/>
          <w:sz w:val="20"/>
          <w:szCs w:val="20"/>
          <w:b w:val="1"/>
          <w:bCs w:val="1"/>
          <w:color w:val="auto"/>
        </w:rPr>
        <w:t>dentists</w:t>
      </w:r>
      <w:r>
        <w:rPr>
          <w:rFonts w:ascii="Arial" w:cs="Arial" w:eastAsia="Arial" w:hAnsi="Arial"/>
          <w:sz w:val="20"/>
          <w:szCs w:val="20"/>
          <w:color w:val="auto"/>
        </w:rPr>
        <w:t>, oral surgeons, dental hygienists, and orthodontists including apicoectomy (dental root resection), root canal treatment, soft tissue impactions, removal of bony impacted teeth, treatment of periodontal disease, alveolectomy, augmentation and vestibuloplasty and fluoride and other substances to protect, clean or alter the appearance of teeth;</w:t>
      </w:r>
    </w:p>
    <w:p>
      <w:pPr>
        <w:ind w:left="340" w:right="180" w:hanging="331"/>
        <w:spacing w:after="0" w:line="239" w:lineRule="auto"/>
        <w:tabs>
          <w:tab w:leader="none" w:pos="3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dental implants, false teeth, prosthetic restoration of dental implants, plates, dentures, braces, mouth guards, and other devices to protect, replace or reposition teeth; and</w:t>
      </w:r>
    </w:p>
    <w:p>
      <w:pPr>
        <w:spacing w:after="0" w:line="1" w:lineRule="exact"/>
        <w:rPr>
          <w:rFonts w:ascii="Arial" w:cs="Arial" w:eastAsia="Arial" w:hAnsi="Arial"/>
          <w:sz w:val="20"/>
          <w:szCs w:val="20"/>
          <w:color w:val="auto"/>
        </w:rPr>
      </w:pPr>
    </w:p>
    <w:p>
      <w:pPr>
        <w:ind w:left="340" w:right="20" w:hanging="331"/>
        <w:spacing w:after="0" w:line="244" w:lineRule="auto"/>
        <w:tabs>
          <w:tab w:leader="none" w:pos="3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non-surgical treatments to alter bite or the alignment or operation of the jaw, including treatment of malocclusion or devices to alter bite or alignment.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Disposable outpatient supplies: Any outpatient disposable supply or device, including sheaths, bags, elastic garments, support hose, bandages, bedpans, syringes, blood or urine testing supplies, and other home test kits; and splints, neck braces, compresses, and other devices not intended for reuse by another patient.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Drugs, medications and supplies:</w:t>
      </w:r>
    </w:p>
    <w:p>
      <w:pPr>
        <w:spacing w:after="0" w:line="243" w:lineRule="exact"/>
        <w:rPr>
          <w:sz w:val="20"/>
          <w:szCs w:val="20"/>
          <w:color w:val="auto"/>
        </w:rPr>
      </w:pPr>
    </w:p>
    <w:p>
      <w:pPr>
        <w:ind w:left="340" w:right="2740" w:hanging="331"/>
        <w:spacing w:after="0" w:line="257" w:lineRule="auto"/>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 xml:space="preserve">Over-the-counter drugs, biological or chemical preparations and supplies that may be obtained without a </w:t>
      </w:r>
      <w:r>
        <w:rPr>
          <w:rFonts w:ascii="Arial" w:cs="Arial" w:eastAsia="Arial" w:hAnsi="Arial"/>
          <w:sz w:val="20"/>
          <w:szCs w:val="20"/>
          <w:b w:val="1"/>
          <w:bCs w:val="1"/>
          <w:color w:val="auto"/>
        </w:rPr>
        <w:t xml:space="preserve">prescription </w:t>
      </w:r>
      <w:r>
        <w:rPr>
          <w:rFonts w:ascii="Arial" w:cs="Arial" w:eastAsia="Arial" w:hAnsi="Arial"/>
          <w:sz w:val="20"/>
          <w:szCs w:val="20"/>
          <w:color w:val="auto"/>
        </w:rPr>
        <w:t>including vitamins;</w:t>
      </w:r>
    </w:p>
    <w:p>
      <w:pPr>
        <w:ind w:left="340" w:hanging="331"/>
        <w:spacing w:after="0"/>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Any services related to the dispensing, injection or application of a drug;</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prescription drug purchased illegally outside the United States, even if otherwise covered under this plan within the United States;</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Immunizations related to work;</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Needles, syringes and other injectable aids, except as covered for diabetic supplies;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Drugs related to the treatment of non-</w:t>
      </w:r>
      <w:r>
        <w:rPr>
          <w:rFonts w:ascii="Arial" w:cs="Arial" w:eastAsia="Arial" w:hAnsi="Arial"/>
          <w:sz w:val="20"/>
          <w:szCs w:val="20"/>
          <w:b w:val="1"/>
          <w:bCs w:val="1"/>
          <w:color w:val="auto"/>
        </w:rPr>
        <w:t>covered expenses</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Performance enhancing steroids;</w:t>
      </w:r>
    </w:p>
    <w:p>
      <w:pPr>
        <w:sectPr>
          <w:pgSz w:w="11900" w:h="16838" w:orient="portrait"/>
          <w:cols w:equalWidth="0" w:num="1">
            <w:col w:w="11340"/>
          </w:cols>
          <w:pgMar w:left="320" w:top="433" w:right="239" w:bottom="1440" w:gutter="0" w:footer="0" w:header="0"/>
        </w:sectPr>
      </w:pPr>
    </w:p>
    <w:bookmarkStart w:id="231" w:name="page232"/>
    <w:bookmarkEnd w:id="231"/>
    <w:p>
      <w:pPr>
        <w:ind w:left="340" w:hanging="331"/>
        <w:spacing w:after="0"/>
        <w:tabs>
          <w:tab w:leader="none" w:pos="3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Injectable drugs if an alternative oral drug is available;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Outpatient </w:t>
      </w:r>
      <w:r>
        <w:rPr>
          <w:rFonts w:ascii="Arial" w:cs="Arial" w:eastAsia="Arial" w:hAnsi="Arial"/>
          <w:sz w:val="20"/>
          <w:szCs w:val="20"/>
          <w:b w:val="1"/>
          <w:bCs w:val="1"/>
          <w:color w:val="auto"/>
        </w:rPr>
        <w:t>prescription drug</w:t>
      </w:r>
      <w:r>
        <w:rPr>
          <w:rFonts w:ascii="Arial" w:cs="Arial" w:eastAsia="Arial" w:hAnsi="Arial"/>
          <w:sz w:val="20"/>
          <w:szCs w:val="20"/>
          <w:color w:val="auto"/>
        </w:rPr>
        <w: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Self-injectable </w:t>
      </w:r>
      <w:r>
        <w:rPr>
          <w:rFonts w:ascii="Arial" w:cs="Arial" w:eastAsia="Arial" w:hAnsi="Arial"/>
          <w:sz w:val="20"/>
          <w:szCs w:val="20"/>
          <w:b w:val="1"/>
          <w:bCs w:val="1"/>
          <w:color w:val="auto"/>
        </w:rPr>
        <w:t>prescription drug</w:t>
      </w:r>
      <w:r>
        <w:rPr>
          <w:rFonts w:ascii="Arial" w:cs="Arial" w:eastAsia="Arial" w:hAnsi="Arial"/>
          <w:sz w:val="20"/>
          <w:szCs w:val="20"/>
          <w:color w:val="auto"/>
        </w:rPr>
        <w:t>s and medications;</w:t>
      </w:r>
    </w:p>
    <w:p>
      <w:pPr>
        <w:spacing w:after="0" w:line="8" w:lineRule="exact"/>
        <w:rPr>
          <w:rFonts w:ascii="Arial" w:cs="Arial" w:eastAsia="Arial" w:hAnsi="Arial"/>
          <w:sz w:val="20"/>
          <w:szCs w:val="20"/>
          <w:color w:val="auto"/>
        </w:rPr>
      </w:pPr>
    </w:p>
    <w:p>
      <w:pPr>
        <w:ind w:left="340" w:right="340" w:hanging="331"/>
        <w:spacing w:after="0" w:line="239" w:lineRule="auto"/>
        <w:tabs>
          <w:tab w:leader="none" w:pos="3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Any </w:t>
      </w:r>
      <w:r>
        <w:rPr>
          <w:rFonts w:ascii="Arial" w:cs="Arial" w:eastAsia="Arial" w:hAnsi="Arial"/>
          <w:sz w:val="20"/>
          <w:szCs w:val="20"/>
          <w:b w:val="1"/>
          <w:bCs w:val="1"/>
          <w:color w:val="auto"/>
        </w:rPr>
        <w:t>prescription drug</w:t>
      </w:r>
      <w:r>
        <w:rPr>
          <w:rFonts w:ascii="Arial" w:cs="Arial" w:eastAsia="Arial" w:hAnsi="Arial"/>
          <w:sz w:val="20"/>
          <w:szCs w:val="20"/>
          <w:color w:val="auto"/>
        </w:rPr>
        <w:t>s, injectables, or medications or supplies provided by the policyholder or through a third party vendor contract with the policyholder; and</w:t>
      </w:r>
    </w:p>
    <w:p>
      <w:pPr>
        <w:spacing w:after="0" w:line="1" w:lineRule="exact"/>
        <w:rPr>
          <w:rFonts w:ascii="Arial" w:cs="Arial" w:eastAsia="Arial" w:hAnsi="Arial"/>
          <w:sz w:val="20"/>
          <w:szCs w:val="20"/>
          <w:color w:val="auto"/>
        </w:rPr>
      </w:pPr>
    </w:p>
    <w:p>
      <w:pPr>
        <w:ind w:left="340" w:right="60" w:hanging="331"/>
        <w:spacing w:after="0" w:line="266" w:lineRule="auto"/>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expenses for prescription drugs, and supplies covered under an Aetna Pharmacy plan will not be covered under this medical expense plan. Prescription drug exclusions that apply to the Aetna Pharmacy plan will apply to the medical expense coverage; and</w:t>
      </w:r>
    </w:p>
    <w:p>
      <w:pPr>
        <w:ind w:left="340" w:hanging="331"/>
        <w:spacing w:after="0"/>
        <w:tabs>
          <w:tab w:leader="none" w:pos="3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Charges for any prescription drug for the treatment of erectile dysfunction, impotence, or sexual dysfunction or inadequacy.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Educational services:</w:t>
      </w:r>
    </w:p>
    <w:p>
      <w:pPr>
        <w:spacing w:after="0" w:line="216" w:lineRule="exact"/>
        <w:rPr>
          <w:sz w:val="20"/>
          <w:szCs w:val="20"/>
          <w:color w:val="auto"/>
        </w:rPr>
      </w:pPr>
    </w:p>
    <w:p>
      <w:pPr>
        <w:ind w:left="340" w:right="200" w:hanging="331"/>
        <w:spacing w:after="0" w:line="247" w:lineRule="auto"/>
        <w:tabs>
          <w:tab w:leader="none" w:pos="3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Any services or supplies related to education, training or retraining services or testing, including: special education, remedial education, job training and job hardening programs;</w:t>
      </w:r>
    </w:p>
    <w:p>
      <w:pPr>
        <w:spacing w:after="0" w:line="1" w:lineRule="exact"/>
        <w:rPr>
          <w:rFonts w:ascii="Arial" w:cs="Arial" w:eastAsia="Arial" w:hAnsi="Arial"/>
          <w:sz w:val="20"/>
          <w:szCs w:val="20"/>
          <w:color w:val="auto"/>
        </w:rPr>
      </w:pPr>
    </w:p>
    <w:p>
      <w:pPr>
        <w:ind w:left="340" w:right="480" w:hanging="331"/>
        <w:spacing w:after="0" w:line="239" w:lineRule="auto"/>
        <w:tabs>
          <w:tab w:leader="none" w:pos="3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Evaluation or treatment of learning disabilities, minimal brain dysfunction, developmental, learning and communication disorders, behavioral disorders, (including pervasive developmental disorders) training or cognitive rehabilitation, regardless of the underlying cause; and</w:t>
      </w:r>
    </w:p>
    <w:p>
      <w:pPr>
        <w:spacing w:after="0" w:line="1" w:lineRule="exact"/>
        <w:rPr>
          <w:rFonts w:ascii="Arial" w:cs="Arial" w:eastAsia="Arial" w:hAnsi="Arial"/>
          <w:sz w:val="20"/>
          <w:szCs w:val="20"/>
          <w:color w:val="auto"/>
        </w:rPr>
      </w:pPr>
    </w:p>
    <w:p>
      <w:pPr>
        <w:ind w:left="340" w:right="480" w:hanging="331"/>
        <w:spacing w:after="0" w:line="244" w:lineRule="auto"/>
        <w:tabs>
          <w:tab w:leader="none" w:pos="3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Services, treatment, and educational testing and training related to behavioral (conduct) problems, learning disabilities and delays in developing skills.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Examinations:</w:t>
      </w:r>
    </w:p>
    <w:p>
      <w:pPr>
        <w:spacing w:after="0" w:line="216" w:lineRule="exact"/>
        <w:rPr>
          <w:sz w:val="20"/>
          <w:szCs w:val="20"/>
          <w:color w:val="auto"/>
        </w:rPr>
      </w:pPr>
    </w:p>
    <w:p>
      <w:pPr>
        <w:ind w:left="340" w:hanging="331"/>
        <w:spacing w:after="0"/>
        <w:tabs>
          <w:tab w:leader="none" w:pos="34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Any health examinations required:</w:t>
      </w:r>
    </w:p>
    <w:p>
      <w:pPr>
        <w:spacing w:after="0" w:line="15" w:lineRule="exact"/>
        <w:rPr>
          <w:rFonts w:ascii="Arial" w:cs="Arial" w:eastAsia="Arial" w:hAnsi="Arial"/>
          <w:sz w:val="20"/>
          <w:szCs w:val="20"/>
          <w:color w:val="auto"/>
        </w:rPr>
      </w:pPr>
    </w:p>
    <w:p>
      <w:pPr>
        <w:ind w:left="660" w:right="80" w:hanging="327"/>
        <w:spacing w:after="0" w:line="244" w:lineRule="auto"/>
        <w:tabs>
          <w:tab w:leader="none" w:pos="6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by a third party, including examinations and treatments required to obtain or maintain employment, or which an employer is required to provide under a labor agreement;</w:t>
      </w:r>
    </w:p>
    <w:p>
      <w:pPr>
        <w:spacing w:after="0" w:line="2" w:lineRule="exact"/>
        <w:rPr>
          <w:rFonts w:ascii="Arial" w:cs="Arial" w:eastAsia="Arial" w:hAnsi="Arial"/>
          <w:sz w:val="20"/>
          <w:szCs w:val="20"/>
          <w:color w:val="auto"/>
        </w:rPr>
      </w:pPr>
    </w:p>
    <w:p>
      <w:pPr>
        <w:ind w:left="660" w:hanging="327"/>
        <w:spacing w:after="0"/>
        <w:tabs>
          <w:tab w:leader="none" w:pos="6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by any law of a government;</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for securing insurance, school admissions or professional or other licenses;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to travel;</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to attend a school, camp, or sporting event or participate in a sport or other recreational activity; and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Any special medical reports not directly related to treatment except when provided as part of a covered service.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Routine physical exams, routine eye exams, routine dental exams, routine hearing exams and other preventive services and supplies, except as specifically provided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Experimental or investigational </w:t>
      </w:r>
      <w:r>
        <w:rPr>
          <w:rFonts w:ascii="Arial" w:cs="Arial" w:eastAsia="Arial" w:hAnsi="Arial"/>
          <w:sz w:val="19"/>
          <w:szCs w:val="19"/>
          <w:color w:val="auto"/>
        </w:rPr>
        <w:t>drugs, devices, treatments or procedures, except as described in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What the Plan Covers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Facility charges for care services or supplies provided in:</w:t>
      </w:r>
    </w:p>
    <w:p>
      <w:pPr>
        <w:spacing w:after="0" w:line="229" w:lineRule="exact"/>
        <w:rPr>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rest homes;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assisted living facilities;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similar institutions serving as an individual's primary residence or providing primarily custodial or rest care;</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health resorts;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spas, sanitariums; or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infirmaries at schools, colleges, or camps.</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 xml:space="preserve">Food and nutritional items: Any food item, including but not limited to infant formulas, nutritional supplements, vitamins, including but not limited to </w:t>
      </w:r>
      <w:r>
        <w:rPr>
          <w:rFonts w:ascii="Arial" w:cs="Arial" w:eastAsia="Arial" w:hAnsi="Arial"/>
          <w:sz w:val="19"/>
          <w:szCs w:val="19"/>
          <w:b w:val="1"/>
          <w:bCs w:val="1"/>
          <w:color w:val="auto"/>
        </w:rPr>
        <w:t>prescription</w:t>
      </w:r>
      <w:r>
        <w:rPr>
          <w:rFonts w:ascii="Arial" w:cs="Arial" w:eastAsia="Arial" w:hAnsi="Arial"/>
          <w:sz w:val="19"/>
          <w:szCs w:val="19"/>
          <w:color w:val="auto"/>
        </w:rPr>
        <w:t xml:space="preserve"> vitamins, medical foods and other nutritional items, even if it is the sole source of nutrition.</w:t>
      </w:r>
    </w:p>
    <w:p>
      <w:pPr>
        <w:sectPr>
          <w:pgSz w:w="11900" w:h="16838" w:orient="portrait"/>
          <w:cols w:equalWidth="0" w:num="1">
            <w:col w:w="11280"/>
          </w:cols>
          <w:pgMar w:left="320" w:top="433" w:right="299" w:bottom="1440" w:gutter="0" w:footer="0" w:header="0"/>
        </w:sectPr>
      </w:pPr>
    </w:p>
    <w:bookmarkStart w:id="232" w:name="page233"/>
    <w:bookmarkEnd w:id="232"/>
    <w:p>
      <w:pPr>
        <w:ind w:right="340"/>
        <w:spacing w:after="0" w:line="260" w:lineRule="auto"/>
        <w:rPr>
          <w:sz w:val="20"/>
          <w:szCs w:val="20"/>
          <w:color w:val="auto"/>
        </w:rPr>
      </w:pPr>
      <w:r>
        <w:rPr>
          <w:rFonts w:ascii="Arial" w:cs="Arial" w:eastAsia="Arial" w:hAnsi="Arial"/>
          <w:sz w:val="20"/>
          <w:szCs w:val="20"/>
          <w:color w:val="auto"/>
        </w:rPr>
        <w:t>Foot care: Except as specifically covered for diabetics, any services, supplies, or devices to improve comfort or appearance of toes, feet or ankles, including but not limited to:</w:t>
      </w:r>
    </w:p>
    <w:p>
      <w:pPr>
        <w:spacing w:after="0" w:line="177" w:lineRule="exact"/>
        <w:rPr>
          <w:sz w:val="20"/>
          <w:szCs w:val="20"/>
          <w:color w:val="auto"/>
        </w:rPr>
      </w:pPr>
    </w:p>
    <w:p>
      <w:pPr>
        <w:ind w:left="340" w:right="260" w:hanging="331"/>
        <w:spacing w:after="0" w:line="247" w:lineRule="auto"/>
        <w:tabs>
          <w:tab w:leader="none" w:pos="34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Treatment of calluses, bunions, toenails, hammer-toes, subluxations, fallen arches, weak feet, chronic foot pain or conditions caused by routine activities such as walking, running, working or wearing shoes; and</w:t>
      </w:r>
    </w:p>
    <w:p>
      <w:pPr>
        <w:spacing w:after="0" w:line="1" w:lineRule="exact"/>
        <w:rPr>
          <w:rFonts w:ascii="Arial" w:cs="Arial" w:eastAsia="Arial" w:hAnsi="Arial"/>
          <w:sz w:val="20"/>
          <w:szCs w:val="20"/>
          <w:color w:val="auto"/>
        </w:rPr>
      </w:pPr>
    </w:p>
    <w:p>
      <w:pPr>
        <w:ind w:left="340" w:right="100" w:hanging="331"/>
        <w:spacing w:after="0" w:line="298" w:lineRule="auto"/>
        <w:tabs>
          <w:tab w:leader="none" w:pos="3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Shoes (including but not limited to orthopedic shoes), foot orthotics, arch supports, shoe inserts, ankle braces, guards, protectors, creams, ointments and other equipment, devices and supplies, even if required following a covered treatment of an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or </w:t>
      </w:r>
      <w:r>
        <w:rPr>
          <w:rFonts w:ascii="Arial" w:cs="Arial" w:eastAsia="Arial" w:hAnsi="Arial"/>
          <w:sz w:val="18"/>
          <w:szCs w:val="18"/>
          <w:b w:val="1"/>
          <w:bCs w:val="1"/>
          <w:color w:val="auto"/>
        </w:rPr>
        <w:t>injury</w:t>
      </w:r>
      <w:r>
        <w:rPr>
          <w:rFonts w:ascii="Arial" w:cs="Arial" w:eastAsia="Arial" w:hAnsi="Arial"/>
          <w:sz w:val="18"/>
          <w:szCs w:val="18"/>
          <w:color w:val="auto"/>
        </w:rPr>
        <w:t>.</w:t>
      </w:r>
    </w:p>
    <w:p>
      <w:pPr>
        <w:spacing w:after="0" w:line="159"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Growth/Height: Any treatment, device, drug, service or supply (including surgical procedures, devices to stimulate growth and growth hormones), solely to increase or decrease height or alter the rate of growth.</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Hearing:</w:t>
      </w:r>
    </w:p>
    <w:p>
      <w:pPr>
        <w:spacing w:after="0" w:line="243" w:lineRule="exact"/>
        <w:rPr>
          <w:sz w:val="20"/>
          <w:szCs w:val="20"/>
          <w:color w:val="auto"/>
        </w:rPr>
      </w:pPr>
    </w:p>
    <w:p>
      <w:pPr>
        <w:ind w:left="340" w:hanging="331"/>
        <w:spacing w:after="0"/>
        <w:tabs>
          <w:tab w:leader="none" w:pos="34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Any hearing service or supply that does not meet professionally accepted standards;</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Hearing exams given during a </w:t>
      </w:r>
      <w:r>
        <w:rPr>
          <w:rFonts w:ascii="Arial" w:cs="Arial" w:eastAsia="Arial" w:hAnsi="Arial"/>
          <w:sz w:val="18"/>
          <w:szCs w:val="18"/>
          <w:b w:val="1"/>
          <w:bCs w:val="1"/>
          <w:color w:val="auto"/>
        </w:rPr>
        <w:t>stay</w:t>
      </w:r>
      <w:r>
        <w:rPr>
          <w:rFonts w:ascii="Arial" w:cs="Arial" w:eastAsia="Arial" w:hAnsi="Arial"/>
          <w:sz w:val="18"/>
          <w:szCs w:val="18"/>
          <w:color w:val="auto"/>
        </w:rPr>
        <w:t xml:space="preserve"> in a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or other facility; except as specifically provided in the </w:t>
      </w:r>
      <w:r>
        <w:rPr>
          <w:rFonts w:ascii="Arial" w:cs="Arial" w:eastAsia="Arial" w:hAnsi="Arial"/>
          <w:sz w:val="18"/>
          <w:szCs w:val="18"/>
          <w:i w:val="1"/>
          <w:iCs w:val="1"/>
          <w:color w:val="auto"/>
        </w:rPr>
        <w:t>What the Plan Covers</w:t>
      </w:r>
      <w:r>
        <w:rPr>
          <w:rFonts w:ascii="Arial" w:cs="Arial" w:eastAsia="Arial" w:hAnsi="Arial"/>
          <w:sz w:val="18"/>
          <w:szCs w:val="18"/>
          <w:color w:val="auto"/>
        </w:rPr>
        <w:t xml:space="preserve"> section;</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Replacement parts or repairs for a hearing aid; and</w:t>
      </w:r>
    </w:p>
    <w:p>
      <w:pPr>
        <w:spacing w:after="0" w:line="8" w:lineRule="exact"/>
        <w:rPr>
          <w:rFonts w:ascii="Arial" w:cs="Arial" w:eastAsia="Arial" w:hAnsi="Arial"/>
          <w:sz w:val="20"/>
          <w:szCs w:val="20"/>
          <w:color w:val="auto"/>
        </w:rPr>
      </w:pPr>
    </w:p>
    <w:p>
      <w:pPr>
        <w:jc w:val="both"/>
        <w:ind w:left="340" w:right="20" w:hanging="331"/>
        <w:spacing w:after="0" w:line="241" w:lineRule="auto"/>
        <w:tabs>
          <w:tab w:leader="none" w:pos="34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Any tests, appliances, and devices for the improvement of hearing (including but not limited to hearing aids and amplifiers), or to enhance other forms of communication to compensate for hearing loss or devices that simulate speech, except as specifically provided in the </w:t>
      </w:r>
      <w:r>
        <w:rPr>
          <w:rFonts w:ascii="Arial" w:cs="Arial" w:eastAsia="Arial" w:hAnsi="Arial"/>
          <w:sz w:val="20"/>
          <w:szCs w:val="20"/>
          <w:i w:val="1"/>
          <w:iCs w:val="1"/>
          <w:color w:val="auto"/>
        </w:rPr>
        <w:t>What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Plan Covers </w:t>
      </w:r>
      <w:r>
        <w:rPr>
          <w:rFonts w:ascii="Arial" w:cs="Arial" w:eastAsia="Arial" w:hAnsi="Arial"/>
          <w:sz w:val="20"/>
          <w:szCs w:val="20"/>
          <w:color w:val="auto"/>
        </w:rPr>
        <w:t>section.</w:t>
      </w:r>
    </w:p>
    <w:p>
      <w:pPr>
        <w:spacing w:after="0" w:line="21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Home and mobility: Any addition or alteration to a home, workplace or other environment, or vehicle and any related equipment or device, such as but not limited to:</w:t>
      </w:r>
    </w:p>
    <w:p>
      <w:pPr>
        <w:spacing w:after="0" w:line="190" w:lineRule="exact"/>
        <w:rPr>
          <w:sz w:val="20"/>
          <w:szCs w:val="20"/>
          <w:color w:val="auto"/>
        </w:rPr>
      </w:pPr>
    </w:p>
    <w:p>
      <w:pPr>
        <w:ind w:left="340" w:hanging="331"/>
        <w:spacing w:after="0"/>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Purchase or rental of exercise equipment, air purifiers, central or unit air conditioners, water purifiers, waterbeds. and swimming pools;</w:t>
      </w:r>
    </w:p>
    <w:p>
      <w:pPr>
        <w:spacing w:after="0" w:line="43" w:lineRule="exact"/>
        <w:rPr>
          <w:rFonts w:ascii="Arial" w:cs="Arial" w:eastAsia="Arial" w:hAnsi="Arial"/>
          <w:sz w:val="18"/>
          <w:szCs w:val="18"/>
          <w:color w:val="auto"/>
        </w:rPr>
      </w:pPr>
    </w:p>
    <w:p>
      <w:pPr>
        <w:ind w:left="340" w:hanging="331"/>
        <w:spacing w:after="0"/>
        <w:tabs>
          <w:tab w:leader="none" w:pos="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Exercise and training devices, whirlpools, portable whirlpool pumps, sauna baths, or massage devices;</w:t>
      </w:r>
    </w:p>
    <w:p>
      <w:pPr>
        <w:spacing w:after="0" w:line="8" w:lineRule="exact"/>
        <w:rPr>
          <w:rFonts w:ascii="Arial" w:cs="Arial" w:eastAsia="Arial" w:hAnsi="Arial"/>
          <w:sz w:val="20"/>
          <w:szCs w:val="20"/>
          <w:color w:val="auto"/>
        </w:rPr>
      </w:pPr>
    </w:p>
    <w:p>
      <w:pPr>
        <w:ind w:left="340" w:right="20" w:hanging="331"/>
        <w:spacing w:after="0" w:line="239" w:lineRule="auto"/>
        <w:tabs>
          <w:tab w:leader="none" w:pos="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Equipment or supplies to aid sleeping or sitting, including but not limited to non-hospital electric and air beds, water beds, pillows, sheets, blankets, warming or cooling devices, bed tables and reclining chairs;</w:t>
      </w:r>
    </w:p>
    <w:p>
      <w:pPr>
        <w:spacing w:after="0" w:line="1" w:lineRule="exact"/>
        <w:rPr>
          <w:rFonts w:ascii="Arial" w:cs="Arial" w:eastAsia="Arial" w:hAnsi="Arial"/>
          <w:sz w:val="20"/>
          <w:szCs w:val="20"/>
          <w:color w:val="auto"/>
        </w:rPr>
      </w:pPr>
    </w:p>
    <w:p>
      <w:pPr>
        <w:ind w:left="340" w:right="80" w:hanging="331"/>
        <w:spacing w:after="0" w:line="239" w:lineRule="auto"/>
        <w:tabs>
          <w:tab w:leader="none" w:pos="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Equipment installed in your home, workplace or other environment, including but not limited to stair-glides, elevators, wheelchair ramps, or equipment to alter air quality, humidity or temperature;</w:t>
      </w:r>
    </w:p>
    <w:p>
      <w:pPr>
        <w:spacing w:after="0" w:line="1" w:lineRule="exact"/>
        <w:rPr>
          <w:rFonts w:ascii="Arial" w:cs="Arial" w:eastAsia="Arial" w:hAnsi="Arial"/>
          <w:sz w:val="20"/>
          <w:szCs w:val="20"/>
          <w:color w:val="auto"/>
        </w:rPr>
      </w:pPr>
    </w:p>
    <w:p>
      <w:pPr>
        <w:ind w:left="340" w:right="460" w:hanging="331"/>
        <w:spacing w:after="0" w:line="269" w:lineRule="auto"/>
        <w:tabs>
          <w:tab w:leader="none" w:pos="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Other additions or alterations to your home, workplace or other environment, including but not limited to room additions, changes in cabinets, countertops, doorways, lighting, wiring, furniture, communication aids, wireless alert systems, or home monitoring;</w:t>
      </w:r>
    </w:p>
    <w:p>
      <w:pPr>
        <w:ind w:left="340" w:right="2040" w:hanging="331"/>
        <w:spacing w:after="0" w:line="251" w:lineRule="auto"/>
        <w:tabs>
          <w:tab w:leader="none" w:pos="340" w:val="left"/>
        </w:tabs>
        <w:numPr>
          <w:ilvl w:val="0"/>
          <w:numId w:val="311"/>
        </w:numPr>
        <w:rPr>
          <w:rFonts w:ascii="Arial" w:cs="Arial" w:eastAsia="Arial" w:hAnsi="Arial"/>
          <w:sz w:val="20"/>
          <w:szCs w:val="20"/>
          <w:b w:val="1"/>
          <w:bCs w:val="1"/>
          <w:color w:val="auto"/>
        </w:rPr>
      </w:pPr>
      <w:r>
        <w:rPr>
          <w:rFonts w:ascii="Arial" w:cs="Arial" w:eastAsia="Arial" w:hAnsi="Arial"/>
          <w:sz w:val="20"/>
          <w:szCs w:val="20"/>
          <w:color w:val="auto"/>
        </w:rPr>
        <w:t xml:space="preserve">Services and supplies furnished mainly to provide a surrounding free from exposure that can worsen your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ind w:left="340" w:right="720" w:hanging="331"/>
        <w:spacing w:after="0" w:line="239" w:lineRule="auto"/>
        <w:tabs>
          <w:tab w:leader="none" w:pos="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 xml:space="preserve">Removal from your home, worksite or other environment of carpeting, hypo-allergenic pillows, mattresses, paint, mold, asbestos, fiberglass, dust, pet dander, pests or other potential sources of allergies or </w:t>
      </w:r>
      <w:r>
        <w:rPr>
          <w:rFonts w:ascii="Arial" w:cs="Arial" w:eastAsia="Arial" w:hAnsi="Arial"/>
          <w:sz w:val="20"/>
          <w:szCs w:val="20"/>
          <w:b w:val="1"/>
          <w:bCs w:val="1"/>
          <w:color w:val="auto"/>
        </w:rPr>
        <w:t>illness</w:t>
      </w:r>
      <w:r>
        <w:rPr>
          <w:rFonts w:ascii="Arial" w:cs="Arial" w:eastAsia="Arial" w:hAnsi="Arial"/>
          <w:sz w:val="20"/>
          <w:szCs w:val="20"/>
          <w:color w:val="auto"/>
        </w:rPr>
        <w:t>; and</w:t>
      </w:r>
    </w:p>
    <w:p>
      <w:pPr>
        <w:spacing w:after="0" w:line="1" w:lineRule="exact"/>
        <w:rPr>
          <w:rFonts w:ascii="Arial" w:cs="Arial" w:eastAsia="Arial" w:hAnsi="Arial"/>
          <w:sz w:val="20"/>
          <w:szCs w:val="20"/>
          <w:color w:val="auto"/>
        </w:rPr>
      </w:pPr>
    </w:p>
    <w:p>
      <w:pPr>
        <w:ind w:left="340" w:right="500" w:hanging="331"/>
        <w:spacing w:after="0" w:line="244" w:lineRule="auto"/>
        <w:tabs>
          <w:tab w:leader="none" w:pos="3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Transportation devices, including but not limited to stair-climbing wheelchairs, personal transporters, bicycles, automobiles, vans or trucks, or alterations to any vehicle or transportation device.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Home births: Any services and supplies related to births occurring in the home or in a place not licensed to perform deliveries.</w:t>
      </w:r>
    </w:p>
    <w:p>
      <w:pPr>
        <w:spacing w:after="0" w:line="229"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 xml:space="preserve">Infertility: except as specifically described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any services, treatments, procedures or supplies that are designed to enhance fertility or the likelihood of conception, including but not limited to:</w:t>
      </w:r>
    </w:p>
    <w:p>
      <w:pPr>
        <w:spacing w:after="0" w:line="204" w:lineRule="exact"/>
        <w:rPr>
          <w:sz w:val="20"/>
          <w:szCs w:val="20"/>
          <w:color w:val="auto"/>
        </w:rPr>
      </w:pPr>
    </w:p>
    <w:p>
      <w:pPr>
        <w:ind w:left="340" w:hanging="331"/>
        <w:spacing w:after="0"/>
        <w:tabs>
          <w:tab w:leader="none" w:pos="3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Drugs related to the treatment of non-covered benefits;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Injectable infertility medications, including but not limited to menotropins, hCG, GnRH agonists, and IVIG;</w:t>
      </w:r>
    </w:p>
    <w:p>
      <w:pPr>
        <w:spacing w:after="0" w:line="8" w:lineRule="exact"/>
        <w:rPr>
          <w:rFonts w:ascii="Arial" w:cs="Arial" w:eastAsia="Arial" w:hAnsi="Arial"/>
          <w:sz w:val="20"/>
          <w:szCs w:val="20"/>
          <w:color w:val="auto"/>
        </w:rPr>
      </w:pPr>
    </w:p>
    <w:p>
      <w:pPr>
        <w:ind w:left="340" w:hanging="331"/>
        <w:spacing w:after="0" w:line="282" w:lineRule="auto"/>
        <w:tabs>
          <w:tab w:leader="none" w:pos="3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advanced reproductive technology (“ART”) procedures or services related to such procedures, including but not limited to in vitro fertilization (“IVF”), gamete intra-fallopian transfer (“GIFT”), zygote intra-fallopian transfer (“ZIFT”), and intra-cytoplasmic sperm injection (“ICSI”); Artificial Insemination for covered females attempting to become pregnant who are not infertile as defined by the plan;</w:t>
      </w:r>
    </w:p>
    <w:p>
      <w:pPr>
        <w:sectPr>
          <w:pgSz w:w="11900" w:h="16838" w:orient="portrait"/>
          <w:cols w:equalWidth="0" w:num="1">
            <w:col w:w="11300"/>
          </w:cols>
          <w:pgMar w:left="320" w:top="433" w:right="279" w:bottom="1440" w:gutter="0" w:footer="0" w:header="0"/>
        </w:sectPr>
      </w:pPr>
    </w:p>
    <w:bookmarkStart w:id="233" w:name="page234"/>
    <w:bookmarkEnd w:id="233"/>
    <w:p>
      <w:pPr>
        <w:ind w:left="340" w:hanging="331"/>
        <w:spacing w:after="0"/>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Infertility services for couples in which 1 of the partners has had a previous sterilization procedure, with or without surgical reversal;</w:t>
      </w:r>
    </w:p>
    <w:p>
      <w:pPr>
        <w:spacing w:after="0" w:line="43" w:lineRule="exact"/>
        <w:rPr>
          <w:rFonts w:ascii="Arial" w:cs="Arial" w:eastAsia="Arial" w:hAnsi="Arial"/>
          <w:sz w:val="18"/>
          <w:szCs w:val="18"/>
          <w:color w:val="auto"/>
        </w:rPr>
      </w:pPr>
    </w:p>
    <w:p>
      <w:pPr>
        <w:ind w:left="340" w:hanging="331"/>
        <w:spacing w:after="0"/>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Procedures, services and supplies to reverse voluntary sterilization;</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Infertility services for females with FSH levels 19 or greater mIU/ml on day 3 of the menstrual cycle;</w:t>
      </w:r>
    </w:p>
    <w:p>
      <w:pPr>
        <w:spacing w:after="0" w:line="8" w:lineRule="exact"/>
        <w:rPr>
          <w:rFonts w:ascii="Arial" w:cs="Arial" w:eastAsia="Arial" w:hAnsi="Arial"/>
          <w:sz w:val="20"/>
          <w:szCs w:val="20"/>
          <w:color w:val="auto"/>
        </w:rPr>
      </w:pPr>
    </w:p>
    <w:p>
      <w:pPr>
        <w:ind w:left="340" w:hanging="331"/>
        <w:spacing w:after="0" w:line="239" w:lineRule="auto"/>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purchase of donor sperm and any charges for the storage of sperm; the purchase of donor eggs and any charges associated with care of the donor required for donor egg retrievals or transfers or gestational carriers or surrogacy; donor egg retrieval or fees associated with donor egg programs, including but not limited to fees for laboratory tests;</w:t>
      </w:r>
    </w:p>
    <w:p>
      <w:pPr>
        <w:spacing w:after="0" w:line="1" w:lineRule="exact"/>
        <w:rPr>
          <w:rFonts w:ascii="Arial" w:cs="Arial" w:eastAsia="Arial" w:hAnsi="Arial"/>
          <w:sz w:val="20"/>
          <w:szCs w:val="20"/>
          <w:color w:val="auto"/>
        </w:rPr>
      </w:pPr>
    </w:p>
    <w:p>
      <w:pPr>
        <w:ind w:left="340" w:right="340" w:hanging="331"/>
        <w:spacing w:after="0" w:line="269" w:lineRule="auto"/>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Charges associated with cryopreservation or storage of cryopreserved eggs and embryos (e.g., office, </w:t>
      </w:r>
      <w:r>
        <w:rPr>
          <w:rFonts w:ascii="Arial" w:cs="Arial" w:eastAsia="Arial" w:hAnsi="Arial"/>
          <w:sz w:val="18"/>
          <w:szCs w:val="18"/>
          <w:b w:val="1"/>
          <w:bCs w:val="1"/>
          <w:color w:val="auto"/>
        </w:rPr>
        <w:t>hospital</w:t>
      </w:r>
      <w:r>
        <w:rPr>
          <w:rFonts w:ascii="Arial" w:cs="Arial" w:eastAsia="Arial" w:hAnsi="Arial"/>
          <w:sz w:val="18"/>
          <w:szCs w:val="18"/>
          <w:color w:val="auto"/>
        </w:rPr>
        <w:t>, ultrasounds, laboratory tests, etc.); any charges associated with a frozen embryo or egg transfer, including but not limited to thawing charges;</w:t>
      </w:r>
    </w:p>
    <w:p>
      <w:pPr>
        <w:ind w:left="340" w:hanging="331"/>
        <w:spacing w:after="0"/>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Home ovulation prediction kits or home pregnancy tests;</w:t>
      </w:r>
    </w:p>
    <w:p>
      <w:pPr>
        <w:spacing w:after="0" w:line="8" w:lineRule="exact"/>
        <w:rPr>
          <w:rFonts w:ascii="Arial" w:cs="Arial" w:eastAsia="Arial" w:hAnsi="Arial"/>
          <w:sz w:val="20"/>
          <w:szCs w:val="20"/>
          <w:color w:val="auto"/>
        </w:rPr>
      </w:pPr>
    </w:p>
    <w:p>
      <w:pPr>
        <w:ind w:left="340" w:right="240" w:hanging="331"/>
        <w:spacing w:after="0" w:line="239" w:lineRule="auto"/>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 xml:space="preserve">Any charges associated with care required to obtain ART Services (e.g., office, </w:t>
      </w:r>
      <w:r>
        <w:rPr>
          <w:rFonts w:ascii="Arial" w:cs="Arial" w:eastAsia="Arial" w:hAnsi="Arial"/>
          <w:sz w:val="20"/>
          <w:szCs w:val="20"/>
          <w:b w:val="1"/>
          <w:bCs w:val="1"/>
          <w:color w:val="auto"/>
        </w:rPr>
        <w:t>hospital</w:t>
      </w:r>
      <w:r>
        <w:rPr>
          <w:rFonts w:ascii="Arial" w:cs="Arial" w:eastAsia="Arial" w:hAnsi="Arial"/>
          <w:sz w:val="20"/>
          <w:szCs w:val="20"/>
          <w:color w:val="auto"/>
        </w:rPr>
        <w:t>, ultrasounds, laboratory tests); and any charges associated with obtaining sperm for any ART procedures; and</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Ovulation induction and intrauterine insemination services if you are not infertile.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Maintenance Care</w:t>
      </w:r>
      <w:r>
        <w:rPr>
          <w:rFonts w:ascii="Arial" w:cs="Arial" w:eastAsia="Arial" w:hAnsi="Arial"/>
          <w:sz w:val="20"/>
          <w:szCs w:val="20"/>
          <w:color w:val="auto"/>
        </w:rPr>
        <w: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Medicare: Payment for that portion of the charge for which Medicare or another party is the primary payer. Miscellaneous charges for services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or supplies including:</w:t>
      </w:r>
    </w:p>
    <w:p>
      <w:pPr>
        <w:spacing w:after="0" w:line="129" w:lineRule="exact"/>
        <w:rPr>
          <w:sz w:val="20"/>
          <w:szCs w:val="20"/>
          <w:color w:val="auto"/>
        </w:rPr>
      </w:pPr>
    </w:p>
    <w:p>
      <w:pPr>
        <w:ind w:left="340" w:hanging="331"/>
        <w:spacing w:after="0"/>
        <w:tabs>
          <w:tab w:leader="none" w:pos="3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Annual or other charges to be in a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practice;</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Charges to have preferred access to a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services such as boutique or concierge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practices;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Cancelled or missed appointment charges or charges to complete claim forms;</w:t>
      </w:r>
    </w:p>
    <w:p>
      <w:pPr>
        <w:ind w:left="340" w:right="60" w:hanging="331"/>
        <w:spacing w:after="0" w:line="244" w:lineRule="auto"/>
        <w:tabs>
          <w:tab w:leader="none" w:pos="3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Charges the recipient has no legal obligation to pay; or the charges would not be made if the recipient did not have coverage (to the extent exclusion is permitted by law) including:</w:t>
      </w:r>
    </w:p>
    <w:p>
      <w:pPr>
        <w:spacing w:after="0" w:line="2" w:lineRule="exact"/>
        <w:rPr>
          <w:rFonts w:ascii="Arial" w:cs="Arial" w:eastAsia="Arial" w:hAnsi="Arial"/>
          <w:sz w:val="20"/>
          <w:szCs w:val="20"/>
          <w:color w:val="auto"/>
        </w:rPr>
      </w:pPr>
    </w:p>
    <w:p>
      <w:pPr>
        <w:ind w:left="660" w:hanging="327"/>
        <w:spacing w:after="0"/>
        <w:tabs>
          <w:tab w:leader="none" w:pos="6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Care in charitable institutions;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Care for conditions related to current or previous military service;</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Care while in the custody of a governmental authority;</w:t>
      </w:r>
    </w:p>
    <w:p>
      <w:pPr>
        <w:spacing w:after="0" w:line="34" w:lineRule="exact"/>
        <w:rPr>
          <w:rFonts w:ascii="Arial" w:cs="Arial" w:eastAsia="Arial" w:hAnsi="Arial"/>
          <w:sz w:val="20"/>
          <w:szCs w:val="20"/>
          <w:color w:val="auto"/>
        </w:rPr>
      </w:pPr>
    </w:p>
    <w:p>
      <w:pPr>
        <w:ind w:left="660" w:hanging="327"/>
        <w:spacing w:after="0"/>
        <w:tabs>
          <w:tab w:leader="none" w:pos="6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 xml:space="preserve">Any care a public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other facility is required to provide; or</w:t>
      </w:r>
    </w:p>
    <w:p>
      <w:pPr>
        <w:spacing w:after="0" w:line="26" w:lineRule="exact"/>
        <w:rPr>
          <w:rFonts w:ascii="Arial" w:cs="Arial" w:eastAsia="Arial" w:hAnsi="Arial"/>
          <w:sz w:val="20"/>
          <w:szCs w:val="20"/>
          <w:color w:val="auto"/>
        </w:rPr>
      </w:pPr>
    </w:p>
    <w:p>
      <w:pPr>
        <w:ind w:left="660" w:right="500" w:hanging="327"/>
        <w:spacing w:after="0" w:line="253" w:lineRule="auto"/>
        <w:tabs>
          <w:tab w:leader="none" w:pos="6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 xml:space="preserve">Any care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other facility owned or operated by any federal, state or other governmental entity, except to the extent coverage is required by applicable laws.</w:t>
      </w:r>
    </w:p>
    <w:p>
      <w:pPr>
        <w:spacing w:after="0" w:line="183"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Nursing and home health aide services provided outside of the home (such as in conjunction with school, vacation, work or recreational activities).</w:t>
      </w:r>
    </w:p>
    <w:p>
      <w:pPr>
        <w:spacing w:after="0" w:line="184" w:lineRule="exact"/>
        <w:rPr>
          <w:sz w:val="20"/>
          <w:szCs w:val="20"/>
          <w:color w:val="auto"/>
        </w:rPr>
      </w:pPr>
    </w:p>
    <w:p>
      <w:pPr>
        <w:jc w:val="both"/>
        <w:ind w:right="320"/>
        <w:spacing w:after="0" w:line="346" w:lineRule="auto"/>
        <w:rPr>
          <w:sz w:val="20"/>
          <w:szCs w:val="20"/>
          <w:color w:val="auto"/>
        </w:rPr>
      </w:pPr>
      <w:r>
        <w:rPr>
          <w:rFonts w:ascii="Arial" w:cs="Arial" w:eastAsia="Arial" w:hAnsi="Arial"/>
          <w:sz w:val="16"/>
          <w:szCs w:val="16"/>
          <w:color w:val="auto"/>
        </w:rPr>
        <w:t>Non-</w:t>
      </w:r>
      <w:r>
        <w:rPr>
          <w:rFonts w:ascii="Arial" w:cs="Arial" w:eastAsia="Arial" w:hAnsi="Arial"/>
          <w:sz w:val="16"/>
          <w:szCs w:val="16"/>
          <w:b w:val="1"/>
          <w:bCs w:val="1"/>
          <w:color w:val="auto"/>
        </w:rPr>
        <w:t>medically necessary</w:t>
      </w:r>
      <w:r>
        <w:rPr>
          <w:rFonts w:ascii="Arial" w:cs="Arial" w:eastAsia="Arial" w:hAnsi="Arial"/>
          <w:sz w:val="16"/>
          <w:szCs w:val="16"/>
          <w:color w:val="auto"/>
        </w:rPr>
        <w:t xml:space="preserve"> services, including but not limited to, those treatments, services, </w:t>
      </w:r>
      <w:r>
        <w:rPr>
          <w:rFonts w:ascii="Arial" w:cs="Arial" w:eastAsia="Arial" w:hAnsi="Arial"/>
          <w:sz w:val="16"/>
          <w:szCs w:val="16"/>
          <w:b w:val="1"/>
          <w:bCs w:val="1"/>
          <w:color w:val="auto"/>
        </w:rPr>
        <w:t>prescription drugs</w:t>
      </w:r>
      <w:r>
        <w:rPr>
          <w:rFonts w:ascii="Arial" w:cs="Arial" w:eastAsia="Arial" w:hAnsi="Arial"/>
          <w:sz w:val="16"/>
          <w:szCs w:val="16"/>
          <w:color w:val="auto"/>
        </w:rPr>
        <w:t xml:space="preserve"> and supplies which are not </w:t>
      </w:r>
      <w:r>
        <w:rPr>
          <w:rFonts w:ascii="Arial" w:cs="Arial" w:eastAsia="Arial" w:hAnsi="Arial"/>
          <w:sz w:val="16"/>
          <w:szCs w:val="16"/>
          <w:b w:val="1"/>
          <w:bCs w:val="1"/>
          <w:color w:val="auto"/>
        </w:rPr>
        <w:t>medically necessary</w:t>
      </w:r>
      <w:r>
        <w:rPr>
          <w:rFonts w:ascii="Arial" w:cs="Arial" w:eastAsia="Arial" w:hAnsi="Arial"/>
          <w:sz w:val="16"/>
          <w:szCs w:val="16"/>
          <w:color w:val="auto"/>
        </w:rPr>
        <w:t>, as determined by</w:t>
      </w:r>
      <w:r>
        <w:rPr>
          <w:rFonts w:ascii="Arial" w:cs="Arial" w:eastAsia="Arial" w:hAnsi="Arial"/>
          <w:sz w:val="16"/>
          <w:szCs w:val="16"/>
          <w:b w:val="1"/>
          <w:bCs w:val="1"/>
          <w:color w:val="auto"/>
        </w:rPr>
        <w:t xml:space="preserve"> Aetna</w:t>
      </w:r>
      <w:r>
        <w:rPr>
          <w:rFonts w:ascii="Arial" w:cs="Arial" w:eastAsia="Arial" w:hAnsi="Arial"/>
          <w:sz w:val="16"/>
          <w:szCs w:val="16"/>
          <w:color w:val="auto"/>
        </w:rPr>
        <w:t>, for the diagnosis and treatment of</w:t>
      </w:r>
      <w:r>
        <w:rPr>
          <w:rFonts w:ascii="Arial" w:cs="Arial" w:eastAsia="Arial" w:hAnsi="Arial"/>
          <w:sz w:val="16"/>
          <w:szCs w:val="16"/>
          <w:b w:val="1"/>
          <w:bCs w:val="1"/>
          <w:color w:val="auto"/>
        </w:rPr>
        <w:t xml:space="preserve"> illness</w:t>
      </w:r>
      <w:r>
        <w:rPr>
          <w:rFonts w:ascii="Arial" w:cs="Arial" w:eastAsia="Arial" w:hAnsi="Arial"/>
          <w:sz w:val="16"/>
          <w:szCs w:val="16"/>
          <w:color w:val="auto"/>
        </w:rPr>
        <w:t>,</w:t>
      </w:r>
      <w:r>
        <w:rPr>
          <w:rFonts w:ascii="Arial" w:cs="Arial" w:eastAsia="Arial" w:hAnsi="Arial"/>
          <w:sz w:val="16"/>
          <w:szCs w:val="16"/>
          <w:b w:val="1"/>
          <w:bCs w:val="1"/>
          <w:color w:val="auto"/>
        </w:rPr>
        <w:t xml:space="preserve"> injury</w:t>
      </w:r>
      <w:r>
        <w:rPr>
          <w:rFonts w:ascii="Arial" w:cs="Arial" w:eastAsia="Arial" w:hAnsi="Arial"/>
          <w:sz w:val="16"/>
          <w:szCs w:val="16"/>
          <w:color w:val="auto"/>
        </w:rPr>
        <w:t>, restoration of physiological functions,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preventive services. This applies even if they are prescribed, recommended or approved by your </w:t>
      </w:r>
      <w:r>
        <w:rPr>
          <w:rFonts w:ascii="Arial" w:cs="Arial" w:eastAsia="Arial" w:hAnsi="Arial"/>
          <w:sz w:val="16"/>
          <w:szCs w:val="16"/>
          <w:b w:val="1"/>
          <w:bCs w:val="1"/>
          <w:color w:val="auto"/>
        </w:rPr>
        <w:t>physician</w:t>
      </w:r>
      <w:r>
        <w:rPr>
          <w:rFonts w:ascii="Arial" w:cs="Arial" w:eastAsia="Arial" w:hAnsi="Arial"/>
          <w:sz w:val="16"/>
          <w:szCs w:val="16"/>
          <w:color w:val="auto"/>
        </w:rPr>
        <w:t xml:space="preserve"> or </w:t>
      </w:r>
      <w:r>
        <w:rPr>
          <w:rFonts w:ascii="Arial" w:cs="Arial" w:eastAsia="Arial" w:hAnsi="Arial"/>
          <w:sz w:val="16"/>
          <w:szCs w:val="16"/>
          <w:b w:val="1"/>
          <w:bCs w:val="1"/>
          <w:color w:val="auto"/>
        </w:rPr>
        <w:t>dentist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Personal comfort and convenience items: Any service or supply primarily for your convenience and personal comfort or that of a third party,</w:t>
      </w:r>
    </w:p>
    <w:p>
      <w:pPr>
        <w:spacing w:after="0" w:line="39" w:lineRule="exact"/>
        <w:rPr>
          <w:sz w:val="20"/>
          <w:szCs w:val="20"/>
          <w:color w:val="auto"/>
        </w:rPr>
      </w:pPr>
    </w:p>
    <w:p>
      <w:pPr>
        <w:ind w:right="520"/>
        <w:spacing w:after="0" w:line="365" w:lineRule="auto"/>
        <w:rPr>
          <w:sz w:val="20"/>
          <w:szCs w:val="20"/>
          <w:color w:val="auto"/>
        </w:rPr>
      </w:pPr>
      <w:r>
        <w:rPr>
          <w:rFonts w:ascii="Arial" w:cs="Arial" w:eastAsia="Arial" w:hAnsi="Arial"/>
          <w:sz w:val="16"/>
          <w:szCs w:val="16"/>
          <w:color w:val="auto"/>
        </w:rPr>
        <w:t>including: Telephone, television, internet, barber or beauty service or other guest services; housekeeping, cooking, cleaning, shopping, monitoring, security or other home services; and travel, transportation, or living expenses, rest cures, recreational or diversional therapy.</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Private duty nursing during your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and outpatient private duty nursing services, except as specifically described in the </w:t>
      </w:r>
      <w:r>
        <w:rPr>
          <w:rFonts w:ascii="Arial" w:cs="Arial" w:eastAsia="Arial" w:hAnsi="Arial"/>
          <w:sz w:val="20"/>
          <w:szCs w:val="20"/>
          <w:i w:val="1"/>
          <w:iCs w:val="1"/>
          <w:color w:val="auto"/>
        </w:rPr>
        <w:t>Private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Duty Nursing </w:t>
      </w:r>
      <w:r>
        <w:rPr>
          <w:rFonts w:ascii="Arial" w:cs="Arial" w:eastAsia="Arial" w:hAnsi="Arial"/>
          <w:sz w:val="20"/>
          <w:szCs w:val="20"/>
          <w:color w:val="auto"/>
        </w:rPr>
        <w:t>provision in the</w:t>
      </w:r>
      <w:r>
        <w:rPr>
          <w:rFonts w:ascii="Arial" w:cs="Arial" w:eastAsia="Arial" w:hAnsi="Arial"/>
          <w:sz w:val="20"/>
          <w:szCs w:val="20"/>
          <w:i w:val="1"/>
          <w:iCs w:val="1"/>
          <w:color w:val="auto"/>
        </w:rPr>
        <w:t xml:space="preserve"> What the Plan Covers </w:t>
      </w:r>
      <w:r>
        <w:rPr>
          <w:rFonts w:ascii="Arial" w:cs="Arial" w:eastAsia="Arial" w:hAnsi="Arial"/>
          <w:sz w:val="20"/>
          <w:szCs w:val="20"/>
          <w:color w:val="auto"/>
        </w:rPr>
        <w:t>Section.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Prosthetics or prosthetic devices unless specifically covered under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ectPr>
          <w:pgSz w:w="11900" w:h="16838" w:orient="portrait"/>
          <w:cols w:equalWidth="0" w:num="1">
            <w:col w:w="11320"/>
          </w:cols>
          <w:pgMar w:left="320" w:top="434" w:right="259"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Sex change: Any treatment, drug, service or supply related to changing sex or sexual characteristics, including:</w:t>
      </w:r>
    </w:p>
    <w:p>
      <w:pPr>
        <w:spacing w:after="0" w:line="216" w:lineRule="exact"/>
        <w:rPr>
          <w:sz w:val="20"/>
          <w:szCs w:val="20"/>
          <w:color w:val="auto"/>
        </w:rPr>
      </w:pPr>
    </w:p>
    <w:p>
      <w:pPr>
        <w:ind w:left="340" w:hanging="331"/>
        <w:spacing w:after="0"/>
        <w:tabs>
          <w:tab w:leader="none" w:pos="3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Surgical procedures to alter the appearance or function of the body;</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Hormones and hormone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Prosthetic devices;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Medical or psychological counseling.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Services provided by a spouse, domestic partner, parent, child, step-child, brother, sister, in-law or any household member.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Services of a resident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intern rendered in that capacity.</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Services provided where there is no evidence of pathology, dysfunction, or disease; except as specifically provided in connection with covered routine care and cancer screenings.</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Sexual dysfunction/enhancement: Any treatment, drug, service or supply to treat sexual dysfunction, enhance sexual performance or increase sexual desire, including:</w:t>
      </w:r>
    </w:p>
    <w:p>
      <w:pPr>
        <w:spacing w:after="0" w:line="177" w:lineRule="exact"/>
        <w:rPr>
          <w:sz w:val="20"/>
          <w:szCs w:val="20"/>
          <w:color w:val="auto"/>
        </w:rPr>
      </w:pPr>
    </w:p>
    <w:p>
      <w:pPr>
        <w:ind w:left="340" w:right="780" w:hanging="331"/>
        <w:spacing w:after="0" w:line="247" w:lineRule="auto"/>
        <w:tabs>
          <w:tab w:leader="none" w:pos="3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Surgery, drugs, implants, devices or preparations to correct or enhance erectile function, enhance sensitivity, or alter the shape or appearance of a sex organ; and</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Sex therapy, sex counseling, marriage counseling or other counseling or advisory services.</w:t>
      </w:r>
    </w:p>
    <w:p>
      <w:pPr>
        <w:spacing w:after="0" w:line="213"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Smoking: Any treatment, drug, service or supply to stop or reduce smoking or the use of other tobacco products or to treat or reduce nicotine addiction, dependence or cravings, including counseling, hypnosis and other therapies, medications, nicotine patches and gum.</w:t>
      </w:r>
    </w:p>
    <w:p>
      <w:pPr>
        <w:spacing w:after="0" w:line="14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 xml:space="preserve">Services, including those related to pregnancy, rendered before the effective date or after the termination of coverage, unless coverage is continued under the </w:t>
      </w:r>
      <w:r>
        <w:rPr>
          <w:rFonts w:ascii="Arial" w:cs="Arial" w:eastAsia="Arial" w:hAnsi="Arial"/>
          <w:sz w:val="20"/>
          <w:szCs w:val="20"/>
          <w:i w:val="1"/>
          <w:iCs w:val="1"/>
          <w:color w:val="auto"/>
        </w:rPr>
        <w:t>Continuation of Coverage</w:t>
      </w:r>
      <w:r>
        <w:rPr>
          <w:rFonts w:ascii="Arial" w:cs="Arial" w:eastAsia="Arial" w:hAnsi="Arial"/>
          <w:sz w:val="20"/>
          <w:szCs w:val="20"/>
          <w:color w:val="auto"/>
        </w:rPr>
        <w:t xml:space="preserve"> section of this Booklet-Certificate.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Services that are not covered under this Booklet-Certificate.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Services and supplies provided in connection with treatment or care that is not covered under the plan.</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 xml:space="preserve">Speech therapy for treatment of delays in speech development, except as specifically provided in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For example, the plan does not cover therapy when it is used to improve speech skills that have not fully developed.</w:t>
      </w:r>
    </w:p>
    <w:p>
      <w:pPr>
        <w:spacing w:after="0" w:line="19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 xml:space="preserve">Spinal disorder, including care in connection with the detection and correction by manual or mechanical means of structural imbalance, distortion or dislocation in the human body or other physical treatment of any condition caused by or related to biomechanical or nerve conduction disorders of the spine including manipulation of the spine treatment, except as specifically provided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205"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Strength and performance: Services, devices and supplies to enhance strength, physical condition, endurance or physical performance, including:</w:t>
      </w:r>
    </w:p>
    <w:p>
      <w:pPr>
        <w:spacing w:after="0" w:line="177" w:lineRule="exact"/>
        <w:rPr>
          <w:sz w:val="20"/>
          <w:szCs w:val="20"/>
          <w:color w:val="auto"/>
        </w:rPr>
      </w:pPr>
    </w:p>
    <w:p>
      <w:pPr>
        <w:ind w:left="340" w:hanging="331"/>
        <w:spacing w:after="0"/>
        <w:tabs>
          <w:tab w:leader="none" w:pos="3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Exercise equipment, memberships in health or fitness clubs, training, advice, or coaching;</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Drugs or preparations to enhance strength, performance, or endurance; and</w:t>
      </w:r>
    </w:p>
    <w:p>
      <w:pPr>
        <w:spacing w:after="0" w:line="8" w:lineRule="exact"/>
        <w:rPr>
          <w:rFonts w:ascii="Arial" w:cs="Arial" w:eastAsia="Arial" w:hAnsi="Arial"/>
          <w:sz w:val="20"/>
          <w:szCs w:val="20"/>
          <w:color w:val="auto"/>
        </w:rPr>
      </w:pPr>
    </w:p>
    <w:p>
      <w:pPr>
        <w:ind w:left="340" w:right="820" w:hanging="331"/>
        <w:spacing w:after="0" w:line="244" w:lineRule="auto"/>
        <w:tabs>
          <w:tab w:leader="none" w:pos="3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Treatments, services and supplies to treat </w:t>
      </w:r>
      <w:r>
        <w:rPr>
          <w:rFonts w:ascii="Arial" w:cs="Arial" w:eastAsia="Arial" w:hAnsi="Arial"/>
          <w:sz w:val="20"/>
          <w:szCs w:val="20"/>
          <w:b w:val="1"/>
          <w:bCs w:val="1"/>
          <w:color w:val="auto"/>
        </w:rPr>
        <w:t>illnesses</w:t>
      </w:r>
      <w:r>
        <w:rPr>
          <w:rFonts w:ascii="Arial" w:cs="Arial" w:eastAsia="Arial" w:hAnsi="Arial"/>
          <w:sz w:val="20"/>
          <w:szCs w:val="20"/>
          <w:color w:val="auto"/>
        </w:rPr>
        <w:t xml:space="preserve">, </w:t>
      </w:r>
      <w:r>
        <w:rPr>
          <w:rFonts w:ascii="Arial" w:cs="Arial" w:eastAsia="Arial" w:hAnsi="Arial"/>
          <w:sz w:val="20"/>
          <w:szCs w:val="20"/>
          <w:b w:val="1"/>
          <w:bCs w:val="1"/>
          <w:color w:val="auto"/>
        </w:rPr>
        <w:t>injuries</w:t>
      </w:r>
      <w:r>
        <w:rPr>
          <w:rFonts w:ascii="Arial" w:cs="Arial" w:eastAsia="Arial" w:hAnsi="Arial"/>
          <w:sz w:val="20"/>
          <w:szCs w:val="20"/>
          <w:color w:val="auto"/>
        </w:rPr>
        <w:t xml:space="preserve"> or disabilities related to the use of performance- enhancing drugs or preparations.</w:t>
      </w:r>
    </w:p>
    <w:p>
      <w:pPr>
        <w:spacing w:after="0" w:line="19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Therapies for the treatment of delays in development, unless resulting from acute illness or injury, or congenital defects amenable to surgical repair (such as cleft lip/palate), are not covered. Examples of non-covered diagnoses include Pervasive Developmental Disorders, Down syndrome, and Cerebral Palsy, as they are considered both developmental and/or chronic in nature. This exclusion does not apply to coverage for Pervasive Developmental Disorders as provided under the Treatment of a Biologically-Based Mental Illness section of the Booklet-Certificate.</w:t>
      </w:r>
    </w:p>
    <w:p>
      <w:pPr>
        <w:sectPr>
          <w:pgSz w:w="11900" w:h="16838" w:orient="portrait"/>
          <w:cols w:equalWidth="0" w:num="1">
            <w:col w:w="11300"/>
          </w:cols>
          <w:pgMar w:left="320" w:top="433" w:right="279" w:bottom="1440" w:gutter="0" w:footer="0" w:header="0"/>
        </w:sectPr>
      </w:pPr>
    </w:p>
    <w:bookmarkStart w:id="235" w:name="page236"/>
    <w:bookmarkEnd w:id="235"/>
    <w:p>
      <w:pPr>
        <w:spacing w:after="0"/>
        <w:rPr>
          <w:sz w:val="20"/>
          <w:szCs w:val="20"/>
          <w:color w:val="auto"/>
        </w:rPr>
      </w:pPr>
      <w:r>
        <w:rPr>
          <w:rFonts w:ascii="Arial" w:cs="Arial" w:eastAsia="Arial" w:hAnsi="Arial"/>
          <w:sz w:val="20"/>
          <w:szCs w:val="20"/>
          <w:color w:val="auto"/>
        </w:rPr>
        <w:t>Therapies and tests: Any of the following treatments or procedures:</w:t>
      </w:r>
    </w:p>
    <w:p>
      <w:pPr>
        <w:spacing w:after="0" w:line="216" w:lineRule="exact"/>
        <w:rPr>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Aromatherapy;</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Bio-feedback and bioenergetic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Carbon dioxide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Chelation therapy (except for heavy metal poisoning);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Computer-aided tomography (CAT) scanning of the entire body;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Educational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Gastric irrigation;</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Hair analysis;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Hyperbaric therapy, except for the treatment of decompression or to promote healing of wounds;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Hypnosis, and hypnotherapy, except when performed by a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as a form of anesthesia in connection with covered surgery;</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Lovaas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Massage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Megavitamin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Primal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Psychodrama;</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Purging;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Recreational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Rolfing;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Sensory or auditory integration 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Sleep therapy;</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Thermograms and thermography.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Transplant-The transplant coverage does not include charges for:</w:t>
      </w:r>
    </w:p>
    <w:p>
      <w:pPr>
        <w:spacing w:after="0" w:line="216" w:lineRule="exact"/>
        <w:rPr>
          <w:sz w:val="20"/>
          <w:szCs w:val="20"/>
          <w:color w:val="auto"/>
        </w:rPr>
      </w:pPr>
    </w:p>
    <w:p>
      <w:pPr>
        <w:ind w:left="340" w:hanging="331"/>
        <w:spacing w:after="0"/>
        <w:tabs>
          <w:tab w:leader="none" w:pos="34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Outpatient drugs including bio-medicals and immunosuppressants not expressly related to an outpatient transplant occurrence;</w:t>
      </w:r>
    </w:p>
    <w:p>
      <w:pPr>
        <w:spacing w:after="0" w:line="31" w:lineRule="exact"/>
        <w:rPr>
          <w:rFonts w:ascii="Arial" w:cs="Arial" w:eastAsia="Arial" w:hAnsi="Arial"/>
          <w:sz w:val="19"/>
          <w:szCs w:val="19"/>
          <w:color w:val="auto"/>
        </w:rPr>
      </w:pPr>
    </w:p>
    <w:p>
      <w:pPr>
        <w:ind w:left="340" w:hanging="331"/>
        <w:spacing w:after="0"/>
        <w:tabs>
          <w:tab w:leader="none" w:pos="3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Services and supplies furnished to a donor when recipient is not a covered person;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Home infusion therapy after the transplant occurrence;</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Harvesting and/or storage of organs, without the expectation of immediate transplantation for an existing </w:t>
      </w:r>
      <w:r>
        <w:rPr>
          <w:rFonts w:ascii="Arial" w:cs="Arial" w:eastAsia="Arial" w:hAnsi="Arial"/>
          <w:sz w:val="20"/>
          <w:szCs w:val="20"/>
          <w:b w:val="1"/>
          <w:bCs w:val="1"/>
          <w:color w:val="auto"/>
        </w:rPr>
        <w:t>illness</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340" w:hanging="331"/>
        <w:spacing w:after="0" w:line="239" w:lineRule="auto"/>
        <w:tabs>
          <w:tab w:leader="none" w:pos="3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Harvesting and/or storage of bone marrow, tissue or stem cells without the expectation of transplantation within 12 months for an existing </w:t>
      </w:r>
      <w:r>
        <w:rPr>
          <w:rFonts w:ascii="Arial" w:cs="Arial" w:eastAsia="Arial" w:hAnsi="Arial"/>
          <w:sz w:val="20"/>
          <w:szCs w:val="20"/>
          <w:b w:val="1"/>
          <w:bCs w:val="1"/>
          <w:color w:val="auto"/>
        </w:rPr>
        <w:t>illness</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340" w:right="740" w:hanging="331"/>
        <w:spacing w:after="0" w:line="244" w:lineRule="auto"/>
        <w:tabs>
          <w:tab w:leader="none" w:pos="3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Cornea (corneal graft with amniotic membrane) or cartilage (autologous chondrocyte or autologous osteochondral mosaicplasty) transplants, unless otherwise </w:t>
      </w:r>
      <w:r>
        <w:rPr>
          <w:rFonts w:ascii="Arial" w:cs="Arial" w:eastAsia="Arial" w:hAnsi="Arial"/>
          <w:sz w:val="20"/>
          <w:szCs w:val="20"/>
          <w:b w:val="1"/>
          <w:bCs w:val="1"/>
          <w:color w:val="auto"/>
        </w:rPr>
        <w:t>precertified</w:t>
      </w:r>
      <w:r>
        <w:rPr>
          <w:rFonts w:ascii="Arial" w:cs="Arial" w:eastAsia="Arial" w:hAnsi="Arial"/>
          <w:sz w:val="20"/>
          <w:szCs w:val="20"/>
          <w:color w:val="auto"/>
        </w:rPr>
        <w:t xml:space="preserve"> by </w:t>
      </w:r>
      <w:r>
        <w:rPr>
          <w:rFonts w:ascii="Arial" w:cs="Arial" w:eastAsia="Arial" w:hAnsi="Arial"/>
          <w:sz w:val="20"/>
          <w:szCs w:val="20"/>
          <w:b w:val="1"/>
          <w:bCs w:val="1"/>
          <w:color w:val="auto"/>
        </w:rPr>
        <w:t>Aetna</w:t>
      </w:r>
      <w:r>
        <w:rPr>
          <w:rFonts w:ascii="Arial" w:cs="Arial" w:eastAsia="Arial" w:hAnsi="Arial"/>
          <w:sz w:val="20"/>
          <w:szCs w:val="20"/>
          <w:color w:val="auto"/>
        </w:rPr>
        <w:t>.</w:t>
      </w:r>
    </w:p>
    <w:p>
      <w:pPr>
        <w:spacing w:after="0" w:line="199"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Transportation costs, including </w:t>
      </w:r>
      <w:r>
        <w:rPr>
          <w:rFonts w:ascii="Arial" w:cs="Arial" w:eastAsia="Arial" w:hAnsi="Arial"/>
          <w:sz w:val="20"/>
          <w:szCs w:val="20"/>
          <w:b w:val="1"/>
          <w:bCs w:val="1"/>
          <w:color w:val="auto"/>
        </w:rPr>
        <w:t>ambulance</w:t>
      </w:r>
      <w:r>
        <w:rPr>
          <w:rFonts w:ascii="Arial" w:cs="Arial" w:eastAsia="Arial" w:hAnsi="Arial"/>
          <w:sz w:val="20"/>
          <w:szCs w:val="20"/>
          <w:color w:val="auto"/>
        </w:rPr>
        <w:t xml:space="preserve"> services for routine transportation to receive outpatient or inpatient services except as described in </w:t>
      </w:r>
      <w:r>
        <w:rPr>
          <w:rFonts w:ascii="Arial" w:cs="Arial" w:eastAsia="Arial" w:hAnsi="Arial"/>
          <w:sz w:val="20"/>
          <w:szCs w:val="20"/>
          <w:i w:val="1"/>
          <w:iCs w:val="1"/>
          <w:color w:val="auto"/>
        </w:rPr>
        <w:t xml:space="preserve">What the Plan Covers </w:t>
      </w:r>
      <w:r>
        <w:rPr>
          <w:rFonts w:ascii="Arial" w:cs="Arial" w:eastAsia="Arial" w:hAnsi="Arial"/>
          <w:sz w:val="20"/>
          <w:szCs w:val="20"/>
          <w:color w:val="auto"/>
        </w:rPr>
        <w:t>section.</w:t>
      </w:r>
    </w:p>
    <w:p>
      <w:pPr>
        <w:spacing w:after="0" w:line="170"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Unauthorized services, including any service obtained by or on behalf of a you or your covered dependent without Precertification by Aetna when required. This exclusion does not apply in a Medical Emergency or in an Urgent Care situation.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Vision-related services and supplies, except as described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The plan does not cover:</w:t>
      </w:r>
    </w:p>
    <w:p>
      <w:pPr>
        <w:spacing w:after="0" w:line="237" w:lineRule="exact"/>
        <w:rPr>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Special supplies such as non-</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sunglasses and subnormal vision aids;</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Vision service or supply which does not meet professionally accepted standards;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Eye exams during your </w:t>
      </w:r>
      <w:r>
        <w:rPr>
          <w:rFonts w:ascii="Arial" w:cs="Arial" w:eastAsia="Arial" w:hAnsi="Arial"/>
          <w:sz w:val="20"/>
          <w:szCs w:val="20"/>
          <w:b w:val="1"/>
          <w:bCs w:val="1"/>
          <w:color w:val="auto"/>
        </w:rPr>
        <w:t>stay</w:t>
      </w:r>
      <w:r>
        <w:rPr>
          <w:rFonts w:ascii="Arial" w:cs="Arial" w:eastAsia="Arial" w:hAnsi="Arial"/>
          <w:sz w:val="20"/>
          <w:szCs w:val="20"/>
          <w:color w:val="auto"/>
        </w:rPr>
        <w:t xml:space="preserve">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other facility for health care;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Eye exams for contact lenses or their fitting;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Eyeglasses or duplicate or spare eyeglasses or lenses or frames;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Replacement of lenses or frames that are lost or stolen or broken;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Acuity tests;</w:t>
      </w:r>
    </w:p>
    <w:p>
      <w:pPr>
        <w:sectPr>
          <w:pgSz w:w="11900" w:h="16838" w:orient="portrait"/>
          <w:cols w:equalWidth="0" w:num="1">
            <w:col w:w="11260"/>
          </w:cols>
          <w:pgMar w:left="320" w:top="433" w:right="319" w:bottom="1440" w:gutter="0" w:footer="0" w:header="0"/>
        </w:sectPr>
      </w:pPr>
    </w:p>
    <w:bookmarkStart w:id="236" w:name="page237"/>
    <w:bookmarkEnd w:id="236"/>
    <w:p>
      <w:pPr>
        <w:ind w:left="340" w:hanging="331"/>
        <w:spacing w:after="0"/>
        <w:tabs>
          <w:tab w:leader="none" w:pos="3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Eye surgery for the correction of vision, including radial keratotomy, LASIK and similar procedures;</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Services to treat errors of refraction.</w:t>
      </w:r>
    </w:p>
    <w:p>
      <w:pPr>
        <w:spacing w:after="0" w:line="207"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 xml:space="preserve">Weight: Any treatment, drug service or supply intended to decrease or increase body weight, control weight or treat obesity, including </w:t>
      </w:r>
      <w:r>
        <w:rPr>
          <w:rFonts w:ascii="Arial" w:cs="Arial" w:eastAsia="Arial" w:hAnsi="Arial"/>
          <w:sz w:val="18"/>
          <w:szCs w:val="18"/>
          <w:b w:val="1"/>
          <w:bCs w:val="1"/>
          <w:color w:val="auto"/>
        </w:rPr>
        <w:t>morbid</w:t>
      </w:r>
      <w:r>
        <w:rPr>
          <w:rFonts w:ascii="Arial" w:cs="Arial" w:eastAsia="Arial" w:hAnsi="Arial"/>
          <w:sz w:val="18"/>
          <w:szCs w:val="18"/>
          <w:color w:val="auto"/>
        </w:rPr>
        <w:t xml:space="preserve"> </w:t>
      </w:r>
      <w:r>
        <w:rPr>
          <w:rFonts w:ascii="Arial" w:cs="Arial" w:eastAsia="Arial" w:hAnsi="Arial"/>
          <w:sz w:val="18"/>
          <w:szCs w:val="18"/>
          <w:b w:val="1"/>
          <w:bCs w:val="1"/>
          <w:color w:val="auto"/>
        </w:rPr>
        <w:t>obesity</w:t>
      </w:r>
      <w:r>
        <w:rPr>
          <w:rFonts w:ascii="Arial" w:cs="Arial" w:eastAsia="Arial" w:hAnsi="Arial"/>
          <w:sz w:val="18"/>
          <w:szCs w:val="18"/>
          <w:color w:val="auto"/>
        </w:rPr>
        <w:t>, regardless of the existence of comorbid conditions; except as provided by this Booklet-Certificate, including but not limited to:</w:t>
      </w:r>
    </w:p>
    <w:p>
      <w:pPr>
        <w:spacing w:after="0" w:line="138" w:lineRule="exact"/>
        <w:rPr>
          <w:sz w:val="20"/>
          <w:szCs w:val="20"/>
          <w:color w:val="auto"/>
        </w:rPr>
      </w:pPr>
    </w:p>
    <w:p>
      <w:pPr>
        <w:ind w:left="340" w:hanging="331"/>
        <w:spacing w:after="0" w:line="245" w:lineRule="auto"/>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 xml:space="preserve">Liposuction, banding, gastric stapling, gastric by-pass and other forms of bariatric surgery; surgical procedures medical treatments, weight control/loss programs and other services and supplies that are primarily intended to treat, or are related to the treatment of obesity, including </w:t>
      </w:r>
      <w:r>
        <w:rPr>
          <w:rFonts w:ascii="Arial" w:cs="Arial" w:eastAsia="Arial" w:hAnsi="Arial"/>
          <w:sz w:val="20"/>
          <w:szCs w:val="20"/>
          <w:b w:val="1"/>
          <w:bCs w:val="1"/>
          <w:color w:val="auto"/>
        </w:rPr>
        <w:t>morbid obesity</w:t>
      </w:r>
      <w:r>
        <w:rPr>
          <w:rFonts w:ascii="Arial" w:cs="Arial" w:eastAsia="Arial" w:hAnsi="Arial"/>
          <w:sz w:val="20"/>
          <w:szCs w:val="20"/>
          <w:color w:val="auto"/>
        </w:rPr>
        <w:t>;</w:t>
      </w:r>
    </w:p>
    <w:p>
      <w:pPr>
        <w:ind w:left="340" w:right="700" w:hanging="331"/>
        <w:spacing w:after="0" w:line="242" w:lineRule="auto"/>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Drugs, stimulants, preparations, foods or diet supplements, dietary regimens and supplements, food or food supplements, appetite suppressants and other medications;</w:t>
      </w:r>
    </w:p>
    <w:p>
      <w:pPr>
        <w:ind w:left="340" w:hanging="331"/>
        <w:spacing w:after="0"/>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Counseling, coaching, training, hypnosis or other forms of therapy; and</w:t>
      </w:r>
    </w:p>
    <w:p>
      <w:pPr>
        <w:spacing w:after="0" w:line="8" w:lineRule="exact"/>
        <w:rPr>
          <w:rFonts w:ascii="Arial" w:cs="Arial" w:eastAsia="Arial" w:hAnsi="Arial"/>
          <w:sz w:val="20"/>
          <w:szCs w:val="20"/>
          <w:color w:val="auto"/>
        </w:rPr>
      </w:pPr>
    </w:p>
    <w:p>
      <w:pPr>
        <w:ind w:left="340" w:right="220" w:hanging="331"/>
        <w:spacing w:after="0" w:line="244" w:lineRule="auto"/>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Exercise programs, exercise equipment, membership to health or fitness clubs, recreational therapy or other forms of activity or activity enhancement.</w:t>
      </w:r>
    </w:p>
    <w:p>
      <w:pPr>
        <w:spacing w:after="0" w:line="1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Work related: Any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related to employment or self-employment including any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that arises out of (or in the course of) any work for pay or profit, unless no other source of coverage or reimbursement is available to you for the services or supplies. Sources of coverage or reimbursement may include your employer, workers’ compensation, or an occupational illness or similar program under local, state or federal law. A source of coverage or reimbursement will be considered available to you even if you waived your right to payment from that source. If you are also covered under a workers’ compensation law or similar law, and submit proof that you are not covered for a particular illness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under such law, that illness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will be considered “non-occupational” regardless of cause.</w:t>
      </w:r>
    </w:p>
    <w:p>
      <w:pPr>
        <w:sectPr>
          <w:pgSz w:w="11900" w:h="16838" w:orient="portrait"/>
          <w:cols w:equalWidth="0" w:num="1">
            <w:col w:w="11300"/>
          </w:cols>
          <w:pgMar w:left="320" w:top="433" w:right="279" w:bottom="1440" w:gutter="0" w:footer="0" w:header="0"/>
        </w:sectPr>
      </w:pPr>
    </w:p>
    <w:bookmarkStart w:id="237" w:name="page238"/>
    <w:bookmarkEnd w:id="237"/>
    <w:p>
      <w:pPr>
        <w:ind w:left="100"/>
        <w:spacing w:after="0"/>
        <w:rPr>
          <w:sz w:val="20"/>
          <w:szCs w:val="20"/>
          <w:color w:val="auto"/>
        </w:rPr>
      </w:pPr>
      <w:r>
        <w:rPr>
          <w:rFonts w:ascii="Arial" w:cs="Arial" w:eastAsia="Arial" w:hAnsi="Arial"/>
          <w:sz w:val="43"/>
          <w:szCs w:val="43"/>
          <w:b w:val="1"/>
          <w:bCs w:val="1"/>
          <w:color w:val="auto"/>
        </w:rPr>
        <w:t xml:space="preserve">Your Pharmacy Benefit </w:t>
      </w:r>
      <w:r>
        <w:rPr>
          <w:rFonts w:ascii="Arial" w:cs="Arial" w:eastAsia="Arial" w:hAnsi="Arial"/>
          <w:sz w:val="14"/>
          <w:szCs w:val="14"/>
          <w:i w:val="1"/>
          <w:iCs w:val="1"/>
          <w:color w:val="auto"/>
        </w:rPr>
        <w:t>(GR-9N-12-005-02)</w:t>
      </w:r>
    </w:p>
    <w:p>
      <w:pPr>
        <w:spacing w:after="0" w:line="345"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How the Pharmacy Plan Works</w:t>
      </w:r>
    </w:p>
    <w:p>
      <w:pPr>
        <w:spacing w:after="0" w:line="231" w:lineRule="exact"/>
        <w:rPr>
          <w:sz w:val="20"/>
          <w:szCs w:val="20"/>
          <w:color w:val="auto"/>
        </w:rPr>
      </w:pPr>
    </w:p>
    <w:p>
      <w:pPr>
        <w:ind w:left="100" w:right="280"/>
        <w:spacing w:after="0" w:line="267" w:lineRule="auto"/>
        <w:rPr>
          <w:sz w:val="20"/>
          <w:szCs w:val="20"/>
          <w:color w:val="auto"/>
        </w:rPr>
      </w:pPr>
      <w:r>
        <w:rPr>
          <w:rFonts w:ascii="Arial" w:cs="Arial" w:eastAsia="Arial" w:hAnsi="Arial"/>
          <w:sz w:val="20"/>
          <w:szCs w:val="20"/>
          <w:color w:val="auto"/>
        </w:rPr>
        <w:t xml:space="preserve">It is important that you have the information and useful resources to help you get the most out of your </w:t>
      </w:r>
      <w:r>
        <w:rPr>
          <w:rFonts w:ascii="Arial" w:cs="Arial" w:eastAsia="Arial" w:hAnsi="Arial"/>
          <w:sz w:val="20"/>
          <w:szCs w:val="20"/>
          <w:b w:val="1"/>
          <w:bCs w:val="1"/>
          <w:color w:val="auto"/>
        </w:rPr>
        <w:t>Aetna prescription drug</w:t>
      </w:r>
      <w:r>
        <w:rPr>
          <w:rFonts w:ascii="Arial" w:cs="Arial" w:eastAsia="Arial" w:hAnsi="Arial"/>
          <w:sz w:val="20"/>
          <w:szCs w:val="20"/>
          <w:color w:val="auto"/>
        </w:rPr>
        <w:t xml:space="preserve"> plan. This Booklet-Certificate explains:</w:t>
      </w:r>
    </w:p>
    <w:p>
      <w:pPr>
        <w:spacing w:after="0" w:line="170" w:lineRule="exact"/>
        <w:rPr>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Definitions you need to know;</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How to access </w:t>
      </w:r>
      <w:r>
        <w:rPr>
          <w:rFonts w:ascii="Arial" w:cs="Arial" w:eastAsia="Arial" w:hAnsi="Arial"/>
          <w:sz w:val="20"/>
          <w:szCs w:val="20"/>
          <w:b w:val="1"/>
          <w:bCs w:val="1"/>
          <w:color w:val="auto"/>
        </w:rPr>
        <w:t>network pharmacies</w:t>
      </w:r>
      <w:r>
        <w:rPr>
          <w:rFonts w:ascii="Arial" w:cs="Arial" w:eastAsia="Arial" w:hAnsi="Arial"/>
          <w:sz w:val="20"/>
          <w:szCs w:val="20"/>
          <w:color w:val="auto"/>
        </w:rPr>
        <w:t xml:space="preserve"> and procedures you need to follow;</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What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expenses are covered and what limits may apply;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What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expenses are not covered by the plan;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How you share the cost of your covered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expenses;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Other important information such as eligibility, complaints and appeals, termination, and general administration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few important notes to consider before moving forward:</w:t>
      </w:r>
    </w:p>
    <w:p>
      <w:pPr>
        <w:spacing w:after="0" w:line="235" w:lineRule="exact"/>
        <w:rPr>
          <w:sz w:val="20"/>
          <w:szCs w:val="20"/>
          <w:color w:val="auto"/>
        </w:rPr>
      </w:pPr>
    </w:p>
    <w:p>
      <w:pPr>
        <w:ind w:left="320" w:hanging="251"/>
        <w:spacing w:after="0"/>
        <w:tabs>
          <w:tab w:leader="none" w:pos="3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Unless otherwise indicated, “you” refers to you and your covered dependents.</w:t>
      </w:r>
    </w:p>
    <w:p>
      <w:pPr>
        <w:spacing w:after="0" w:line="15" w:lineRule="exact"/>
        <w:rPr>
          <w:rFonts w:ascii="Arial" w:cs="Arial" w:eastAsia="Arial" w:hAnsi="Arial"/>
          <w:sz w:val="20"/>
          <w:szCs w:val="20"/>
          <w:color w:val="auto"/>
        </w:rPr>
      </w:pPr>
    </w:p>
    <w:p>
      <w:pPr>
        <w:ind w:left="400" w:right="40" w:hanging="331"/>
        <w:spacing w:after="0" w:line="242" w:lineRule="auto"/>
        <w:tabs>
          <w:tab w:leader="none" w:pos="328" w:val="left"/>
        </w:tabs>
        <w:numPr>
          <w:ilvl w:val="0"/>
          <w:numId w:val="324"/>
        </w:numPr>
        <w:rPr>
          <w:rFonts w:ascii="Arial" w:cs="Arial" w:eastAsia="Arial" w:hAnsi="Arial"/>
          <w:sz w:val="20"/>
          <w:szCs w:val="20"/>
          <w:color w:val="auto"/>
        </w:rPr>
      </w:pPr>
      <w:r>
        <w:rPr>
          <w:rFonts w:ascii="Arial" w:cs="Arial" w:eastAsia="Arial" w:hAnsi="Arial"/>
          <w:sz w:val="20"/>
          <w:szCs w:val="20"/>
          <w:color w:val="auto"/>
        </w:rPr>
        <w:t xml:space="preserve">Your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plan pays benefits only for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expenses described in this Booklet- Certificate as covered expenses that are </w:t>
      </w:r>
      <w:r>
        <w:rPr>
          <w:rFonts w:ascii="Arial" w:cs="Arial" w:eastAsia="Arial" w:hAnsi="Arial"/>
          <w:sz w:val="20"/>
          <w:szCs w:val="20"/>
          <w:b w:val="1"/>
          <w:bCs w:val="1"/>
          <w:color w:val="auto"/>
        </w:rPr>
        <w:t>medically necessary</w:t>
      </w:r>
      <w:r>
        <w:rPr>
          <w:rFonts w:ascii="Arial" w:cs="Arial" w:eastAsia="Arial" w:hAnsi="Arial"/>
          <w:sz w:val="20"/>
          <w:szCs w:val="20"/>
          <w:color w:val="auto"/>
        </w:rPr>
        <w:t>.</w:t>
      </w:r>
    </w:p>
    <w:p>
      <w:pPr>
        <w:ind w:left="320" w:right="2100" w:hanging="251"/>
        <w:spacing w:after="0" w:line="253" w:lineRule="auto"/>
        <w:tabs>
          <w:tab w:leader="none" w:pos="320" w:val="left"/>
        </w:tabs>
        <w:numPr>
          <w:ilvl w:val="0"/>
          <w:numId w:val="324"/>
        </w:numPr>
        <w:rPr>
          <w:rFonts w:ascii="Arial" w:cs="Arial" w:eastAsia="Arial" w:hAnsi="Arial"/>
          <w:sz w:val="20"/>
          <w:szCs w:val="20"/>
          <w:b w:val="1"/>
          <w:bCs w:val="1"/>
          <w:color w:val="auto"/>
        </w:rPr>
      </w:pPr>
      <w:r>
        <w:rPr>
          <w:rFonts w:ascii="Arial" w:cs="Arial" w:eastAsia="Arial" w:hAnsi="Arial"/>
          <w:sz w:val="20"/>
          <w:szCs w:val="20"/>
          <w:color w:val="auto"/>
        </w:rPr>
        <w:t xml:space="preserve">This Booklet-Certificate applies to coverage only and does not restrict your ability to receive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that are not or might not be covered benefits under this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plan.</w:t>
      </w:r>
    </w:p>
    <w:p>
      <w:pPr>
        <w:spacing w:after="0" w:line="1" w:lineRule="exact"/>
        <w:rPr>
          <w:rFonts w:ascii="Arial" w:cs="Arial" w:eastAsia="Arial" w:hAnsi="Arial"/>
          <w:sz w:val="20"/>
          <w:szCs w:val="20"/>
          <w:b w:val="1"/>
          <w:bCs w:val="1"/>
          <w:color w:val="auto"/>
        </w:rPr>
      </w:pPr>
    </w:p>
    <w:p>
      <w:pPr>
        <w:ind w:left="320" w:hanging="251"/>
        <w:spacing w:after="0" w:line="228" w:lineRule="auto"/>
        <w:tabs>
          <w:tab w:leader="none" w:pos="3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Store this Booklet-Certificate in a safe place for future reference.</w:t>
      </w:r>
    </w:p>
    <w:p>
      <w:pPr>
        <w:spacing w:after="0"/>
        <w:rPr>
          <w:sz w:val="20"/>
          <w:szCs w:val="20"/>
          <w:color w:val="auto"/>
        </w:rPr>
      </w:pPr>
      <w:r>
        <w:rPr>
          <w:rFonts w:ascii="Arial" w:cs="Arial" w:eastAsia="Arial" w:hAnsi="Arial"/>
          <w:sz w:val="14"/>
          <w:szCs w:val="14"/>
          <w:i w:val="1"/>
          <w:iCs w:val="1"/>
          <w:color w:val="auto"/>
        </w:rPr>
        <w:t>(GR-9N 12-005 01 VA)</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w:t>
      </w:r>
    </w:p>
    <w:p>
      <w:pPr>
        <w:ind w:right="360"/>
        <w:spacing w:after="0" w:line="244" w:lineRule="auto"/>
        <w:rPr>
          <w:sz w:val="20"/>
          <w:szCs w:val="20"/>
          <w:color w:val="auto"/>
        </w:rPr>
      </w:pPr>
      <w:r>
        <w:rPr>
          <w:rFonts w:ascii="Arial" w:cs="Arial" w:eastAsia="Arial" w:hAnsi="Arial"/>
          <w:sz w:val="20"/>
          <w:szCs w:val="20"/>
          <w:color w:val="auto"/>
        </w:rPr>
        <w:t xml:space="preserve">The plan does not cover all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medications and supplies. Refer to the Limitations section of this coverage and </w:t>
      </w:r>
      <w:r>
        <w:rPr>
          <w:rFonts w:ascii="Arial" w:cs="Arial" w:eastAsia="Arial" w:hAnsi="Arial"/>
          <w:sz w:val="20"/>
          <w:szCs w:val="20"/>
          <w:i w:val="1"/>
          <w:iCs w:val="1"/>
          <w:color w:val="auto"/>
        </w:rPr>
        <w:t>Exclusions</w:t>
      </w:r>
      <w:r>
        <w:rPr>
          <w:rFonts w:ascii="Arial" w:cs="Arial" w:eastAsia="Arial" w:hAnsi="Arial"/>
          <w:sz w:val="20"/>
          <w:szCs w:val="20"/>
          <w:color w:val="auto"/>
        </w:rPr>
        <w:t xml:space="preserve"> section of your Booklet-Certificate.</w:t>
      </w:r>
    </w:p>
    <w:p>
      <w:pPr>
        <w:spacing w:after="0" w:line="186" w:lineRule="exact"/>
        <w:rPr>
          <w:sz w:val="20"/>
          <w:szCs w:val="20"/>
          <w:color w:val="auto"/>
        </w:rPr>
      </w:pPr>
    </w:p>
    <w:p>
      <w:pPr>
        <w:ind w:left="400" w:right="40" w:hanging="331"/>
        <w:spacing w:after="0" w:line="251" w:lineRule="auto"/>
        <w:tabs>
          <w:tab w:leader="none" w:pos="328" w:val="left"/>
        </w:tabs>
        <w:numPr>
          <w:ilvl w:val="0"/>
          <w:numId w:val="325"/>
        </w:numPr>
        <w:rPr>
          <w:rFonts w:ascii="Arial" w:cs="Arial" w:eastAsia="Arial" w:hAnsi="Arial"/>
          <w:sz w:val="20"/>
          <w:szCs w:val="20"/>
          <w:color w:val="auto"/>
        </w:rPr>
      </w:pPr>
      <w:r>
        <w:rPr>
          <w:rFonts w:ascii="Arial" w:cs="Arial" w:eastAsia="Arial" w:hAnsi="Arial"/>
          <w:sz w:val="20"/>
          <w:szCs w:val="20"/>
          <w:b w:val="1"/>
          <w:bCs w:val="1"/>
          <w:color w:val="auto"/>
        </w:rPr>
        <w:t xml:space="preserve">Covered expenses </w:t>
      </w:r>
      <w:r>
        <w:rPr>
          <w:rFonts w:ascii="Arial" w:cs="Arial" w:eastAsia="Arial" w:hAnsi="Arial"/>
          <w:sz w:val="20"/>
          <w:szCs w:val="20"/>
          <w:color w:val="auto"/>
        </w:rPr>
        <w:t>are subject to cost sharing requirements as described in the Cost Sharing sections of this coverage and in your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of Benefits.</w:t>
      </w:r>
    </w:p>
    <w:p>
      <w:pPr>
        <w:ind w:left="320" w:hanging="251"/>
        <w:spacing w:after="0"/>
        <w:tabs>
          <w:tab w:leader="none" w:pos="320" w:val="left"/>
        </w:tabs>
        <w:numPr>
          <w:ilvl w:val="0"/>
          <w:numId w:val="325"/>
        </w:numPr>
        <w:rPr>
          <w:rFonts w:ascii="Arial" w:cs="Arial" w:eastAsia="Arial" w:hAnsi="Arial"/>
          <w:sz w:val="20"/>
          <w:szCs w:val="20"/>
          <w:color w:val="auto"/>
        </w:rPr>
      </w:pPr>
      <w:r>
        <w:rPr>
          <w:rFonts w:ascii="Arial" w:cs="Arial" w:eastAsia="Arial" w:hAnsi="Arial"/>
          <w:sz w:val="20"/>
          <w:szCs w:val="20"/>
          <w:b w:val="1"/>
          <w:bCs w:val="1"/>
          <w:color w:val="auto"/>
        </w:rPr>
        <w:t xml:space="preserve">Injectable prescription drug </w:t>
      </w:r>
      <w:r>
        <w:rPr>
          <w:rFonts w:ascii="Arial" w:cs="Arial" w:eastAsia="Arial" w:hAnsi="Arial"/>
          <w:sz w:val="20"/>
          <w:szCs w:val="20"/>
          <w:color w:val="auto"/>
        </w:rPr>
        <w:t>refills will only be covered when obtained through</w:t>
      </w:r>
      <w:r>
        <w:rPr>
          <w:rFonts w:ascii="Arial" w:cs="Arial" w:eastAsia="Arial" w:hAnsi="Arial"/>
          <w:sz w:val="20"/>
          <w:szCs w:val="20"/>
          <w:b w:val="1"/>
          <w:bCs w:val="1"/>
          <w:color w:val="auto"/>
        </w:rPr>
        <w:t xml:space="preserve"> Aetna’s specialty pharmacy network</w:t>
      </w: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Getting Started: Common Terms</w:t>
      </w:r>
    </w:p>
    <w:p>
      <w:pPr>
        <w:spacing w:after="0" w:line="237" w:lineRule="exact"/>
        <w:rPr>
          <w:sz w:val="20"/>
          <w:szCs w:val="20"/>
          <w:color w:val="auto"/>
        </w:rPr>
      </w:pPr>
    </w:p>
    <w:p>
      <w:pPr>
        <w:ind w:left="100" w:right="200"/>
        <w:spacing w:after="0" w:line="250" w:lineRule="auto"/>
        <w:rPr>
          <w:sz w:val="20"/>
          <w:szCs w:val="20"/>
          <w:color w:val="auto"/>
        </w:rPr>
      </w:pPr>
      <w:r>
        <w:rPr>
          <w:rFonts w:ascii="Arial" w:cs="Arial" w:eastAsia="Arial" w:hAnsi="Arial"/>
          <w:sz w:val="20"/>
          <w:szCs w:val="20"/>
          <w:color w:val="auto"/>
        </w:rPr>
        <w:t xml:space="preserve">You will find the terms below used throughout this Booklet-Certificate. They are described within the sections that follow, and you can also refer to the </w:t>
      </w:r>
      <w:r>
        <w:rPr>
          <w:rFonts w:ascii="Arial" w:cs="Arial" w:eastAsia="Arial" w:hAnsi="Arial"/>
          <w:sz w:val="20"/>
          <w:szCs w:val="20"/>
          <w:i w:val="1"/>
          <w:iCs w:val="1"/>
          <w:color w:val="auto"/>
        </w:rPr>
        <w:t>Glossary</w:t>
      </w:r>
      <w:r>
        <w:rPr>
          <w:rFonts w:ascii="Arial" w:cs="Arial" w:eastAsia="Arial" w:hAnsi="Arial"/>
          <w:sz w:val="20"/>
          <w:szCs w:val="20"/>
          <w:color w:val="auto"/>
        </w:rPr>
        <w:t xml:space="preserve"> at the back of this document for helpful definitions. Words in bold print throughout the document are defined in the </w:t>
      </w:r>
      <w:r>
        <w:rPr>
          <w:rFonts w:ascii="Arial" w:cs="Arial" w:eastAsia="Arial" w:hAnsi="Arial"/>
          <w:sz w:val="20"/>
          <w:szCs w:val="20"/>
          <w:i w:val="1"/>
          <w:iCs w:val="1"/>
          <w:color w:val="auto"/>
        </w:rPr>
        <w:t>Glossary</w:t>
      </w:r>
      <w:r>
        <w:rPr>
          <w:rFonts w:ascii="Arial" w:cs="Arial" w:eastAsia="Arial" w:hAnsi="Arial"/>
          <w:sz w:val="20"/>
          <w:szCs w:val="20"/>
          <w:color w:val="auto"/>
        </w:rPr>
        <w:t>.</w:t>
      </w:r>
    </w:p>
    <w:p>
      <w:pPr>
        <w:spacing w:after="0" w:line="194" w:lineRule="exact"/>
        <w:rPr>
          <w:sz w:val="20"/>
          <w:szCs w:val="20"/>
          <w:color w:val="auto"/>
        </w:rPr>
      </w:pPr>
    </w:p>
    <w:p>
      <w:pPr>
        <w:ind w:left="100" w:right="360"/>
        <w:spacing w:after="0" w:line="267" w:lineRule="auto"/>
        <w:rPr>
          <w:sz w:val="20"/>
          <w:szCs w:val="20"/>
          <w:color w:val="auto"/>
        </w:rPr>
      </w:pPr>
      <w:r>
        <w:rPr>
          <w:rFonts w:ascii="Arial" w:cs="Arial" w:eastAsia="Arial" w:hAnsi="Arial"/>
          <w:sz w:val="20"/>
          <w:szCs w:val="20"/>
          <w:b w:val="1"/>
          <w:bCs w:val="1"/>
          <w:color w:val="auto"/>
        </w:rPr>
        <w:t xml:space="preserve">Brand-Named Prescription Drug </w:t>
      </w:r>
      <w:r>
        <w:rPr>
          <w:rFonts w:ascii="Arial" w:cs="Arial" w:eastAsia="Arial" w:hAnsi="Arial"/>
          <w:sz w:val="20"/>
          <w:szCs w:val="20"/>
          <w:color w:val="auto"/>
        </w:rPr>
        <w:t>is a</w:t>
      </w:r>
      <w:r>
        <w:rPr>
          <w:rFonts w:ascii="Arial" w:cs="Arial" w:eastAsia="Arial" w:hAnsi="Arial"/>
          <w:sz w:val="20"/>
          <w:szCs w:val="20"/>
          <w:b w:val="1"/>
          <w:bCs w:val="1"/>
          <w:color w:val="auto"/>
        </w:rPr>
        <w:t xml:space="preserve"> prescription drug </w:t>
      </w:r>
      <w:r>
        <w:rPr>
          <w:rFonts w:ascii="Arial" w:cs="Arial" w:eastAsia="Arial" w:hAnsi="Arial"/>
          <w:sz w:val="20"/>
          <w:szCs w:val="20"/>
          <w:color w:val="auto"/>
        </w:rPr>
        <w:t>with a proprietary name assigned to it by the manufacturer and so indicated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Medispan or any other similar publication designated by </w:t>
      </w:r>
      <w:r>
        <w:rPr>
          <w:rFonts w:ascii="Arial" w:cs="Arial" w:eastAsia="Arial" w:hAnsi="Arial"/>
          <w:sz w:val="20"/>
          <w:szCs w:val="20"/>
          <w:b w:val="1"/>
          <w:bCs w:val="1"/>
          <w:color w:val="auto"/>
        </w:rPr>
        <w:t>Aetna</w:t>
      </w:r>
      <w:r>
        <w:rPr>
          <w:rFonts w:ascii="Arial" w:cs="Arial" w:eastAsia="Arial" w:hAnsi="Arial"/>
          <w:sz w:val="20"/>
          <w:szCs w:val="20"/>
          <w:color w:val="auto"/>
        </w:rPr>
        <w:t>.</w:t>
      </w:r>
    </w:p>
    <w:p>
      <w:pPr>
        <w:spacing w:after="0" w:line="177" w:lineRule="exact"/>
        <w:rPr>
          <w:sz w:val="20"/>
          <w:szCs w:val="20"/>
          <w:color w:val="auto"/>
        </w:rPr>
      </w:pPr>
    </w:p>
    <w:p>
      <w:pPr>
        <w:ind w:left="100"/>
        <w:spacing w:after="0" w:line="273" w:lineRule="auto"/>
        <w:rPr>
          <w:sz w:val="20"/>
          <w:szCs w:val="20"/>
          <w:color w:val="auto"/>
        </w:rPr>
      </w:pPr>
      <w:r>
        <w:rPr>
          <w:rFonts w:ascii="Arial" w:cs="Arial" w:eastAsia="Arial" w:hAnsi="Arial"/>
          <w:sz w:val="19"/>
          <w:szCs w:val="19"/>
          <w:b w:val="1"/>
          <w:bCs w:val="1"/>
          <w:color w:val="auto"/>
        </w:rPr>
        <w:t xml:space="preserve">Generic Prescription Drug </w:t>
      </w:r>
      <w:r>
        <w:rPr>
          <w:rFonts w:ascii="Arial" w:cs="Arial" w:eastAsia="Arial" w:hAnsi="Arial"/>
          <w:sz w:val="19"/>
          <w:szCs w:val="19"/>
          <w:color w:val="auto"/>
        </w:rPr>
        <w:t>is a</w:t>
      </w:r>
      <w:r>
        <w:rPr>
          <w:rFonts w:ascii="Arial" w:cs="Arial" w:eastAsia="Arial" w:hAnsi="Arial"/>
          <w:sz w:val="19"/>
          <w:szCs w:val="19"/>
          <w:b w:val="1"/>
          <w:bCs w:val="1"/>
          <w:color w:val="auto"/>
        </w:rPr>
        <w:t xml:space="preserve"> prescription drug</w:t>
      </w:r>
      <w:r>
        <w:rPr>
          <w:rFonts w:ascii="Arial" w:cs="Arial" w:eastAsia="Arial" w:hAnsi="Arial"/>
          <w:sz w:val="19"/>
          <w:szCs w:val="19"/>
          <w:color w:val="auto"/>
        </w:rPr>
        <w:t>, whether identified by its chemical, proprietary, or non- proprietary name, that is accepted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U.S. Food and Drug Administration as therapeutically equivalent and interchangeable with drugs having an identical amount of the same active ingredient. These drugs are identified by Medispan or any other publication designated by </w:t>
      </w:r>
      <w:r>
        <w:rPr>
          <w:rFonts w:ascii="Arial" w:cs="Arial" w:eastAsia="Arial" w:hAnsi="Arial"/>
          <w:sz w:val="19"/>
          <w:szCs w:val="19"/>
          <w:b w:val="1"/>
          <w:bCs w:val="1"/>
          <w:color w:val="auto"/>
        </w:rPr>
        <w:t>Aetna</w:t>
      </w:r>
      <w:r>
        <w:rPr>
          <w:rFonts w:ascii="Arial" w:cs="Arial" w:eastAsia="Arial" w:hAnsi="Arial"/>
          <w:sz w:val="19"/>
          <w:szCs w:val="19"/>
          <w:color w:val="auto"/>
        </w:rPr>
        <w:t>.</w:t>
      </w:r>
    </w:p>
    <w:p>
      <w:pPr>
        <w:spacing w:after="0" w:line="173" w:lineRule="exact"/>
        <w:rPr>
          <w:sz w:val="20"/>
          <w:szCs w:val="20"/>
          <w:color w:val="auto"/>
        </w:rPr>
      </w:pPr>
    </w:p>
    <w:p>
      <w:pPr>
        <w:ind w:left="100" w:right="20"/>
        <w:spacing w:after="0" w:line="248" w:lineRule="auto"/>
        <w:rPr>
          <w:sz w:val="20"/>
          <w:szCs w:val="20"/>
          <w:color w:val="auto"/>
        </w:rPr>
      </w:pPr>
      <w:r>
        <w:rPr>
          <w:rFonts w:ascii="Arial" w:cs="Arial" w:eastAsia="Arial" w:hAnsi="Arial"/>
          <w:sz w:val="20"/>
          <w:szCs w:val="20"/>
          <w:b w:val="1"/>
          <w:bCs w:val="1"/>
          <w:color w:val="auto"/>
        </w:rPr>
        <w:t xml:space="preserve">Network pharmacy </w:t>
      </w:r>
      <w:r>
        <w:rPr>
          <w:rFonts w:ascii="Arial" w:cs="Arial" w:eastAsia="Arial" w:hAnsi="Arial"/>
          <w:sz w:val="20"/>
          <w:szCs w:val="20"/>
          <w:color w:val="auto"/>
        </w:rPr>
        <w:t>is a description of a</w:t>
      </w:r>
      <w:r>
        <w:rPr>
          <w:rFonts w:ascii="Arial" w:cs="Arial" w:eastAsia="Arial" w:hAnsi="Arial"/>
          <w:sz w:val="20"/>
          <w:szCs w:val="20"/>
          <w:b w:val="1"/>
          <w:bCs w:val="1"/>
          <w:color w:val="auto"/>
        </w:rPr>
        <w:t xml:space="preserve"> retail, mail order or specialty pharmacy </w:t>
      </w:r>
      <w:r>
        <w:rPr>
          <w:rFonts w:ascii="Arial" w:cs="Arial" w:eastAsia="Arial" w:hAnsi="Arial"/>
          <w:sz w:val="20"/>
          <w:szCs w:val="20"/>
          <w:color w:val="auto"/>
        </w:rPr>
        <w:t>that has entered into a contractual agreement with</w:t>
      </w:r>
      <w:r>
        <w:rPr>
          <w:rFonts w:ascii="Arial" w:cs="Arial" w:eastAsia="Arial" w:hAnsi="Arial"/>
          <w:sz w:val="20"/>
          <w:szCs w:val="20"/>
          <w:b w:val="1"/>
          <w:bCs w:val="1"/>
          <w:color w:val="auto"/>
        </w:rPr>
        <w:t xml:space="preserve"> Aetna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 affiliate, or a third party vendor, for the provision of </w:t>
      </w:r>
      <w:r>
        <w:rPr>
          <w:rFonts w:ascii="Arial" w:cs="Arial" w:eastAsia="Arial" w:hAnsi="Arial"/>
          <w:sz w:val="20"/>
          <w:szCs w:val="20"/>
          <w:b w:val="1"/>
          <w:bCs w:val="1"/>
          <w:color w:val="auto"/>
        </w:rPr>
        <w:t>covered services</w:t>
      </w:r>
      <w:r>
        <w:rPr>
          <w:rFonts w:ascii="Arial" w:cs="Arial" w:eastAsia="Arial" w:hAnsi="Arial"/>
          <w:sz w:val="20"/>
          <w:szCs w:val="20"/>
          <w:color w:val="auto"/>
        </w:rPr>
        <w:t xml:space="preserve"> to you and your covered dependents. The appropriate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type may also be substituted for the word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(E.g. </w:t>
      </w:r>
      <w:r>
        <w:rPr>
          <w:rFonts w:ascii="Arial" w:cs="Arial" w:eastAsia="Arial" w:hAnsi="Arial"/>
          <w:sz w:val="20"/>
          <w:szCs w:val="20"/>
          <w:b w:val="1"/>
          <w:bCs w:val="1"/>
          <w:color w:val="auto"/>
        </w:rPr>
        <w:t>network retail pharmacy, network mail order pharmacy or specialty</w:t>
      </w:r>
      <w:r>
        <w:rPr>
          <w:rFonts w:ascii="Arial" w:cs="Arial" w:eastAsia="Arial" w:hAnsi="Arial"/>
          <w:sz w:val="20"/>
          <w:szCs w:val="20"/>
          <w:color w:val="auto"/>
        </w:rPr>
        <w:t xml:space="preserve"> </w:t>
      </w:r>
      <w:r>
        <w:rPr>
          <w:rFonts w:ascii="Arial" w:cs="Arial" w:eastAsia="Arial" w:hAnsi="Arial"/>
          <w:sz w:val="20"/>
          <w:szCs w:val="20"/>
          <w:b w:val="1"/>
          <w:bCs w:val="1"/>
          <w:color w:val="auto"/>
        </w:rPr>
        <w:t>pharmacy network</w:t>
      </w:r>
      <w:r>
        <w:rPr>
          <w:rFonts w:ascii="Arial" w:cs="Arial" w:eastAsia="Arial" w:hAnsi="Arial"/>
          <w:sz w:val="20"/>
          <w:szCs w:val="20"/>
          <w:color w:val="auto"/>
        </w:rPr>
        <w:t>).</w:t>
      </w:r>
    </w:p>
    <w:p>
      <w:pPr>
        <w:sectPr>
          <w:pgSz w:w="11900" w:h="16838" w:orient="portrait"/>
          <w:cols w:equalWidth="0" w:num="1">
            <w:col w:w="11380"/>
          </w:cols>
          <w:pgMar w:left="260" w:top="421" w:right="259" w:bottom="1440" w:gutter="0" w:footer="0" w:header="0"/>
        </w:sectPr>
      </w:pPr>
    </w:p>
    <w:bookmarkStart w:id="238" w:name="page239"/>
    <w:bookmarkEnd w:id="238"/>
    <w:p>
      <w:pPr>
        <w:ind w:right="440"/>
        <w:spacing w:after="0" w:line="267" w:lineRule="auto"/>
        <w:rPr>
          <w:sz w:val="20"/>
          <w:szCs w:val="20"/>
          <w:color w:val="auto"/>
        </w:rPr>
      </w:pPr>
      <w:r>
        <w:rPr>
          <w:rFonts w:ascii="Arial" w:cs="Arial" w:eastAsia="Arial" w:hAnsi="Arial"/>
          <w:sz w:val="20"/>
          <w:szCs w:val="20"/>
          <w:b w:val="1"/>
          <w:bCs w:val="1"/>
          <w:color w:val="auto"/>
        </w:rPr>
        <w:t xml:space="preserve">Non-Preferred Drug (Non-Formulary) </w:t>
      </w:r>
      <w:r>
        <w:rPr>
          <w:rFonts w:ascii="Arial" w:cs="Arial" w:eastAsia="Arial" w:hAnsi="Arial"/>
          <w:sz w:val="20"/>
          <w:szCs w:val="20"/>
          <w:color w:val="auto"/>
        </w:rPr>
        <w:t>is a</w:t>
      </w:r>
      <w:r>
        <w:rPr>
          <w:rFonts w:ascii="Arial" w:cs="Arial" w:eastAsia="Arial" w:hAnsi="Arial"/>
          <w:sz w:val="20"/>
          <w:szCs w:val="20"/>
          <w:b w:val="1"/>
          <w:bCs w:val="1"/>
          <w:color w:val="auto"/>
        </w:rPr>
        <w:t xml:space="preserve"> brand-named prescription drug </w:t>
      </w:r>
      <w:r>
        <w:rPr>
          <w:rFonts w:ascii="Arial" w:cs="Arial" w:eastAsia="Arial" w:hAnsi="Arial"/>
          <w:sz w:val="20"/>
          <w:szCs w:val="20"/>
          <w:color w:val="auto"/>
        </w:rPr>
        <w:t>or</w:t>
      </w:r>
      <w:r>
        <w:rPr>
          <w:rFonts w:ascii="Arial" w:cs="Arial" w:eastAsia="Arial" w:hAnsi="Arial"/>
          <w:sz w:val="20"/>
          <w:szCs w:val="20"/>
          <w:b w:val="1"/>
          <w:bCs w:val="1"/>
          <w:color w:val="auto"/>
        </w:rPr>
        <w:t xml:space="preserve"> generic prescription drug </w:t>
      </w:r>
      <w:r>
        <w:rPr>
          <w:rFonts w:ascii="Arial" w:cs="Arial" w:eastAsia="Arial" w:hAnsi="Arial"/>
          <w:sz w:val="20"/>
          <w:szCs w:val="20"/>
          <w:color w:val="auto"/>
        </w:rPr>
        <w:t>that does not appear on the</w:t>
      </w:r>
      <w:r>
        <w:rPr>
          <w:rFonts w:ascii="Arial" w:cs="Arial" w:eastAsia="Arial" w:hAnsi="Arial"/>
          <w:sz w:val="20"/>
          <w:szCs w:val="20"/>
          <w:b w:val="1"/>
          <w:bCs w:val="1"/>
          <w:color w:val="auto"/>
        </w:rPr>
        <w:t xml:space="preserve"> preferred drug guide</w:t>
      </w:r>
      <w:r>
        <w:rPr>
          <w:rFonts w:ascii="Arial" w:cs="Arial" w:eastAsia="Arial" w:hAnsi="Arial"/>
          <w:sz w:val="20"/>
          <w:szCs w:val="20"/>
          <w:color w:val="auto"/>
        </w:rPr>
        <w:t>.</w:t>
      </w:r>
    </w:p>
    <w:p>
      <w:pPr>
        <w:spacing w:after="0" w:line="177"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 xml:space="preserve">Out-of-network pharmacy </w:t>
      </w:r>
      <w:r>
        <w:rPr>
          <w:rFonts w:ascii="Arial" w:cs="Arial" w:eastAsia="Arial" w:hAnsi="Arial"/>
          <w:sz w:val="20"/>
          <w:szCs w:val="20"/>
          <w:color w:val="auto"/>
        </w:rPr>
        <w:t>is a description of a</w:t>
      </w:r>
      <w:r>
        <w:rPr>
          <w:rFonts w:ascii="Arial" w:cs="Arial" w:eastAsia="Arial" w:hAnsi="Arial"/>
          <w:sz w:val="20"/>
          <w:szCs w:val="20"/>
          <w:b w:val="1"/>
          <w:bCs w:val="1"/>
          <w:color w:val="auto"/>
        </w:rPr>
        <w:t xml:space="preserve"> pharmacy </w:t>
      </w:r>
      <w:r>
        <w:rPr>
          <w:rFonts w:ascii="Arial" w:cs="Arial" w:eastAsia="Arial" w:hAnsi="Arial"/>
          <w:sz w:val="20"/>
          <w:szCs w:val="20"/>
          <w:color w:val="auto"/>
        </w:rPr>
        <w:t>that has not contracted with</w:t>
      </w:r>
      <w:r>
        <w:rPr>
          <w:rFonts w:ascii="Arial" w:cs="Arial" w:eastAsia="Arial" w:hAnsi="Arial"/>
          <w:sz w:val="20"/>
          <w:szCs w:val="20"/>
          <w:b w:val="1"/>
          <w:bCs w:val="1"/>
          <w:color w:val="auto"/>
        </w:rPr>
        <w:t xml:space="preserve"> Aetna</w:t>
      </w:r>
      <w:r>
        <w:rPr>
          <w:rFonts w:ascii="Arial" w:cs="Arial" w:eastAsia="Arial" w:hAnsi="Arial"/>
          <w:sz w:val="20"/>
          <w:szCs w:val="20"/>
          <w:color w:val="auto"/>
        </w:rPr>
        <w:t>, an affiliate, or a third party vendor, and does</w:t>
      </w:r>
      <w:r>
        <w:rPr>
          <w:rFonts w:ascii="Arial" w:cs="Arial" w:eastAsia="Arial" w:hAnsi="Arial"/>
          <w:sz w:val="20"/>
          <w:szCs w:val="20"/>
          <w:b w:val="1"/>
          <w:bCs w:val="1"/>
          <w:color w:val="auto"/>
        </w:rPr>
        <w:t xml:space="preserve"> </w:t>
      </w:r>
      <w:r>
        <w:rPr>
          <w:rFonts w:ascii="Arial" w:cs="Arial" w:eastAsia="Arial" w:hAnsi="Arial"/>
          <w:sz w:val="20"/>
          <w:szCs w:val="20"/>
          <w:color w:val="auto"/>
        </w:rPr>
        <w:t>not participate in the pharmacy network.</w:t>
      </w:r>
    </w:p>
    <w:p>
      <w:pPr>
        <w:spacing w:after="0" w:line="177" w:lineRule="exact"/>
        <w:rPr>
          <w:sz w:val="20"/>
          <w:szCs w:val="20"/>
          <w:color w:val="auto"/>
        </w:rPr>
      </w:pPr>
    </w:p>
    <w:p>
      <w:pPr>
        <w:ind w:right="2100"/>
        <w:spacing w:after="0" w:line="267" w:lineRule="auto"/>
        <w:rPr>
          <w:sz w:val="20"/>
          <w:szCs w:val="20"/>
          <w:color w:val="auto"/>
        </w:rPr>
      </w:pPr>
      <w:r>
        <w:rPr>
          <w:rFonts w:ascii="Arial" w:cs="Arial" w:eastAsia="Arial" w:hAnsi="Arial"/>
          <w:sz w:val="20"/>
          <w:szCs w:val="20"/>
          <w:color w:val="auto"/>
        </w:rPr>
        <w:t xml:space="preserve">Preferred Drug (Formulary) is a </w:t>
      </w:r>
      <w:r>
        <w:rPr>
          <w:rFonts w:ascii="Arial" w:cs="Arial" w:eastAsia="Arial" w:hAnsi="Arial"/>
          <w:sz w:val="20"/>
          <w:szCs w:val="20"/>
          <w:b w:val="1"/>
          <w:bCs w:val="1"/>
          <w:color w:val="auto"/>
        </w:rPr>
        <w:t>brand-named prescription drug</w:t>
      </w:r>
      <w:r>
        <w:rPr>
          <w:rFonts w:ascii="Arial" w:cs="Arial" w:eastAsia="Arial" w:hAnsi="Arial"/>
          <w:sz w:val="20"/>
          <w:szCs w:val="20"/>
          <w:color w:val="auto"/>
        </w:rPr>
        <w:t xml:space="preserve"> or </w:t>
      </w:r>
      <w:r>
        <w:rPr>
          <w:rFonts w:ascii="Arial" w:cs="Arial" w:eastAsia="Arial" w:hAnsi="Arial"/>
          <w:sz w:val="20"/>
          <w:szCs w:val="20"/>
          <w:b w:val="1"/>
          <w:bCs w:val="1"/>
          <w:color w:val="auto"/>
        </w:rPr>
        <w:t>generic prescription drug</w:t>
      </w:r>
      <w:r>
        <w:rPr>
          <w:rFonts w:ascii="Arial" w:cs="Arial" w:eastAsia="Arial" w:hAnsi="Arial"/>
          <w:sz w:val="20"/>
          <w:szCs w:val="20"/>
          <w:color w:val="auto"/>
        </w:rPr>
        <w:t xml:space="preserve"> that appears on the </w:t>
      </w:r>
      <w:r>
        <w:rPr>
          <w:rFonts w:ascii="Arial" w:cs="Arial" w:eastAsia="Arial" w:hAnsi="Arial"/>
          <w:sz w:val="20"/>
          <w:szCs w:val="20"/>
          <w:b w:val="1"/>
          <w:bCs w:val="1"/>
          <w:color w:val="auto"/>
        </w:rPr>
        <w:t>preferred drug guide</w:t>
      </w:r>
      <w:r>
        <w:rPr>
          <w:rFonts w:ascii="Arial" w:cs="Arial" w:eastAsia="Arial" w:hAnsi="Arial"/>
          <w:sz w:val="20"/>
          <w:szCs w:val="20"/>
          <w:color w:val="auto"/>
        </w:rPr>
        <w:t>.</w:t>
      </w:r>
    </w:p>
    <w:p>
      <w:pPr>
        <w:spacing w:after="0" w:line="177"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b w:val="1"/>
          <w:bCs w:val="1"/>
          <w:color w:val="auto"/>
        </w:rPr>
        <w:t xml:space="preserve">Preferred Drug Guide </w:t>
      </w:r>
      <w:r>
        <w:rPr>
          <w:rFonts w:ascii="Arial" w:cs="Arial" w:eastAsia="Arial" w:hAnsi="Arial"/>
          <w:sz w:val="19"/>
          <w:szCs w:val="19"/>
          <w:color w:val="auto"/>
        </w:rPr>
        <w:t>is a listing of</w:t>
      </w:r>
      <w:r>
        <w:rPr>
          <w:rFonts w:ascii="Arial" w:cs="Arial" w:eastAsia="Arial" w:hAnsi="Arial"/>
          <w:sz w:val="19"/>
          <w:szCs w:val="19"/>
          <w:b w:val="1"/>
          <w:bCs w:val="1"/>
          <w:color w:val="auto"/>
        </w:rPr>
        <w:t xml:space="preserve"> prescription drugs </w:t>
      </w:r>
      <w:r>
        <w:rPr>
          <w:rFonts w:ascii="Arial" w:cs="Arial" w:eastAsia="Arial" w:hAnsi="Arial"/>
          <w:sz w:val="19"/>
          <w:szCs w:val="19"/>
          <w:color w:val="auto"/>
        </w:rPr>
        <w:t>established by</w:t>
      </w:r>
      <w:r>
        <w:rPr>
          <w:rFonts w:ascii="Arial" w:cs="Arial" w:eastAsia="Arial" w:hAnsi="Arial"/>
          <w:sz w:val="19"/>
          <w:szCs w:val="19"/>
          <w:b w:val="1"/>
          <w:bCs w:val="1"/>
          <w:color w:val="auto"/>
        </w:rPr>
        <w:t xml:space="preserve"> Aetna </w:t>
      </w:r>
      <w:r>
        <w:rPr>
          <w:rFonts w:ascii="Arial" w:cs="Arial" w:eastAsia="Arial" w:hAnsi="Arial"/>
          <w:sz w:val="19"/>
          <w:szCs w:val="19"/>
          <w:color w:val="auto"/>
        </w:rPr>
        <w:t>or an affiliate, which includes both</w:t>
      </w:r>
      <w:r>
        <w:rPr>
          <w:rFonts w:ascii="Arial" w:cs="Arial" w:eastAsia="Arial" w:hAnsi="Arial"/>
          <w:sz w:val="19"/>
          <w:szCs w:val="19"/>
          <w:b w:val="1"/>
          <w:bCs w:val="1"/>
          <w:color w:val="auto"/>
        </w:rPr>
        <w:t xml:space="preserve"> brand-named prescription drugs </w:t>
      </w:r>
      <w:r>
        <w:rPr>
          <w:rFonts w:ascii="Arial" w:cs="Arial" w:eastAsia="Arial" w:hAnsi="Arial"/>
          <w:sz w:val="19"/>
          <w:szCs w:val="19"/>
          <w:color w:val="auto"/>
        </w:rPr>
        <w:t>and</w:t>
      </w:r>
      <w:r>
        <w:rPr>
          <w:rFonts w:ascii="Arial" w:cs="Arial" w:eastAsia="Arial" w:hAnsi="Arial"/>
          <w:sz w:val="19"/>
          <w:szCs w:val="19"/>
          <w:b w:val="1"/>
          <w:bCs w:val="1"/>
          <w:color w:val="auto"/>
        </w:rPr>
        <w:t xml:space="preserve"> generic prescription drugs</w:t>
      </w:r>
      <w:r>
        <w:rPr>
          <w:rFonts w:ascii="Arial" w:cs="Arial" w:eastAsia="Arial" w:hAnsi="Arial"/>
          <w:sz w:val="19"/>
          <w:szCs w:val="19"/>
          <w:color w:val="auto"/>
        </w:rPr>
        <w:t>. This list is subject to periodic review and changes by</w:t>
      </w:r>
      <w:r>
        <w:rPr>
          <w:rFonts w:ascii="Arial" w:cs="Arial" w:eastAsia="Arial" w:hAnsi="Arial"/>
          <w:sz w:val="19"/>
          <w:szCs w:val="19"/>
          <w:b w:val="1"/>
          <w:bCs w:val="1"/>
          <w:color w:val="auto"/>
        </w:rPr>
        <w:t xml:space="preserve"> Aetna</w:t>
      </w:r>
      <w:r>
        <w:rPr>
          <w:rFonts w:ascii="Arial" w:cs="Arial" w:eastAsia="Arial" w:hAnsi="Arial"/>
          <w:sz w:val="19"/>
          <w:szCs w:val="19"/>
          <w:color w:val="auto"/>
        </w:rPr>
        <w:t>. A copy of the</w:t>
      </w:r>
      <w:r>
        <w:rPr>
          <w:rFonts w:ascii="Arial" w:cs="Arial" w:eastAsia="Arial" w:hAnsi="Arial"/>
          <w:sz w:val="19"/>
          <w:szCs w:val="19"/>
          <w:b w:val="1"/>
          <w:bCs w:val="1"/>
          <w:color w:val="auto"/>
        </w:rPr>
        <w:t xml:space="preserve"> preferred drug guide </w:t>
      </w:r>
      <w:r>
        <w:rPr>
          <w:rFonts w:ascii="Arial" w:cs="Arial" w:eastAsia="Arial" w:hAnsi="Arial"/>
          <w:sz w:val="19"/>
          <w:szCs w:val="19"/>
          <w:color w:val="auto"/>
        </w:rPr>
        <w:t>will be available upon your request or may be accessed on the</w:t>
      </w:r>
      <w:r>
        <w:rPr>
          <w:rFonts w:ascii="Arial" w:cs="Arial" w:eastAsia="Arial" w:hAnsi="Arial"/>
          <w:sz w:val="19"/>
          <w:szCs w:val="19"/>
          <w:b w:val="1"/>
          <w:bCs w:val="1"/>
          <w:color w:val="auto"/>
        </w:rPr>
        <w:t xml:space="preserve"> Aetna </w:t>
      </w:r>
      <w:r>
        <w:rPr>
          <w:rFonts w:ascii="Arial" w:cs="Arial" w:eastAsia="Arial" w:hAnsi="Arial"/>
          <w:sz w:val="19"/>
          <w:szCs w:val="19"/>
          <w:color w:val="auto"/>
        </w:rPr>
        <w:t>website at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www.aetna.com/formulary</w:t>
      </w:r>
      <w:r>
        <w:rPr>
          <w:rFonts w:ascii="Arial" w:cs="Arial" w:eastAsia="Arial" w:hAnsi="Arial"/>
          <w:sz w:val="19"/>
          <w:szCs w:val="19"/>
          <w:color w:val="auto"/>
        </w:rPr>
        <w:t>.</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Prescription Drug </w:t>
      </w:r>
      <w:r>
        <w:rPr>
          <w:rFonts w:ascii="Arial" w:cs="Arial" w:eastAsia="Arial" w:hAnsi="Arial"/>
          <w:sz w:val="20"/>
          <w:szCs w:val="20"/>
          <w:color w:val="auto"/>
        </w:rPr>
        <w:t>is a drug, biological, or compounded</w:t>
      </w:r>
      <w:r>
        <w:rPr>
          <w:rFonts w:ascii="Arial" w:cs="Arial" w:eastAsia="Arial" w:hAnsi="Arial"/>
          <w:sz w:val="20"/>
          <w:szCs w:val="20"/>
          <w:b w:val="1"/>
          <w:bCs w:val="1"/>
          <w:color w:val="auto"/>
        </w:rPr>
        <w:t xml:space="preserve"> prescription </w:t>
      </w:r>
      <w:r>
        <w:rPr>
          <w:rFonts w:ascii="Arial" w:cs="Arial" w:eastAsia="Arial" w:hAnsi="Arial"/>
          <w:sz w:val="20"/>
          <w:szCs w:val="20"/>
          <w:color w:val="auto"/>
        </w:rPr>
        <w:t>which, by State or Federal Law, may be dispensed only by</w:t>
      </w:r>
      <w:r>
        <w:rPr>
          <w:rFonts w:ascii="Arial" w:cs="Arial" w:eastAsia="Arial" w:hAnsi="Arial"/>
          <w:sz w:val="20"/>
          <w:szCs w:val="20"/>
          <w:b w:val="1"/>
          <w:bCs w:val="1"/>
          <w:color w:val="auto"/>
        </w:rPr>
        <w:t xml:space="preserve"> prescription </w:t>
      </w:r>
      <w:r>
        <w:rPr>
          <w:rFonts w:ascii="Arial" w:cs="Arial" w:eastAsia="Arial" w:hAnsi="Arial"/>
          <w:sz w:val="20"/>
          <w:szCs w:val="20"/>
          <w:color w:val="auto"/>
        </w:rPr>
        <w:t>and which is required by Federal Law to be labeled “Caution: Federal Law prohibits dispensing without prescription.” This includes an injectable drug prescribed to be self-administered or administered by any other person except one who is acting within his or her capacity as a paid healthcare professional. Covered injectable drugs include insulin.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Provider </w:t>
      </w:r>
      <w:r>
        <w:rPr>
          <w:rFonts w:ascii="Arial" w:cs="Arial" w:eastAsia="Arial" w:hAnsi="Arial"/>
          <w:sz w:val="20"/>
          <w:szCs w:val="20"/>
          <w:color w:val="auto"/>
        </w:rPr>
        <w:t>is any recognized health care professional, pharmacy or facility providing services with the scope of their license.</w:t>
      </w:r>
    </w:p>
    <w:p>
      <w:pPr>
        <w:spacing w:after="0" w:line="229"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Self-injectable Drug(s)</w:t>
      </w:r>
      <w:r>
        <w:rPr>
          <w:rFonts w:ascii="Arial" w:cs="Arial" w:eastAsia="Arial" w:hAnsi="Arial"/>
          <w:sz w:val="20"/>
          <w:szCs w:val="20"/>
          <w:color w:val="auto"/>
        </w:rPr>
        <w:t>. Prescription drugs that are intended to be self-administered by injection to a specific part of the body to treat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chronic medical conditions.</w:t>
      </w:r>
    </w:p>
    <w:p>
      <w:pPr>
        <w:spacing w:after="0" w:line="191" w:lineRule="exact"/>
        <w:rPr>
          <w:sz w:val="20"/>
          <w:szCs w:val="20"/>
          <w:color w:val="auto"/>
        </w:rPr>
      </w:pPr>
    </w:p>
    <w:p>
      <w:pPr>
        <w:ind w:right="2080"/>
        <w:spacing w:after="0" w:line="267" w:lineRule="auto"/>
        <w:rPr>
          <w:sz w:val="20"/>
          <w:szCs w:val="20"/>
          <w:color w:val="auto"/>
        </w:rPr>
      </w:pPr>
      <w:r>
        <w:rPr>
          <w:rFonts w:ascii="Arial" w:cs="Arial" w:eastAsia="Arial" w:hAnsi="Arial"/>
          <w:sz w:val="20"/>
          <w:szCs w:val="20"/>
          <w:b w:val="1"/>
          <w:bCs w:val="1"/>
          <w:color w:val="auto"/>
        </w:rPr>
        <w:t>Specialty Pharmacy Network</w:t>
      </w:r>
      <w:r>
        <w:rPr>
          <w:rFonts w:ascii="Arial" w:cs="Arial" w:eastAsia="Arial" w:hAnsi="Arial"/>
          <w:sz w:val="20"/>
          <w:szCs w:val="20"/>
          <w:color w:val="auto"/>
        </w:rPr>
        <w:t>.</w:t>
      </w:r>
      <w:r>
        <w:rPr>
          <w:rFonts w:ascii="Arial" w:cs="Arial" w:eastAsia="Arial" w:hAnsi="Arial"/>
          <w:sz w:val="20"/>
          <w:szCs w:val="20"/>
          <w:b w:val="1"/>
          <w:bCs w:val="1"/>
          <w:color w:val="auto"/>
        </w:rPr>
        <w:t xml:space="preserve"> Aetna</w:t>
      </w:r>
      <w:r>
        <w:rPr>
          <w:rFonts w:ascii="Arial" w:cs="Arial" w:eastAsia="Arial" w:hAnsi="Arial"/>
          <w:sz w:val="20"/>
          <w:szCs w:val="20"/>
          <w:color w:val="auto"/>
        </w:rPr>
        <w:t>’s network of participating pharmacies designated to fill</w:t>
      </w:r>
      <w:r>
        <w:rPr>
          <w:rFonts w:ascii="Arial" w:cs="Arial" w:eastAsia="Arial" w:hAnsi="Arial"/>
          <w:sz w:val="20"/>
          <w:szCs w:val="20"/>
          <w:b w:val="1"/>
          <w:bCs w:val="1"/>
          <w:color w:val="auto"/>
        </w:rPr>
        <w:t xml:space="preserve"> Self-injectable Drug </w:t>
      </w:r>
      <w:r>
        <w:rPr>
          <w:rFonts w:ascii="Arial" w:cs="Arial" w:eastAsia="Arial" w:hAnsi="Arial"/>
          <w:sz w:val="20"/>
          <w:szCs w:val="20"/>
          <w:color w:val="auto"/>
        </w:rPr>
        <w:t>prescriptions.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Accessing Pharmacies and Benefits </w:t>
      </w:r>
      <w:r>
        <w:rPr>
          <w:rFonts w:ascii="Arial" w:cs="Arial" w:eastAsia="Arial" w:hAnsi="Arial"/>
          <w:sz w:val="14"/>
          <w:szCs w:val="14"/>
          <w:i w:val="1"/>
          <w:iCs w:val="1"/>
          <w:color w:val="auto"/>
        </w:rPr>
        <w:t>(GR-9N 12-015 01 VA)</w:t>
      </w:r>
    </w:p>
    <w:p>
      <w:pPr>
        <w:spacing w:after="0" w:line="218"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 xml:space="preserve">This plan provides access to </w:t>
      </w:r>
      <w:r>
        <w:rPr>
          <w:rFonts w:ascii="Arial" w:cs="Arial" w:eastAsia="Arial" w:hAnsi="Arial"/>
          <w:sz w:val="20"/>
          <w:szCs w:val="20"/>
          <w:b w:val="1"/>
          <w:bCs w:val="1"/>
          <w:color w:val="auto"/>
        </w:rPr>
        <w:t>covered benefits</w:t>
      </w:r>
      <w:r>
        <w:rPr>
          <w:rFonts w:ascii="Arial" w:cs="Arial" w:eastAsia="Arial" w:hAnsi="Arial"/>
          <w:sz w:val="20"/>
          <w:szCs w:val="20"/>
          <w:color w:val="auto"/>
        </w:rPr>
        <w:t xml:space="preserve"> through a network of pharmacies, vendors or suppliers. Aetna has contracted for these </w:t>
      </w:r>
      <w:r>
        <w:rPr>
          <w:rFonts w:ascii="Arial" w:cs="Arial" w:eastAsia="Arial" w:hAnsi="Arial"/>
          <w:sz w:val="20"/>
          <w:szCs w:val="20"/>
          <w:b w:val="1"/>
          <w:bCs w:val="1"/>
          <w:color w:val="auto"/>
        </w:rPr>
        <w:t>network</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pharmacies </w:t>
      </w:r>
      <w:r>
        <w:rPr>
          <w:rFonts w:ascii="Arial" w:cs="Arial" w:eastAsia="Arial" w:hAnsi="Arial"/>
          <w:sz w:val="20"/>
          <w:szCs w:val="20"/>
          <w:color w:val="auto"/>
        </w:rPr>
        <w:t>to provide</w:t>
      </w:r>
      <w:r>
        <w:rPr>
          <w:rFonts w:ascii="Arial" w:cs="Arial" w:eastAsia="Arial" w:hAnsi="Arial"/>
          <w:sz w:val="20"/>
          <w:szCs w:val="20"/>
          <w:b w:val="1"/>
          <w:bCs w:val="1"/>
          <w:color w:val="auto"/>
        </w:rPr>
        <w:t xml:space="preserve"> prescription drugs </w:t>
      </w:r>
      <w:r>
        <w:rPr>
          <w:rFonts w:ascii="Arial" w:cs="Arial" w:eastAsia="Arial" w:hAnsi="Arial"/>
          <w:sz w:val="20"/>
          <w:szCs w:val="20"/>
          <w:color w:val="auto"/>
        </w:rPr>
        <w:t>and other supplies to you.</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 xml:space="preserve">Obtaining your benefits through </w:t>
      </w:r>
      <w:r>
        <w:rPr>
          <w:rFonts w:ascii="Arial" w:cs="Arial" w:eastAsia="Arial" w:hAnsi="Arial"/>
          <w:sz w:val="18"/>
          <w:szCs w:val="18"/>
          <w:b w:val="1"/>
          <w:bCs w:val="1"/>
          <w:color w:val="auto"/>
        </w:rPr>
        <w:t>network pharmacies</w:t>
      </w:r>
      <w:r>
        <w:rPr>
          <w:rFonts w:ascii="Arial" w:cs="Arial" w:eastAsia="Arial" w:hAnsi="Arial"/>
          <w:sz w:val="18"/>
          <w:szCs w:val="18"/>
          <w:color w:val="auto"/>
        </w:rPr>
        <w:t xml:space="preserve"> has many advantages. Your out-of-pocket costs may vary between </w:t>
      </w:r>
      <w:r>
        <w:rPr>
          <w:rFonts w:ascii="Arial" w:cs="Arial" w:eastAsia="Arial" w:hAnsi="Arial"/>
          <w:sz w:val="18"/>
          <w:szCs w:val="18"/>
          <w:b w:val="1"/>
          <w:bCs w:val="1"/>
          <w:color w:val="auto"/>
        </w:rPr>
        <w:t>network</w:t>
      </w:r>
      <w:r>
        <w:rPr>
          <w:rFonts w:ascii="Arial" w:cs="Arial" w:eastAsia="Arial" w:hAnsi="Arial"/>
          <w:sz w:val="18"/>
          <w:szCs w:val="18"/>
          <w:color w:val="auto"/>
        </w:rPr>
        <w:t xml:space="preserve"> and </w:t>
      </w:r>
      <w:r>
        <w:rPr>
          <w:rFonts w:ascii="Arial" w:cs="Arial" w:eastAsia="Arial" w:hAnsi="Arial"/>
          <w:sz w:val="18"/>
          <w:szCs w:val="18"/>
          <w:b w:val="1"/>
          <w:bCs w:val="1"/>
          <w:color w:val="auto"/>
        </w:rPr>
        <w:t>out-of-network benefits</w:t>
      </w:r>
      <w:r>
        <w:rPr>
          <w:rFonts w:ascii="Arial" w:cs="Arial" w:eastAsia="Arial" w:hAnsi="Arial"/>
          <w:sz w:val="18"/>
          <w:szCs w:val="18"/>
          <w:color w:val="auto"/>
        </w:rPr>
        <w:t>. Benefits and cost sharing may also vary by the type of</w:t>
      </w:r>
      <w:r>
        <w:rPr>
          <w:rFonts w:ascii="Arial" w:cs="Arial" w:eastAsia="Arial" w:hAnsi="Arial"/>
          <w:sz w:val="18"/>
          <w:szCs w:val="18"/>
          <w:b w:val="1"/>
          <w:bCs w:val="1"/>
          <w:color w:val="auto"/>
        </w:rPr>
        <w:t xml:space="preserve"> network pharmacy </w:t>
      </w:r>
      <w:r>
        <w:rPr>
          <w:rFonts w:ascii="Arial" w:cs="Arial" w:eastAsia="Arial" w:hAnsi="Arial"/>
          <w:sz w:val="18"/>
          <w:szCs w:val="18"/>
          <w:color w:val="auto"/>
        </w:rPr>
        <w:t>where you obtain your</w:t>
      </w:r>
      <w:r>
        <w:rPr>
          <w:rFonts w:ascii="Arial" w:cs="Arial" w:eastAsia="Arial" w:hAnsi="Arial"/>
          <w:sz w:val="18"/>
          <w:szCs w:val="18"/>
          <w:b w:val="1"/>
          <w:bCs w:val="1"/>
          <w:color w:val="auto"/>
        </w:rPr>
        <w:t xml:space="preserve"> prescription drug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or not you purchase a brand-name or generic drug. </w:t>
      </w:r>
      <w:r>
        <w:rPr>
          <w:rFonts w:ascii="Arial" w:cs="Arial" w:eastAsia="Arial" w:hAnsi="Arial"/>
          <w:sz w:val="18"/>
          <w:szCs w:val="18"/>
          <w:b w:val="1"/>
          <w:bCs w:val="1"/>
          <w:color w:val="auto"/>
        </w:rPr>
        <w:t>Network pharmacies</w:t>
      </w:r>
      <w:r>
        <w:rPr>
          <w:rFonts w:ascii="Arial" w:cs="Arial" w:eastAsia="Arial" w:hAnsi="Arial"/>
          <w:sz w:val="18"/>
          <w:szCs w:val="18"/>
          <w:color w:val="auto"/>
        </w:rPr>
        <w:t xml:space="preserve"> include retail, mail order and specialty pharmacies.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Read your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carefully to understand the cost sharing charges applicable to you</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 better understand the choices that you have with your plan, please carefully review the following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Accessing Network Pharmacies and Benefits </w:t>
      </w:r>
      <w:r>
        <w:rPr>
          <w:rFonts w:ascii="Arial" w:cs="Arial" w:eastAsia="Arial" w:hAnsi="Arial"/>
          <w:sz w:val="14"/>
          <w:szCs w:val="14"/>
          <w:i w:val="1"/>
          <w:iCs w:val="1"/>
          <w:color w:val="auto"/>
        </w:rPr>
        <w:t>(GR-9N-12-015-02-VA)</w:t>
      </w:r>
    </w:p>
    <w:p>
      <w:pPr>
        <w:spacing w:after="0" w:line="50"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 xml:space="preserve">You may select a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from the </w:t>
      </w:r>
      <w:r>
        <w:rPr>
          <w:rFonts w:ascii="Arial" w:cs="Arial" w:eastAsia="Arial" w:hAnsi="Arial"/>
          <w:sz w:val="20"/>
          <w:szCs w:val="20"/>
          <w:b w:val="1"/>
          <w:bCs w:val="1"/>
          <w:color w:val="auto"/>
        </w:rPr>
        <w:t>Aetna</w:t>
      </w:r>
      <w:r>
        <w:rPr>
          <w:rFonts w:ascii="Arial" w:cs="Arial" w:eastAsia="Arial" w:hAnsi="Arial"/>
          <w:sz w:val="20"/>
          <w:szCs w:val="20"/>
          <w:color w:val="auto"/>
        </w:rPr>
        <w:t xml:space="preserve"> Network Pharmacy Directory or by logging on to </w:t>
      </w:r>
      <w:r>
        <w:rPr>
          <w:rFonts w:ascii="Arial" w:cs="Arial" w:eastAsia="Arial" w:hAnsi="Arial"/>
          <w:sz w:val="20"/>
          <w:szCs w:val="20"/>
          <w:b w:val="1"/>
          <w:bCs w:val="1"/>
          <w:color w:val="auto"/>
        </w:rPr>
        <w:t>Aetna’s</w:t>
      </w:r>
      <w:r>
        <w:rPr>
          <w:rFonts w:ascii="Arial" w:cs="Arial" w:eastAsia="Arial" w:hAnsi="Arial"/>
          <w:sz w:val="20"/>
          <w:szCs w:val="20"/>
          <w:color w:val="auto"/>
        </w:rPr>
        <w:t xml:space="preserve"> website at www.aetna.com. You can search </w:t>
      </w:r>
      <w:r>
        <w:rPr>
          <w:rFonts w:ascii="Arial" w:cs="Arial" w:eastAsia="Arial" w:hAnsi="Arial"/>
          <w:sz w:val="20"/>
          <w:szCs w:val="20"/>
          <w:b w:val="1"/>
          <w:bCs w:val="1"/>
          <w:color w:val="auto"/>
        </w:rPr>
        <w:t>Aetna</w:t>
      </w:r>
      <w:r>
        <w:rPr>
          <w:rFonts w:ascii="Arial" w:cs="Arial" w:eastAsia="Arial" w:hAnsi="Arial"/>
          <w:sz w:val="20"/>
          <w:szCs w:val="20"/>
          <w:color w:val="auto"/>
        </w:rPr>
        <w:t xml:space="preserve">’s online directory, DocFind, for names and locations of </w:t>
      </w:r>
      <w:r>
        <w:rPr>
          <w:rFonts w:ascii="Arial" w:cs="Arial" w:eastAsia="Arial" w:hAnsi="Arial"/>
          <w:sz w:val="20"/>
          <w:szCs w:val="20"/>
          <w:b w:val="1"/>
          <w:bCs w:val="1"/>
          <w:color w:val="auto"/>
        </w:rPr>
        <w:t>network pharmacies</w:t>
      </w:r>
      <w:r>
        <w:rPr>
          <w:rFonts w:ascii="Arial" w:cs="Arial" w:eastAsia="Arial" w:hAnsi="Arial"/>
          <w:sz w:val="20"/>
          <w:szCs w:val="20"/>
          <w:color w:val="auto"/>
        </w:rPr>
        <w:t xml:space="preserve">. If you cannot locate a </w:t>
      </w:r>
      <w:r>
        <w:rPr>
          <w:rFonts w:ascii="Arial" w:cs="Arial" w:eastAsia="Arial" w:hAnsi="Arial"/>
          <w:sz w:val="20"/>
          <w:szCs w:val="20"/>
          <w:b w:val="1"/>
          <w:bCs w:val="1"/>
          <w:color w:val="auto"/>
        </w:rPr>
        <w:t>network</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pharmacy </w:t>
      </w:r>
      <w:r>
        <w:rPr>
          <w:rFonts w:ascii="Arial" w:cs="Arial" w:eastAsia="Arial" w:hAnsi="Arial"/>
          <w:sz w:val="20"/>
          <w:szCs w:val="20"/>
          <w:color w:val="auto"/>
        </w:rPr>
        <w:t>in your area call Member Services.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You must present your ID card to the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every time you get a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filled to be eligible for network </w:t>
      </w:r>
      <w:r>
        <w:rPr>
          <w:rFonts w:ascii="Arial" w:cs="Arial" w:eastAsia="Arial" w:hAnsi="Arial"/>
          <w:sz w:val="20"/>
          <w:szCs w:val="20"/>
          <w:b w:val="1"/>
          <w:bCs w:val="1"/>
          <w:color w:val="auto"/>
        </w:rPr>
        <w:t>benefits</w:t>
      </w:r>
      <w:r>
        <w:rPr>
          <w:rFonts w:ascii="Arial" w:cs="Arial" w:eastAsia="Arial" w:hAnsi="Arial"/>
          <w:sz w:val="20"/>
          <w:szCs w:val="20"/>
          <w:color w:val="auto"/>
        </w:rPr>
        <w:t xml:space="preserve">. The </w:t>
      </w:r>
      <w:r>
        <w:rPr>
          <w:rFonts w:ascii="Arial" w:cs="Arial" w:eastAsia="Arial" w:hAnsi="Arial"/>
          <w:sz w:val="20"/>
          <w:szCs w:val="20"/>
          <w:b w:val="1"/>
          <w:bCs w:val="1"/>
          <w:color w:val="auto"/>
        </w:rPr>
        <w:t xml:space="preserve">network pharmacy </w:t>
      </w:r>
      <w:r>
        <w:rPr>
          <w:rFonts w:ascii="Arial" w:cs="Arial" w:eastAsia="Arial" w:hAnsi="Arial"/>
          <w:sz w:val="20"/>
          <w:szCs w:val="20"/>
          <w:color w:val="auto"/>
        </w:rPr>
        <w:t>will calculate your claim online. You will pay any deductible, copayment or coinsurance directly to the</w:t>
      </w:r>
      <w:r>
        <w:rPr>
          <w:rFonts w:ascii="Arial" w:cs="Arial" w:eastAsia="Arial" w:hAnsi="Arial"/>
          <w:sz w:val="20"/>
          <w:szCs w:val="20"/>
          <w:b w:val="1"/>
          <w:bCs w:val="1"/>
          <w:color w:val="auto"/>
        </w:rPr>
        <w:t xml:space="preserve"> network pharmacy</w:t>
      </w:r>
      <w:r>
        <w:rPr>
          <w:rFonts w:ascii="Arial" w:cs="Arial" w:eastAsia="Arial" w:hAnsi="Arial"/>
          <w:sz w:val="20"/>
          <w:szCs w:val="20"/>
          <w:color w:val="auto"/>
        </w:rPr>
        <w:t>.</w:t>
      </w:r>
    </w:p>
    <w:p>
      <w:pPr>
        <w:sectPr>
          <w:pgSz w:w="11900" w:h="16838" w:orient="portrait"/>
          <w:cols w:equalWidth="0" w:num="1">
            <w:col w:w="11340"/>
          </w:cols>
          <w:pgMar w:left="320" w:top="428"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 xml:space="preserve">You do not have to complete or submit claim forms. The </w:t>
      </w:r>
      <w:r>
        <w:rPr>
          <w:rFonts w:ascii="Arial" w:cs="Arial" w:eastAsia="Arial" w:hAnsi="Arial"/>
          <w:sz w:val="18"/>
          <w:szCs w:val="18"/>
          <w:b w:val="1"/>
          <w:bCs w:val="1"/>
          <w:color w:val="auto"/>
        </w:rPr>
        <w:t>network pharmacy</w:t>
      </w:r>
      <w:r>
        <w:rPr>
          <w:rFonts w:ascii="Arial" w:cs="Arial" w:eastAsia="Arial" w:hAnsi="Arial"/>
          <w:sz w:val="18"/>
          <w:szCs w:val="18"/>
          <w:color w:val="auto"/>
        </w:rPr>
        <w:t xml:space="preserve"> will take care of claim submission.</w:t>
      </w:r>
    </w:p>
    <w:p>
      <w:pPr>
        <w:sectPr>
          <w:pgSz w:w="11900" w:h="16838" w:orient="portrait"/>
          <w:cols w:equalWidth="0" w:num="1">
            <w:col w:w="10139"/>
          </w:cols>
          <w:pgMar w:left="320" w:top="360" w:right="1440" w:bottom="1440" w:gutter="0" w:footer="0" w:header="0"/>
        </w:sectPr>
      </w:pPr>
    </w:p>
    <w:bookmarkStart w:id="240" w:name="page241"/>
    <w:bookmarkEnd w:id="240"/>
    <w:p>
      <w:pPr>
        <w:spacing w:after="0"/>
        <w:rPr>
          <w:sz w:val="20"/>
          <w:szCs w:val="20"/>
          <w:color w:val="auto"/>
        </w:rPr>
      </w:pPr>
      <w:r>
        <w:rPr>
          <w:rFonts w:ascii="Arial" w:cs="Arial" w:eastAsia="Arial" w:hAnsi="Arial"/>
          <w:sz w:val="25"/>
          <w:szCs w:val="25"/>
          <w:b w:val="1"/>
          <w:bCs w:val="1"/>
          <w:color w:val="auto"/>
        </w:rPr>
        <w:t xml:space="preserve">Emergency Prescriptions </w:t>
      </w:r>
      <w:r>
        <w:rPr>
          <w:rFonts w:ascii="Arial" w:cs="Arial" w:eastAsia="Arial" w:hAnsi="Arial"/>
          <w:sz w:val="14"/>
          <w:szCs w:val="14"/>
          <w:i w:val="1"/>
          <w:iCs w:val="1"/>
          <w:color w:val="auto"/>
        </w:rPr>
        <w:t>(GR-9N 12-015 01 VA)</w:t>
      </w:r>
    </w:p>
    <w:p>
      <w:pPr>
        <w:spacing w:after="0" w:line="5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 xml:space="preserve">When you need a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filled in an emergency or urgent care situation, or when you are traveling, you can obtain network benefits by filling your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at any </w:t>
      </w:r>
      <w:r>
        <w:rPr>
          <w:rFonts w:ascii="Arial" w:cs="Arial" w:eastAsia="Arial" w:hAnsi="Arial"/>
          <w:sz w:val="20"/>
          <w:szCs w:val="20"/>
          <w:b w:val="1"/>
          <w:bCs w:val="1"/>
          <w:color w:val="auto"/>
        </w:rPr>
        <w:t>network retail pharmacy</w:t>
      </w:r>
      <w:r>
        <w:rPr>
          <w:rFonts w:ascii="Arial" w:cs="Arial" w:eastAsia="Arial" w:hAnsi="Arial"/>
          <w:sz w:val="20"/>
          <w:szCs w:val="20"/>
          <w:color w:val="auto"/>
        </w:rPr>
        <w:t xml:space="preserve">. The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will fill your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and only charge you your plan’s cost sharing amount. If you access an </w:t>
      </w:r>
      <w:r>
        <w:rPr>
          <w:rFonts w:ascii="Arial" w:cs="Arial" w:eastAsia="Arial" w:hAnsi="Arial"/>
          <w:sz w:val="20"/>
          <w:szCs w:val="20"/>
          <w:b w:val="1"/>
          <w:bCs w:val="1"/>
          <w:color w:val="auto"/>
        </w:rPr>
        <w:t>out-of-network pharmacy</w:t>
      </w:r>
      <w:r>
        <w:rPr>
          <w:rFonts w:ascii="Arial" w:cs="Arial" w:eastAsia="Arial" w:hAnsi="Arial"/>
          <w:sz w:val="20"/>
          <w:szCs w:val="20"/>
          <w:color w:val="auto"/>
        </w:rPr>
        <w:t xml:space="preserve"> you will pay the full cost of 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and will need to file a claim for reimbursement. You will be reimbursed for your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up to the cost of 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less your plan's cost sharing for </w:t>
      </w:r>
      <w:r>
        <w:rPr>
          <w:rFonts w:ascii="Arial" w:cs="Arial" w:eastAsia="Arial" w:hAnsi="Arial"/>
          <w:sz w:val="20"/>
          <w:szCs w:val="20"/>
          <w:b w:val="1"/>
          <w:bCs w:val="1"/>
          <w:color w:val="auto"/>
        </w:rPr>
        <w:t>network</w:t>
      </w:r>
      <w:r>
        <w:rPr>
          <w:rFonts w:ascii="Arial" w:cs="Arial" w:eastAsia="Arial" w:hAnsi="Arial"/>
          <w:sz w:val="20"/>
          <w:szCs w:val="20"/>
          <w:color w:val="auto"/>
        </w:rPr>
        <w:t xml:space="preserve"> benefits.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Availability of Providers</w:t>
      </w:r>
    </w:p>
    <w:p>
      <w:pPr>
        <w:spacing w:after="0" w:line="32" w:lineRule="exact"/>
        <w:rPr>
          <w:sz w:val="20"/>
          <w:szCs w:val="20"/>
          <w:color w:val="auto"/>
        </w:rPr>
      </w:pPr>
    </w:p>
    <w:p>
      <w:pPr>
        <w:ind w:right="860"/>
        <w:spacing w:after="0" w:line="244" w:lineRule="auto"/>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cannot guarantee the availability or continued network participation of a particular</w:t>
      </w:r>
      <w:r>
        <w:rPr>
          <w:rFonts w:ascii="Arial" w:cs="Arial" w:eastAsia="Arial" w:hAnsi="Arial"/>
          <w:sz w:val="20"/>
          <w:szCs w:val="20"/>
          <w:b w:val="1"/>
          <w:bCs w:val="1"/>
          <w:color w:val="auto"/>
        </w:rPr>
        <w:t xml:space="preserve"> pharmacy</w:t>
      </w:r>
      <w:r>
        <w:rPr>
          <w:rFonts w:ascii="Arial" w:cs="Arial" w:eastAsia="Arial" w:hAnsi="Arial"/>
          <w:sz w:val="20"/>
          <w:szCs w:val="20"/>
          <w:color w:val="auto"/>
        </w:rPr>
        <w:t>. Either</w:t>
      </w:r>
      <w:r>
        <w:rPr>
          <w:rFonts w:ascii="Arial" w:cs="Arial" w:eastAsia="Arial" w:hAnsi="Arial"/>
          <w:sz w:val="20"/>
          <w:szCs w:val="20"/>
          <w:b w:val="1"/>
          <w:bCs w:val="1"/>
          <w:color w:val="auto"/>
        </w:rPr>
        <w:t xml:space="preserve"> Aetna </w:t>
      </w:r>
      <w:r>
        <w:rPr>
          <w:rFonts w:ascii="Arial" w:cs="Arial" w:eastAsia="Arial" w:hAnsi="Arial"/>
          <w:sz w:val="20"/>
          <w:szCs w:val="20"/>
          <w:color w:val="auto"/>
        </w:rPr>
        <w:t>or any</w:t>
      </w:r>
      <w:r>
        <w:rPr>
          <w:rFonts w:ascii="Arial" w:cs="Arial" w:eastAsia="Arial" w:hAnsi="Arial"/>
          <w:sz w:val="20"/>
          <w:szCs w:val="20"/>
          <w:b w:val="1"/>
          <w:bCs w:val="1"/>
          <w:color w:val="auto"/>
        </w:rPr>
        <w:t xml:space="preserve"> network pharmacy </w:t>
      </w:r>
      <w:r>
        <w:rPr>
          <w:rFonts w:ascii="Arial" w:cs="Arial" w:eastAsia="Arial" w:hAnsi="Arial"/>
          <w:sz w:val="20"/>
          <w:szCs w:val="20"/>
          <w:color w:val="auto"/>
        </w:rPr>
        <w:t>may terminate the provider contract.</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Sharing for Network Benefits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You share in the cost of your benefits. Cost Sharing amounts and provisions are described in the Schedule of Benefits.</w:t>
      </w:r>
    </w:p>
    <w:p>
      <w:pPr>
        <w:spacing w:after="0" w:line="218" w:lineRule="exact"/>
        <w:rPr>
          <w:sz w:val="20"/>
          <w:szCs w:val="20"/>
          <w:color w:val="auto"/>
        </w:rPr>
      </w:pPr>
    </w:p>
    <w:p>
      <w:pPr>
        <w:ind w:left="340" w:right="440" w:hanging="331"/>
        <w:spacing w:after="0" w:line="267" w:lineRule="auto"/>
        <w:tabs>
          <w:tab w:leader="none" w:pos="3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 xml:space="preserve">You will be responsible for the </w:t>
      </w:r>
      <w:r>
        <w:rPr>
          <w:rFonts w:ascii="Arial" w:cs="Arial" w:eastAsia="Arial" w:hAnsi="Arial"/>
          <w:sz w:val="20"/>
          <w:szCs w:val="20"/>
          <w:b w:val="1"/>
          <w:bCs w:val="1"/>
          <w:color w:val="auto"/>
        </w:rPr>
        <w:t>copayment</w:t>
      </w:r>
      <w:r>
        <w:rPr>
          <w:rFonts w:ascii="Arial" w:cs="Arial" w:eastAsia="Arial" w:hAnsi="Arial"/>
          <w:sz w:val="20"/>
          <w:szCs w:val="20"/>
          <w:color w:val="auto"/>
        </w:rPr>
        <w:t xml:space="preserve"> for each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 refill as specified in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The </w:t>
      </w:r>
      <w:r>
        <w:rPr>
          <w:rFonts w:ascii="Arial" w:cs="Arial" w:eastAsia="Arial" w:hAnsi="Arial"/>
          <w:sz w:val="20"/>
          <w:szCs w:val="20"/>
          <w:b w:val="1"/>
          <w:bCs w:val="1"/>
          <w:color w:val="auto"/>
        </w:rPr>
        <w:t>copayment</w:t>
      </w:r>
      <w:r>
        <w:rPr>
          <w:rFonts w:ascii="Arial" w:cs="Arial" w:eastAsia="Arial" w:hAnsi="Arial"/>
          <w:sz w:val="20"/>
          <w:szCs w:val="20"/>
          <w:color w:val="auto"/>
        </w:rPr>
        <w:t xml:space="preserve"> is payable directly to the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at the time 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is dispensed.</w:t>
      </w:r>
    </w:p>
    <w:p>
      <w:pPr>
        <w:spacing w:after="0" w:line="163" w:lineRule="exact"/>
        <w:rPr>
          <w:rFonts w:ascii="Arial" w:cs="Arial" w:eastAsia="Arial" w:hAnsi="Arial"/>
          <w:sz w:val="20"/>
          <w:szCs w:val="20"/>
          <w:color w:val="auto"/>
        </w:rPr>
      </w:pPr>
    </w:p>
    <w:p>
      <w:pPr>
        <w:ind w:left="340" w:right="60" w:hanging="331"/>
        <w:spacing w:after="0" w:line="248" w:lineRule="auto"/>
        <w:tabs>
          <w:tab w:leader="none" w:pos="3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 xml:space="preserve">After you pay the applicable </w:t>
      </w:r>
      <w:r>
        <w:rPr>
          <w:rFonts w:ascii="Arial" w:cs="Arial" w:eastAsia="Arial" w:hAnsi="Arial"/>
          <w:sz w:val="20"/>
          <w:szCs w:val="20"/>
          <w:b w:val="1"/>
          <w:bCs w:val="1"/>
          <w:color w:val="auto"/>
        </w:rPr>
        <w:t>copayment</w:t>
      </w:r>
      <w:r>
        <w:rPr>
          <w:rFonts w:ascii="Arial" w:cs="Arial" w:eastAsia="Arial" w:hAnsi="Arial"/>
          <w:sz w:val="20"/>
          <w:szCs w:val="20"/>
          <w:color w:val="auto"/>
        </w:rPr>
        <w:t xml:space="preserve">, you will be responsible for any applicable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for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that you incur. Your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amount is determined by applying the applicable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percentage to the </w:t>
      </w:r>
      <w:r>
        <w:rPr>
          <w:rFonts w:ascii="Arial" w:cs="Arial" w:eastAsia="Arial" w:hAnsi="Arial"/>
          <w:sz w:val="20"/>
          <w:szCs w:val="20"/>
          <w:b w:val="1"/>
          <w:bCs w:val="1"/>
          <w:color w:val="auto"/>
        </w:rPr>
        <w:t>negotiated charge</w:t>
      </w:r>
      <w:r>
        <w:rPr>
          <w:rFonts w:ascii="Arial" w:cs="Arial" w:eastAsia="Arial" w:hAnsi="Arial"/>
          <w:sz w:val="20"/>
          <w:szCs w:val="20"/>
          <w:color w:val="auto"/>
        </w:rPr>
        <w:t xml:space="preserve"> if 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is filled at a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When you obtain your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through a </w:t>
      </w:r>
      <w:r>
        <w:rPr>
          <w:rFonts w:ascii="Arial" w:cs="Arial" w:eastAsia="Arial" w:hAnsi="Arial"/>
          <w:sz w:val="20"/>
          <w:szCs w:val="20"/>
          <w:b w:val="1"/>
          <w:bCs w:val="1"/>
          <w:color w:val="auto"/>
        </w:rPr>
        <w:t>network pharmacy</w:t>
      </w:r>
      <w:r>
        <w:rPr>
          <w:rFonts w:ascii="Arial" w:cs="Arial" w:eastAsia="Arial" w:hAnsi="Arial"/>
          <w:sz w:val="20"/>
          <w:szCs w:val="20"/>
          <w:color w:val="auto"/>
        </w:rPr>
        <w:t>, you will not be subject to balance billing.</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When You Use an Out-of-Network Pharmacy </w:t>
      </w:r>
      <w:r>
        <w:rPr>
          <w:rFonts w:ascii="Arial" w:cs="Arial" w:eastAsia="Arial" w:hAnsi="Arial"/>
          <w:sz w:val="14"/>
          <w:szCs w:val="14"/>
          <w:i w:val="1"/>
          <w:iCs w:val="1"/>
          <w:color w:val="auto"/>
        </w:rPr>
        <w:t>(GR-9N 12-020 02 VA) (GR-9N 13-005 01 VA)</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You can directly access an </w:t>
      </w:r>
      <w:r>
        <w:rPr>
          <w:rFonts w:ascii="Arial" w:cs="Arial" w:eastAsia="Arial" w:hAnsi="Arial"/>
          <w:sz w:val="19"/>
          <w:szCs w:val="19"/>
          <w:b w:val="1"/>
          <w:bCs w:val="1"/>
          <w:color w:val="auto"/>
        </w:rPr>
        <w:t>out-of-network pharmacy</w:t>
      </w:r>
      <w:r>
        <w:rPr>
          <w:rFonts w:ascii="Arial" w:cs="Arial" w:eastAsia="Arial" w:hAnsi="Arial"/>
          <w:sz w:val="19"/>
          <w:szCs w:val="19"/>
          <w:color w:val="auto"/>
        </w:rPr>
        <w:t xml:space="preserve"> to obtain covered outpatient </w:t>
      </w:r>
      <w:r>
        <w:rPr>
          <w:rFonts w:ascii="Arial" w:cs="Arial" w:eastAsia="Arial" w:hAnsi="Arial"/>
          <w:sz w:val="19"/>
          <w:szCs w:val="19"/>
          <w:b w:val="1"/>
          <w:bCs w:val="1"/>
          <w:color w:val="auto"/>
        </w:rPr>
        <w:t>prescription drugs</w:t>
      </w:r>
      <w:r>
        <w:rPr>
          <w:rFonts w:ascii="Arial" w:cs="Arial" w:eastAsia="Arial" w:hAnsi="Arial"/>
          <w:sz w:val="19"/>
          <w:szCs w:val="19"/>
          <w:color w:val="auto"/>
        </w:rPr>
        <w:t xml:space="preserve">. You will pay the </w:t>
      </w:r>
      <w:r>
        <w:rPr>
          <w:rFonts w:ascii="Arial" w:cs="Arial" w:eastAsia="Arial" w:hAnsi="Arial"/>
          <w:sz w:val="19"/>
          <w:szCs w:val="19"/>
          <w:b w:val="1"/>
          <w:bCs w:val="1"/>
          <w:color w:val="auto"/>
        </w:rPr>
        <w:t>pharmacy</w:t>
      </w:r>
      <w:r>
        <w:rPr>
          <w:rFonts w:ascii="Arial" w:cs="Arial" w:eastAsia="Arial" w:hAnsi="Arial"/>
          <w:sz w:val="19"/>
          <w:szCs w:val="19"/>
          <w:color w:val="auto"/>
        </w:rPr>
        <w:t xml:space="preserve"> for your </w:t>
      </w:r>
      <w:r>
        <w:rPr>
          <w:rFonts w:ascii="Arial" w:cs="Arial" w:eastAsia="Arial" w:hAnsi="Arial"/>
          <w:sz w:val="19"/>
          <w:szCs w:val="19"/>
          <w:b w:val="1"/>
          <w:bCs w:val="1"/>
          <w:color w:val="auto"/>
        </w:rPr>
        <w:t xml:space="preserve">prescription drugs </w:t>
      </w:r>
      <w:r>
        <w:rPr>
          <w:rFonts w:ascii="Arial" w:cs="Arial" w:eastAsia="Arial" w:hAnsi="Arial"/>
          <w:sz w:val="19"/>
          <w:szCs w:val="19"/>
          <w:color w:val="auto"/>
        </w:rPr>
        <w:t>at the time of purchase and submit a claim form to receive reimbursement from the plan. You are responsible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completing and submitting claim forms for reimbursement of </w:t>
      </w:r>
      <w:r>
        <w:rPr>
          <w:rFonts w:ascii="Arial" w:cs="Arial" w:eastAsia="Arial" w:hAnsi="Arial"/>
          <w:sz w:val="19"/>
          <w:szCs w:val="19"/>
          <w:b w:val="1"/>
          <w:bCs w:val="1"/>
          <w:color w:val="auto"/>
        </w:rPr>
        <w:t>covered expenses</w:t>
      </w:r>
      <w:r>
        <w:rPr>
          <w:rFonts w:ascii="Arial" w:cs="Arial" w:eastAsia="Arial" w:hAnsi="Arial"/>
          <w:sz w:val="19"/>
          <w:szCs w:val="19"/>
          <w:color w:val="auto"/>
        </w:rPr>
        <w:t xml:space="preserve"> you paid directly to an out-of-network </w:t>
      </w:r>
      <w:r>
        <w:rPr>
          <w:rFonts w:ascii="Arial" w:cs="Arial" w:eastAsia="Arial" w:hAnsi="Arial"/>
          <w:sz w:val="19"/>
          <w:szCs w:val="19"/>
          <w:b w:val="1"/>
          <w:bCs w:val="1"/>
          <w:color w:val="auto"/>
        </w:rPr>
        <w:t>pharmacy</w:t>
      </w:r>
      <w:r>
        <w:rPr>
          <w:rFonts w:ascii="Arial" w:cs="Arial" w:eastAsia="Arial" w:hAnsi="Arial"/>
          <w:sz w:val="19"/>
          <w:szCs w:val="19"/>
          <w:color w:val="auto"/>
        </w:rPr>
        <w:t xml:space="preserve">. </w:t>
      </w:r>
      <w:r>
        <w:rPr>
          <w:rFonts w:ascii="Arial" w:cs="Arial" w:eastAsia="Arial" w:hAnsi="Arial"/>
          <w:sz w:val="19"/>
          <w:szCs w:val="19"/>
          <w:b w:val="1"/>
          <w:bCs w:val="1"/>
          <w:color w:val="auto"/>
        </w:rPr>
        <w:t>Aetna</w:t>
      </w:r>
      <w:r>
        <w:rPr>
          <w:rFonts w:ascii="Arial" w:cs="Arial" w:eastAsia="Arial" w:hAnsi="Arial"/>
          <w:sz w:val="19"/>
          <w:szCs w:val="19"/>
          <w:color w:val="auto"/>
        </w:rPr>
        <w:t xml:space="preserve"> will reimburse you for a </w:t>
      </w:r>
      <w:r>
        <w:rPr>
          <w:rFonts w:ascii="Arial" w:cs="Arial" w:eastAsia="Arial" w:hAnsi="Arial"/>
          <w:sz w:val="19"/>
          <w:szCs w:val="19"/>
          <w:b w:val="1"/>
          <w:bCs w:val="1"/>
          <w:color w:val="auto"/>
        </w:rPr>
        <w:t>covered expense</w:t>
      </w:r>
      <w:r>
        <w:rPr>
          <w:rFonts w:ascii="Arial" w:cs="Arial" w:eastAsia="Arial" w:hAnsi="Arial"/>
          <w:sz w:val="19"/>
          <w:szCs w:val="19"/>
          <w:color w:val="auto"/>
        </w:rPr>
        <w:t xml:space="preserve"> up to the </w:t>
      </w:r>
      <w:r>
        <w:rPr>
          <w:rFonts w:ascii="Arial" w:cs="Arial" w:eastAsia="Arial" w:hAnsi="Arial"/>
          <w:sz w:val="19"/>
          <w:szCs w:val="19"/>
          <w:b w:val="1"/>
          <w:bCs w:val="1"/>
          <w:color w:val="auto"/>
        </w:rPr>
        <w:t>recognized charge</w:t>
      </w:r>
      <w:r>
        <w:rPr>
          <w:rFonts w:ascii="Arial" w:cs="Arial" w:eastAsia="Arial" w:hAnsi="Arial"/>
          <w:sz w:val="19"/>
          <w:szCs w:val="19"/>
          <w:color w:val="auto"/>
        </w:rPr>
        <w:t>, less any cost sharing required by you.</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Cost Sharing for Out-of-Network Benefits </w:t>
      </w:r>
      <w:r>
        <w:rPr>
          <w:rFonts w:ascii="Arial" w:cs="Arial" w:eastAsia="Arial" w:hAnsi="Arial"/>
          <w:sz w:val="14"/>
          <w:szCs w:val="14"/>
          <w:i w:val="1"/>
          <w:iCs w:val="1"/>
          <w:color w:val="auto"/>
        </w:rPr>
        <w:t>(GR-9N 12-020 02 VA)</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You share in the cost of your benefits. Cost Sharing amounts and provisions are described in the Schedule of Benefits.</w:t>
      </w:r>
    </w:p>
    <w:p>
      <w:pPr>
        <w:spacing w:after="0" w:line="218" w:lineRule="exact"/>
        <w:rPr>
          <w:sz w:val="20"/>
          <w:szCs w:val="20"/>
          <w:color w:val="auto"/>
        </w:rPr>
      </w:pPr>
    </w:p>
    <w:p>
      <w:pPr>
        <w:ind w:left="340" w:hanging="331"/>
        <w:spacing w:after="0" w:line="253" w:lineRule="auto"/>
        <w:tabs>
          <w:tab w:leader="none" w:pos="3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 xml:space="preserve">You will be responsible for any applicable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for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that you incur. Your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share is based on the </w:t>
      </w:r>
      <w:r>
        <w:rPr>
          <w:rFonts w:ascii="Arial" w:cs="Arial" w:eastAsia="Arial" w:hAnsi="Arial"/>
          <w:sz w:val="20"/>
          <w:szCs w:val="20"/>
          <w:b w:val="1"/>
          <w:bCs w:val="1"/>
          <w:color w:val="auto"/>
        </w:rPr>
        <w:t>recognized charge</w:t>
      </w:r>
      <w:r>
        <w:rPr>
          <w:rFonts w:ascii="Arial" w:cs="Arial" w:eastAsia="Arial" w:hAnsi="Arial"/>
          <w:sz w:val="20"/>
          <w:szCs w:val="20"/>
          <w:color w:val="auto"/>
        </w:rPr>
        <w:t>. If the</w:t>
      </w:r>
      <w:r>
        <w:rPr>
          <w:rFonts w:ascii="Arial" w:cs="Arial" w:eastAsia="Arial" w:hAnsi="Arial"/>
          <w:sz w:val="20"/>
          <w:szCs w:val="20"/>
          <w:b w:val="1"/>
          <w:bCs w:val="1"/>
          <w:color w:val="auto"/>
        </w:rPr>
        <w:t xml:space="preserve"> out-of-network pharmacy </w:t>
      </w:r>
      <w:r>
        <w:rPr>
          <w:rFonts w:ascii="Arial" w:cs="Arial" w:eastAsia="Arial" w:hAnsi="Arial"/>
          <w:sz w:val="20"/>
          <w:szCs w:val="20"/>
          <w:color w:val="auto"/>
        </w:rPr>
        <w:t>charges more than the</w:t>
      </w:r>
      <w:r>
        <w:rPr>
          <w:rFonts w:ascii="Arial" w:cs="Arial" w:eastAsia="Arial" w:hAnsi="Arial"/>
          <w:sz w:val="20"/>
          <w:szCs w:val="20"/>
          <w:b w:val="1"/>
          <w:bCs w:val="1"/>
          <w:color w:val="auto"/>
        </w:rPr>
        <w:t xml:space="preserve"> recognized charge</w:t>
      </w:r>
      <w:r>
        <w:rPr>
          <w:rFonts w:ascii="Arial" w:cs="Arial" w:eastAsia="Arial" w:hAnsi="Arial"/>
          <w:sz w:val="20"/>
          <w:szCs w:val="20"/>
          <w:color w:val="auto"/>
        </w:rPr>
        <w:t>, you will be responsible for any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above the </w:t>
      </w:r>
      <w:r>
        <w:rPr>
          <w:rFonts w:ascii="Arial" w:cs="Arial" w:eastAsia="Arial" w:hAnsi="Arial"/>
          <w:sz w:val="20"/>
          <w:szCs w:val="20"/>
          <w:b w:val="1"/>
          <w:bCs w:val="1"/>
          <w:color w:val="auto"/>
        </w:rPr>
        <w:t>recognized charge</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Pharmacy Benefit </w:t>
      </w:r>
      <w:r>
        <w:rPr>
          <w:rFonts w:ascii="Arial" w:cs="Arial" w:eastAsia="Arial" w:hAnsi="Arial"/>
          <w:sz w:val="14"/>
          <w:szCs w:val="14"/>
          <w:i w:val="1"/>
          <w:iCs w:val="1"/>
          <w:color w:val="auto"/>
        </w:rPr>
        <w:t>(GR-9N 13-005 01 VA)</w:t>
      </w: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What the Plan Covers</w:t>
      </w:r>
    </w:p>
    <w:p>
      <w:pPr>
        <w:spacing w:after="0" w:line="231" w:lineRule="exact"/>
        <w:rPr>
          <w:sz w:val="20"/>
          <w:szCs w:val="20"/>
          <w:color w:val="auto"/>
        </w:rPr>
      </w:pPr>
    </w:p>
    <w:p>
      <w:pPr>
        <w:jc w:val="both"/>
        <w:ind w:right="260"/>
        <w:spacing w:after="0" w:line="253" w:lineRule="auto"/>
        <w:rPr>
          <w:sz w:val="20"/>
          <w:szCs w:val="20"/>
          <w:color w:val="auto"/>
        </w:rPr>
      </w:pPr>
      <w:r>
        <w:rPr>
          <w:rFonts w:ascii="Arial" w:cs="Arial" w:eastAsia="Arial" w:hAnsi="Arial"/>
          <w:sz w:val="20"/>
          <w:szCs w:val="20"/>
          <w:color w:val="auto"/>
        </w:rPr>
        <w:t xml:space="preserve">The plan covers charges for outpatient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for the treatment of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injury, subject to the Limitations section of this coverage and the Exclusions section of the Booklet-Certificate. Prescriptions must be written by a </w:t>
      </w:r>
      <w:r>
        <w:rPr>
          <w:rFonts w:ascii="Arial" w:cs="Arial" w:eastAsia="Arial" w:hAnsi="Arial"/>
          <w:sz w:val="20"/>
          <w:szCs w:val="20"/>
          <w:b w:val="1"/>
          <w:bCs w:val="1"/>
          <w:color w:val="auto"/>
        </w:rPr>
        <w:t>prescriber</w:t>
      </w:r>
      <w:r>
        <w:rPr>
          <w:rFonts w:ascii="Arial" w:cs="Arial" w:eastAsia="Arial" w:hAnsi="Arial"/>
          <w:sz w:val="20"/>
          <w:szCs w:val="20"/>
          <w:color w:val="auto"/>
        </w:rPr>
        <w:t xml:space="preserve"> licensed to prescribe federal legend prescription drugs.</w:t>
      </w:r>
    </w:p>
    <w:p>
      <w:pPr>
        <w:spacing w:after="0" w:line="191"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b w:val="1"/>
          <w:bCs w:val="1"/>
          <w:color w:val="auto"/>
        </w:rPr>
        <w:t xml:space="preserve">Generic prescription drugs </w:t>
      </w:r>
      <w:r>
        <w:rPr>
          <w:rFonts w:ascii="Arial" w:cs="Arial" w:eastAsia="Arial" w:hAnsi="Arial"/>
          <w:sz w:val="20"/>
          <w:szCs w:val="20"/>
          <w:color w:val="auto"/>
        </w:rPr>
        <w:t>may be substituted by your pharmacist for</w:t>
      </w:r>
      <w:r>
        <w:rPr>
          <w:rFonts w:ascii="Arial" w:cs="Arial" w:eastAsia="Arial" w:hAnsi="Arial"/>
          <w:sz w:val="20"/>
          <w:szCs w:val="20"/>
          <w:b w:val="1"/>
          <w:bCs w:val="1"/>
          <w:color w:val="auto"/>
        </w:rPr>
        <w:t xml:space="preserve"> brand-name prescription drugs</w:t>
      </w:r>
      <w:r>
        <w:rPr>
          <w:rFonts w:ascii="Arial" w:cs="Arial" w:eastAsia="Arial" w:hAnsi="Arial"/>
          <w:sz w:val="20"/>
          <w:szCs w:val="20"/>
          <w:color w:val="auto"/>
        </w:rPr>
        <w:t xml:space="preserve">. You may minimize your out-of-pocket expenses by selecting a </w:t>
      </w:r>
      <w:r>
        <w:rPr>
          <w:rFonts w:ascii="Arial" w:cs="Arial" w:eastAsia="Arial" w:hAnsi="Arial"/>
          <w:sz w:val="20"/>
          <w:szCs w:val="20"/>
          <w:b w:val="1"/>
          <w:bCs w:val="1"/>
          <w:color w:val="auto"/>
        </w:rPr>
        <w:t>generic prescription drug</w:t>
      </w:r>
      <w:r>
        <w:rPr>
          <w:rFonts w:ascii="Arial" w:cs="Arial" w:eastAsia="Arial" w:hAnsi="Arial"/>
          <w:sz w:val="20"/>
          <w:szCs w:val="20"/>
          <w:color w:val="auto"/>
        </w:rPr>
        <w:t xml:space="preserve"> when available.</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Coverage of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may, in </w:t>
      </w:r>
      <w:r>
        <w:rPr>
          <w:rFonts w:ascii="Arial" w:cs="Arial" w:eastAsia="Arial" w:hAnsi="Arial"/>
          <w:sz w:val="20"/>
          <w:szCs w:val="20"/>
          <w:b w:val="1"/>
          <w:bCs w:val="1"/>
          <w:color w:val="auto"/>
        </w:rPr>
        <w:t>Aetna</w:t>
      </w:r>
      <w:r>
        <w:rPr>
          <w:rFonts w:ascii="Arial" w:cs="Arial" w:eastAsia="Arial" w:hAnsi="Arial"/>
          <w:sz w:val="20"/>
          <w:szCs w:val="20"/>
          <w:color w:val="auto"/>
        </w:rPr>
        <w:t xml:space="preserve">’s sole discretion, be subject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requirements or limitations.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covered by this plan are subject to drug utilization review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and/or your provider and/or your </w:t>
      </w:r>
      <w:r>
        <w:rPr>
          <w:rFonts w:ascii="Arial" w:cs="Arial" w:eastAsia="Arial" w:hAnsi="Arial"/>
          <w:sz w:val="20"/>
          <w:szCs w:val="20"/>
          <w:b w:val="1"/>
          <w:bCs w:val="1"/>
          <w:color w:val="auto"/>
        </w:rPr>
        <w:t>network pharmacy</w:t>
      </w:r>
      <w:r>
        <w:rPr>
          <w:rFonts w:ascii="Arial" w:cs="Arial" w:eastAsia="Arial" w:hAnsi="Arial"/>
          <w:sz w:val="20"/>
          <w:szCs w:val="20"/>
          <w:color w:val="auto"/>
        </w:rPr>
        <w:t>.</w:t>
      </w:r>
    </w:p>
    <w:p>
      <w:pPr>
        <w:sectPr>
          <w:pgSz w:w="11900" w:h="16838" w:orient="portrait"/>
          <w:cols w:equalWidth="0" w:num="1">
            <w:col w:w="11300"/>
          </w:cols>
          <w:pgMar w:left="320" w:top="427" w:right="279"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color w:val="auto"/>
        </w:rPr>
        <w:t xml:space="preserve">Coverage for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and supplies is limited to the supply limits as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Retail Pharmacy Benefits</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Outpatient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are covered when dispensed by a </w:t>
      </w:r>
      <w:r>
        <w:rPr>
          <w:rFonts w:ascii="Arial" w:cs="Arial" w:eastAsia="Arial" w:hAnsi="Arial"/>
          <w:sz w:val="20"/>
          <w:szCs w:val="20"/>
          <w:b w:val="1"/>
          <w:bCs w:val="1"/>
          <w:color w:val="auto"/>
        </w:rPr>
        <w:t>network retail pharmacy</w:t>
      </w:r>
      <w:r>
        <w:rPr>
          <w:rFonts w:ascii="Arial" w:cs="Arial" w:eastAsia="Arial" w:hAnsi="Arial"/>
          <w:sz w:val="20"/>
          <w:szCs w:val="20"/>
          <w:color w:val="auto"/>
        </w:rPr>
        <w:t xml:space="preserve">. Each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is limited to a maximum 30 day supply when filled at a </w:t>
      </w:r>
      <w:r>
        <w:rPr>
          <w:rFonts w:ascii="Arial" w:cs="Arial" w:eastAsia="Arial" w:hAnsi="Arial"/>
          <w:sz w:val="20"/>
          <w:szCs w:val="20"/>
          <w:b w:val="1"/>
          <w:bCs w:val="1"/>
          <w:color w:val="auto"/>
        </w:rPr>
        <w:t>network retail pharmacy</w:t>
      </w:r>
      <w:r>
        <w:rPr>
          <w:rFonts w:ascii="Arial" w:cs="Arial" w:eastAsia="Arial" w:hAnsi="Arial"/>
          <w:sz w:val="20"/>
          <w:szCs w:val="20"/>
          <w:color w:val="auto"/>
        </w:rPr>
        <w:t xml:space="preserve">. </w:t>
      </w:r>
      <w:r>
        <w:rPr>
          <w:rFonts w:ascii="Arial" w:cs="Arial" w:eastAsia="Arial" w:hAnsi="Arial"/>
          <w:sz w:val="20"/>
          <w:szCs w:val="20"/>
          <w:b w:val="1"/>
          <w:bCs w:val="1"/>
          <w:color w:val="auto"/>
        </w:rPr>
        <w:t>Prescriptions</w:t>
      </w:r>
      <w:r>
        <w:rPr>
          <w:rFonts w:ascii="Arial" w:cs="Arial" w:eastAsia="Arial" w:hAnsi="Arial"/>
          <w:sz w:val="20"/>
          <w:szCs w:val="20"/>
          <w:color w:val="auto"/>
        </w:rPr>
        <w:t xml:space="preserve"> for more than a 30 day supply are not eligible for coverage when dispensed by a </w:t>
      </w:r>
      <w:r>
        <w:rPr>
          <w:rFonts w:ascii="Arial" w:cs="Arial" w:eastAsia="Arial" w:hAnsi="Arial"/>
          <w:sz w:val="20"/>
          <w:szCs w:val="20"/>
          <w:b w:val="1"/>
          <w:bCs w:val="1"/>
          <w:color w:val="auto"/>
        </w:rPr>
        <w:t>network retail pharmacy</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All prescriptions and refills over a 30 day supply must be filled at a </w:t>
      </w:r>
      <w:r>
        <w:rPr>
          <w:rFonts w:ascii="Arial" w:cs="Arial" w:eastAsia="Arial" w:hAnsi="Arial"/>
          <w:sz w:val="20"/>
          <w:szCs w:val="20"/>
          <w:b w:val="1"/>
          <w:bCs w:val="1"/>
          <w:color w:val="auto"/>
        </w:rPr>
        <w:t>mail order pharmacy</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Mail Order Pharmacy Benefits</w:t>
      </w:r>
    </w:p>
    <w:p>
      <w:pPr>
        <w:spacing w:after="0" w:line="32"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auto"/>
        </w:rPr>
        <w:t xml:space="preserve">Outpatient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are covered when dispensed by a </w:t>
      </w:r>
      <w:r>
        <w:rPr>
          <w:rFonts w:ascii="Arial" w:cs="Arial" w:eastAsia="Arial" w:hAnsi="Arial"/>
          <w:sz w:val="20"/>
          <w:szCs w:val="20"/>
          <w:b w:val="1"/>
          <w:bCs w:val="1"/>
          <w:color w:val="auto"/>
        </w:rPr>
        <w:t>network mail order pharmacy</w:t>
      </w:r>
      <w:r>
        <w:rPr>
          <w:rFonts w:ascii="Arial" w:cs="Arial" w:eastAsia="Arial" w:hAnsi="Arial"/>
          <w:sz w:val="20"/>
          <w:szCs w:val="20"/>
          <w:color w:val="auto"/>
        </w:rPr>
        <w:t xml:space="preserve">. Each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is limited to a maximum 90 day supply when filled at a </w:t>
      </w:r>
      <w:r>
        <w:rPr>
          <w:rFonts w:ascii="Arial" w:cs="Arial" w:eastAsia="Arial" w:hAnsi="Arial"/>
          <w:sz w:val="20"/>
          <w:szCs w:val="20"/>
          <w:b w:val="1"/>
          <w:bCs w:val="1"/>
          <w:color w:val="auto"/>
        </w:rPr>
        <w:t>network mail order pharmacy</w:t>
      </w:r>
      <w:r>
        <w:rPr>
          <w:rFonts w:ascii="Arial" w:cs="Arial" w:eastAsia="Arial" w:hAnsi="Arial"/>
          <w:sz w:val="20"/>
          <w:szCs w:val="20"/>
          <w:color w:val="auto"/>
        </w:rPr>
        <w:t xml:space="preserve">. </w:t>
      </w:r>
      <w:r>
        <w:rPr>
          <w:rFonts w:ascii="Arial" w:cs="Arial" w:eastAsia="Arial" w:hAnsi="Arial"/>
          <w:sz w:val="20"/>
          <w:szCs w:val="20"/>
          <w:b w:val="1"/>
          <w:bCs w:val="1"/>
          <w:color w:val="auto"/>
        </w:rPr>
        <w:t>Prescriptions</w:t>
      </w:r>
      <w:r>
        <w:rPr>
          <w:rFonts w:ascii="Arial" w:cs="Arial" w:eastAsia="Arial" w:hAnsi="Arial"/>
          <w:sz w:val="20"/>
          <w:szCs w:val="20"/>
          <w:color w:val="auto"/>
        </w:rPr>
        <w:t xml:space="preserve"> for less than a 30 day supply or more than a 90 day supply are not eligible for coverage when dispensed by a </w:t>
      </w:r>
      <w:r>
        <w:rPr>
          <w:rFonts w:ascii="Arial" w:cs="Arial" w:eastAsia="Arial" w:hAnsi="Arial"/>
          <w:sz w:val="20"/>
          <w:szCs w:val="20"/>
          <w:b w:val="1"/>
          <w:bCs w:val="1"/>
          <w:color w:val="auto"/>
        </w:rPr>
        <w:t>network mail order pharmacy</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Network Benefits for Specialty Care Drugs</w:t>
      </w:r>
    </w:p>
    <w:p>
      <w:pPr>
        <w:spacing w:after="0" w:line="3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Specialty care drugs </w:t>
      </w:r>
      <w:r>
        <w:rPr>
          <w:rFonts w:ascii="Arial" w:cs="Arial" w:eastAsia="Arial" w:hAnsi="Arial"/>
          <w:sz w:val="18"/>
          <w:szCs w:val="18"/>
          <w:color w:val="auto"/>
        </w:rPr>
        <w:t>are covered at the network level of benefits only when dispensed through a</w:t>
      </w:r>
      <w:r>
        <w:rPr>
          <w:rFonts w:ascii="Arial" w:cs="Arial" w:eastAsia="Arial" w:hAnsi="Arial"/>
          <w:sz w:val="18"/>
          <w:szCs w:val="18"/>
          <w:b w:val="1"/>
          <w:bCs w:val="1"/>
          <w:color w:val="auto"/>
        </w:rPr>
        <w:t xml:space="preserve"> network retail pharmacy </w:t>
      </w:r>
      <w:r>
        <w:rPr>
          <w:rFonts w:ascii="Arial" w:cs="Arial" w:eastAsia="Arial" w:hAnsi="Arial"/>
          <w:sz w:val="18"/>
          <w:szCs w:val="18"/>
          <w:color w:val="auto"/>
        </w:rPr>
        <w:t>or</w:t>
      </w:r>
      <w:r>
        <w:rPr>
          <w:rFonts w:ascii="Arial" w:cs="Arial" w:eastAsia="Arial" w:hAnsi="Arial"/>
          <w:sz w:val="18"/>
          <w:szCs w:val="18"/>
          <w:b w:val="1"/>
          <w:bCs w:val="1"/>
          <w:color w:val="auto"/>
        </w:rPr>
        <w:t xml:space="preserve"> Aetna’s specialty pharmacy network</w:t>
      </w:r>
      <w:r>
        <w:rPr>
          <w:rFonts w:ascii="Arial" w:cs="Arial" w:eastAsia="Arial" w:hAnsi="Arial"/>
          <w:sz w:val="18"/>
          <w:szCs w:val="18"/>
          <w:color w:val="auto"/>
        </w:rPr>
        <w:t>. Refer to</w:t>
      </w:r>
      <w:r>
        <w:rPr>
          <w:rFonts w:ascii="Arial" w:cs="Arial" w:eastAsia="Arial" w:hAnsi="Arial"/>
          <w:sz w:val="18"/>
          <w:szCs w:val="18"/>
          <w:b w:val="1"/>
          <w:bCs w:val="1"/>
          <w:color w:val="auto"/>
        </w:rPr>
        <w:t xml:space="preserve"> Aetna’s </w:t>
      </w:r>
      <w:r>
        <w:rPr>
          <w:rFonts w:ascii="Arial" w:cs="Arial" w:eastAsia="Arial" w:hAnsi="Arial"/>
          <w:sz w:val="18"/>
          <w:szCs w:val="18"/>
          <w:color w:val="auto"/>
        </w:rPr>
        <w:t>website,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www.aetna.com</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the list of</w:t>
      </w:r>
      <w:r>
        <w:rPr>
          <w:rFonts w:ascii="Arial" w:cs="Arial" w:eastAsia="Arial" w:hAnsi="Arial"/>
          <w:sz w:val="18"/>
          <w:szCs w:val="18"/>
          <w:b w:val="1"/>
          <w:bCs w:val="1"/>
          <w:color w:val="auto"/>
        </w:rPr>
        <w:t xml:space="preserve"> specialty care drugs </w:t>
      </w:r>
      <w:r>
        <w:rPr>
          <w:rFonts w:ascii="Arial" w:cs="Arial" w:eastAsia="Arial" w:hAnsi="Arial"/>
          <w:sz w:val="18"/>
          <w:szCs w:val="18"/>
          <w:color w:val="auto"/>
        </w:rPr>
        <w:t>required to be dispensed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through a </w:t>
      </w:r>
      <w:r>
        <w:rPr>
          <w:rFonts w:ascii="Arial" w:cs="Arial" w:eastAsia="Arial" w:hAnsi="Arial"/>
          <w:sz w:val="18"/>
          <w:szCs w:val="18"/>
          <w:b w:val="1"/>
          <w:bCs w:val="1"/>
          <w:color w:val="auto"/>
        </w:rPr>
        <w:t>network retail pharmacy</w:t>
      </w:r>
      <w:r>
        <w:rPr>
          <w:rFonts w:ascii="Arial" w:cs="Arial" w:eastAsia="Arial" w:hAnsi="Arial"/>
          <w:sz w:val="18"/>
          <w:szCs w:val="18"/>
          <w:color w:val="auto"/>
        </w:rPr>
        <w:t xml:space="preserve"> or </w:t>
      </w:r>
      <w:r>
        <w:rPr>
          <w:rFonts w:ascii="Arial" w:cs="Arial" w:eastAsia="Arial" w:hAnsi="Arial"/>
          <w:sz w:val="18"/>
          <w:szCs w:val="18"/>
          <w:b w:val="1"/>
          <w:bCs w:val="1"/>
          <w:color w:val="auto"/>
        </w:rPr>
        <w:t>Aetna's specialty pharmacy network</w:t>
      </w:r>
      <w:r>
        <w:rPr>
          <w:rFonts w:ascii="Arial" w:cs="Arial" w:eastAsia="Arial" w:hAnsi="Arial"/>
          <w:sz w:val="18"/>
          <w:szCs w:val="18"/>
          <w:color w:val="auto"/>
        </w:rPr>
        <w:t>. The list may be updated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prescription for </w:t>
      </w:r>
      <w:r>
        <w:rPr>
          <w:rFonts w:ascii="Arial" w:cs="Arial" w:eastAsia="Arial" w:hAnsi="Arial"/>
          <w:sz w:val="18"/>
          <w:szCs w:val="18"/>
          <w:b w:val="1"/>
          <w:bCs w:val="1"/>
          <w:color w:val="auto"/>
        </w:rPr>
        <w:t>specialty care drugs</w:t>
      </w:r>
      <w:r>
        <w:rPr>
          <w:rFonts w:ascii="Arial" w:cs="Arial" w:eastAsia="Arial" w:hAnsi="Arial"/>
          <w:sz w:val="18"/>
          <w:szCs w:val="18"/>
          <w:color w:val="auto"/>
        </w:rPr>
        <w:t xml:space="preserve"> must be filled at a </w:t>
      </w:r>
      <w:r>
        <w:rPr>
          <w:rFonts w:ascii="Arial" w:cs="Arial" w:eastAsia="Arial" w:hAnsi="Arial"/>
          <w:sz w:val="18"/>
          <w:szCs w:val="18"/>
          <w:b w:val="1"/>
          <w:bCs w:val="1"/>
          <w:color w:val="auto"/>
        </w:rPr>
        <w:t>network retail pharmacy</w:t>
      </w:r>
      <w:r>
        <w:rPr>
          <w:rFonts w:ascii="Arial" w:cs="Arial" w:eastAsia="Arial" w:hAnsi="Arial"/>
          <w:sz w:val="18"/>
          <w:szCs w:val="18"/>
          <w:color w:val="auto"/>
        </w:rPr>
        <w:t xml:space="preserve"> or at </w:t>
      </w:r>
      <w:r>
        <w:rPr>
          <w:rFonts w:ascii="Arial" w:cs="Arial" w:eastAsia="Arial" w:hAnsi="Arial"/>
          <w:sz w:val="18"/>
          <w:szCs w:val="18"/>
          <w:b w:val="1"/>
          <w:bCs w:val="1"/>
          <w:color w:val="auto"/>
        </w:rPr>
        <w:t>Aetna’s specialty pharmacy network</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are required to obtain </w:t>
      </w:r>
      <w:r>
        <w:rPr>
          <w:rFonts w:ascii="Arial" w:cs="Arial" w:eastAsia="Arial" w:hAnsi="Arial"/>
          <w:sz w:val="18"/>
          <w:szCs w:val="18"/>
          <w:b w:val="1"/>
          <w:bCs w:val="1"/>
          <w:color w:val="auto"/>
        </w:rPr>
        <w:t>specialty care drugs</w:t>
      </w:r>
      <w:r>
        <w:rPr>
          <w:rFonts w:ascii="Arial" w:cs="Arial" w:eastAsia="Arial" w:hAnsi="Arial"/>
          <w:sz w:val="18"/>
          <w:szCs w:val="18"/>
          <w:color w:val="auto"/>
        </w:rPr>
        <w:t xml:space="preserve"> at </w:t>
      </w:r>
      <w:r>
        <w:rPr>
          <w:rFonts w:ascii="Arial" w:cs="Arial" w:eastAsia="Arial" w:hAnsi="Arial"/>
          <w:sz w:val="18"/>
          <w:szCs w:val="18"/>
          <w:b w:val="1"/>
          <w:bCs w:val="1"/>
          <w:color w:val="auto"/>
        </w:rPr>
        <w:t>Aetna’s specialty pharmacy network</w:t>
      </w:r>
      <w:r>
        <w:rPr>
          <w:rFonts w:ascii="Arial" w:cs="Arial" w:eastAsia="Arial" w:hAnsi="Arial"/>
          <w:sz w:val="18"/>
          <w:szCs w:val="18"/>
          <w:color w:val="auto"/>
        </w:rPr>
        <w:t xml:space="preserve"> for all prescription drug refills after the initial fill.</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Other Covered Expenses </w:t>
      </w:r>
      <w:r>
        <w:rPr>
          <w:rFonts w:ascii="Arial" w:cs="Arial" w:eastAsia="Arial" w:hAnsi="Arial"/>
          <w:sz w:val="14"/>
          <w:szCs w:val="14"/>
          <w:i w:val="1"/>
          <w:iCs w:val="1"/>
          <w:color w:val="auto"/>
        </w:rPr>
        <w:t>(GR-9N 13-005 01 VA)</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medications and supplies are also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under this Coverage.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Off-Label Use </w:t>
      </w:r>
      <w:r>
        <w:rPr>
          <w:rFonts w:ascii="Arial" w:cs="Arial" w:eastAsia="Arial" w:hAnsi="Arial"/>
          <w:sz w:val="14"/>
          <w:szCs w:val="14"/>
          <w:i w:val="1"/>
          <w:iCs w:val="1"/>
          <w:color w:val="auto"/>
        </w:rPr>
        <w:t>(GR-9N 13-005 01 VA)</w:t>
      </w:r>
    </w:p>
    <w:p>
      <w:pPr>
        <w:spacing w:after="0" w:line="2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 xml:space="preserve">FDA approved </w:t>
      </w:r>
      <w:r>
        <w:rPr>
          <w:rFonts w:ascii="Arial" w:cs="Arial" w:eastAsia="Arial" w:hAnsi="Arial"/>
          <w:sz w:val="16"/>
          <w:szCs w:val="16"/>
          <w:b w:val="1"/>
          <w:bCs w:val="1"/>
          <w:color w:val="auto"/>
        </w:rPr>
        <w:t>prescription drugs</w:t>
      </w:r>
      <w:r>
        <w:rPr>
          <w:rFonts w:ascii="Arial" w:cs="Arial" w:eastAsia="Arial" w:hAnsi="Arial"/>
          <w:sz w:val="16"/>
          <w:szCs w:val="16"/>
          <w:color w:val="auto"/>
        </w:rPr>
        <w:t xml:space="preserve"> may be covered when the off-label use of the drug has not been approved by the FDA for that indication. The drug must be recognized for treatment of the indication in one of the standard compendia (the United States Pharmacopoeia Drug Information, the American Medical Association Drug Evaluations, or the American Hospital Formulary Service Drug Information). Or, the safety and effectiveness of use for this indication has been adequately demonstrated by at least one study published in a nationally recognized peer review journal. Coverage of off label use of these drugs may, in </w:t>
      </w:r>
      <w:r>
        <w:rPr>
          <w:rFonts w:ascii="Arial" w:cs="Arial" w:eastAsia="Arial" w:hAnsi="Arial"/>
          <w:sz w:val="16"/>
          <w:szCs w:val="16"/>
          <w:b w:val="1"/>
          <w:bCs w:val="1"/>
          <w:color w:val="auto"/>
        </w:rPr>
        <w:t>Aetna’s</w:t>
      </w:r>
      <w:r>
        <w:rPr>
          <w:rFonts w:ascii="Arial" w:cs="Arial" w:eastAsia="Arial" w:hAnsi="Arial"/>
          <w:sz w:val="16"/>
          <w:szCs w:val="16"/>
          <w:color w:val="auto"/>
        </w:rPr>
        <w:t xml:space="preserve"> sole discretion, be subject to </w:t>
      </w:r>
      <w:r>
        <w:rPr>
          <w:rFonts w:ascii="Arial" w:cs="Arial" w:eastAsia="Arial" w:hAnsi="Arial"/>
          <w:sz w:val="16"/>
          <w:szCs w:val="16"/>
          <w:b w:val="1"/>
          <w:bCs w:val="1"/>
          <w:color w:val="auto"/>
        </w:rPr>
        <w:t>Aetna</w:t>
      </w:r>
      <w:r>
        <w:rPr>
          <w:rFonts w:ascii="Arial" w:cs="Arial" w:eastAsia="Arial" w:hAnsi="Arial"/>
          <w:sz w:val="16"/>
          <w:szCs w:val="16"/>
          <w:color w:val="auto"/>
        </w:rPr>
        <w:t xml:space="preserve"> requirements or limitations.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Contraceptives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contraceptives and contraceptive devices:</w:t>
      </w:r>
    </w:p>
    <w:p>
      <w:pPr>
        <w:spacing w:after="0" w:line="243" w:lineRule="exact"/>
        <w:rPr>
          <w:sz w:val="20"/>
          <w:szCs w:val="20"/>
          <w:color w:val="auto"/>
        </w:rPr>
      </w:pPr>
    </w:p>
    <w:p>
      <w:pPr>
        <w:ind w:left="340" w:hanging="331"/>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Oral Contraceptives.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Diaphragms, 1 per 365 consecutive day period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Injectable contraceptives.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Contraceptive patches.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Contraceptive rings.</w:t>
      </w:r>
    </w:p>
    <w:p>
      <w:pPr>
        <w:spacing w:after="0" w:line="8" w:lineRule="exact"/>
        <w:rPr>
          <w:rFonts w:ascii="Arial" w:cs="Arial" w:eastAsia="Arial" w:hAnsi="Arial"/>
          <w:sz w:val="20"/>
          <w:szCs w:val="20"/>
          <w:color w:val="auto"/>
        </w:rPr>
      </w:pPr>
    </w:p>
    <w:p>
      <w:pPr>
        <w:ind w:left="340" w:right="200" w:hanging="331"/>
        <w:spacing w:after="0" w:line="244" w:lineRule="auto"/>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 xml:space="preserve">Implantable contraceptives and IUDs are covered when obtained from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The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will provide insertion and removal of the drugs or device.</w:t>
      </w:r>
    </w:p>
    <w:p>
      <w:pPr>
        <w:sectPr>
          <w:pgSz w:w="11900" w:h="16838" w:orient="portrait"/>
          <w:cols w:equalWidth="0" w:num="1">
            <w:col w:w="11340"/>
          </w:cols>
          <w:pgMar w:left="320" w:top="427"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b w:val="1"/>
          <w:bCs w:val="1"/>
          <w:color w:val="auto"/>
        </w:rPr>
        <w:t>Oral and Self-Injectable Infertility Drugs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used for the purpose of treating infertility including, but not limited to:</w:t>
      </w:r>
    </w:p>
    <w:p>
      <w:pPr>
        <w:spacing w:after="0" w:line="200" w:lineRule="exact"/>
        <w:rPr>
          <w:sz w:val="20"/>
          <w:szCs w:val="20"/>
          <w:color w:val="auto"/>
        </w:rPr>
      </w:pPr>
    </w:p>
    <w:p>
      <w:pPr>
        <w:ind w:left="340" w:hanging="331"/>
        <w:spacing w:after="0"/>
        <w:tabs>
          <w:tab w:leader="none" w:pos="34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Urofollitropin, menotropin, human chorionic gonadotropin and progesterone.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Lifestyle/Performance Drugs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lifestyle/performance drugs:</w:t>
      </w:r>
    </w:p>
    <w:p>
      <w:pPr>
        <w:spacing w:after="0" w:line="200" w:lineRule="exact"/>
        <w:rPr>
          <w:sz w:val="20"/>
          <w:szCs w:val="20"/>
          <w:color w:val="auto"/>
        </w:rPr>
      </w:pPr>
    </w:p>
    <w:p>
      <w:pPr>
        <w:jc w:val="both"/>
        <w:ind w:left="340" w:right="280" w:hanging="331"/>
        <w:spacing w:after="0" w:line="272" w:lineRule="auto"/>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Sildenafil Citrate, phentolamine, apomorphine and alprostadil in oral, injectable and topical (including but not limited to gels, creams, ointments and patches) forms or any other form used internally or externally. Expenses include any prescription drug in oral or topical form that is similar or identical class, has a similar or identical mode of action or exhibits similar or identical outcomes.</w:t>
      </w:r>
    </w:p>
    <w:p>
      <w:pPr>
        <w:spacing w:after="0" w:line="1" w:lineRule="exact"/>
        <w:rPr>
          <w:rFonts w:ascii="Arial" w:cs="Arial" w:eastAsia="Arial" w:hAnsi="Arial"/>
          <w:sz w:val="18"/>
          <w:szCs w:val="18"/>
          <w:color w:val="auto"/>
        </w:rPr>
      </w:pPr>
    </w:p>
    <w:p>
      <w:pPr>
        <w:ind w:left="340" w:right="280" w:hanging="331"/>
        <w:spacing w:after="0" w:line="244" w:lineRule="auto"/>
        <w:tabs>
          <w:tab w:leader="none" w:pos="34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Coverage is limited to 6 pills or other form, determined cumulatively among all forms, for unit amounts as determined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be similar in cost to oral forms, per 30 day supply. Mail order and 60 to 90 day supplies are not covered.</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Pharmacy Benefit Limitations </w:t>
      </w:r>
      <w:r>
        <w:rPr>
          <w:rFonts w:ascii="Arial" w:cs="Arial" w:eastAsia="Arial" w:hAnsi="Arial"/>
          <w:sz w:val="14"/>
          <w:szCs w:val="14"/>
          <w:i w:val="1"/>
          <w:iCs w:val="1"/>
          <w:color w:val="auto"/>
        </w:rPr>
        <w:t>(GR-9N-S-13-15-01)</w:t>
      </w:r>
    </w:p>
    <w:p>
      <w:pPr>
        <w:spacing w:after="0" w:line="5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may refuse to fill a prescription order or refill when in the professional judgment of the pharmacist the prescription should not be filled.</w:t>
      </w:r>
    </w:p>
    <w:p>
      <w:pPr>
        <w:spacing w:after="0" w:line="177"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color w:val="auto"/>
        </w:rPr>
        <w:t xml:space="preserve">The plan will not cover expenses for any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for which the actual charge to you is less than the required </w:t>
      </w:r>
      <w:r>
        <w:rPr>
          <w:rFonts w:ascii="Arial" w:cs="Arial" w:eastAsia="Arial" w:hAnsi="Arial"/>
          <w:sz w:val="20"/>
          <w:szCs w:val="20"/>
          <w:b w:val="1"/>
          <w:bCs w:val="1"/>
          <w:color w:val="auto"/>
        </w:rPr>
        <w:t>copayment</w:t>
      </w:r>
      <w:r>
        <w:rPr>
          <w:rFonts w:ascii="Arial" w:cs="Arial" w:eastAsia="Arial" w:hAnsi="Arial"/>
          <w:sz w:val="20"/>
          <w:szCs w:val="20"/>
          <w:color w:val="auto"/>
        </w:rPr>
        <w:t xml:space="preserve"> or </w:t>
      </w:r>
      <w:r>
        <w:rPr>
          <w:rFonts w:ascii="Arial" w:cs="Arial" w:eastAsia="Arial" w:hAnsi="Arial"/>
          <w:sz w:val="20"/>
          <w:szCs w:val="20"/>
          <w:b w:val="1"/>
          <w:bCs w:val="1"/>
          <w:color w:val="auto"/>
        </w:rPr>
        <w:t>deductible</w:t>
      </w:r>
      <w:r>
        <w:rPr>
          <w:rFonts w:ascii="Arial" w:cs="Arial" w:eastAsia="Arial" w:hAnsi="Arial"/>
          <w:sz w:val="20"/>
          <w:szCs w:val="20"/>
          <w:color w:val="auto"/>
        </w:rPr>
        <w:t>, or for any</w:t>
      </w:r>
      <w:r>
        <w:rPr>
          <w:rFonts w:ascii="Arial" w:cs="Arial" w:eastAsia="Arial" w:hAnsi="Arial"/>
          <w:sz w:val="20"/>
          <w:szCs w:val="20"/>
          <w:b w:val="1"/>
          <w:bCs w:val="1"/>
          <w:color w:val="auto"/>
        </w:rPr>
        <w:t xml:space="preserve"> prescription drug </w:t>
      </w:r>
      <w:r>
        <w:rPr>
          <w:rFonts w:ascii="Arial" w:cs="Arial" w:eastAsia="Arial" w:hAnsi="Arial"/>
          <w:sz w:val="20"/>
          <w:szCs w:val="20"/>
          <w:color w:val="auto"/>
        </w:rPr>
        <w:t>for which no charge is made to you.</w:t>
      </w:r>
    </w:p>
    <w:p>
      <w:pPr>
        <w:spacing w:after="0" w:line="177" w:lineRule="exact"/>
        <w:rPr>
          <w:sz w:val="20"/>
          <w:szCs w:val="20"/>
          <w:color w:val="auto"/>
        </w:rPr>
      </w:pPr>
    </w:p>
    <w:p>
      <w:pPr>
        <w:ind w:right="180"/>
        <w:spacing w:after="0" w:line="293" w:lineRule="auto"/>
        <w:rPr>
          <w:sz w:val="20"/>
          <w:szCs w:val="20"/>
          <w:color w:val="auto"/>
        </w:rPr>
      </w:pPr>
      <w:r>
        <w:rPr>
          <w:rFonts w:ascii="Arial" w:cs="Arial" w:eastAsia="Arial" w:hAnsi="Arial"/>
          <w:sz w:val="19"/>
          <w:szCs w:val="19"/>
          <w:color w:val="auto"/>
        </w:rPr>
        <w:t xml:space="preserve">You will be charged the </w:t>
      </w:r>
      <w:r>
        <w:rPr>
          <w:rFonts w:ascii="Arial" w:cs="Arial" w:eastAsia="Arial" w:hAnsi="Arial"/>
          <w:sz w:val="19"/>
          <w:szCs w:val="19"/>
          <w:b w:val="1"/>
          <w:bCs w:val="1"/>
          <w:color w:val="auto"/>
        </w:rPr>
        <w:t>out-of-network prescription drug cost sharing</w:t>
      </w:r>
      <w:r>
        <w:rPr>
          <w:rFonts w:ascii="Arial" w:cs="Arial" w:eastAsia="Arial" w:hAnsi="Arial"/>
          <w:sz w:val="19"/>
          <w:szCs w:val="19"/>
          <w:color w:val="auto"/>
        </w:rPr>
        <w:t xml:space="preserve"> for </w:t>
      </w:r>
      <w:r>
        <w:rPr>
          <w:rFonts w:ascii="Arial" w:cs="Arial" w:eastAsia="Arial" w:hAnsi="Arial"/>
          <w:sz w:val="19"/>
          <w:szCs w:val="19"/>
          <w:b w:val="1"/>
          <w:bCs w:val="1"/>
          <w:color w:val="auto"/>
        </w:rPr>
        <w:t>prescription drugs</w:t>
      </w:r>
      <w:r>
        <w:rPr>
          <w:rFonts w:ascii="Arial" w:cs="Arial" w:eastAsia="Arial" w:hAnsi="Arial"/>
          <w:sz w:val="19"/>
          <w:szCs w:val="19"/>
          <w:color w:val="auto"/>
        </w:rPr>
        <w:t xml:space="preserve"> recently approved by the FDA, but which have not yet been reviewed by the Aetna Health Pharmacy Management Department and Therapeutics Committee.</w:t>
      </w:r>
    </w:p>
    <w:p>
      <w:pPr>
        <w:spacing w:after="0" w:line="155"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retains the right to review all requests for reimbursement and in its sole discretion make reimbursement determinations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Complaint and Appeals section(s) of the Booklet-Certificate.</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 xml:space="preserve">The number of </w:t>
      </w:r>
      <w:r>
        <w:rPr>
          <w:rFonts w:ascii="Arial" w:cs="Arial" w:eastAsia="Arial" w:hAnsi="Arial"/>
          <w:sz w:val="20"/>
          <w:szCs w:val="20"/>
          <w:b w:val="1"/>
          <w:bCs w:val="1"/>
          <w:color w:val="auto"/>
        </w:rPr>
        <w:t>copayments/deductibles</w:t>
      </w:r>
      <w:r>
        <w:rPr>
          <w:rFonts w:ascii="Arial" w:cs="Arial" w:eastAsia="Arial" w:hAnsi="Arial"/>
          <w:sz w:val="20"/>
          <w:szCs w:val="20"/>
          <w:color w:val="auto"/>
        </w:rPr>
        <w:t xml:space="preserve"> you are responsible for per vial of Depo-Provera, an injectable contraceptive, or similar type contraceptive dispensed for more than a 30 day supply, will be based on the 90 day supply level. Coverage is limited to a maximum of 5 vials per calendar year.</w:t>
      </w:r>
    </w:p>
    <w:p>
      <w:pPr>
        <w:spacing w:after="0" w:line="191"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color w:val="auto"/>
        </w:rPr>
        <w:t xml:space="preserve">The plan will not pay charges for any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dispensed by a </w:t>
      </w:r>
      <w:r>
        <w:rPr>
          <w:rFonts w:ascii="Arial" w:cs="Arial" w:eastAsia="Arial" w:hAnsi="Arial"/>
          <w:sz w:val="20"/>
          <w:szCs w:val="20"/>
          <w:b w:val="1"/>
          <w:bCs w:val="1"/>
          <w:color w:val="auto"/>
        </w:rPr>
        <w:t>mail order pharmacy</w:t>
      </w:r>
      <w:r>
        <w:rPr>
          <w:rFonts w:ascii="Arial" w:cs="Arial" w:eastAsia="Arial" w:hAnsi="Arial"/>
          <w:sz w:val="20"/>
          <w:szCs w:val="20"/>
          <w:color w:val="auto"/>
        </w:rPr>
        <w:t xml:space="preserve"> for the treatment of erectile dysfunction, impotence or sexual dysfunction or inadequacy.</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Pharmacy Benefit Exclusions </w:t>
      </w:r>
      <w:r>
        <w:rPr>
          <w:rFonts w:ascii="Arial" w:cs="Arial" w:eastAsia="Arial" w:hAnsi="Arial"/>
          <w:sz w:val="14"/>
          <w:szCs w:val="14"/>
          <w:i w:val="1"/>
          <w:iCs w:val="1"/>
          <w:color w:val="auto"/>
        </w:rPr>
        <w:t>(GR-9N 28-020 01 VA)</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Not every health care service or supply is covered by the plan. Even if prescribed, recommended, or approved by your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w:t>
      </w:r>
      <w:r>
        <w:rPr>
          <w:rFonts w:ascii="Arial" w:cs="Arial" w:eastAsia="Arial" w:hAnsi="Arial"/>
          <w:sz w:val="20"/>
          <w:szCs w:val="20"/>
          <w:b w:val="1"/>
          <w:bCs w:val="1"/>
          <w:color w:val="auto"/>
        </w:rPr>
        <w:t>dentist</w:t>
      </w:r>
      <w:r>
        <w:rPr>
          <w:rFonts w:ascii="Arial" w:cs="Arial" w:eastAsia="Arial" w:hAnsi="Arial"/>
          <w:sz w:val="20"/>
          <w:szCs w:val="20"/>
          <w:color w:val="auto"/>
        </w:rPr>
        <w:t xml:space="preserve"> it may not be covered. The plan covers only those services and supplies that are </w:t>
      </w:r>
      <w:r>
        <w:rPr>
          <w:rFonts w:ascii="Arial" w:cs="Arial" w:eastAsia="Arial" w:hAnsi="Arial"/>
          <w:sz w:val="20"/>
          <w:szCs w:val="20"/>
          <w:b w:val="1"/>
          <w:bCs w:val="1"/>
          <w:color w:val="auto"/>
        </w:rPr>
        <w:t>medically necessary</w:t>
      </w:r>
      <w:r>
        <w:rPr>
          <w:rFonts w:ascii="Arial" w:cs="Arial" w:eastAsia="Arial" w:hAnsi="Arial"/>
          <w:sz w:val="20"/>
          <w:szCs w:val="20"/>
          <w:color w:val="auto"/>
        </w:rPr>
        <w:t xml:space="preserve"> and included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Charges made for the following are not covered except to the extent listed under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or by amendment attached to this Booklet-Certificate. In addition, some services are specifically limited or excluded. This section describes expenses that are not covered or subject to special limitations.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w:t>
      </w:r>
      <w:r>
        <w:rPr>
          <w:rFonts w:ascii="Arial" w:cs="Arial" w:eastAsia="Arial" w:hAnsi="Arial"/>
          <w:sz w:val="18"/>
          <w:szCs w:val="18"/>
          <w:b w:val="1"/>
          <w:bCs w:val="1"/>
          <w:color w:val="auto"/>
        </w:rPr>
        <w:t>prescription drug</w:t>
      </w:r>
      <w:r>
        <w:rPr>
          <w:rFonts w:ascii="Arial" w:cs="Arial" w:eastAsia="Arial" w:hAnsi="Arial"/>
          <w:sz w:val="18"/>
          <w:szCs w:val="18"/>
          <w:color w:val="auto"/>
        </w:rPr>
        <w:t xml:space="preserve"> exclusions are in addition to the exclusions listed under your medical coverage. The plan does not cover the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following expenses:</w:t>
      </w:r>
    </w:p>
    <w:p>
      <w:pPr>
        <w:spacing w:after="0" w:line="135" w:lineRule="exact"/>
        <w:rPr>
          <w:sz w:val="20"/>
          <w:szCs w:val="20"/>
          <w:color w:val="auto"/>
        </w:rPr>
      </w:pPr>
    </w:p>
    <w:p>
      <w:pPr>
        <w:ind w:left="340" w:hanging="331"/>
        <w:spacing w:after="0"/>
        <w:tabs>
          <w:tab w:leader="none" w:pos="3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Administration or injection of any drug;</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Any charges in excess of the benefit, dollar, day, or supply limits stated in this Booklet-Certificate;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Allergy sera and extracts.</w:t>
      </w:r>
    </w:p>
    <w:p>
      <w:pPr>
        <w:spacing w:after="0" w:line="235" w:lineRule="exact"/>
        <w:rPr>
          <w:sz w:val="20"/>
          <w:szCs w:val="20"/>
          <w:color w:val="auto"/>
        </w:rPr>
      </w:pPr>
    </w:p>
    <w:p>
      <w:pPr>
        <w:ind w:right="1860"/>
        <w:spacing w:after="0" w:line="386" w:lineRule="auto"/>
        <w:rPr>
          <w:sz w:val="20"/>
          <w:szCs w:val="20"/>
          <w:color w:val="auto"/>
        </w:rPr>
      </w:pPr>
      <w:r>
        <w:rPr>
          <w:rFonts w:ascii="Arial" w:cs="Arial" w:eastAsia="Arial" w:hAnsi="Arial"/>
          <w:sz w:val="16"/>
          <w:szCs w:val="16"/>
          <w:color w:val="auto"/>
        </w:rPr>
        <w:t xml:space="preserve">Any non-emergency charges incurred outside of the United States 1) if you traveled to such location to obtain </w:t>
      </w:r>
      <w:r>
        <w:rPr>
          <w:rFonts w:ascii="Arial" w:cs="Arial" w:eastAsia="Arial" w:hAnsi="Arial"/>
          <w:sz w:val="16"/>
          <w:szCs w:val="16"/>
          <w:b w:val="1"/>
          <w:bCs w:val="1"/>
          <w:color w:val="auto"/>
        </w:rPr>
        <w:t>prescription drugs</w:t>
      </w:r>
      <w:r>
        <w:rPr>
          <w:rFonts w:ascii="Arial" w:cs="Arial" w:eastAsia="Arial" w:hAnsi="Arial"/>
          <w:sz w:val="16"/>
          <w:szCs w:val="16"/>
          <w:color w:val="auto"/>
        </w:rPr>
        <w:t>, or supplies, even if otherwise covered under this Booklet-Certificate, or 2) such drugs or supplies</w:t>
      </w:r>
    </w:p>
    <w:p>
      <w:pPr>
        <w:sectPr>
          <w:pgSz w:w="11900" w:h="16838" w:orient="portrait"/>
          <w:cols w:equalWidth="0" w:num="1">
            <w:col w:w="11240"/>
          </w:cols>
          <w:pgMar w:left="320" w:top="437" w:right="339" w:bottom="1440" w:gutter="0" w:footer="0" w:header="0"/>
        </w:sectPr>
      </w:pPr>
    </w:p>
    <w:bookmarkStart w:id="243" w:name="page244"/>
    <w:bookmarkEnd w:id="243"/>
    <w:p>
      <w:pPr>
        <w:ind w:right="720"/>
        <w:spacing w:after="0" w:line="267" w:lineRule="auto"/>
        <w:rPr>
          <w:sz w:val="20"/>
          <w:szCs w:val="20"/>
          <w:color w:val="auto"/>
        </w:rPr>
      </w:pPr>
      <w:r>
        <w:rPr>
          <w:rFonts w:ascii="Arial" w:cs="Arial" w:eastAsia="Arial" w:hAnsi="Arial"/>
          <w:sz w:val="20"/>
          <w:szCs w:val="20"/>
          <w:color w:val="auto"/>
        </w:rPr>
        <w:t xml:space="preserve">are unavailable or illegal in the United States, or 3) the purchase of such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or supplies outside the United States is considered illegal.</w:t>
      </w:r>
    </w:p>
    <w:p>
      <w:pPr>
        <w:spacing w:after="0" w:line="177" w:lineRule="exact"/>
        <w:rPr>
          <w:sz w:val="20"/>
          <w:szCs w:val="20"/>
          <w:color w:val="auto"/>
        </w:rPr>
      </w:pPr>
    </w:p>
    <w:p>
      <w:pPr>
        <w:spacing w:after="0" w:line="382" w:lineRule="auto"/>
        <w:rPr>
          <w:sz w:val="20"/>
          <w:szCs w:val="20"/>
          <w:color w:val="auto"/>
        </w:rPr>
      </w:pPr>
      <w:r>
        <w:rPr>
          <w:rFonts w:ascii="Arial" w:cs="Arial" w:eastAsia="Arial" w:hAnsi="Arial"/>
          <w:sz w:val="16"/>
          <w:szCs w:val="16"/>
          <w:color w:val="auto"/>
        </w:rPr>
        <w:t xml:space="preserve">Any drugs or medications, services and supplies that are not </w:t>
      </w:r>
      <w:r>
        <w:rPr>
          <w:rFonts w:ascii="Arial" w:cs="Arial" w:eastAsia="Arial" w:hAnsi="Arial"/>
          <w:sz w:val="16"/>
          <w:szCs w:val="16"/>
          <w:b w:val="1"/>
          <w:bCs w:val="1"/>
          <w:color w:val="auto"/>
        </w:rPr>
        <w:t>medically necessary</w:t>
      </w:r>
      <w:r>
        <w:rPr>
          <w:rFonts w:ascii="Arial" w:cs="Arial" w:eastAsia="Arial" w:hAnsi="Arial"/>
          <w:sz w:val="16"/>
          <w:szCs w:val="16"/>
          <w:color w:val="auto"/>
        </w:rPr>
        <w:t xml:space="preserve">, as determined by </w:t>
      </w:r>
      <w:r>
        <w:rPr>
          <w:rFonts w:ascii="Arial" w:cs="Arial" w:eastAsia="Arial" w:hAnsi="Arial"/>
          <w:sz w:val="16"/>
          <w:szCs w:val="16"/>
          <w:b w:val="1"/>
          <w:bCs w:val="1"/>
          <w:color w:val="auto"/>
        </w:rPr>
        <w:t>Aetna</w:t>
      </w:r>
      <w:r>
        <w:rPr>
          <w:rFonts w:ascii="Arial" w:cs="Arial" w:eastAsia="Arial" w:hAnsi="Arial"/>
          <w:sz w:val="16"/>
          <w:szCs w:val="16"/>
          <w:color w:val="auto"/>
        </w:rPr>
        <w:t xml:space="preserve">, for the diagnosis, care or treatment of the </w:t>
      </w:r>
      <w:r>
        <w:rPr>
          <w:rFonts w:ascii="Arial" w:cs="Arial" w:eastAsia="Arial" w:hAnsi="Arial"/>
          <w:sz w:val="16"/>
          <w:szCs w:val="16"/>
          <w:b w:val="1"/>
          <w:bCs w:val="1"/>
          <w:color w:val="auto"/>
        </w:rPr>
        <w:t>illness</w:t>
      </w:r>
      <w:r>
        <w:rPr>
          <w:rFonts w:ascii="Arial" w:cs="Arial" w:eastAsia="Arial" w:hAnsi="Arial"/>
          <w:sz w:val="16"/>
          <w:szCs w:val="16"/>
          <w:color w:val="auto"/>
        </w:rPr>
        <w:t xml:space="preserve"> or </w:t>
      </w:r>
      <w:r>
        <w:rPr>
          <w:rFonts w:ascii="Arial" w:cs="Arial" w:eastAsia="Arial" w:hAnsi="Arial"/>
          <w:sz w:val="16"/>
          <w:szCs w:val="16"/>
          <w:b w:val="1"/>
          <w:bCs w:val="1"/>
          <w:color w:val="auto"/>
        </w:rPr>
        <w:t>injury</w:t>
      </w:r>
      <w:r>
        <w:rPr>
          <w:rFonts w:ascii="Arial" w:cs="Arial" w:eastAsia="Arial" w:hAnsi="Arial"/>
          <w:sz w:val="16"/>
          <w:szCs w:val="16"/>
          <w:color w:val="auto"/>
        </w:rPr>
        <w:t xml:space="preserve"> involved. This applies even if they are prescribed, recommended or approved by your </w:t>
      </w:r>
      <w:r>
        <w:rPr>
          <w:rFonts w:ascii="Arial" w:cs="Arial" w:eastAsia="Arial" w:hAnsi="Arial"/>
          <w:sz w:val="16"/>
          <w:szCs w:val="16"/>
          <w:b w:val="1"/>
          <w:bCs w:val="1"/>
          <w:color w:val="auto"/>
        </w:rPr>
        <w:t>physician</w:t>
      </w:r>
      <w:r>
        <w:rPr>
          <w:rFonts w:ascii="Arial" w:cs="Arial" w:eastAsia="Arial" w:hAnsi="Arial"/>
          <w:sz w:val="16"/>
          <w:szCs w:val="16"/>
          <w:color w:val="auto"/>
        </w:rPr>
        <w:t xml:space="preserve"> or </w:t>
      </w:r>
      <w:r>
        <w:rPr>
          <w:rFonts w:ascii="Arial" w:cs="Arial" w:eastAsia="Arial" w:hAnsi="Arial"/>
          <w:sz w:val="16"/>
          <w:szCs w:val="16"/>
          <w:b w:val="1"/>
          <w:bCs w:val="1"/>
          <w:color w:val="auto"/>
        </w:rPr>
        <w:t>dentist</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Biological sera, blood, blood plasma, blood products or substitutes or any other blood products. Contraception:</w:t>
      </w:r>
    </w:p>
    <w:p>
      <w:pPr>
        <w:spacing w:after="0" w:line="135" w:lineRule="exact"/>
        <w:rPr>
          <w:sz w:val="20"/>
          <w:szCs w:val="20"/>
          <w:color w:val="auto"/>
        </w:rPr>
      </w:pPr>
    </w:p>
    <w:p>
      <w:pPr>
        <w:ind w:left="340" w:hanging="331"/>
        <w:spacing w:after="0"/>
        <w:tabs>
          <w:tab w:leader="none" w:pos="34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Over the counter contraceptive supplies including but not limited to:</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condoms;</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contraceptive foams;</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jellies; and</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ointments;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Services associated with the prescribing, monitoring and/or administration of contraceptives.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Cosmetic </w:t>
      </w:r>
      <w:r>
        <w:rPr>
          <w:rFonts w:ascii="Arial" w:cs="Arial" w:eastAsia="Arial" w:hAnsi="Arial"/>
          <w:sz w:val="19"/>
          <w:szCs w:val="19"/>
          <w:color w:val="auto"/>
        </w:rPr>
        <w:t>drugs, medications or preparations used for</w:t>
      </w:r>
      <w:r>
        <w:rPr>
          <w:rFonts w:ascii="Arial" w:cs="Arial" w:eastAsia="Arial" w:hAnsi="Arial"/>
          <w:sz w:val="19"/>
          <w:szCs w:val="19"/>
          <w:b w:val="1"/>
          <w:bCs w:val="1"/>
          <w:color w:val="auto"/>
        </w:rPr>
        <w:t xml:space="preserve"> cosmetic </w:t>
      </w:r>
      <w:r>
        <w:rPr>
          <w:rFonts w:ascii="Arial" w:cs="Arial" w:eastAsia="Arial" w:hAnsi="Arial"/>
          <w:sz w:val="19"/>
          <w:szCs w:val="19"/>
          <w:color w:val="auto"/>
        </w:rPr>
        <w:t>purposes or to promote hair growth, including but not limited to:</w:t>
      </w:r>
    </w:p>
    <w:p>
      <w:pPr>
        <w:spacing w:after="0" w:line="233" w:lineRule="exact"/>
        <w:rPr>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health and beauty aids;</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chemical peels;</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dermabrasion;</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treatments;</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bleaching;</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creams;</w:t>
      </w:r>
    </w:p>
    <w:p>
      <w:pPr>
        <w:spacing w:after="0" w:line="8" w:lineRule="exact"/>
        <w:rPr>
          <w:rFonts w:ascii="Arial" w:cs="Arial" w:eastAsia="Arial" w:hAnsi="Arial"/>
          <w:sz w:val="20"/>
          <w:szCs w:val="20"/>
          <w:color w:val="auto"/>
        </w:rPr>
      </w:pPr>
    </w:p>
    <w:p>
      <w:pPr>
        <w:ind w:left="660" w:hanging="327"/>
        <w:spacing w:after="0"/>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ointments or other treatments or supplies, to remove tattoos, scars or to alter the appearance or texture of the skin.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Drugs given or entirely consumed at the time and place it is prescribed or dispensed.</w:t>
      </w:r>
    </w:p>
    <w:p>
      <w:pPr>
        <w:spacing w:after="0" w:line="237" w:lineRule="exact"/>
        <w:rPr>
          <w:sz w:val="20"/>
          <w:szCs w:val="20"/>
          <w:color w:val="auto"/>
        </w:rPr>
      </w:pPr>
    </w:p>
    <w:p>
      <w:pPr>
        <w:ind w:right="1960"/>
        <w:spacing w:after="0" w:line="267" w:lineRule="auto"/>
        <w:rPr>
          <w:sz w:val="20"/>
          <w:szCs w:val="20"/>
          <w:color w:val="auto"/>
        </w:rPr>
      </w:pPr>
      <w:r>
        <w:rPr>
          <w:rFonts w:ascii="Arial" w:cs="Arial" w:eastAsia="Arial" w:hAnsi="Arial"/>
          <w:sz w:val="20"/>
          <w:szCs w:val="20"/>
          <w:color w:val="auto"/>
        </w:rPr>
        <w:t xml:space="preserve">Drugs which do not, by federal or state law, need a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order (i.e. over-the-counter (OTC) drugs), even if a </w:t>
      </w:r>
      <w:r>
        <w:rPr>
          <w:rFonts w:ascii="Arial" w:cs="Arial" w:eastAsia="Arial" w:hAnsi="Arial"/>
          <w:sz w:val="20"/>
          <w:szCs w:val="20"/>
          <w:b w:val="1"/>
          <w:bCs w:val="1"/>
          <w:color w:val="auto"/>
        </w:rPr>
        <w:t xml:space="preserve">prescription </w:t>
      </w:r>
      <w:r>
        <w:rPr>
          <w:rFonts w:ascii="Arial" w:cs="Arial" w:eastAsia="Arial" w:hAnsi="Arial"/>
          <w:sz w:val="20"/>
          <w:szCs w:val="20"/>
          <w:color w:val="auto"/>
        </w:rPr>
        <w:t>is written.</w:t>
      </w:r>
    </w:p>
    <w:p>
      <w:pPr>
        <w:spacing w:after="0" w:line="18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Drugs given by, or while the person is an inpatient in, any healthcare facility; or for any drugs provided on an outpatient basis in any such institution to the extent benefits are payable for it.</w:t>
      </w:r>
    </w:p>
    <w:p>
      <w:pPr>
        <w:spacing w:after="0" w:line="190"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 xml:space="preserve">Drugs used primarily for the treatment of infertility, or for or related to artificial insemination, in vitro fertilization, or embryo transfer procedures, except as described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Drugs used for the purpose of weight gain or reduction, including but not limited to:</w:t>
      </w:r>
    </w:p>
    <w:p>
      <w:pPr>
        <w:spacing w:after="0" w:line="243" w:lineRule="exact"/>
        <w:rPr>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stimulants;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preparations;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foods or diet supplements;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dietary regimens and supplements;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food or food supplements;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appetite suppressants;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other medications.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Drugs used for the treatment of obesity.</w:t>
      </w:r>
    </w:p>
    <w:p>
      <w:pPr>
        <w:spacing w:after="0" w:line="237" w:lineRule="exact"/>
        <w:rPr>
          <w:sz w:val="20"/>
          <w:szCs w:val="20"/>
          <w:color w:val="auto"/>
        </w:rPr>
      </w:pPr>
    </w:p>
    <w:p>
      <w:pPr>
        <w:ind w:right="2360"/>
        <w:spacing w:after="0" w:line="267" w:lineRule="auto"/>
        <w:rPr>
          <w:sz w:val="20"/>
          <w:szCs w:val="20"/>
          <w:color w:val="auto"/>
        </w:rPr>
      </w:pPr>
      <w:r>
        <w:rPr>
          <w:rFonts w:ascii="Arial" w:cs="Arial" w:eastAsia="Arial" w:hAnsi="Arial"/>
          <w:sz w:val="20"/>
          <w:szCs w:val="20"/>
          <w:color w:val="auto"/>
        </w:rPr>
        <w:t xml:space="preserve">All drugs or medications in a </w:t>
      </w:r>
      <w:r>
        <w:rPr>
          <w:rFonts w:ascii="Arial" w:cs="Arial" w:eastAsia="Arial" w:hAnsi="Arial"/>
          <w:sz w:val="20"/>
          <w:szCs w:val="20"/>
          <w:b w:val="1"/>
          <w:bCs w:val="1"/>
          <w:color w:val="auto"/>
        </w:rPr>
        <w:t>therapeutic drug class</w:t>
      </w:r>
      <w:r>
        <w:rPr>
          <w:rFonts w:ascii="Arial" w:cs="Arial" w:eastAsia="Arial" w:hAnsi="Arial"/>
          <w:sz w:val="20"/>
          <w:szCs w:val="20"/>
          <w:color w:val="auto"/>
        </w:rPr>
        <w:t xml:space="preserve"> if one of the drugs in that </w:t>
      </w:r>
      <w:r>
        <w:rPr>
          <w:rFonts w:ascii="Arial" w:cs="Arial" w:eastAsia="Arial" w:hAnsi="Arial"/>
          <w:sz w:val="20"/>
          <w:szCs w:val="20"/>
          <w:b w:val="1"/>
          <w:bCs w:val="1"/>
          <w:color w:val="auto"/>
        </w:rPr>
        <w:t>therapeutic drug class</w:t>
      </w:r>
      <w:r>
        <w:rPr>
          <w:rFonts w:ascii="Arial" w:cs="Arial" w:eastAsia="Arial" w:hAnsi="Arial"/>
          <w:sz w:val="20"/>
          <w:szCs w:val="20"/>
          <w:color w:val="auto"/>
        </w:rPr>
        <w:t xml:space="preserve"> is not a </w:t>
      </w:r>
      <w:r>
        <w:rPr>
          <w:rFonts w:ascii="Arial" w:cs="Arial" w:eastAsia="Arial" w:hAnsi="Arial"/>
          <w:sz w:val="20"/>
          <w:szCs w:val="20"/>
          <w:b w:val="1"/>
          <w:bCs w:val="1"/>
          <w:color w:val="auto"/>
        </w:rPr>
        <w:t>prescription drug</w:t>
      </w:r>
      <w:r>
        <w:rPr>
          <w:rFonts w:ascii="Arial" w:cs="Arial" w:eastAsia="Arial" w:hAnsi="Arial"/>
          <w:sz w:val="20"/>
          <w:szCs w:val="20"/>
          <w:color w:val="auto"/>
        </w:rPr>
        <w:t>.</w:t>
      </w:r>
    </w:p>
    <w:p>
      <w:pPr>
        <w:sectPr>
          <w:pgSz w:w="11900" w:h="16838" w:orient="portrait"/>
          <w:cols w:equalWidth="0" w:num="1">
            <w:col w:w="11180"/>
          </w:cols>
          <w:pgMar w:left="320" w:top="427" w:right="39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b w:val="1"/>
          <w:bCs w:val="1"/>
          <w:color w:val="auto"/>
        </w:rPr>
        <w:t>Durable medical equipment</w:t>
      </w:r>
      <w:r>
        <w:rPr>
          <w:rFonts w:ascii="Arial" w:cs="Arial" w:eastAsia="Arial" w:hAnsi="Arial"/>
          <w:sz w:val="20"/>
          <w:szCs w:val="20"/>
          <w:color w:val="auto"/>
        </w:rPr>
        <w:t>, monitors and other equipment.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Experimental or investigational </w:t>
      </w:r>
      <w:r>
        <w:rPr>
          <w:rFonts w:ascii="Arial" w:cs="Arial" w:eastAsia="Arial" w:hAnsi="Arial"/>
          <w:sz w:val="18"/>
          <w:szCs w:val="18"/>
          <w:color w:val="auto"/>
        </w:rPr>
        <w:t>drugs or devices, except as described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What the Plan Covers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This exclusion will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apply</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drugs that:</w:t>
      </w:r>
    </w:p>
    <w:p>
      <w:pPr>
        <w:spacing w:after="0" w:line="135" w:lineRule="exact"/>
        <w:rPr>
          <w:sz w:val="20"/>
          <w:szCs w:val="20"/>
          <w:color w:val="auto"/>
        </w:rPr>
      </w:pPr>
    </w:p>
    <w:p>
      <w:pPr>
        <w:ind w:left="340" w:hanging="331"/>
        <w:spacing w:after="0"/>
        <w:tabs>
          <w:tab w:leader="none" w:pos="3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Have been granted treatment investigational new drug (IND); or Group c/treatment IND status;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Are being studied at the Phase III level in a national clinical trial sponsored by the National Cancer Institute; and</w:t>
      </w:r>
    </w:p>
    <w:p>
      <w:pPr>
        <w:spacing w:after="0" w:line="13" w:lineRule="exact"/>
        <w:rPr>
          <w:rFonts w:ascii="Arial" w:cs="Arial" w:eastAsia="Arial" w:hAnsi="Arial"/>
          <w:sz w:val="20"/>
          <w:szCs w:val="20"/>
          <w:color w:val="auto"/>
        </w:rPr>
      </w:pPr>
    </w:p>
    <w:p>
      <w:pPr>
        <w:ind w:left="340" w:right="2000" w:hanging="331"/>
        <w:spacing w:after="0" w:line="253" w:lineRule="auto"/>
        <w:tabs>
          <w:tab w:leader="none" w:pos="340" w:val="left"/>
        </w:tabs>
        <w:numPr>
          <w:ilvl w:val="0"/>
          <w:numId w:val="335"/>
        </w:numPr>
        <w:rPr>
          <w:rFonts w:ascii="Arial" w:cs="Arial" w:eastAsia="Arial" w:hAnsi="Arial"/>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determines, based on available scientific evidence, are effective or show promise of being effective for the</w:t>
      </w:r>
      <w:r>
        <w:rPr>
          <w:rFonts w:ascii="Arial" w:cs="Arial" w:eastAsia="Arial" w:hAnsi="Arial"/>
          <w:sz w:val="20"/>
          <w:szCs w:val="20"/>
          <w:b w:val="1"/>
          <w:bCs w:val="1"/>
          <w:color w:val="auto"/>
        </w:rPr>
        <w:t xml:space="preserve"> illness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Food items: Any food item, including:</w:t>
      </w:r>
    </w:p>
    <w:p>
      <w:pPr>
        <w:spacing w:after="0" w:line="20" w:lineRule="exact"/>
        <w:rPr>
          <w:sz w:val="20"/>
          <w:szCs w:val="20"/>
          <w:color w:val="auto"/>
        </w:rPr>
      </w:pPr>
    </w:p>
    <w:p>
      <w:pPr>
        <w:ind w:left="340" w:hanging="331"/>
        <w:spacing w:after="0"/>
        <w:tabs>
          <w:tab w:leader="none" w:pos="3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infant formulas;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nutritional supplements;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vitamins;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medical foods and other nutritional items, even if it is the sole source of nutrition.</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Genetics: Any treatment, device, drug, or supply to alter the body’s genes, genetic make-up, or the expression of the body’s genes. The one is exception for the correction of congenital birth defects.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Immunization or immunological agents. Implantable drugs and associated devices. Injectables:</w:t>
      </w:r>
    </w:p>
    <w:p>
      <w:pPr>
        <w:spacing w:after="0" w:line="115" w:lineRule="exact"/>
        <w:rPr>
          <w:sz w:val="20"/>
          <w:szCs w:val="20"/>
          <w:color w:val="auto"/>
        </w:rPr>
      </w:pPr>
    </w:p>
    <w:p>
      <w:pPr>
        <w:ind w:left="340" w:hanging="331"/>
        <w:spacing w:after="0"/>
        <w:tabs>
          <w:tab w:leader="none" w:pos="3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Any charges for the administration or injection of </w:t>
      </w:r>
      <w:r>
        <w:rPr>
          <w:rFonts w:ascii="Arial" w:cs="Arial" w:eastAsia="Arial" w:hAnsi="Arial"/>
          <w:sz w:val="18"/>
          <w:szCs w:val="18"/>
          <w:b w:val="1"/>
          <w:bCs w:val="1"/>
          <w:color w:val="auto"/>
        </w:rPr>
        <w:t>prescription drugs</w:t>
      </w:r>
      <w:r>
        <w:rPr>
          <w:rFonts w:ascii="Arial" w:cs="Arial" w:eastAsia="Arial" w:hAnsi="Arial"/>
          <w:sz w:val="18"/>
          <w:szCs w:val="18"/>
          <w:color w:val="auto"/>
        </w:rPr>
        <w:t xml:space="preserve"> or injectable insulin and other injectable drugs covered by </w:t>
      </w:r>
      <w:r>
        <w:rPr>
          <w:rFonts w:ascii="Arial" w:cs="Arial" w:eastAsia="Arial" w:hAnsi="Arial"/>
          <w:sz w:val="18"/>
          <w:szCs w:val="18"/>
          <w:b w:val="1"/>
          <w:bCs w:val="1"/>
          <w:color w:val="auto"/>
        </w:rPr>
        <w:t>Aetna</w:t>
      </w: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340" w:hanging="331"/>
        <w:spacing w:after="0"/>
        <w:tabs>
          <w:tab w:leader="none" w:pos="34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Needles and syringes, except for diabetic needles and syringes;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Injectable drugs if an alternative oral drug is available;</w:t>
      </w:r>
    </w:p>
    <w:p>
      <w:pPr>
        <w:spacing w:after="0" w:line="8" w:lineRule="exact"/>
        <w:rPr>
          <w:rFonts w:ascii="Arial" w:cs="Arial" w:eastAsia="Arial" w:hAnsi="Arial"/>
          <w:sz w:val="20"/>
          <w:szCs w:val="20"/>
          <w:color w:val="auto"/>
        </w:rPr>
      </w:pPr>
    </w:p>
    <w:p>
      <w:pPr>
        <w:ind w:left="340" w:right="200" w:hanging="331"/>
        <w:spacing w:after="0" w:line="260" w:lineRule="auto"/>
        <w:tabs>
          <w:tab w:leader="none" w:pos="34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For any refill of a designated self-injectable drug not dispensed by or obtained through the </w:t>
      </w:r>
      <w:r>
        <w:rPr>
          <w:rFonts w:ascii="Arial" w:cs="Arial" w:eastAsia="Arial" w:hAnsi="Arial"/>
          <w:sz w:val="19"/>
          <w:szCs w:val="19"/>
          <w:b w:val="1"/>
          <w:bCs w:val="1"/>
          <w:color w:val="auto"/>
        </w:rPr>
        <w:t>specialty pharmacy network</w:t>
      </w:r>
      <w:r>
        <w:rPr>
          <w:rFonts w:ascii="Arial" w:cs="Arial" w:eastAsia="Arial" w:hAnsi="Arial"/>
          <w:sz w:val="19"/>
          <w:szCs w:val="19"/>
          <w:color w:val="auto"/>
        </w:rPr>
        <w:t xml:space="preserve">. An updated copy of the list of self-injectable drugs designated by this plan to be refilled by or obtained through the </w:t>
      </w:r>
      <w:r>
        <w:rPr>
          <w:rFonts w:ascii="Arial" w:cs="Arial" w:eastAsia="Arial" w:hAnsi="Arial"/>
          <w:sz w:val="19"/>
          <w:szCs w:val="19"/>
          <w:b w:val="1"/>
          <w:bCs w:val="1"/>
          <w:color w:val="auto"/>
        </w:rPr>
        <w:t>specialty pharmacy network</w:t>
      </w:r>
      <w:r>
        <w:rPr>
          <w:rFonts w:ascii="Arial" w:cs="Arial" w:eastAsia="Arial" w:hAnsi="Arial"/>
          <w:sz w:val="19"/>
          <w:szCs w:val="19"/>
          <w:color w:val="auto"/>
        </w:rPr>
        <w:t xml:space="preserve"> is available upon request. You may also get a copy of the list on </w:t>
      </w:r>
      <w:r>
        <w:rPr>
          <w:rFonts w:ascii="Arial" w:cs="Arial" w:eastAsia="Arial" w:hAnsi="Arial"/>
          <w:sz w:val="19"/>
          <w:szCs w:val="19"/>
          <w:b w:val="1"/>
          <w:bCs w:val="1"/>
          <w:color w:val="auto"/>
        </w:rPr>
        <w:t>Aetna's</w:t>
      </w:r>
      <w:r>
        <w:rPr>
          <w:rFonts w:ascii="Arial" w:cs="Arial" w:eastAsia="Arial" w:hAnsi="Arial"/>
          <w:sz w:val="19"/>
          <w:szCs w:val="19"/>
          <w:color w:val="auto"/>
        </w:rPr>
        <w:t xml:space="preserve"> website at www.aetna.com.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Insulin pumps or tubing or other ancillary equipment and supplies for insulin pumps.</w:t>
      </w:r>
    </w:p>
    <w:p>
      <w:pPr>
        <w:spacing w:after="0" w:line="223" w:lineRule="exact"/>
        <w:rPr>
          <w:sz w:val="20"/>
          <w:szCs w:val="20"/>
          <w:color w:val="auto"/>
        </w:rPr>
      </w:pPr>
    </w:p>
    <w:p>
      <w:pPr>
        <w:ind w:right="720"/>
        <w:spacing w:after="0" w:line="267" w:lineRule="auto"/>
        <w:rPr>
          <w:sz w:val="20"/>
          <w:szCs w:val="20"/>
          <w:color w:val="auto"/>
        </w:rPr>
      </w:pPr>
      <w:r>
        <w:rPr>
          <w:rFonts w:ascii="Arial" w:cs="Arial" w:eastAsia="Arial" w:hAnsi="Arial"/>
          <w:sz w:val="20"/>
          <w:szCs w:val="20"/>
          <w:b w:val="1"/>
          <w:bCs w:val="1"/>
          <w:color w:val="auto"/>
        </w:rPr>
        <w:t xml:space="preserve">Prescription drugs </w:t>
      </w:r>
      <w:r>
        <w:rPr>
          <w:rFonts w:ascii="Arial" w:cs="Arial" w:eastAsia="Arial" w:hAnsi="Arial"/>
          <w:sz w:val="20"/>
          <w:szCs w:val="20"/>
          <w:color w:val="auto"/>
        </w:rPr>
        <w:t>for which there is an over-the-counter (OTC) product which has the same active ingredient and strength even if a</w:t>
      </w:r>
      <w:r>
        <w:rPr>
          <w:rFonts w:ascii="Arial" w:cs="Arial" w:eastAsia="Arial" w:hAnsi="Arial"/>
          <w:sz w:val="20"/>
          <w:szCs w:val="20"/>
          <w:b w:val="1"/>
          <w:bCs w:val="1"/>
          <w:color w:val="auto"/>
        </w:rPr>
        <w:t xml:space="preserve"> prescription </w:t>
      </w:r>
      <w:r>
        <w:rPr>
          <w:rFonts w:ascii="Arial" w:cs="Arial" w:eastAsia="Arial" w:hAnsi="Arial"/>
          <w:sz w:val="20"/>
          <w:szCs w:val="20"/>
          <w:color w:val="auto"/>
        </w:rPr>
        <w:t>is written.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Prescription drugs</w:t>
      </w:r>
      <w:r>
        <w:rPr>
          <w:rFonts w:ascii="Arial" w:cs="Arial" w:eastAsia="Arial" w:hAnsi="Arial"/>
          <w:sz w:val="20"/>
          <w:szCs w:val="20"/>
          <w:color w:val="auto"/>
        </w:rPr>
        <w:t>, medications, injectables or supplies given through a third party vendor contract with the policyholder.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Prescription </w:t>
      </w:r>
      <w:r>
        <w:rPr>
          <w:rFonts w:ascii="Arial" w:cs="Arial" w:eastAsia="Arial" w:hAnsi="Arial"/>
          <w:sz w:val="20"/>
          <w:szCs w:val="20"/>
          <w:color w:val="auto"/>
        </w:rPr>
        <w:t>orders filled prior to the effective date or after the termination date of coverage under this Booklet- Certificate.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Prophylactic drugs for travel.</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Refills over the amount specified by the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order. Before recognizing charges, </w:t>
      </w:r>
      <w:r>
        <w:rPr>
          <w:rFonts w:ascii="Arial" w:cs="Arial" w:eastAsia="Arial" w:hAnsi="Arial"/>
          <w:sz w:val="20"/>
          <w:szCs w:val="20"/>
          <w:b w:val="1"/>
          <w:bCs w:val="1"/>
          <w:color w:val="auto"/>
        </w:rPr>
        <w:t>Aetna</w:t>
      </w:r>
      <w:r>
        <w:rPr>
          <w:rFonts w:ascii="Arial" w:cs="Arial" w:eastAsia="Arial" w:hAnsi="Arial"/>
          <w:sz w:val="20"/>
          <w:szCs w:val="20"/>
          <w:color w:val="auto"/>
        </w:rPr>
        <w:t xml:space="preserve"> may require a new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 proof as to need, if a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 refill appears excessive under accepted medical practice standards.</w:t>
      </w:r>
    </w:p>
    <w:p>
      <w:pPr>
        <w:spacing w:after="0" w:line="177"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 xml:space="preserve">Refills dispensed more than one year from the date the latest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order was written, or as otherwise allowed by applicable law of the jurisdiction in which the drug is dispensed.</w:t>
      </w:r>
    </w:p>
    <w:p>
      <w:pPr>
        <w:sectPr>
          <w:pgSz w:w="11900" w:h="16838" w:orient="portrait"/>
          <w:cols w:equalWidth="0" w:num="1">
            <w:col w:w="11300"/>
          </w:cols>
          <w:pgMar w:left="320" w:top="428" w:right="27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color w:val="auto"/>
        </w:rPr>
        <w:t xml:space="preserve">Replacement of lost or stolen </w:t>
      </w:r>
      <w:r>
        <w:rPr>
          <w:rFonts w:ascii="Arial" w:cs="Arial" w:eastAsia="Arial" w:hAnsi="Arial"/>
          <w:sz w:val="20"/>
          <w:szCs w:val="20"/>
          <w:b w:val="1"/>
          <w:bCs w:val="1"/>
          <w:color w:val="auto"/>
        </w:rPr>
        <w:t>prescription</w:t>
      </w:r>
      <w:r>
        <w:rPr>
          <w:rFonts w:ascii="Arial" w:cs="Arial" w:eastAsia="Arial" w:hAnsi="Arial"/>
          <w:sz w:val="20"/>
          <w:szCs w:val="20"/>
          <w:color w:val="auto"/>
        </w:rPr>
        <w: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Drugs, services and supplies given in connection with treatment of an </w:t>
      </w:r>
      <w:r>
        <w:rPr>
          <w:rFonts w:ascii="Arial" w:cs="Arial" w:eastAsia="Arial" w:hAnsi="Arial"/>
          <w:sz w:val="20"/>
          <w:szCs w:val="20"/>
          <w:b w:val="1"/>
          <w:bCs w:val="1"/>
          <w:color w:val="auto"/>
        </w:rPr>
        <w:t>occupational injury or occupational illness</w:t>
      </w:r>
      <w:r>
        <w:rPr>
          <w:rFonts w:ascii="Arial" w:cs="Arial" w:eastAsia="Arial" w:hAnsi="Arial"/>
          <w:sz w:val="20"/>
          <w:szCs w:val="20"/>
          <w:color w:val="auto"/>
        </w:rPr>
        <w:t>.</w:t>
      </w:r>
    </w:p>
    <w:p>
      <w:pPr>
        <w:spacing w:after="0" w:line="235"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Strength and performance: Drugs or preparations, devices and supplies to enhance strength, physical condition, endurance or physical performance, including performance enhancing steroids.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Sex change: Any treatment, drug or supply related to changing sex or sexual characteristics, including hormones and hormone therapy.</w:t>
      </w:r>
    </w:p>
    <w:p>
      <w:pPr>
        <w:spacing w:after="0" w:line="252"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Sexual dysfunction/enhancement: Any drug, or supply to treat sexual dysfunction, enhance sexual performance or increase sexual desire, including:</w:t>
      </w:r>
    </w:p>
    <w:p>
      <w:pPr>
        <w:spacing w:after="0" w:line="177" w:lineRule="exact"/>
        <w:rPr>
          <w:sz w:val="20"/>
          <w:szCs w:val="20"/>
          <w:color w:val="auto"/>
        </w:rPr>
      </w:pPr>
    </w:p>
    <w:p>
      <w:pPr>
        <w:ind w:left="340" w:hanging="331"/>
        <w:spacing w:after="0" w:line="260" w:lineRule="auto"/>
        <w:tabs>
          <w:tab w:leader="none" w:pos="3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Drugs, implants, devices or preparations to correct or enhance erectile function, enhance sensitivity, or change the shape or appearance of a sex organ.</w:t>
      </w:r>
    </w:p>
    <w:p>
      <w:pPr>
        <w:spacing w:after="0" w:line="312" w:lineRule="exact"/>
        <w:rPr>
          <w:sz w:val="20"/>
          <w:szCs w:val="20"/>
          <w:color w:val="auto"/>
        </w:rPr>
      </w:pPr>
    </w:p>
    <w:p>
      <w:pPr>
        <w:ind w:right="140"/>
        <w:spacing w:after="0" w:line="514" w:lineRule="auto"/>
        <w:rPr>
          <w:sz w:val="20"/>
          <w:szCs w:val="20"/>
          <w:color w:val="auto"/>
        </w:rPr>
      </w:pPr>
      <w:r>
        <w:rPr>
          <w:rFonts w:ascii="Arial" w:cs="Arial" w:eastAsia="Arial" w:hAnsi="Arial"/>
          <w:sz w:val="20"/>
          <w:szCs w:val="20"/>
          <w:color w:val="auto"/>
        </w:rPr>
        <w:t xml:space="preserve">Supplies, devices or equipment of any type, except as specifically provided in the </w:t>
      </w:r>
      <w:r>
        <w:rPr>
          <w:rFonts w:ascii="Arial" w:cs="Arial" w:eastAsia="Arial" w:hAnsi="Arial"/>
          <w:sz w:val="20"/>
          <w:szCs w:val="20"/>
          <w:i w:val="1"/>
          <w:iCs w:val="1"/>
          <w:color w:val="auto"/>
        </w:rPr>
        <w:t>What the Plan Covers</w:t>
      </w:r>
      <w:r>
        <w:rPr>
          <w:rFonts w:ascii="Arial" w:cs="Arial" w:eastAsia="Arial" w:hAnsi="Arial"/>
          <w:sz w:val="20"/>
          <w:szCs w:val="20"/>
          <w:color w:val="auto"/>
        </w:rPr>
        <w:t xml:space="preserve"> section. Test agents except diabetic test agents.</w:t>
      </w:r>
    </w:p>
    <w:p>
      <w:pPr>
        <w:sectPr>
          <w:pgSz w:w="11900" w:h="16838" w:orient="portrait"/>
          <w:cols w:equalWidth="0" w:num="1">
            <w:col w:w="11220"/>
          </w:cols>
          <w:pgMar w:left="320" w:top="427" w:right="359" w:bottom="1440" w:gutter="0" w:footer="0" w:header="0"/>
        </w:sectPr>
      </w:pPr>
    </w:p>
    <w:bookmarkStart w:id="246" w:name="page247"/>
    <w:bookmarkEnd w:id="246"/>
    <w:p>
      <w:pPr>
        <w:spacing w:after="0"/>
        <w:rPr>
          <w:sz w:val="20"/>
          <w:szCs w:val="20"/>
          <w:color w:val="auto"/>
        </w:rPr>
      </w:pPr>
      <w:r>
        <w:rPr>
          <w:rFonts w:ascii="Arial" w:cs="Arial" w:eastAsia="Arial" w:hAnsi="Arial"/>
          <w:sz w:val="32"/>
          <w:szCs w:val="32"/>
          <w:b w:val="1"/>
          <w:bCs w:val="1"/>
          <w:color w:val="auto"/>
        </w:rPr>
        <w:t xml:space="preserve">When Coverage Ends </w:t>
      </w:r>
      <w:r>
        <w:rPr>
          <w:rFonts w:ascii="Arial" w:cs="Arial" w:eastAsia="Arial" w:hAnsi="Arial"/>
          <w:sz w:val="14"/>
          <w:szCs w:val="14"/>
          <w:i w:val="1"/>
          <w:iCs w:val="1"/>
          <w:color w:val="auto"/>
        </w:rPr>
        <w:t>(GR-9N-30-005-05 VA)</w:t>
      </w:r>
    </w:p>
    <w:p>
      <w:pPr>
        <w:spacing w:after="0" w:line="30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Coverage under your plan can end for a variety of reasons. In this section, you will find details on how and why coverage ends, and how you may still be able to continue coverage.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When Coverage Ends for Retirees </w:t>
      </w:r>
      <w:r>
        <w:rPr>
          <w:rFonts w:ascii="Arial" w:cs="Arial" w:eastAsia="Arial" w:hAnsi="Arial"/>
          <w:sz w:val="14"/>
          <w:szCs w:val="14"/>
          <w:i w:val="1"/>
          <w:iCs w:val="1"/>
          <w:color w:val="auto"/>
        </w:rPr>
        <w:t>(GR-9N-30-005-05 VA)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Your coverage under the plan will end if:</w:t>
      </w:r>
    </w:p>
    <w:p>
      <w:pPr>
        <w:spacing w:after="0" w:line="229" w:lineRule="exact"/>
        <w:rPr>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plan is discontinued;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You voluntarily stop your coverage;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group policy ends;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You are no longer eligible for coverage;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You do not make any required contributions;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You become covered under another plan offered by your employer;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You have exhausted your overall maximum lifetime benefit under your health plan, if your plan contains such a maximum benefit.</w:t>
      </w:r>
    </w:p>
    <w:p>
      <w:pPr>
        <w:spacing w:after="0" w:line="219"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auto"/>
        </w:rPr>
        <w:t xml:space="preserve">It is your employer’s responsibility to let </w:t>
      </w:r>
      <w:r>
        <w:rPr>
          <w:rFonts w:ascii="Arial" w:cs="Arial" w:eastAsia="Arial" w:hAnsi="Arial"/>
          <w:sz w:val="20"/>
          <w:szCs w:val="20"/>
          <w:b w:val="1"/>
          <w:bCs w:val="1"/>
          <w:color w:val="auto"/>
        </w:rPr>
        <w:t>Aetna</w:t>
      </w:r>
      <w:r>
        <w:rPr>
          <w:rFonts w:ascii="Arial" w:cs="Arial" w:eastAsia="Arial" w:hAnsi="Arial"/>
          <w:sz w:val="20"/>
          <w:szCs w:val="20"/>
          <w:color w:val="auto"/>
        </w:rPr>
        <w:t xml:space="preserve"> know when your coverage ends. The limits above may be extended only if </w:t>
      </w:r>
      <w:r>
        <w:rPr>
          <w:rFonts w:ascii="Arial" w:cs="Arial" w:eastAsia="Arial" w:hAnsi="Arial"/>
          <w:sz w:val="20"/>
          <w:szCs w:val="20"/>
          <w:b w:val="1"/>
          <w:bCs w:val="1"/>
          <w:color w:val="auto"/>
        </w:rPr>
        <w:t>Aetna</w:t>
      </w:r>
      <w:r>
        <w:rPr>
          <w:rFonts w:ascii="Arial" w:cs="Arial" w:eastAsia="Arial" w:hAnsi="Arial"/>
          <w:sz w:val="20"/>
          <w:szCs w:val="20"/>
          <w:color w:val="auto"/>
        </w:rPr>
        <w:t xml:space="preserve"> and your employer agree, in writing, to extend them.</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Your Proof of Prior Medical Coverage </w:t>
      </w:r>
      <w:r>
        <w:rPr>
          <w:rFonts w:ascii="Arial" w:cs="Arial" w:eastAsia="Arial" w:hAnsi="Arial"/>
          <w:sz w:val="14"/>
          <w:szCs w:val="14"/>
          <w:i w:val="1"/>
          <w:iCs w:val="1"/>
          <w:color w:val="auto"/>
        </w:rPr>
        <w:t>(GR-9N-30-010-01)</w:t>
      </w:r>
    </w:p>
    <w:p>
      <w:pPr>
        <w:spacing w:after="0" w:line="50" w:lineRule="exact"/>
        <w:rPr>
          <w:sz w:val="20"/>
          <w:szCs w:val="20"/>
          <w:color w:val="auto"/>
        </w:rPr>
      </w:pPr>
    </w:p>
    <w:p>
      <w:pPr>
        <w:jc w:val="both"/>
        <w:ind w:right="480"/>
        <w:spacing w:after="0" w:line="253" w:lineRule="auto"/>
        <w:rPr>
          <w:sz w:val="20"/>
          <w:szCs w:val="20"/>
          <w:color w:val="auto"/>
        </w:rPr>
      </w:pPr>
      <w:r>
        <w:rPr>
          <w:rFonts w:ascii="Arial" w:cs="Arial" w:eastAsia="Arial" w:hAnsi="Arial"/>
          <w:sz w:val="20"/>
          <w:szCs w:val="20"/>
          <w:color w:val="auto"/>
        </w:rPr>
        <w:t xml:space="preserve">Under the Health Insurance Portability and Accountability Act of 1996, your employer is required to give you a certificate of </w:t>
      </w:r>
      <w:r>
        <w:rPr>
          <w:rFonts w:ascii="Arial" w:cs="Arial" w:eastAsia="Arial" w:hAnsi="Arial"/>
          <w:sz w:val="20"/>
          <w:szCs w:val="20"/>
          <w:b w:val="1"/>
          <w:bCs w:val="1"/>
          <w:color w:val="auto"/>
        </w:rPr>
        <w:t>creditable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coverage </w:t>
      </w:r>
      <w:r>
        <w:rPr>
          <w:rFonts w:ascii="Arial" w:cs="Arial" w:eastAsia="Arial" w:hAnsi="Arial"/>
          <w:sz w:val="20"/>
          <w:szCs w:val="20"/>
          <w:color w:val="auto"/>
        </w:rPr>
        <w:t>when your coverage ends. This certificate proves that you were covered. Ask your employer about the certificate of</w:t>
      </w:r>
      <w:r>
        <w:rPr>
          <w:rFonts w:ascii="Arial" w:cs="Arial" w:eastAsia="Arial" w:hAnsi="Arial"/>
          <w:sz w:val="20"/>
          <w:szCs w:val="20"/>
          <w:b w:val="1"/>
          <w:bCs w:val="1"/>
          <w:color w:val="auto"/>
        </w:rPr>
        <w:t xml:space="preserve"> creditable coverage</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When Coverage Ends for Dependents </w:t>
      </w:r>
      <w:r>
        <w:rPr>
          <w:rFonts w:ascii="Arial" w:cs="Arial" w:eastAsia="Arial" w:hAnsi="Arial"/>
          <w:sz w:val="14"/>
          <w:szCs w:val="14"/>
          <w:i w:val="1"/>
          <w:iCs w:val="1"/>
          <w:color w:val="auto"/>
        </w:rPr>
        <w:t>(GR-9N-30-015-02 VA)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Coverage for your dependents will end if:</w:t>
      </w:r>
    </w:p>
    <w:p>
      <w:pPr>
        <w:spacing w:after="0" w:line="216" w:lineRule="exact"/>
        <w:rPr>
          <w:sz w:val="20"/>
          <w:szCs w:val="20"/>
          <w:color w:val="auto"/>
        </w:rPr>
      </w:pPr>
    </w:p>
    <w:p>
      <w:pPr>
        <w:ind w:left="340" w:hanging="331"/>
        <w:spacing w:after="0"/>
        <w:tabs>
          <w:tab w:leader="none" w:pos="3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You are no longer eligible for dependents’ coverage;</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You do not make your contribution for the cost of dependents’ coverage;</w:t>
      </w:r>
    </w:p>
    <w:p>
      <w:pPr>
        <w:spacing w:after="0" w:line="8" w:lineRule="exact"/>
        <w:rPr>
          <w:rFonts w:ascii="Arial" w:cs="Arial" w:eastAsia="Arial" w:hAnsi="Arial"/>
          <w:sz w:val="20"/>
          <w:szCs w:val="20"/>
          <w:color w:val="auto"/>
        </w:rPr>
      </w:pPr>
    </w:p>
    <w:p>
      <w:pPr>
        <w:ind w:left="340" w:right="160" w:hanging="331"/>
        <w:spacing w:after="0" w:line="239" w:lineRule="auto"/>
        <w:tabs>
          <w:tab w:leader="none" w:pos="3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 xml:space="preserve">Your own coverage ends for any of the reasons listed under </w:t>
      </w:r>
      <w:r>
        <w:rPr>
          <w:rFonts w:ascii="Arial" w:cs="Arial" w:eastAsia="Arial" w:hAnsi="Arial"/>
          <w:sz w:val="20"/>
          <w:szCs w:val="20"/>
          <w:i w:val="1"/>
          <w:iCs w:val="1"/>
          <w:color w:val="auto"/>
        </w:rPr>
        <w:t>When Coverage Ends</w:t>
      </w:r>
      <w:r>
        <w:rPr>
          <w:rFonts w:ascii="Arial" w:cs="Arial" w:eastAsia="Arial" w:hAnsi="Arial"/>
          <w:sz w:val="20"/>
          <w:szCs w:val="20"/>
          <w:color w:val="auto"/>
        </w:rPr>
        <w:t xml:space="preserve"> for Employees (This does not apply if you use up your lifetime maximum, if included);</w:t>
      </w:r>
    </w:p>
    <w:p>
      <w:pPr>
        <w:spacing w:after="0" w:line="1" w:lineRule="exact"/>
        <w:rPr>
          <w:rFonts w:ascii="Arial" w:cs="Arial" w:eastAsia="Arial" w:hAnsi="Arial"/>
          <w:sz w:val="20"/>
          <w:szCs w:val="20"/>
          <w:color w:val="auto"/>
        </w:rPr>
      </w:pPr>
    </w:p>
    <w:p>
      <w:pPr>
        <w:ind w:left="340" w:hanging="331"/>
        <w:spacing w:after="0" w:line="266" w:lineRule="auto"/>
        <w:tabs>
          <w:tab w:leader="none" w:pos="3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Your dependent is no longer eligible for coverage. Coverage ends at the end of the calendar month when your dependent does not meet the plan’s definition of a dependent. However, when a dependent child is a full-time student who is on a medically necessary leave of absence from school, coverage under this plan will remain in force for up to 12 months from the date the dependent ceases to be a full-time student, or until the dependent does not meet the plan's definition of a dependent, whichever occurs first; or</w:t>
      </w:r>
    </w:p>
    <w:p>
      <w:pPr>
        <w:ind w:left="340" w:right="180" w:hanging="331"/>
        <w:spacing w:after="0" w:line="244" w:lineRule="auto"/>
        <w:tabs>
          <w:tab w:leader="none" w:pos="3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As permitted under applicable federal and state law, your dependent becomes eligible for like benefits under this or any other group plan offered by your employer.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In addition, a "domestic partner" will no longer be considered to be a defined dependent on the earlier to occur of:</w:t>
      </w:r>
    </w:p>
    <w:p>
      <w:pPr>
        <w:spacing w:after="0" w:line="216" w:lineRule="exact"/>
        <w:rPr>
          <w:sz w:val="20"/>
          <w:szCs w:val="20"/>
          <w:color w:val="auto"/>
        </w:rPr>
      </w:pPr>
    </w:p>
    <w:p>
      <w:pPr>
        <w:ind w:left="340" w:hanging="331"/>
        <w:spacing w:after="0"/>
        <w:tabs>
          <w:tab w:leader="none" w:pos="3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date this plan no longer allows coverage for domestic partners.</w:t>
      </w:r>
    </w:p>
    <w:p>
      <w:pPr>
        <w:spacing w:after="0" w:line="15" w:lineRule="exact"/>
        <w:rPr>
          <w:rFonts w:ascii="Arial" w:cs="Arial" w:eastAsia="Arial" w:hAnsi="Arial"/>
          <w:sz w:val="20"/>
          <w:szCs w:val="20"/>
          <w:color w:val="auto"/>
        </w:rPr>
      </w:pPr>
    </w:p>
    <w:p>
      <w:pPr>
        <w:ind w:left="340" w:right="80" w:hanging="331"/>
        <w:spacing w:after="0" w:line="244" w:lineRule="auto"/>
        <w:tabs>
          <w:tab w:leader="none" w:pos="3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date of termination of the domestic partnership. In that event, you should provide your Employer a completed and signed Declaration of Termination of Domestic Partnership.</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 xml:space="preserve">Coverage for dependents may continue for a period after your death. Coverage for handicapped dependents may continue after they reach any limiting age. See </w:t>
      </w:r>
      <w:r>
        <w:rPr>
          <w:rFonts w:ascii="Arial" w:cs="Arial" w:eastAsia="Arial" w:hAnsi="Arial"/>
          <w:sz w:val="20"/>
          <w:szCs w:val="20"/>
          <w:i w:val="1"/>
          <w:iCs w:val="1"/>
          <w:color w:val="auto"/>
        </w:rPr>
        <w:t>Continuation of Coverage</w:t>
      </w:r>
      <w:r>
        <w:rPr>
          <w:rFonts w:ascii="Arial" w:cs="Arial" w:eastAsia="Arial" w:hAnsi="Arial"/>
          <w:sz w:val="20"/>
          <w:szCs w:val="20"/>
          <w:color w:val="auto"/>
        </w:rPr>
        <w:t xml:space="preserve"> for more information.</w:t>
      </w:r>
    </w:p>
    <w:p>
      <w:pPr>
        <w:sectPr>
          <w:pgSz w:w="11900" w:h="16838" w:orient="portrait"/>
          <w:cols w:equalWidth="0" w:num="1">
            <w:col w:w="11320"/>
          </w:cols>
          <w:pgMar w:left="320" w:top="422" w:right="259" w:bottom="1440" w:gutter="0" w:footer="0" w:header="0"/>
        </w:sectPr>
      </w:pPr>
    </w:p>
    <w:bookmarkStart w:id="247" w:name="page248"/>
    <w:bookmarkEnd w:id="247"/>
    <w:p>
      <w:pPr>
        <w:spacing w:after="0"/>
        <w:rPr>
          <w:sz w:val="20"/>
          <w:szCs w:val="20"/>
          <w:color w:val="auto"/>
        </w:rPr>
      </w:pPr>
      <w:r>
        <w:rPr>
          <w:rFonts w:ascii="Arial" w:cs="Arial" w:eastAsia="Arial" w:hAnsi="Arial"/>
          <w:sz w:val="32"/>
          <w:szCs w:val="32"/>
          <w:b w:val="1"/>
          <w:bCs w:val="1"/>
          <w:color w:val="auto"/>
        </w:rPr>
        <w:t xml:space="preserve">Continuation of Coverage </w:t>
      </w:r>
      <w:r>
        <w:rPr>
          <w:rFonts w:ascii="Arial" w:cs="Arial" w:eastAsia="Arial" w:hAnsi="Arial"/>
          <w:sz w:val="14"/>
          <w:szCs w:val="14"/>
          <w:i w:val="1"/>
          <w:iCs w:val="1"/>
          <w:color w:val="auto"/>
        </w:rPr>
        <w:t>(GR-9N-31-010-03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Continuing Health Care Benefits </w:t>
      </w:r>
      <w:r>
        <w:rPr>
          <w:rFonts w:ascii="Arial" w:cs="Arial" w:eastAsia="Arial" w:hAnsi="Arial"/>
          <w:sz w:val="14"/>
          <w:szCs w:val="14"/>
          <w:i w:val="1"/>
          <w:iCs w:val="1"/>
          <w:color w:val="auto"/>
        </w:rPr>
        <w:t>(GR-9N-31-015-06)</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Handicapped Dependent Children </w:t>
      </w:r>
      <w:r>
        <w:rPr>
          <w:rFonts w:ascii="Arial" w:cs="Arial" w:eastAsia="Arial" w:hAnsi="Arial"/>
          <w:sz w:val="14"/>
          <w:szCs w:val="14"/>
          <w:i w:val="1"/>
          <w:iCs w:val="1"/>
          <w:color w:val="auto"/>
        </w:rPr>
        <w:t>(GR-9N-31-015-01 VA)</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Health Expense Coverage for your fully handicapped dependent child may be continued past the maximum age for a dependent child.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However, such coverage may not be continued if the child has been issued an individual medical conversion policy.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Your child is fully handicapped if:</w:t>
      </w:r>
    </w:p>
    <w:p>
      <w:pPr>
        <w:spacing w:after="0" w:line="216" w:lineRule="exact"/>
        <w:rPr>
          <w:sz w:val="20"/>
          <w:szCs w:val="20"/>
          <w:color w:val="auto"/>
        </w:rPr>
      </w:pPr>
    </w:p>
    <w:p>
      <w:pPr>
        <w:ind w:left="340" w:right="60" w:hanging="331"/>
        <w:spacing w:after="0" w:line="250" w:lineRule="auto"/>
        <w:tabs>
          <w:tab w:leader="none" w:pos="3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he or she is not able to earn his or her own living because of mental retardation or a physical handicap which started prior to the date he or she reaches the maximum age for dependent children under your plan; and</w:t>
      </w:r>
    </w:p>
    <w:p>
      <w:pPr>
        <w:ind w:left="340" w:hanging="331"/>
        <w:spacing w:after="0"/>
        <w:tabs>
          <w:tab w:leader="none" w:pos="3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he or she depends chiefly on you for support and maintenance.</w:t>
      </w:r>
    </w:p>
    <w:p>
      <w:pPr>
        <w:spacing w:after="0" w:line="21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Proof that your child is fully handicapped must be submitted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no later than 31 days after the date your child reaches the maximum age under your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Coverage will cease on the first to occur of:</w:t>
      </w:r>
    </w:p>
    <w:p>
      <w:pPr>
        <w:spacing w:after="0" w:line="216" w:lineRule="exact"/>
        <w:rPr>
          <w:sz w:val="20"/>
          <w:szCs w:val="20"/>
          <w:color w:val="auto"/>
        </w:rPr>
      </w:pPr>
    </w:p>
    <w:p>
      <w:pPr>
        <w:ind w:left="340" w:hanging="331"/>
        <w:spacing w:after="0"/>
        <w:tabs>
          <w:tab w:leader="none" w:pos="3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Cessation of the handicap.</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Failure to give proof that the handicap continues.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Failure to have any required exam.</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Termination of Dependent Coverage as to your child for any reason other than reaching the maximum age under your plan.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will have the right to require proof of the continuation of the handicap.</w:t>
      </w:r>
      <w:r>
        <w:rPr>
          <w:rFonts w:ascii="Arial" w:cs="Arial" w:eastAsia="Arial" w:hAnsi="Arial"/>
          <w:sz w:val="20"/>
          <w:szCs w:val="20"/>
          <w:b w:val="1"/>
          <w:bCs w:val="1"/>
          <w:color w:val="auto"/>
        </w:rPr>
        <w:t xml:space="preserve"> Aetna </w:t>
      </w:r>
      <w:r>
        <w:rPr>
          <w:rFonts w:ascii="Arial" w:cs="Arial" w:eastAsia="Arial" w:hAnsi="Arial"/>
          <w:sz w:val="20"/>
          <w:szCs w:val="20"/>
          <w:color w:val="auto"/>
        </w:rPr>
        <w:t>also has the right to examine your child as often as</w:t>
      </w:r>
      <w:r>
        <w:rPr>
          <w:rFonts w:ascii="Arial" w:cs="Arial" w:eastAsia="Arial" w:hAnsi="Arial"/>
          <w:sz w:val="20"/>
          <w:szCs w:val="20"/>
          <w:b w:val="1"/>
          <w:bCs w:val="1"/>
          <w:color w:val="auto"/>
        </w:rPr>
        <w:t xml:space="preserve"> </w:t>
      </w:r>
      <w:r>
        <w:rPr>
          <w:rFonts w:ascii="Arial" w:cs="Arial" w:eastAsia="Arial" w:hAnsi="Arial"/>
          <w:sz w:val="20"/>
          <w:szCs w:val="20"/>
          <w:color w:val="auto"/>
        </w:rPr>
        <w:t>needed while the handicap continues at its own expense. An exam will not be required more often than once each year after 2 years from the date your child reached the maximum age under your plan.</w:t>
      </w:r>
    </w:p>
    <w:p>
      <w:pPr>
        <w:spacing w:after="0" w:line="1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Extension of Benefits </w:t>
      </w:r>
      <w:r>
        <w:rPr>
          <w:rFonts w:ascii="Arial" w:cs="Arial" w:eastAsia="Arial" w:hAnsi="Arial"/>
          <w:sz w:val="14"/>
          <w:szCs w:val="14"/>
          <w:i w:val="1"/>
          <w:iCs w:val="1"/>
          <w:color w:val="auto"/>
        </w:rPr>
        <w:t>(GR-9N 31-020 01)</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Coverage for Health Benefits</w:t>
      </w:r>
    </w:p>
    <w:p>
      <w:pPr>
        <w:spacing w:after="0" w:line="3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 xml:space="preserve">If your health benefits end while you are totally disabled, your health expenses will be extended as described below. To find out why and when your coverage may end, please refer to </w:t>
      </w:r>
      <w:r>
        <w:rPr>
          <w:rFonts w:ascii="Arial" w:cs="Arial" w:eastAsia="Arial" w:hAnsi="Arial"/>
          <w:sz w:val="20"/>
          <w:szCs w:val="20"/>
          <w:i w:val="1"/>
          <w:iCs w:val="1"/>
          <w:color w:val="auto"/>
        </w:rPr>
        <w:t>When Coverage Ends</w:t>
      </w:r>
      <w:r>
        <w:rPr>
          <w:rFonts w:ascii="Arial" w:cs="Arial" w:eastAsia="Arial" w:hAnsi="Arial"/>
          <w:sz w:val="20"/>
          <w:szCs w:val="20"/>
          <w:color w:val="auto"/>
        </w:rPr>
        <w:t>.</w:t>
      </w:r>
    </w:p>
    <w:p>
      <w:pPr>
        <w:spacing w:after="0" w:line="199"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auto"/>
        </w:rPr>
        <w:t xml:space="preserve">“Totally disabled” means that because of an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a person is not able to engage in most normal activities of a healthy person of the same age and gender.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Extended Health Coverage </w:t>
      </w:r>
      <w:r>
        <w:rPr>
          <w:rFonts w:ascii="Arial" w:cs="Arial" w:eastAsia="Arial" w:hAnsi="Arial"/>
          <w:sz w:val="14"/>
          <w:szCs w:val="14"/>
          <w:i w:val="1"/>
          <w:iCs w:val="1"/>
          <w:color w:val="auto"/>
        </w:rPr>
        <w:t>(GR-9N 31-020 01)</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Medical Benefits (other than Basic medical benefits): </w:t>
      </w:r>
      <w:r>
        <w:rPr>
          <w:rFonts w:ascii="Arial" w:cs="Arial" w:eastAsia="Arial" w:hAnsi="Arial"/>
          <w:sz w:val="19"/>
          <w:szCs w:val="19"/>
          <w:color w:val="auto"/>
        </w:rPr>
        <w:t>Coverage will be available while you are totally disabled, for up to 12 months.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Prescription Drug Benefits</w:t>
      </w:r>
      <w:r>
        <w:rPr>
          <w:rFonts w:ascii="Arial" w:cs="Arial" w:eastAsia="Arial" w:hAnsi="Arial"/>
          <w:sz w:val="20"/>
          <w:szCs w:val="20"/>
          <w:color w:val="auto"/>
        </w:rPr>
        <w:t>: Coverage will be available while you are totally disabled for up to 12 months.</w:t>
      </w:r>
    </w:p>
    <w:p>
      <w:pPr>
        <w:sectPr>
          <w:pgSz w:w="11900" w:h="16838" w:orient="portrait"/>
          <w:cols w:equalWidth="0" w:num="1">
            <w:col w:w="11340"/>
          </w:cols>
          <w:pgMar w:left="320" w:top="423"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b w:val="1"/>
          <w:bCs w:val="1"/>
          <w:color w:val="auto"/>
        </w:rPr>
        <w:t>When Extended Health Coverage Ends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Extension of benefits will end on the first to occur of the date:</w:t>
      </w:r>
    </w:p>
    <w:p>
      <w:pPr>
        <w:spacing w:after="0" w:line="213" w:lineRule="exact"/>
        <w:rPr>
          <w:sz w:val="20"/>
          <w:szCs w:val="20"/>
          <w:color w:val="auto"/>
        </w:rPr>
      </w:pPr>
    </w:p>
    <w:p>
      <w:pPr>
        <w:ind w:left="340" w:hanging="331"/>
        <w:spacing w:after="0"/>
        <w:tabs>
          <w:tab w:leader="none" w:pos="34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You are no longer totally disabled, or become covered under any other group plan with like benefits.</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Your dependent is no longer totally disabled, or he or she becomes covered under any other group plan with like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(This does not apply if coverage ceased because the benefit section ceased for your eligible class.)</w:t>
      </w: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COBRA Continuation of Coverage </w:t>
      </w:r>
      <w:r>
        <w:rPr>
          <w:rFonts w:ascii="Arial" w:cs="Arial" w:eastAsia="Arial" w:hAnsi="Arial"/>
          <w:sz w:val="14"/>
          <w:szCs w:val="14"/>
          <w:i w:val="1"/>
          <w:iCs w:val="1"/>
          <w:color w:val="auto"/>
        </w:rPr>
        <w:t>(GR-9N 31-025-02 VA)</w:t>
      </w:r>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If your employer is subject to COBRA requirements, the health plan continuation is governed by the Federal Consolidated Omnibus Budget Reconciliation Act of 1985 (COBRA) requirements. With COBRA you and your dependents can continue health coverage, subject to certain conditions and your payment of premiums. Continuation rights are available following a “qualifying event” that would cause you or family members to otherwise lose coverage. Qualifying events are listed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Continuing Coverage through COBRA</w:t>
      </w:r>
    </w:p>
    <w:p>
      <w:pPr>
        <w:spacing w:after="0" w:line="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When you or your covered dependents become eligible, your employer will provide you with detailed information on continuing your health coverage through COBRA.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You or your dependents will need to:</w:t>
      </w:r>
    </w:p>
    <w:p>
      <w:pPr>
        <w:spacing w:after="0" w:line="216" w:lineRule="exact"/>
        <w:rPr>
          <w:sz w:val="20"/>
          <w:szCs w:val="20"/>
          <w:color w:val="auto"/>
        </w:rPr>
      </w:pPr>
    </w:p>
    <w:p>
      <w:pPr>
        <w:ind w:left="340" w:hanging="331"/>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Complete and submit an application for continued health coverage, which is an election notice of your intent to continue coverage.</w:t>
      </w:r>
    </w:p>
    <w:p>
      <w:pPr>
        <w:spacing w:after="0" w:line="38" w:lineRule="exact"/>
        <w:rPr>
          <w:rFonts w:ascii="Arial" w:cs="Arial" w:eastAsia="Arial" w:hAnsi="Arial"/>
          <w:sz w:val="18"/>
          <w:szCs w:val="18"/>
          <w:color w:val="auto"/>
        </w:rPr>
      </w:pPr>
    </w:p>
    <w:p>
      <w:pPr>
        <w:ind w:left="340" w:hanging="331"/>
        <w:spacing w:after="0" w:line="242" w:lineRule="auto"/>
        <w:tabs>
          <w:tab w:leader="none" w:pos="34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Submit your application within 60 days of the qualifying event, or within 60 days of your employer’s notice of this COBRA continuation right, if later.</w:t>
      </w:r>
    </w:p>
    <w:p>
      <w:pPr>
        <w:ind w:left="340" w:hanging="331"/>
        <w:spacing w:after="0"/>
        <w:tabs>
          <w:tab w:leader="none" w:pos="34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Agree to pay the required premiums.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Qualifies for COBRA</w:t>
      </w:r>
    </w:p>
    <w:p>
      <w:pPr>
        <w:spacing w:after="0" w:line="32"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You have 60 days from the qualifying event to elect COBRA. If you do not submit an application within 60 days, you will forfeit your COBRA continuation rights.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Below you will find the qualifying events and a summary of the maximum coverage periods according to COBRA requirements.</w:t>
      </w:r>
    </w:p>
    <w:p>
      <w:pPr>
        <w:spacing w:after="0" w:line="359" w:lineRule="exact"/>
        <w:rPr>
          <w:sz w:val="20"/>
          <w:szCs w:val="20"/>
          <w:color w:val="auto"/>
        </w:rPr>
      </w:pPr>
    </w:p>
    <w:tbl>
      <w:tblPr>
        <w:tblLayout w:type="fixed"/>
        <w:tblInd w:w="50" w:type="dxa"/>
        <w:tblCellMar>
          <w:top w:w="0" w:type="dxa"/>
          <w:left w:w="0" w:type="dxa"/>
          <w:bottom w:w="0" w:type="dxa"/>
          <w:right w:w="0" w:type="dxa"/>
        </w:tblCellMar>
      </w:tblPr>
      <w:tr>
        <w:trPr>
          <w:trHeight w:val="247"/>
        </w:trPr>
        <w:tc>
          <w:tcPr>
            <w:tcW w:w="37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Qualifying Event Causing Loss of</w:t>
            </w:r>
          </w:p>
        </w:tc>
        <w:tc>
          <w:tcPr>
            <w:tcW w:w="3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Covered Persons Eligible to Elect</w:t>
            </w:r>
          </w:p>
        </w:tc>
        <w:tc>
          <w:tcPr>
            <w:tcW w:w="36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Maximum Continuation Periods</w:t>
            </w:r>
          </w:p>
        </w:tc>
      </w:tr>
      <w:tr>
        <w:trPr>
          <w:trHeight w:val="256"/>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Health Coverage</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Continuation</w:t>
            </w:r>
          </w:p>
        </w:tc>
        <w:tc>
          <w:tcPr>
            <w:tcW w:w="3620" w:type="dxa"/>
            <w:vAlign w:val="bottom"/>
            <w:tcBorders>
              <w:right w:val="single" w:sz="8" w:color="auto"/>
            </w:tcBorders>
          </w:tcPr>
          <w:p>
            <w:pPr>
              <w:spacing w:after="0"/>
              <w:rPr>
                <w:sz w:val="22"/>
                <w:szCs w:val="22"/>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6"/>
              </w:rPr>
              <w:t>Your active employment ends for reasons</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 and your dependents</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18 months</w:t>
            </w:r>
          </w:p>
        </w:tc>
      </w:tr>
      <w:tr>
        <w:trPr>
          <w:trHeight w:val="250"/>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other than gross misconduct</w:t>
            </w:r>
          </w:p>
        </w:tc>
        <w:tc>
          <w:tcPr>
            <w:tcW w:w="362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54"/>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Your working hours are reduced</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 and your dependents</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18 months</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5"/>
              </w:rPr>
              <w:t>You divorce or legally separate and are no</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Your dependents</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36 months</w:t>
            </w:r>
          </w:p>
        </w:tc>
      </w:tr>
      <w:tr>
        <w:trPr>
          <w:trHeight w:val="250"/>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4"/>
              </w:rPr>
              <w:t>longer responsible for dependent coverage</w:t>
            </w:r>
          </w:p>
        </w:tc>
        <w:tc>
          <w:tcPr>
            <w:tcW w:w="362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You become entitled to benefits under</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Your dependents</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36 months</w:t>
            </w:r>
          </w:p>
        </w:tc>
      </w:tr>
      <w:tr>
        <w:trPr>
          <w:trHeight w:val="250"/>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Medicare</w:t>
            </w:r>
          </w:p>
        </w:tc>
        <w:tc>
          <w:tcPr>
            <w:tcW w:w="362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Your covered dependent children no</w:t>
            </w:r>
          </w:p>
        </w:tc>
        <w:tc>
          <w:tcPr>
            <w:tcW w:w="36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Your dependent children</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36 months</w:t>
            </w:r>
          </w:p>
        </w:tc>
      </w:tr>
      <w:tr>
        <w:trPr>
          <w:trHeight w:val="230"/>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longer qualify as dependents under the</w:t>
            </w:r>
          </w:p>
        </w:tc>
        <w:tc>
          <w:tcPr>
            <w:tcW w:w="362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spacing w:after="0"/>
              <w:rPr>
                <w:sz w:val="19"/>
                <w:szCs w:val="19"/>
                <w:color w:val="auto"/>
              </w:rPr>
            </w:pPr>
          </w:p>
        </w:tc>
      </w:tr>
      <w:tr>
        <w:trPr>
          <w:trHeight w:val="250"/>
        </w:trPr>
        <w:tc>
          <w:tcPr>
            <w:tcW w:w="3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plan</w:t>
            </w:r>
          </w:p>
        </w:tc>
        <w:tc>
          <w:tcPr>
            <w:tcW w:w="362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320" w:top="436" w:right="379" w:bottom="1440" w:gutter="0" w:footer="0" w:header="0"/>
        </w:sectPr>
      </w:pPr>
    </w:p>
    <w:bookmarkStart w:id="249" w:name="page250"/>
    <w:bookmarkEnd w:id="249"/>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274"/>
        </w:trPr>
        <w:tc>
          <w:tcPr>
            <w:tcW w:w="37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You die</w:t>
            </w:r>
          </w:p>
        </w:tc>
        <w:tc>
          <w:tcPr>
            <w:tcW w:w="3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Your dependents</w:t>
            </w:r>
          </w:p>
        </w:tc>
        <w:tc>
          <w:tcPr>
            <w:tcW w:w="35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36 months</w:t>
            </w:r>
          </w:p>
        </w:tc>
      </w:tr>
      <w:tr>
        <w:trPr>
          <w:trHeight w:val="23"/>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3"/>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You are a retiree eligible for health</w:t>
            </w:r>
          </w:p>
        </w:tc>
        <w:tc>
          <w:tcPr>
            <w:tcW w:w="35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You and your dependents</w:t>
            </w:r>
          </w:p>
        </w:tc>
        <w:tc>
          <w:tcPr>
            <w:tcW w:w="35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18 months</w:t>
            </w:r>
          </w:p>
        </w:tc>
      </w:tr>
      <w:tr>
        <w:trPr>
          <w:trHeight w:val="230"/>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w w:val="98"/>
              </w:rPr>
              <w:t>coverage and your former employer files</w:t>
            </w:r>
          </w:p>
        </w:tc>
        <w:tc>
          <w:tcPr>
            <w:tcW w:w="356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r>
      <w:tr>
        <w:trPr>
          <w:trHeight w:val="250"/>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for bankruptcy</w:t>
            </w:r>
          </w:p>
        </w:tc>
        <w:tc>
          <w:tcPr>
            <w:tcW w:w="356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spacing w:after="0"/>
              <w:rPr>
                <w:sz w:val="21"/>
                <w:szCs w:val="21"/>
                <w:color w:val="auto"/>
              </w:rPr>
            </w:pPr>
          </w:p>
        </w:tc>
      </w:tr>
      <w:tr>
        <w:trPr>
          <w:trHeight w:val="23"/>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193"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Disability May Increase Maximum COBRA Continuation to 29 Months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If You or Your Covered Dependents Are Disabled</w:t>
      </w:r>
      <w:r>
        <w:rPr>
          <w:rFonts w:ascii="Arial" w:cs="Arial" w:eastAsia="Arial" w:hAnsi="Arial"/>
          <w:sz w:val="20"/>
          <w:szCs w:val="20"/>
          <w:color w:val="auto"/>
        </w:rPr>
        <w:t>.</w:t>
      </w:r>
    </w:p>
    <w:p>
      <w:pPr>
        <w:spacing w:after="0" w:line="213" w:lineRule="exact"/>
        <w:rPr>
          <w:sz w:val="20"/>
          <w:szCs w:val="20"/>
          <w:color w:val="auto"/>
        </w:rPr>
      </w:pPr>
    </w:p>
    <w:p>
      <w:pPr>
        <w:ind w:left="100" w:right="980"/>
        <w:spacing w:after="0" w:line="260" w:lineRule="auto"/>
        <w:rPr>
          <w:sz w:val="20"/>
          <w:szCs w:val="20"/>
          <w:color w:val="auto"/>
        </w:rPr>
      </w:pPr>
      <w:r>
        <w:rPr>
          <w:rFonts w:ascii="Arial" w:cs="Arial" w:eastAsia="Arial" w:hAnsi="Arial"/>
          <w:sz w:val="20"/>
          <w:szCs w:val="20"/>
          <w:color w:val="auto"/>
        </w:rPr>
        <w:t>If you or your covered dependent qualify for disability status under Title II or XVI of the Social Security Act during the 18 month continuation period, you or your covered dependent:</w:t>
      </w:r>
    </w:p>
    <w:p>
      <w:pPr>
        <w:spacing w:after="0" w:line="177" w:lineRule="exact"/>
        <w:rPr>
          <w:sz w:val="20"/>
          <w:szCs w:val="20"/>
          <w:color w:val="auto"/>
        </w:rPr>
      </w:pPr>
    </w:p>
    <w:p>
      <w:pPr>
        <w:ind w:left="440" w:hanging="330"/>
        <w:spacing w:after="0"/>
        <w:tabs>
          <w:tab w:leader="none" w:pos="44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Have the right to extend coverage beyond the initial 18 month maximum continuation period.</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Qualify for an additional 11 month period, subject to the overall COBRA conditions.</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Must notify your employer within 60 days of the disability determination status and before the 18 month continuation period ends.</w:t>
      </w:r>
    </w:p>
    <w:p>
      <w:pPr>
        <w:spacing w:after="0" w:line="11" w:lineRule="exact"/>
        <w:rPr>
          <w:rFonts w:ascii="Arial" w:cs="Arial" w:eastAsia="Arial" w:hAnsi="Arial"/>
          <w:sz w:val="19"/>
          <w:szCs w:val="19"/>
          <w:color w:val="auto"/>
        </w:rPr>
      </w:pPr>
    </w:p>
    <w:p>
      <w:pPr>
        <w:ind w:left="440" w:hanging="330"/>
        <w:spacing w:after="0"/>
        <w:tabs>
          <w:tab w:leader="none" w:pos="4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Must notify the employer within 30 days after the date of any final determination that you or a covered dependent is no longer disabled.</w:t>
      </w:r>
    </w:p>
    <w:p>
      <w:pPr>
        <w:spacing w:after="0" w:line="27" w:lineRule="exact"/>
        <w:rPr>
          <w:rFonts w:ascii="Arial" w:cs="Arial" w:eastAsia="Arial" w:hAnsi="Arial"/>
          <w:sz w:val="18"/>
          <w:szCs w:val="18"/>
          <w:color w:val="auto"/>
        </w:rPr>
      </w:pPr>
    </w:p>
    <w:p>
      <w:pPr>
        <w:ind w:left="440" w:hanging="330"/>
        <w:spacing w:after="0"/>
        <w:tabs>
          <w:tab w:leader="none" w:pos="440" w:val="left"/>
        </w:tabs>
        <w:numPr>
          <w:ilvl w:val="0"/>
          <w:numId w:val="346"/>
        </w:numPr>
        <w:rPr>
          <w:rFonts w:ascii="Arial" w:cs="Arial" w:eastAsia="Arial" w:hAnsi="Arial"/>
          <w:sz w:val="18"/>
          <w:szCs w:val="18"/>
          <w:color w:val="auto"/>
        </w:rPr>
      </w:pPr>
      <w:r>
        <w:rPr>
          <w:rFonts w:ascii="Arial" w:cs="Arial" w:eastAsia="Arial" w:hAnsi="Arial"/>
          <w:sz w:val="20"/>
          <w:szCs w:val="20"/>
          <w:color w:val="auto"/>
        </w:rPr>
        <w:t>Are responsible to pay the premiums after the 18</w:t>
      </w:r>
      <w:r>
        <w:rPr>
          <w:rFonts w:ascii="Arial" w:cs="Arial" w:eastAsia="Arial" w:hAnsi="Arial"/>
          <w:sz w:val="12"/>
          <w:szCs w:val="12"/>
          <w:color w:val="auto"/>
        </w:rPr>
        <w:t>th</w:t>
      </w:r>
      <w:r>
        <w:rPr>
          <w:rFonts w:ascii="Arial" w:cs="Arial" w:eastAsia="Arial" w:hAnsi="Arial"/>
          <w:sz w:val="20"/>
          <w:szCs w:val="20"/>
          <w:color w:val="auto"/>
        </w:rPr>
        <w:t xml:space="preserve"> month, through the 29</w:t>
      </w:r>
      <w:r>
        <w:rPr>
          <w:rFonts w:ascii="Arial" w:cs="Arial" w:eastAsia="Arial" w:hAnsi="Arial"/>
          <w:sz w:val="12"/>
          <w:szCs w:val="12"/>
          <w:color w:val="auto"/>
        </w:rPr>
        <w:t>th</w:t>
      </w:r>
      <w:r>
        <w:rPr>
          <w:rFonts w:ascii="Arial" w:cs="Arial" w:eastAsia="Arial" w:hAnsi="Arial"/>
          <w:sz w:val="20"/>
          <w:szCs w:val="20"/>
          <w:color w:val="auto"/>
        </w:rPr>
        <w:t xml:space="preserve"> month</w:t>
      </w:r>
      <w:r>
        <w:rPr>
          <w:rFonts w:ascii="Arial" w:cs="Arial" w:eastAsia="Arial" w:hAnsi="Arial"/>
          <w:sz w:val="18"/>
          <w:szCs w:val="18"/>
          <w:color w:val="auto"/>
        </w:rPr>
        <w:t>.</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If There Are Multiple Qualifying Events.</w:t>
      </w:r>
    </w:p>
    <w:p>
      <w:pPr>
        <w:spacing w:after="0" w:line="229" w:lineRule="exact"/>
        <w:rPr>
          <w:sz w:val="20"/>
          <w:szCs w:val="20"/>
          <w:color w:val="auto"/>
        </w:rPr>
      </w:pPr>
    </w:p>
    <w:p>
      <w:pPr>
        <w:ind w:left="100" w:right="640"/>
        <w:spacing w:after="0" w:line="287" w:lineRule="auto"/>
        <w:rPr>
          <w:sz w:val="20"/>
          <w:szCs w:val="20"/>
          <w:color w:val="auto"/>
        </w:rPr>
      </w:pPr>
      <w:r>
        <w:rPr>
          <w:rFonts w:ascii="Arial" w:cs="Arial" w:eastAsia="Arial" w:hAnsi="Arial"/>
          <w:sz w:val="19"/>
          <w:szCs w:val="19"/>
          <w:color w:val="auto"/>
        </w:rPr>
        <w:t>A covered dependent could qualify for an extension of the 18 or 29 month continuation period by meeting the requirements of another qualifying event, such as divorce or death. The total continuation period, however, can never exceed 36 months.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Determining Your Premium Payments for COBRA Continuation Coverage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Your premium payments are regulated by law, based on the following</w:t>
      </w:r>
      <w:r>
        <w:rPr>
          <w:rFonts w:ascii="Arial" w:cs="Arial" w:eastAsia="Arial" w:hAnsi="Arial"/>
          <w:sz w:val="18"/>
          <w:szCs w:val="18"/>
          <w:color w:val="auto"/>
        </w:rPr>
        <w:t>:</w:t>
      </w:r>
    </w:p>
    <w:p>
      <w:pPr>
        <w:spacing w:after="0" w:line="200" w:lineRule="exact"/>
        <w:rPr>
          <w:sz w:val="20"/>
          <w:szCs w:val="20"/>
          <w:color w:val="auto"/>
        </w:rPr>
      </w:pPr>
    </w:p>
    <w:p>
      <w:pPr>
        <w:ind w:left="440" w:hanging="330"/>
        <w:spacing w:after="0"/>
        <w:tabs>
          <w:tab w:leader="none" w:pos="44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For the 18 or 36 month periods, premiums may never exceed 102 percent of the plan costs.</w:t>
      </w:r>
    </w:p>
    <w:p>
      <w:pPr>
        <w:spacing w:after="0" w:line="15" w:lineRule="exact"/>
        <w:rPr>
          <w:rFonts w:ascii="Arial" w:cs="Arial" w:eastAsia="Arial" w:hAnsi="Arial"/>
          <w:sz w:val="20"/>
          <w:szCs w:val="20"/>
          <w:color w:val="auto"/>
        </w:rPr>
      </w:pPr>
    </w:p>
    <w:p>
      <w:pPr>
        <w:ind w:left="440" w:right="20" w:hanging="330"/>
        <w:spacing w:after="0" w:line="244" w:lineRule="auto"/>
        <w:tabs>
          <w:tab w:leader="none" w:pos="44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During the 18 through 29 month period, premiums for coverage during an extended disability period may never exceed 150 percent of the plan costs.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When You Acquire a Dependent During a COBRA Continuation Period</w:t>
      </w:r>
    </w:p>
    <w:p>
      <w:pPr>
        <w:spacing w:after="0" w:line="32" w:lineRule="exact"/>
        <w:rPr>
          <w:sz w:val="20"/>
          <w:szCs w:val="20"/>
          <w:color w:val="auto"/>
        </w:rPr>
      </w:pPr>
    </w:p>
    <w:p>
      <w:pPr>
        <w:ind w:left="100"/>
        <w:spacing w:after="0" w:line="244" w:lineRule="auto"/>
        <w:rPr>
          <w:sz w:val="20"/>
          <w:szCs w:val="20"/>
          <w:color w:val="auto"/>
        </w:rPr>
      </w:pPr>
      <w:r>
        <w:rPr>
          <w:rFonts w:ascii="Arial" w:cs="Arial" w:eastAsia="Arial" w:hAnsi="Arial"/>
          <w:sz w:val="20"/>
          <w:szCs w:val="20"/>
          <w:color w:val="auto"/>
        </w:rPr>
        <w:t>If through birth, adoption or marriage, you acquire a new dependent during the continuation period, your dependent can be added to the health plan for the remainder of the continuation period if:</w:t>
      </w:r>
    </w:p>
    <w:p>
      <w:pPr>
        <w:spacing w:after="0" w:line="192" w:lineRule="exact"/>
        <w:rPr>
          <w:sz w:val="20"/>
          <w:szCs w:val="20"/>
          <w:color w:val="auto"/>
        </w:rPr>
      </w:pPr>
    </w:p>
    <w:p>
      <w:pPr>
        <w:ind w:left="440" w:hanging="330"/>
        <w:spacing w:after="0"/>
        <w:tabs>
          <w:tab w:leader="none" w:pos="44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He or she meets the definition of an eligible dependent,</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Your employer is notified about your dependent within 31 days of eligibility,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Additional premiums for continuation are paid on a timely basis.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about dependent eligibility, see the </w:t>
      </w:r>
      <w:r>
        <w:rPr>
          <w:rFonts w:ascii="Arial" w:cs="Arial" w:eastAsia="Arial" w:hAnsi="Arial"/>
          <w:sz w:val="20"/>
          <w:szCs w:val="20"/>
          <w:i w:val="1"/>
          <w:iCs w:val="1"/>
          <w:color w:val="auto"/>
        </w:rPr>
        <w:t>Eligibility, Enrollment and Effective Date</w:t>
      </w:r>
      <w:r>
        <w:rPr>
          <w:rFonts w:ascii="Arial" w:cs="Arial" w:eastAsia="Arial" w:hAnsi="Arial"/>
          <w:sz w:val="20"/>
          <w:szCs w:val="20"/>
          <w:color w:val="auto"/>
        </w:rPr>
        <w:t xml:space="preserve"> section</w:t>
      </w:r>
      <w:r>
        <w:rPr>
          <w:rFonts w:ascii="Arial" w:cs="Arial" w:eastAsia="Arial" w:hAnsi="Arial"/>
          <w:sz w:val="18"/>
          <w:szCs w:val="18"/>
          <w:color w:val="auto"/>
        </w:rPr>
        <w:t>.</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When Your COBRA Continuation Coverage Ends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Your COBRA coverage will end when the first of the following events occurs:</w:t>
      </w:r>
    </w:p>
    <w:p>
      <w:pPr>
        <w:spacing w:after="0" w:line="213" w:lineRule="exact"/>
        <w:rPr>
          <w:sz w:val="20"/>
          <w:szCs w:val="20"/>
          <w:color w:val="auto"/>
        </w:rPr>
      </w:pPr>
    </w:p>
    <w:p>
      <w:pPr>
        <w:ind w:left="440" w:right="180" w:hanging="330"/>
        <w:spacing w:after="0" w:line="246" w:lineRule="auto"/>
        <w:tabs>
          <w:tab w:leader="none" w:pos="44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You or your covered dependents reach the maximum COBRA continuation period – the end of the 18, 29 or 36 months. (Coverage for a newly acquired dependent who has been added for the balance of a continuation period would end at the same time your continuation period ends, if he or she is not disabled nor eligible for an extended maximum).</w:t>
      </w:r>
    </w:p>
    <w:p>
      <w:pPr>
        <w:spacing w:after="0" w:line="2" w:lineRule="exact"/>
        <w:rPr>
          <w:rFonts w:ascii="Arial" w:cs="Arial" w:eastAsia="Arial" w:hAnsi="Arial"/>
          <w:sz w:val="20"/>
          <w:szCs w:val="20"/>
          <w:color w:val="auto"/>
        </w:rPr>
      </w:pPr>
    </w:p>
    <w:p>
      <w:pPr>
        <w:ind w:left="440" w:hanging="330"/>
        <w:spacing w:after="0"/>
        <w:tabs>
          <w:tab w:leader="none" w:pos="44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You or your covered dependents do not pay required premiums.</w:t>
      </w:r>
    </w:p>
    <w:p>
      <w:pPr>
        <w:spacing w:after="0" w:line="8" w:lineRule="exact"/>
        <w:rPr>
          <w:rFonts w:ascii="Arial" w:cs="Arial" w:eastAsia="Arial" w:hAnsi="Arial"/>
          <w:sz w:val="20"/>
          <w:szCs w:val="20"/>
          <w:color w:val="auto"/>
        </w:rPr>
      </w:pPr>
    </w:p>
    <w:p>
      <w:pPr>
        <w:ind w:left="440" w:right="200" w:hanging="330"/>
        <w:spacing w:after="0" w:line="244" w:lineRule="auto"/>
        <w:tabs>
          <w:tab w:leader="none" w:pos="44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You or your covered dependents become covered under another group plan that does not restrict coverage for pre-existing conditions. If your new plan limits pre-existing condition coverage, the continuation coverage under</w:t>
      </w:r>
    </w:p>
    <w:p>
      <w:pPr>
        <w:sectPr>
          <w:pgSz w:w="11900" w:h="16838" w:orient="portrait"/>
          <w:cols w:equalWidth="0" w:num="1">
            <w:col w:w="11380"/>
          </w:cols>
          <w:pgMar w:left="260" w:top="498" w:right="259" w:bottom="1440" w:gutter="0" w:footer="0" w:header="0"/>
        </w:sectPr>
      </w:pPr>
    </w:p>
    <w:bookmarkStart w:id="250" w:name="page251"/>
    <w:bookmarkEnd w:id="250"/>
    <w:p>
      <w:pPr>
        <w:ind w:left="340"/>
        <w:spacing w:after="0"/>
        <w:rPr>
          <w:sz w:val="20"/>
          <w:szCs w:val="20"/>
          <w:color w:val="auto"/>
        </w:rPr>
      </w:pPr>
      <w:r>
        <w:rPr>
          <w:rFonts w:ascii="Arial" w:cs="Arial" w:eastAsia="Arial" w:hAnsi="Arial"/>
          <w:sz w:val="16"/>
          <w:szCs w:val="16"/>
          <w:color w:val="auto"/>
        </w:rPr>
        <w:t>this plan may remain in effect until the pre-existing clause ceases to apply or the maximum continuation period is reached under this plan.</w:t>
      </w:r>
    </w:p>
    <w:p>
      <w:pPr>
        <w:spacing w:after="0" w:line="66" w:lineRule="exact"/>
        <w:rPr>
          <w:sz w:val="20"/>
          <w:szCs w:val="20"/>
          <w:color w:val="auto"/>
        </w:rPr>
      </w:pPr>
    </w:p>
    <w:p>
      <w:pPr>
        <w:ind w:left="340" w:hanging="331"/>
        <w:spacing w:after="0"/>
        <w:tabs>
          <w:tab w:leader="none" w:pos="34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date your employer no longer offers a group health plan.</w:t>
      </w:r>
    </w:p>
    <w:p>
      <w:pPr>
        <w:spacing w:after="0" w:line="8" w:lineRule="exact"/>
        <w:rPr>
          <w:rFonts w:ascii="Arial" w:cs="Arial" w:eastAsia="Arial" w:hAnsi="Arial"/>
          <w:sz w:val="20"/>
          <w:szCs w:val="20"/>
          <w:color w:val="auto"/>
        </w:rPr>
      </w:pPr>
    </w:p>
    <w:p>
      <w:pPr>
        <w:ind w:left="340" w:right="220" w:hanging="331"/>
        <w:spacing w:after="0" w:line="242" w:lineRule="auto"/>
        <w:tabs>
          <w:tab w:leader="none" w:pos="34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date you or a covered dependent becomes enrolled in benefits under Medicare. This does not apply if it is contrary to the Medicare Secondary Payer Rules or other federal law.</w:t>
      </w:r>
    </w:p>
    <w:p>
      <w:pPr>
        <w:ind w:left="340" w:hanging="331"/>
        <w:spacing w:after="0"/>
        <w:tabs>
          <w:tab w:leader="none" w:pos="34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You or your dependent dies.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Conversion from a Group to an Individual Plan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You may be eligible to apply for an individual health plan without providing proof of good health:</w:t>
      </w:r>
    </w:p>
    <w:p>
      <w:pPr>
        <w:spacing w:after="0" w:line="227" w:lineRule="exact"/>
        <w:rPr>
          <w:sz w:val="20"/>
          <w:szCs w:val="20"/>
          <w:color w:val="auto"/>
        </w:rPr>
      </w:pPr>
    </w:p>
    <w:p>
      <w:pPr>
        <w:ind w:left="340" w:hanging="331"/>
        <w:spacing w:after="0"/>
        <w:tabs>
          <w:tab w:leader="none" w:pos="34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At the termination of employment.</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When loss of coverage under the group plan occurs.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When loss of dependent status occurs.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At the end of the maximum health coverage continuation period.</w:t>
      </w: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individual policy will not provide the same coverage as the former group plan offered by your employer. Certain benefits may not be available. You will be required to pay the associated premium costs for the coverage. For additional information concerning this conversion option, please refer to the “</w:t>
      </w:r>
      <w:r>
        <w:rPr>
          <w:rFonts w:ascii="Arial" w:cs="Arial" w:eastAsia="Arial" w:hAnsi="Arial"/>
          <w:sz w:val="20"/>
          <w:szCs w:val="20"/>
          <w:i w:val="1"/>
          <w:iCs w:val="1"/>
          <w:color w:val="auto"/>
        </w:rPr>
        <w:t>Converting to an Individual Health Insurance Plan</w:t>
      </w:r>
      <w:r>
        <w:rPr>
          <w:rFonts w:ascii="Arial" w:cs="Arial" w:eastAsia="Arial" w:hAnsi="Arial"/>
          <w:sz w:val="20"/>
          <w:szCs w:val="20"/>
          <w:color w:val="auto"/>
        </w:rPr>
        <w:t>” section of your Booklet-Certificate, contact your employer or call the toll-free number on your member ID card.</w:t>
      </w:r>
    </w:p>
    <w:p>
      <w:pPr>
        <w:spacing w:after="0" w:line="1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Converting to an Individual Medical Insurance Policy </w:t>
      </w:r>
      <w:r>
        <w:rPr>
          <w:rFonts w:ascii="Arial" w:cs="Arial" w:eastAsia="Arial" w:hAnsi="Arial"/>
          <w:sz w:val="14"/>
          <w:szCs w:val="14"/>
          <w:i w:val="1"/>
          <w:iCs w:val="1"/>
          <w:color w:val="auto"/>
        </w:rPr>
        <w:t>(GR-9N 31-040-02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w:t>
      </w:r>
    </w:p>
    <w:p>
      <w:pPr>
        <w:spacing w:after="0" w:line="32"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You and your covered dependents may apply for an individual Medical insurance policy if you lose coverage under the group medical plan because:</w:t>
      </w:r>
    </w:p>
    <w:p>
      <w:pPr>
        <w:spacing w:after="0" w:line="205" w:lineRule="exact"/>
        <w:rPr>
          <w:sz w:val="20"/>
          <w:szCs w:val="20"/>
          <w:color w:val="auto"/>
        </w:rPr>
      </w:pPr>
    </w:p>
    <w:p>
      <w:pPr>
        <w:ind w:left="340" w:hanging="331"/>
        <w:spacing w:after="0"/>
        <w:tabs>
          <w:tab w:leader="none" w:pos="3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You terminate your employment;</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You are no longer in an eligible class;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Your dependent no longer qualifies as an eligible dependent;</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Any continuation coverage required under federal or state law has ended;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You retire and there is no medical coverage available.</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You can only use the conversion option once. If your group plan allows retirees to continue medical coverage, and you wish to continue your plan, then the conversion privilege will not be available to you again.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individual conversion policy may cover:</w:t>
      </w:r>
    </w:p>
    <w:p>
      <w:pPr>
        <w:spacing w:after="0" w:line="216" w:lineRule="exact"/>
        <w:rPr>
          <w:sz w:val="20"/>
          <w:szCs w:val="20"/>
          <w:color w:val="auto"/>
        </w:rPr>
      </w:pPr>
    </w:p>
    <w:p>
      <w:pPr>
        <w:ind w:left="340" w:hanging="331"/>
        <w:spacing w:after="0"/>
        <w:tabs>
          <w:tab w:leader="none" w:pos="34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You only;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You and all dependents who are covered under the group plan at the time your coverage ended;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Your covered dependents, if you should die before you retire.</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Features of the Conversion Policy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The individual policy and its terms will be the type:</w:t>
      </w:r>
    </w:p>
    <w:p>
      <w:pPr>
        <w:spacing w:after="0" w:line="227" w:lineRule="exact"/>
        <w:rPr>
          <w:sz w:val="20"/>
          <w:szCs w:val="20"/>
          <w:color w:val="auto"/>
        </w:rPr>
      </w:pPr>
    </w:p>
    <w:p>
      <w:pPr>
        <w:ind w:left="340" w:hanging="331"/>
        <w:spacing w:after="0"/>
        <w:tabs>
          <w:tab w:leader="none" w:pos="340" w:val="left"/>
        </w:tabs>
        <w:numPr>
          <w:ilvl w:val="0"/>
          <w:numId w:val="354"/>
        </w:numPr>
        <w:rPr>
          <w:rFonts w:ascii="Arial" w:cs="Arial" w:eastAsia="Arial" w:hAnsi="Arial"/>
          <w:sz w:val="20"/>
          <w:szCs w:val="20"/>
          <w:color w:val="auto"/>
        </w:rPr>
      </w:pPr>
      <w:r>
        <w:rPr>
          <w:rFonts w:ascii="Arial" w:cs="Arial" w:eastAsia="Arial" w:hAnsi="Arial"/>
          <w:sz w:val="20"/>
          <w:szCs w:val="20"/>
          <w:color w:val="auto"/>
        </w:rPr>
        <w:t>Required by law or regulation for group conversion purposes in your or your dependent’s states of residence;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54"/>
        </w:numPr>
        <w:rPr>
          <w:rFonts w:ascii="Arial" w:cs="Arial" w:eastAsia="Arial" w:hAnsi="Arial"/>
          <w:sz w:val="20"/>
          <w:szCs w:val="20"/>
          <w:color w:val="auto"/>
        </w:rPr>
      </w:pPr>
      <w:r>
        <w:rPr>
          <w:rFonts w:ascii="Arial" w:cs="Arial" w:eastAsia="Arial" w:hAnsi="Arial"/>
          <w:sz w:val="20"/>
          <w:szCs w:val="20"/>
          <w:color w:val="auto"/>
        </w:rPr>
        <w:t xml:space="preserve">Offered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when you or your dependents apply under your employer’s conversion plan.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However, coverage will not be the same as your group plan coverage. Generally, the coverage level may be less.</w:t>
      </w:r>
    </w:p>
    <w:p>
      <w:pPr>
        <w:sectPr>
          <w:pgSz w:w="11900" w:h="16838" w:orient="portrait"/>
          <w:cols w:equalWidth="0" w:num="1">
            <w:col w:w="11260"/>
          </w:cols>
          <w:pgMar w:left="320" w:top="433" w:right="319" w:bottom="1440" w:gutter="0" w:footer="0" w:header="0"/>
        </w:sectPr>
      </w:pPr>
    </w:p>
    <w:bookmarkStart w:id="251" w:name="page252"/>
    <w:bookmarkEnd w:id="251"/>
    <w:p>
      <w:pPr>
        <w:spacing w:after="0"/>
        <w:rPr>
          <w:sz w:val="20"/>
          <w:szCs w:val="20"/>
          <w:color w:val="auto"/>
        </w:rPr>
      </w:pPr>
      <w:r>
        <w:rPr>
          <w:rFonts w:ascii="Arial" w:cs="Arial" w:eastAsia="Arial" w:hAnsi="Arial"/>
          <w:sz w:val="20"/>
          <w:szCs w:val="20"/>
          <w:color w:val="auto"/>
        </w:rPr>
        <w:t>The individual policy may also:</w:t>
      </w:r>
    </w:p>
    <w:p>
      <w:pPr>
        <w:spacing w:after="0" w:line="216" w:lineRule="exact"/>
        <w:rPr>
          <w:sz w:val="20"/>
          <w:szCs w:val="20"/>
          <w:color w:val="auto"/>
        </w:rPr>
      </w:pPr>
    </w:p>
    <w:p>
      <w:pPr>
        <w:ind w:left="340" w:hanging="331"/>
        <w:spacing w:after="0" w:line="250" w:lineRule="auto"/>
        <w:tabs>
          <w:tab w:leader="none" w:pos="34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Reduce its benefits by any like benefits payable under your group plan after coverage ends (for example: if benefits are paid after coverage ends because of a disability extension of benefits);</w:t>
      </w:r>
    </w:p>
    <w:p>
      <w:pPr>
        <w:ind w:left="340" w:hanging="331"/>
        <w:spacing w:after="0"/>
        <w:tabs>
          <w:tab w:leader="none" w:pos="34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Not guarantee renewal under selected conditions described in the policy.</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Limitations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You or your dependents do not have a right to convert if:</w:t>
      </w:r>
    </w:p>
    <w:p>
      <w:pPr>
        <w:spacing w:after="0" w:line="200" w:lineRule="exact"/>
        <w:rPr>
          <w:sz w:val="20"/>
          <w:szCs w:val="20"/>
          <w:color w:val="auto"/>
        </w:rPr>
      </w:pPr>
    </w:p>
    <w:p>
      <w:pPr>
        <w:ind w:left="340" w:hanging="331"/>
        <w:spacing w:after="0"/>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Medical coverage under the group contract has been discontinued.</w:t>
      </w:r>
    </w:p>
    <w:p>
      <w:pPr>
        <w:spacing w:after="0" w:line="15" w:lineRule="exact"/>
        <w:rPr>
          <w:rFonts w:ascii="Arial" w:cs="Arial" w:eastAsia="Arial" w:hAnsi="Arial"/>
          <w:sz w:val="20"/>
          <w:szCs w:val="20"/>
          <w:color w:val="auto"/>
        </w:rPr>
      </w:pPr>
    </w:p>
    <w:p>
      <w:pPr>
        <w:ind w:left="340" w:hanging="331"/>
        <w:spacing w:after="0" w:line="242" w:lineRule="auto"/>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You or your dependents are eligible for Medicare. Covered dependents not eligible for Medicare may apply for individual coverage even if you are eligible for Medicare.</w:t>
      </w:r>
    </w:p>
    <w:p>
      <w:pPr>
        <w:ind w:left="340" w:hanging="331"/>
        <w:spacing w:after="0"/>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Coverage under the plan has been in effect for less than three months.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You or your covered dependents become eligible for any other medical coverage under this plan.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 xml:space="preserve">You apply for individual coverage in a jurisdiction where </w:t>
      </w:r>
      <w:r>
        <w:rPr>
          <w:rFonts w:ascii="Arial" w:cs="Arial" w:eastAsia="Arial" w:hAnsi="Arial"/>
          <w:sz w:val="20"/>
          <w:szCs w:val="20"/>
          <w:b w:val="1"/>
          <w:bCs w:val="1"/>
          <w:color w:val="auto"/>
        </w:rPr>
        <w:t>Aetna</w:t>
      </w:r>
      <w:r>
        <w:rPr>
          <w:rFonts w:ascii="Arial" w:cs="Arial" w:eastAsia="Arial" w:hAnsi="Arial"/>
          <w:sz w:val="20"/>
          <w:szCs w:val="20"/>
          <w:color w:val="auto"/>
        </w:rPr>
        <w:t xml:space="preserve"> cannot issue or deliver an individual conversion policy.</w:t>
      </w:r>
    </w:p>
    <w:p>
      <w:pPr>
        <w:ind w:left="340" w:right="340" w:hanging="331"/>
        <w:spacing w:after="0" w:line="244" w:lineRule="auto"/>
        <w:tabs>
          <w:tab w:leader="none" w:pos="3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You or your covered dependents are eligible for, or have benefits available under, another plan that, in addition to the converted policy, would either match benefits or result in over insurance. Examples include:</w:t>
      </w:r>
    </w:p>
    <w:p>
      <w:pPr>
        <w:spacing w:after="0" w:line="2" w:lineRule="exact"/>
        <w:rPr>
          <w:rFonts w:ascii="Arial" w:cs="Arial" w:eastAsia="Arial" w:hAnsi="Arial"/>
          <w:sz w:val="20"/>
          <w:szCs w:val="20"/>
          <w:color w:val="auto"/>
        </w:rPr>
      </w:pPr>
    </w:p>
    <w:p>
      <w:pPr>
        <w:ind w:left="660" w:hanging="327"/>
        <w:spacing w:after="0"/>
        <w:tabs>
          <w:tab w:leader="none" w:pos="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other hospital or surgical expense insurance policy;</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hospital service or medical expense indemnity corporation subscriber contract;</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other group contract; or</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statute, welfare plan or program.</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Electing an Individual Conversion Policy</w:t>
      </w:r>
    </w:p>
    <w:p>
      <w:pPr>
        <w:spacing w:after="0" w:line="3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You or your covered dependents must apply for an individual policy within 31 days after issuance of the written notice required by your employer, but in no event beyond the 60 day period following the date of the termination of your coverage. You do not need to provide proof of good health if you apply within this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To apply for an individual medical insurance policy:</w:t>
      </w:r>
    </w:p>
    <w:p>
      <w:pPr>
        <w:spacing w:after="0" w:line="229" w:lineRule="exact"/>
        <w:rPr>
          <w:sz w:val="20"/>
          <w:szCs w:val="20"/>
          <w:color w:val="auto"/>
        </w:rPr>
      </w:pPr>
    </w:p>
    <w:p>
      <w:pPr>
        <w:ind w:left="340" w:hanging="331"/>
        <w:spacing w:after="0"/>
        <w:tabs>
          <w:tab w:leader="none" w:pos="34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Get a copy of the “Notice of Conversion Privilege and Request” form from your employer.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xml:space="preserve">Complete and send the form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at the specified address.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Premiums and Payments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Your first premium payment will be due at the time you submit the conversion application to </w:t>
      </w:r>
      <w:r>
        <w:rPr>
          <w:rFonts w:ascii="Arial" w:cs="Arial" w:eastAsia="Arial" w:hAnsi="Arial"/>
          <w:sz w:val="20"/>
          <w:szCs w:val="20"/>
          <w:b w:val="1"/>
          <w:bCs w:val="1"/>
          <w:color w:val="auto"/>
        </w:rPr>
        <w:t>Aetna</w:t>
      </w:r>
      <w:r>
        <w:rPr>
          <w:rFonts w:ascii="Arial" w:cs="Arial" w:eastAsia="Arial" w:hAnsi="Arial"/>
          <w:sz w:val="20"/>
          <w:szCs w:val="20"/>
          <w:color w:val="auto"/>
        </w:rPr>
        <w:t>.</w:t>
      </w:r>
    </w:p>
    <w:p>
      <w:pPr>
        <w:spacing w:after="0" w:line="207" w:lineRule="exact"/>
        <w:rPr>
          <w:sz w:val="20"/>
          <w:szCs w:val="20"/>
          <w:color w:val="auto"/>
        </w:rPr>
      </w:pPr>
    </w:p>
    <w:p>
      <w:pPr>
        <w:ind w:right="580"/>
        <w:spacing w:after="0" w:line="267" w:lineRule="auto"/>
        <w:rPr>
          <w:sz w:val="20"/>
          <w:szCs w:val="20"/>
          <w:color w:val="auto"/>
        </w:rPr>
      </w:pPr>
      <w:r>
        <w:rPr>
          <w:rFonts w:ascii="Arial" w:cs="Arial" w:eastAsia="Arial" w:hAnsi="Arial"/>
          <w:sz w:val="20"/>
          <w:szCs w:val="20"/>
          <w:color w:val="auto"/>
        </w:rPr>
        <w:t xml:space="preserve">The amount of the premium will be </w:t>
      </w:r>
      <w:r>
        <w:rPr>
          <w:rFonts w:ascii="Arial" w:cs="Arial" w:eastAsia="Arial" w:hAnsi="Arial"/>
          <w:sz w:val="20"/>
          <w:szCs w:val="20"/>
          <w:b w:val="1"/>
          <w:bCs w:val="1"/>
          <w:color w:val="auto"/>
        </w:rPr>
        <w:t>Aetna’s</w:t>
      </w:r>
      <w:r>
        <w:rPr>
          <w:rFonts w:ascii="Arial" w:cs="Arial" w:eastAsia="Arial" w:hAnsi="Arial"/>
          <w:sz w:val="20"/>
          <w:szCs w:val="20"/>
          <w:color w:val="auto"/>
        </w:rPr>
        <w:t xml:space="preserve"> normal rate for the policy that is approved for issuance in your or your dependent’s state of residence.</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When an Individual Policy Becomes Effective</w:t>
      </w:r>
    </w:p>
    <w:p>
      <w:pPr>
        <w:spacing w:after="0" w:line="41" w:lineRule="exact"/>
        <w:rPr>
          <w:sz w:val="20"/>
          <w:szCs w:val="20"/>
          <w:color w:val="auto"/>
        </w:rPr>
      </w:pPr>
    </w:p>
    <w:p>
      <w:pPr>
        <w:ind w:right="1920"/>
        <w:spacing w:after="0" w:line="248" w:lineRule="auto"/>
        <w:rPr>
          <w:sz w:val="20"/>
          <w:szCs w:val="20"/>
          <w:color w:val="auto"/>
        </w:rPr>
      </w:pPr>
      <w:r>
        <w:rPr>
          <w:rFonts w:ascii="Arial" w:cs="Arial" w:eastAsia="Arial" w:hAnsi="Arial"/>
          <w:sz w:val="20"/>
          <w:szCs w:val="20"/>
          <w:color w:val="auto"/>
        </w:rPr>
        <w:t xml:space="preserve">The individual policy will begin on the day after coverage ends under your group plan. Your policy will be issued once </w:t>
      </w:r>
      <w:r>
        <w:rPr>
          <w:rFonts w:ascii="Arial" w:cs="Arial" w:eastAsia="Arial" w:hAnsi="Arial"/>
          <w:sz w:val="20"/>
          <w:szCs w:val="20"/>
          <w:b w:val="1"/>
          <w:bCs w:val="1"/>
          <w:color w:val="auto"/>
        </w:rPr>
        <w:t xml:space="preserve">Aetna </w:t>
      </w:r>
      <w:r>
        <w:rPr>
          <w:rFonts w:ascii="Arial" w:cs="Arial" w:eastAsia="Arial" w:hAnsi="Arial"/>
          <w:sz w:val="20"/>
          <w:szCs w:val="20"/>
          <w:color w:val="auto"/>
        </w:rPr>
        <w:t>receives and processes your completed application and premium payment.</w:t>
      </w:r>
    </w:p>
    <w:p>
      <w:pPr>
        <w:sectPr>
          <w:pgSz w:w="11900" w:h="16838" w:orient="portrait"/>
          <w:cols w:equalWidth="0" w:num="1">
            <w:col w:w="11340"/>
          </w:cols>
          <w:pgMar w:left="320" w:top="433" w:right="239" w:bottom="1440" w:gutter="0" w:footer="0" w:header="0"/>
        </w:sectPr>
      </w:pPr>
    </w:p>
    <w:bookmarkStart w:id="252" w:name="page253"/>
    <w:bookmarkEnd w:id="252"/>
    <w:p>
      <w:pPr>
        <w:ind w:left="22" w:right="240"/>
        <w:spacing w:after="0" w:line="253" w:lineRule="auto"/>
        <w:rPr>
          <w:sz w:val="20"/>
          <w:szCs w:val="20"/>
          <w:color w:val="auto"/>
        </w:rPr>
      </w:pPr>
      <w:r>
        <w:rPr>
          <w:rFonts w:ascii="Arial" w:cs="Arial" w:eastAsia="Arial" w:hAnsi="Arial"/>
          <w:sz w:val="43"/>
          <w:szCs w:val="43"/>
          <w:b w:val="1"/>
          <w:bCs w:val="1"/>
          <w:color w:val="auto"/>
        </w:rPr>
        <w:t>Coordination of Benefits - What Happens When There is More Than One Health Plan</w:t>
      </w:r>
    </w:p>
    <w:p>
      <w:pPr>
        <w:spacing w:after="0" w:line="155" w:lineRule="exact"/>
        <w:rPr>
          <w:sz w:val="20"/>
          <w:szCs w:val="20"/>
          <w:color w:val="auto"/>
        </w:rPr>
      </w:pPr>
    </w:p>
    <w:p>
      <w:pPr>
        <w:ind w:left="22"/>
        <w:spacing w:after="0"/>
        <w:rPr>
          <w:sz w:val="20"/>
          <w:szCs w:val="20"/>
          <w:color w:val="auto"/>
        </w:rPr>
      </w:pPr>
      <w:r>
        <w:rPr>
          <w:rFonts w:ascii="Arial" w:cs="Arial" w:eastAsia="Arial" w:hAnsi="Arial"/>
          <w:sz w:val="14"/>
          <w:szCs w:val="14"/>
          <w:i w:val="1"/>
          <w:iCs w:val="1"/>
          <w:color w:val="auto"/>
        </w:rPr>
        <w:t>(GR-9N-33-005-02)</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29"/>
          <w:szCs w:val="29"/>
          <w:b w:val="1"/>
          <w:bCs w:val="1"/>
          <w:color w:val="auto"/>
        </w:rPr>
        <w:t>When Coordination of Benefits Applies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When Coordination of Benefits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-280035</wp:posOffset>
            </wp:positionV>
            <wp:extent cx="3319145" cy="15347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4">
                      <a:extLst>
                        <a:ext uri="{28A0092B-C50C-407E-A947-70E740481C1C}"/>
                      </a:extLst>
                    </a:blip>
                    <a:srcRect/>
                    <a:stretch>
                      <a:fillRect/>
                    </a:stretch>
                  </pic:blipFill>
                  <pic:spPr bwMode="auto">
                    <a:xfrm>
                      <a:off x="0" y="0"/>
                      <a:ext cx="3319145" cy="153479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Getting Started - Important Terms Which</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Plan Pays First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How Coordination of Benefits Works</w:t>
      </w:r>
    </w:p>
    <w:p>
      <w:pPr>
        <w:spacing w:after="0" w:line="1469" w:lineRule="exact"/>
        <w:rPr>
          <w:sz w:val="20"/>
          <w:szCs w:val="20"/>
          <w:color w:val="auto"/>
        </w:rPr>
      </w:pPr>
    </w:p>
    <w:p>
      <w:pPr>
        <w:sectPr>
          <w:pgSz w:w="11900" w:h="16838" w:orient="portrait"/>
          <w:cols w:equalWidth="0" w:num="2">
            <w:col w:w="5442" w:space="420"/>
            <w:col w:w="5240"/>
          </w:cols>
          <w:pgMar w:left="518" w:top="502" w:right="279" w:bottom="1440" w:gutter="0" w:footer="0" w:header="0"/>
        </w:sectPr>
      </w:pPr>
    </w:p>
    <w:p>
      <w:pPr>
        <w:spacing w:after="0" w:line="72" w:lineRule="exact"/>
        <w:rPr>
          <w:sz w:val="20"/>
          <w:szCs w:val="20"/>
          <w:color w:val="auto"/>
        </w:rPr>
      </w:pPr>
    </w:p>
    <w:p>
      <w:pPr>
        <w:ind w:left="2" w:right="100"/>
        <w:spacing w:after="0" w:line="244" w:lineRule="auto"/>
        <w:rPr>
          <w:sz w:val="20"/>
          <w:szCs w:val="20"/>
          <w:color w:val="auto"/>
        </w:rPr>
      </w:pPr>
      <w:r>
        <w:rPr>
          <w:rFonts w:ascii="Arial" w:cs="Arial" w:eastAsia="Arial" w:hAnsi="Arial"/>
          <w:sz w:val="20"/>
          <w:szCs w:val="20"/>
          <w:color w:val="auto"/>
        </w:rPr>
        <w:t>This Coordination of Benefits (COB) provision applies to this plan when you or your covered dependent has health coverage under more than one plan. “Plan” and “This plan” are defined herein. The Order of Benefit Determination Rules below determines which plan will pay as the primary plan. The primary plan pays first without regard to the possibility that another plan may cover some expenses. A secondary plan pays after the primary plan and may reduce the benefits it pays so that payments from all group plans do not exceed 100% of the total allowable expense.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32"/>
          <w:szCs w:val="32"/>
          <w:b w:val="1"/>
          <w:bCs w:val="1"/>
          <w:color w:val="auto"/>
        </w:rPr>
        <w:t>Getting Started - Important Terms</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20"/>
          <w:szCs w:val="20"/>
          <w:color w:val="auto"/>
        </w:rPr>
        <w:t>When used in this provision, the following words and phrases have the meaning explained herein.</w:t>
      </w:r>
    </w:p>
    <w:p>
      <w:pPr>
        <w:spacing w:after="0" w:line="237" w:lineRule="exact"/>
        <w:rPr>
          <w:sz w:val="20"/>
          <w:szCs w:val="20"/>
          <w:color w:val="auto"/>
        </w:rPr>
      </w:pPr>
    </w:p>
    <w:p>
      <w:pPr>
        <w:ind w:left="2" w:right="60"/>
        <w:spacing w:after="0" w:line="276" w:lineRule="auto"/>
        <w:rPr>
          <w:sz w:val="20"/>
          <w:szCs w:val="20"/>
          <w:color w:val="auto"/>
        </w:rPr>
      </w:pPr>
      <w:r>
        <w:rPr>
          <w:rFonts w:ascii="Arial" w:cs="Arial" w:eastAsia="Arial" w:hAnsi="Arial"/>
          <w:sz w:val="19"/>
          <w:szCs w:val="19"/>
          <w:b w:val="1"/>
          <w:bCs w:val="1"/>
          <w:color w:val="auto"/>
        </w:rPr>
        <w:t xml:space="preserve">Allowable Expense </w:t>
      </w:r>
      <w:r>
        <w:rPr>
          <w:rFonts w:ascii="Arial" w:cs="Arial" w:eastAsia="Arial" w:hAnsi="Arial"/>
          <w:sz w:val="19"/>
          <w:szCs w:val="19"/>
          <w:color w:val="auto"/>
        </w:rPr>
        <w:t>means a health care service or expense, including, coinsurance and</w:t>
      </w:r>
      <w:r>
        <w:rPr>
          <w:rFonts w:ascii="Arial" w:cs="Arial" w:eastAsia="Arial" w:hAnsi="Arial"/>
          <w:sz w:val="19"/>
          <w:szCs w:val="19"/>
          <w:b w:val="1"/>
          <w:bCs w:val="1"/>
          <w:color w:val="auto"/>
        </w:rPr>
        <w:t xml:space="preserve"> copayments </w:t>
      </w:r>
      <w:r>
        <w:rPr>
          <w:rFonts w:ascii="Arial" w:cs="Arial" w:eastAsia="Arial" w:hAnsi="Arial"/>
          <w:sz w:val="19"/>
          <w:szCs w:val="19"/>
          <w:color w:val="auto"/>
        </w:rPr>
        <w:t>and without reduction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deductible, that is covered at least in part by any of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covering the person. When a </w:t>
      </w:r>
      <w:r>
        <w:rPr>
          <w:rFonts w:ascii="Arial" w:cs="Arial" w:eastAsia="Arial" w:hAnsi="Arial"/>
          <w:sz w:val="19"/>
          <w:szCs w:val="19"/>
          <w:b w:val="1"/>
          <w:bCs w:val="1"/>
          <w:color w:val="auto"/>
        </w:rPr>
        <w:t>Plan</w:t>
      </w:r>
      <w:r>
        <w:rPr>
          <w:rFonts w:ascii="Arial" w:cs="Arial" w:eastAsia="Arial" w:hAnsi="Arial"/>
          <w:sz w:val="19"/>
          <w:szCs w:val="19"/>
          <w:color w:val="auto"/>
        </w:rPr>
        <w:t xml:space="preserve"> provides benefits in the form of services (for example an HMO), the reasonable cash value of each service will be considered an allowable expense and a benefit paid. An expense or service that is not covered by any of the </w:t>
      </w:r>
      <w:r>
        <w:rPr>
          <w:rFonts w:ascii="Arial" w:cs="Arial" w:eastAsia="Arial" w:hAnsi="Arial"/>
          <w:sz w:val="19"/>
          <w:szCs w:val="19"/>
          <w:b w:val="1"/>
          <w:bCs w:val="1"/>
          <w:color w:val="auto"/>
        </w:rPr>
        <w:t>Plans</w:t>
      </w:r>
      <w:r>
        <w:rPr>
          <w:rFonts w:ascii="Arial" w:cs="Arial" w:eastAsia="Arial" w:hAnsi="Arial"/>
          <w:sz w:val="19"/>
          <w:szCs w:val="19"/>
          <w:color w:val="auto"/>
        </w:rPr>
        <w:t xml:space="preserve"> is not an allowable expense. Any expense that a health care provider by law or in accordance with a contractual agreement is prohibited from charging a covered person is not an </w:t>
      </w:r>
      <w:r>
        <w:rPr>
          <w:rFonts w:ascii="Arial" w:cs="Arial" w:eastAsia="Arial" w:hAnsi="Arial"/>
          <w:sz w:val="19"/>
          <w:szCs w:val="19"/>
          <w:b w:val="1"/>
          <w:bCs w:val="1"/>
          <w:color w:val="auto"/>
        </w:rPr>
        <w:t>allowable expense</w:t>
      </w:r>
      <w:r>
        <w:rPr>
          <w:rFonts w:ascii="Arial" w:cs="Arial" w:eastAsia="Arial" w:hAnsi="Arial"/>
          <w:sz w:val="19"/>
          <w:szCs w:val="19"/>
          <w:color w:val="auto"/>
        </w:rPr>
        <w:t xml:space="preserve">. The following are examples of expenses and services that are </w:t>
      </w:r>
      <w:r>
        <w:rPr>
          <w:rFonts w:ascii="Arial" w:cs="Arial" w:eastAsia="Arial" w:hAnsi="Arial"/>
          <w:sz w:val="19"/>
          <w:szCs w:val="19"/>
          <w:b w:val="1"/>
          <w:bCs w:val="1"/>
          <w:i w:val="1"/>
          <w:iCs w:val="1"/>
          <w:color w:val="auto"/>
        </w:rPr>
        <w:t>not</w:t>
      </w:r>
      <w:r>
        <w:rPr>
          <w:rFonts w:ascii="Arial" w:cs="Arial" w:eastAsia="Arial" w:hAnsi="Arial"/>
          <w:sz w:val="19"/>
          <w:szCs w:val="19"/>
          <w:color w:val="auto"/>
        </w:rPr>
        <w:t xml:space="preserve"> </w:t>
      </w:r>
      <w:r>
        <w:rPr>
          <w:rFonts w:ascii="Arial" w:cs="Arial" w:eastAsia="Arial" w:hAnsi="Arial"/>
          <w:sz w:val="19"/>
          <w:szCs w:val="19"/>
          <w:b w:val="1"/>
          <w:bCs w:val="1"/>
          <w:color w:val="auto"/>
        </w:rPr>
        <w:t>allowable expenses</w:t>
      </w:r>
      <w:r>
        <w:rPr>
          <w:rFonts w:ascii="Arial" w:cs="Arial" w:eastAsia="Arial" w:hAnsi="Arial"/>
          <w:sz w:val="19"/>
          <w:szCs w:val="19"/>
          <w:color w:val="auto"/>
        </w:rPr>
        <w:t>:</w:t>
      </w:r>
    </w:p>
    <w:p>
      <w:pPr>
        <w:spacing w:after="0" w:line="154" w:lineRule="exact"/>
        <w:rPr>
          <w:sz w:val="20"/>
          <w:szCs w:val="20"/>
          <w:color w:val="auto"/>
        </w:rPr>
      </w:pPr>
    </w:p>
    <w:p>
      <w:pPr>
        <w:ind w:left="322" w:right="240" w:hanging="322"/>
        <w:spacing w:after="0" w:line="278" w:lineRule="auto"/>
        <w:tabs>
          <w:tab w:leader="none" w:pos="32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If a covered person is confined in a private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room, the difference between the cost of a semi-private room in the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and the private room is not an </w:t>
      </w:r>
      <w:r>
        <w:rPr>
          <w:rFonts w:ascii="Arial" w:cs="Arial" w:eastAsia="Arial" w:hAnsi="Arial"/>
          <w:sz w:val="18"/>
          <w:szCs w:val="18"/>
          <w:b w:val="1"/>
          <w:bCs w:val="1"/>
          <w:color w:val="auto"/>
        </w:rPr>
        <w:t>allowable expense</w:t>
      </w:r>
      <w:r>
        <w:rPr>
          <w:rFonts w:ascii="Arial" w:cs="Arial" w:eastAsia="Arial" w:hAnsi="Arial"/>
          <w:sz w:val="18"/>
          <w:szCs w:val="18"/>
          <w:color w:val="auto"/>
        </w:rPr>
        <w:t xml:space="preserve">. This does not apply if one of the </w:t>
      </w:r>
      <w:r>
        <w:rPr>
          <w:rFonts w:ascii="Arial" w:cs="Arial" w:eastAsia="Arial" w:hAnsi="Arial"/>
          <w:sz w:val="18"/>
          <w:szCs w:val="18"/>
          <w:b w:val="1"/>
          <w:bCs w:val="1"/>
          <w:color w:val="auto"/>
        </w:rPr>
        <w:t>Plans</w:t>
      </w:r>
      <w:r>
        <w:rPr>
          <w:rFonts w:ascii="Arial" w:cs="Arial" w:eastAsia="Arial" w:hAnsi="Arial"/>
          <w:sz w:val="18"/>
          <w:szCs w:val="18"/>
          <w:color w:val="auto"/>
        </w:rPr>
        <w:t xml:space="preserve"> provides coverage for a private room.</w:t>
      </w:r>
    </w:p>
    <w:p>
      <w:pPr>
        <w:spacing w:after="0" w:line="1" w:lineRule="exact"/>
        <w:rPr>
          <w:rFonts w:ascii="Arial" w:cs="Arial" w:eastAsia="Arial" w:hAnsi="Arial"/>
          <w:sz w:val="18"/>
          <w:szCs w:val="18"/>
          <w:color w:val="auto"/>
        </w:rPr>
      </w:pPr>
    </w:p>
    <w:p>
      <w:pPr>
        <w:ind w:left="322" w:right="260" w:hanging="322"/>
        <w:spacing w:after="0" w:line="266" w:lineRule="auto"/>
        <w:tabs>
          <w:tab w:leader="none" w:pos="32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If a person is covered by 2 or more </w:t>
      </w:r>
      <w:r>
        <w:rPr>
          <w:rFonts w:ascii="Arial" w:cs="Arial" w:eastAsia="Arial" w:hAnsi="Arial"/>
          <w:sz w:val="18"/>
          <w:szCs w:val="18"/>
          <w:b w:val="1"/>
          <w:bCs w:val="1"/>
          <w:color w:val="auto"/>
        </w:rPr>
        <w:t>Plans</w:t>
      </w:r>
      <w:r>
        <w:rPr>
          <w:rFonts w:ascii="Arial" w:cs="Arial" w:eastAsia="Arial" w:hAnsi="Arial"/>
          <w:sz w:val="18"/>
          <w:szCs w:val="18"/>
          <w:color w:val="auto"/>
        </w:rPr>
        <w:t xml:space="preserve"> that compute their benefit payments on the basis of reasonable or </w:t>
      </w:r>
      <w:r>
        <w:rPr>
          <w:rFonts w:ascii="Arial" w:cs="Arial" w:eastAsia="Arial" w:hAnsi="Arial"/>
          <w:sz w:val="18"/>
          <w:szCs w:val="18"/>
          <w:b w:val="1"/>
          <w:bCs w:val="1"/>
          <w:color w:val="auto"/>
        </w:rPr>
        <w:t>recognized charges</w:t>
      </w:r>
      <w:r>
        <w:rPr>
          <w:rFonts w:ascii="Arial" w:cs="Arial" w:eastAsia="Arial" w:hAnsi="Arial"/>
          <w:sz w:val="18"/>
          <w:szCs w:val="18"/>
          <w:color w:val="auto"/>
        </w:rPr>
        <w:t xml:space="preserve">, any amount in excess of the highest of the reasonable or </w:t>
      </w:r>
      <w:r>
        <w:rPr>
          <w:rFonts w:ascii="Arial" w:cs="Arial" w:eastAsia="Arial" w:hAnsi="Arial"/>
          <w:sz w:val="18"/>
          <w:szCs w:val="18"/>
          <w:b w:val="1"/>
          <w:bCs w:val="1"/>
          <w:color w:val="auto"/>
        </w:rPr>
        <w:t>recognized charges</w:t>
      </w:r>
      <w:r>
        <w:rPr>
          <w:rFonts w:ascii="Arial" w:cs="Arial" w:eastAsia="Arial" w:hAnsi="Arial"/>
          <w:sz w:val="18"/>
          <w:szCs w:val="18"/>
          <w:color w:val="auto"/>
        </w:rPr>
        <w:t xml:space="preserve"> for a specific benefit is not an allowable expense.</w:t>
      </w:r>
    </w:p>
    <w:p>
      <w:pPr>
        <w:ind w:left="322" w:hanging="322"/>
        <w:spacing w:after="0" w:line="239" w:lineRule="auto"/>
        <w:tabs>
          <w:tab w:leader="none" w:pos="322"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If a person is covered by 2 or more </w:t>
      </w:r>
      <w:r>
        <w:rPr>
          <w:rFonts w:ascii="Arial" w:cs="Arial" w:eastAsia="Arial" w:hAnsi="Arial"/>
          <w:sz w:val="20"/>
          <w:szCs w:val="20"/>
          <w:b w:val="1"/>
          <w:bCs w:val="1"/>
          <w:color w:val="auto"/>
        </w:rPr>
        <w:t>Plans</w:t>
      </w:r>
      <w:r>
        <w:rPr>
          <w:rFonts w:ascii="Arial" w:cs="Arial" w:eastAsia="Arial" w:hAnsi="Arial"/>
          <w:sz w:val="20"/>
          <w:szCs w:val="20"/>
          <w:color w:val="auto"/>
        </w:rPr>
        <w:t xml:space="preserve"> that provide benefits or services on the basis of negotiated charges, an amount in excess of the highest of the negotiated charges is not an </w:t>
      </w:r>
      <w:r>
        <w:rPr>
          <w:rFonts w:ascii="Arial" w:cs="Arial" w:eastAsia="Arial" w:hAnsi="Arial"/>
          <w:sz w:val="20"/>
          <w:szCs w:val="20"/>
          <w:b w:val="1"/>
          <w:bCs w:val="1"/>
          <w:color w:val="auto"/>
        </w:rPr>
        <w:t>allowable expense</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322" w:right="20" w:hanging="322"/>
        <w:spacing w:after="0" w:line="239" w:lineRule="auto"/>
        <w:tabs>
          <w:tab w:leader="none" w:pos="322"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The amount a benefit is reduced or not reimbursed by the </w:t>
      </w:r>
      <w:r>
        <w:rPr>
          <w:rFonts w:ascii="Arial" w:cs="Arial" w:eastAsia="Arial" w:hAnsi="Arial"/>
          <w:sz w:val="20"/>
          <w:szCs w:val="20"/>
          <w:b w:val="1"/>
          <w:bCs w:val="1"/>
          <w:color w:val="auto"/>
        </w:rPr>
        <w:t>primary plan</w:t>
      </w:r>
      <w:r>
        <w:rPr>
          <w:rFonts w:ascii="Arial" w:cs="Arial" w:eastAsia="Arial" w:hAnsi="Arial"/>
          <w:sz w:val="20"/>
          <w:szCs w:val="20"/>
          <w:color w:val="auto"/>
        </w:rPr>
        <w:t xml:space="preserve"> because a covered person does not comply with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provisions is not an </w:t>
      </w:r>
      <w:r>
        <w:rPr>
          <w:rFonts w:ascii="Arial" w:cs="Arial" w:eastAsia="Arial" w:hAnsi="Arial"/>
          <w:sz w:val="20"/>
          <w:szCs w:val="20"/>
          <w:b w:val="1"/>
          <w:bCs w:val="1"/>
          <w:color w:val="auto"/>
        </w:rPr>
        <w:t>allowable expense</w:t>
      </w:r>
      <w:r>
        <w:rPr>
          <w:rFonts w:ascii="Arial" w:cs="Arial" w:eastAsia="Arial" w:hAnsi="Arial"/>
          <w:sz w:val="20"/>
          <w:szCs w:val="20"/>
          <w:color w:val="auto"/>
        </w:rPr>
        <w:t xml:space="preserve">. Examples of these provisions are second surgical opinions, </w:t>
      </w:r>
      <w:r>
        <w:rPr>
          <w:rFonts w:ascii="Arial" w:cs="Arial" w:eastAsia="Arial" w:hAnsi="Arial"/>
          <w:sz w:val="20"/>
          <w:szCs w:val="20"/>
          <w:b w:val="1"/>
          <w:bCs w:val="1"/>
          <w:color w:val="auto"/>
        </w:rPr>
        <w:t>precertification</w:t>
      </w:r>
      <w:r>
        <w:rPr>
          <w:rFonts w:ascii="Arial" w:cs="Arial" w:eastAsia="Arial" w:hAnsi="Arial"/>
          <w:sz w:val="20"/>
          <w:szCs w:val="20"/>
          <w:color w:val="auto"/>
        </w:rPr>
        <w:t xml:space="preserve"> of admissions, and preferred provider arrangements.</w:t>
      </w:r>
    </w:p>
    <w:p>
      <w:pPr>
        <w:spacing w:after="0" w:line="1" w:lineRule="exact"/>
        <w:rPr>
          <w:rFonts w:ascii="Arial" w:cs="Arial" w:eastAsia="Arial" w:hAnsi="Arial"/>
          <w:sz w:val="20"/>
          <w:szCs w:val="20"/>
          <w:color w:val="auto"/>
        </w:rPr>
      </w:pPr>
    </w:p>
    <w:p>
      <w:pPr>
        <w:jc w:val="both"/>
        <w:ind w:left="322" w:right="180" w:hanging="322"/>
        <w:spacing w:after="0" w:line="241" w:lineRule="auto"/>
        <w:tabs>
          <w:tab w:leader="none" w:pos="322"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If all </w:t>
      </w:r>
      <w:r>
        <w:rPr>
          <w:rFonts w:ascii="Arial" w:cs="Arial" w:eastAsia="Arial" w:hAnsi="Arial"/>
          <w:sz w:val="20"/>
          <w:szCs w:val="20"/>
          <w:b w:val="1"/>
          <w:bCs w:val="1"/>
          <w:color w:val="auto"/>
        </w:rPr>
        <w:t>plans</w:t>
      </w:r>
      <w:r>
        <w:rPr>
          <w:rFonts w:ascii="Arial" w:cs="Arial" w:eastAsia="Arial" w:hAnsi="Arial"/>
          <w:sz w:val="20"/>
          <w:szCs w:val="20"/>
          <w:color w:val="auto"/>
        </w:rPr>
        <w:t xml:space="preserve"> covering a person are high deductible </w:t>
      </w:r>
      <w:r>
        <w:rPr>
          <w:rFonts w:ascii="Arial" w:cs="Arial" w:eastAsia="Arial" w:hAnsi="Arial"/>
          <w:sz w:val="20"/>
          <w:szCs w:val="20"/>
          <w:b w:val="1"/>
          <w:bCs w:val="1"/>
          <w:color w:val="auto"/>
        </w:rPr>
        <w:t>plans</w:t>
      </w:r>
      <w:r>
        <w:rPr>
          <w:rFonts w:ascii="Arial" w:cs="Arial" w:eastAsia="Arial" w:hAnsi="Arial"/>
          <w:sz w:val="20"/>
          <w:szCs w:val="20"/>
          <w:color w:val="auto"/>
        </w:rPr>
        <w:t xml:space="preserve"> and the person intends to contribute to a health savings account established in accordance with section 223 of the Internal Revenue Code of 1986, the primary high deductible </w:t>
      </w:r>
      <w:r>
        <w:rPr>
          <w:rFonts w:ascii="Arial" w:cs="Arial" w:eastAsia="Arial" w:hAnsi="Arial"/>
          <w:sz w:val="20"/>
          <w:szCs w:val="20"/>
          <w:b w:val="1"/>
          <w:bCs w:val="1"/>
          <w:color w:val="auto"/>
        </w:rPr>
        <w:t>plan's</w:t>
      </w:r>
      <w:r>
        <w:rPr>
          <w:rFonts w:ascii="Arial" w:cs="Arial" w:eastAsia="Arial" w:hAnsi="Arial"/>
          <w:sz w:val="20"/>
          <w:szCs w:val="20"/>
          <w:color w:val="auto"/>
        </w:rPr>
        <w:t xml:space="preserve"> deductible is not an </w:t>
      </w:r>
      <w:r>
        <w:rPr>
          <w:rFonts w:ascii="Arial" w:cs="Arial" w:eastAsia="Arial" w:hAnsi="Arial"/>
          <w:sz w:val="20"/>
          <w:szCs w:val="20"/>
          <w:b w:val="1"/>
          <w:bCs w:val="1"/>
          <w:color w:val="auto"/>
        </w:rPr>
        <w:t>allowable</w:t>
      </w:r>
      <w:r>
        <w:rPr>
          <w:rFonts w:ascii="Arial" w:cs="Arial" w:eastAsia="Arial" w:hAnsi="Arial"/>
          <w:sz w:val="20"/>
          <w:szCs w:val="20"/>
          <w:color w:val="auto"/>
        </w:rPr>
        <w:t xml:space="preserve"> </w:t>
      </w:r>
      <w:r>
        <w:rPr>
          <w:rFonts w:ascii="Arial" w:cs="Arial" w:eastAsia="Arial" w:hAnsi="Arial"/>
          <w:sz w:val="20"/>
          <w:szCs w:val="20"/>
          <w:b w:val="1"/>
          <w:bCs w:val="1"/>
          <w:color w:val="auto"/>
        </w:rPr>
        <w:t>expense</w:t>
      </w:r>
      <w:r>
        <w:rPr>
          <w:rFonts w:ascii="Arial" w:cs="Arial" w:eastAsia="Arial" w:hAnsi="Arial"/>
          <w:sz w:val="20"/>
          <w:szCs w:val="20"/>
          <w:color w:val="auto"/>
        </w:rPr>
        <w:t>, except as to any health expense that may not be subject to the deductible as described in section 223(c)(2)(C) of the Internal</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Code of 1986.</w:t>
      </w:r>
    </w:p>
    <w:p>
      <w:pPr>
        <w:spacing w:after="0" w:line="202" w:lineRule="exact"/>
        <w:rPr>
          <w:sz w:val="20"/>
          <w:szCs w:val="20"/>
          <w:color w:val="auto"/>
        </w:rPr>
      </w:pPr>
    </w:p>
    <w:p>
      <w:pPr>
        <w:jc w:val="both"/>
        <w:ind w:left="2" w:right="140"/>
        <w:spacing w:after="0" w:line="330" w:lineRule="auto"/>
        <w:rPr>
          <w:sz w:val="20"/>
          <w:szCs w:val="20"/>
          <w:color w:val="auto"/>
        </w:rPr>
      </w:pPr>
      <w:r>
        <w:rPr>
          <w:rFonts w:ascii="Arial" w:cs="Arial" w:eastAsia="Arial" w:hAnsi="Arial"/>
          <w:sz w:val="16"/>
          <w:szCs w:val="16"/>
          <w:color w:val="auto"/>
        </w:rPr>
        <w:t xml:space="preserve">If a person is covered by one </w:t>
      </w:r>
      <w:r>
        <w:rPr>
          <w:rFonts w:ascii="Arial" w:cs="Arial" w:eastAsia="Arial" w:hAnsi="Arial"/>
          <w:sz w:val="16"/>
          <w:szCs w:val="16"/>
          <w:b w:val="1"/>
          <w:bCs w:val="1"/>
          <w:color w:val="auto"/>
        </w:rPr>
        <w:t>Plan</w:t>
      </w:r>
      <w:r>
        <w:rPr>
          <w:rFonts w:ascii="Arial" w:cs="Arial" w:eastAsia="Arial" w:hAnsi="Arial"/>
          <w:sz w:val="16"/>
          <w:szCs w:val="16"/>
          <w:color w:val="auto"/>
        </w:rPr>
        <w:t xml:space="preserve"> that computes its benefit payments on the basis of reasonable or </w:t>
      </w:r>
      <w:r>
        <w:rPr>
          <w:rFonts w:ascii="Arial" w:cs="Arial" w:eastAsia="Arial" w:hAnsi="Arial"/>
          <w:sz w:val="16"/>
          <w:szCs w:val="16"/>
          <w:b w:val="1"/>
          <w:bCs w:val="1"/>
          <w:color w:val="auto"/>
        </w:rPr>
        <w:t>recognized charges</w:t>
      </w:r>
      <w:r>
        <w:rPr>
          <w:rFonts w:ascii="Arial" w:cs="Arial" w:eastAsia="Arial" w:hAnsi="Arial"/>
          <w:sz w:val="16"/>
          <w:szCs w:val="16"/>
          <w:color w:val="auto"/>
        </w:rPr>
        <w:t xml:space="preserve"> and another </w:t>
      </w:r>
      <w:r>
        <w:rPr>
          <w:rFonts w:ascii="Arial" w:cs="Arial" w:eastAsia="Arial" w:hAnsi="Arial"/>
          <w:sz w:val="16"/>
          <w:szCs w:val="16"/>
          <w:b w:val="1"/>
          <w:bCs w:val="1"/>
          <w:color w:val="auto"/>
        </w:rPr>
        <w:t>Plan</w:t>
      </w:r>
      <w:r>
        <w:rPr>
          <w:rFonts w:ascii="Arial" w:cs="Arial" w:eastAsia="Arial" w:hAnsi="Arial"/>
          <w:sz w:val="16"/>
          <w:szCs w:val="16"/>
          <w:color w:val="auto"/>
        </w:rPr>
        <w:t xml:space="preserve"> that provides its benefits or services on the basis of </w:t>
      </w:r>
      <w:r>
        <w:rPr>
          <w:rFonts w:ascii="Arial" w:cs="Arial" w:eastAsia="Arial" w:hAnsi="Arial"/>
          <w:sz w:val="16"/>
          <w:szCs w:val="16"/>
          <w:b w:val="1"/>
          <w:bCs w:val="1"/>
          <w:color w:val="auto"/>
        </w:rPr>
        <w:t>negotiated charges</w:t>
      </w:r>
      <w:r>
        <w:rPr>
          <w:rFonts w:ascii="Arial" w:cs="Arial" w:eastAsia="Arial" w:hAnsi="Arial"/>
          <w:sz w:val="16"/>
          <w:szCs w:val="16"/>
          <w:color w:val="auto"/>
        </w:rPr>
        <w:t xml:space="preserve">, the </w:t>
      </w:r>
      <w:r>
        <w:rPr>
          <w:rFonts w:ascii="Arial" w:cs="Arial" w:eastAsia="Arial" w:hAnsi="Arial"/>
          <w:sz w:val="16"/>
          <w:szCs w:val="16"/>
          <w:b w:val="1"/>
          <w:bCs w:val="1"/>
          <w:color w:val="auto"/>
        </w:rPr>
        <w:t>primary plan</w:t>
      </w:r>
      <w:r>
        <w:rPr>
          <w:rFonts w:ascii="Arial" w:cs="Arial" w:eastAsia="Arial" w:hAnsi="Arial"/>
          <w:sz w:val="16"/>
          <w:szCs w:val="16"/>
          <w:color w:val="auto"/>
        </w:rPr>
        <w:t xml:space="preserve">'s payment arrangements shall be the allowable expense for all the </w:t>
      </w:r>
      <w:r>
        <w:rPr>
          <w:rFonts w:ascii="Arial" w:cs="Arial" w:eastAsia="Arial" w:hAnsi="Arial"/>
          <w:sz w:val="16"/>
          <w:szCs w:val="16"/>
          <w:b w:val="1"/>
          <w:bCs w:val="1"/>
          <w:color w:val="auto"/>
        </w:rPr>
        <w:t>Plans</w:t>
      </w:r>
      <w:r>
        <w:rPr>
          <w:rFonts w:ascii="Arial" w:cs="Arial" w:eastAsia="Arial" w:hAnsi="Arial"/>
          <w:sz w:val="16"/>
          <w:szCs w:val="16"/>
          <w:color w:val="auto"/>
        </w:rPr>
        <w:t xml:space="preserve">. However, if the </w:t>
      </w:r>
      <w:r>
        <w:rPr>
          <w:rFonts w:ascii="Arial" w:cs="Arial" w:eastAsia="Arial" w:hAnsi="Arial"/>
          <w:sz w:val="16"/>
          <w:szCs w:val="16"/>
          <w:b w:val="1"/>
          <w:bCs w:val="1"/>
          <w:color w:val="auto"/>
        </w:rPr>
        <w:t>secondary plan</w:t>
      </w:r>
      <w:r>
        <w:rPr>
          <w:rFonts w:ascii="Arial" w:cs="Arial" w:eastAsia="Arial" w:hAnsi="Arial"/>
          <w:sz w:val="16"/>
          <w:szCs w:val="16"/>
          <w:color w:val="auto"/>
        </w:rPr>
        <w:t xml:space="preserve"> has a negotiated fee or payment amount different from the </w:t>
      </w:r>
      <w:r>
        <w:rPr>
          <w:rFonts w:ascii="Arial" w:cs="Arial" w:eastAsia="Arial" w:hAnsi="Arial"/>
          <w:sz w:val="16"/>
          <w:szCs w:val="16"/>
          <w:b w:val="1"/>
          <w:bCs w:val="1"/>
          <w:color w:val="auto"/>
        </w:rPr>
        <w:t>primary plan</w:t>
      </w:r>
      <w:r>
        <w:rPr>
          <w:rFonts w:ascii="Arial" w:cs="Arial" w:eastAsia="Arial" w:hAnsi="Arial"/>
          <w:sz w:val="16"/>
          <w:szCs w:val="16"/>
          <w:color w:val="auto"/>
        </w:rPr>
        <w:t xml:space="preserve"> and if the provider contract permits, that negotiated fee will be the </w:t>
      </w:r>
      <w:r>
        <w:rPr>
          <w:rFonts w:ascii="Arial" w:cs="Arial" w:eastAsia="Arial" w:hAnsi="Arial"/>
          <w:sz w:val="16"/>
          <w:szCs w:val="16"/>
          <w:b w:val="1"/>
          <w:bCs w:val="1"/>
          <w:color w:val="auto"/>
        </w:rPr>
        <w:t>allowable expense</w:t>
      </w:r>
      <w:r>
        <w:rPr>
          <w:rFonts w:ascii="Arial" w:cs="Arial" w:eastAsia="Arial" w:hAnsi="Arial"/>
          <w:sz w:val="16"/>
          <w:szCs w:val="16"/>
          <w:color w:val="auto"/>
        </w:rPr>
        <w:t xml:space="preserve"> used by the </w:t>
      </w:r>
      <w:r>
        <w:rPr>
          <w:rFonts w:ascii="Arial" w:cs="Arial" w:eastAsia="Arial" w:hAnsi="Arial"/>
          <w:sz w:val="16"/>
          <w:szCs w:val="16"/>
          <w:b w:val="1"/>
          <w:bCs w:val="1"/>
          <w:color w:val="auto"/>
        </w:rPr>
        <w:t>secondary plan</w:t>
      </w:r>
      <w:r>
        <w:rPr>
          <w:rFonts w:ascii="Arial" w:cs="Arial" w:eastAsia="Arial" w:hAnsi="Arial"/>
          <w:sz w:val="16"/>
          <w:szCs w:val="16"/>
          <w:color w:val="auto"/>
        </w:rPr>
        <w:t xml:space="preserve"> to determine benefits.</w:t>
      </w:r>
    </w:p>
    <w:p>
      <w:pPr>
        <w:sectPr>
          <w:pgSz w:w="11900" w:h="16838" w:orient="portrait"/>
          <w:cols w:equalWidth="0" w:num="1">
            <w:col w:w="11102"/>
          </w:cols>
          <w:pgMar w:left="518" w:top="502" w:right="279" w:bottom="1440" w:gutter="0" w:footer="0" w:header="0"/>
          <w:type w:val="continuous"/>
        </w:sectPr>
      </w:pPr>
    </w:p>
    <w:bookmarkStart w:id="253" w:name="page254"/>
    <w:bookmarkEnd w:id="253"/>
    <w:p>
      <w:pPr>
        <w:ind w:right="440"/>
        <w:spacing w:after="0" w:line="267" w:lineRule="auto"/>
        <w:rPr>
          <w:sz w:val="20"/>
          <w:szCs w:val="20"/>
          <w:color w:val="auto"/>
        </w:rPr>
      </w:pPr>
      <w:r>
        <w:rPr>
          <w:rFonts w:ascii="Arial" w:cs="Arial" w:eastAsia="Arial" w:hAnsi="Arial"/>
          <w:sz w:val="20"/>
          <w:szCs w:val="20"/>
          <w:color w:val="auto"/>
        </w:rPr>
        <w:t xml:space="preserve">When a </w:t>
      </w:r>
      <w:r>
        <w:rPr>
          <w:rFonts w:ascii="Arial" w:cs="Arial" w:eastAsia="Arial" w:hAnsi="Arial"/>
          <w:sz w:val="20"/>
          <w:szCs w:val="20"/>
          <w:b w:val="1"/>
          <w:bCs w:val="1"/>
          <w:color w:val="auto"/>
        </w:rPr>
        <w:t>plan</w:t>
      </w:r>
      <w:r>
        <w:rPr>
          <w:rFonts w:ascii="Arial" w:cs="Arial" w:eastAsia="Arial" w:hAnsi="Arial"/>
          <w:sz w:val="20"/>
          <w:szCs w:val="20"/>
          <w:color w:val="auto"/>
        </w:rPr>
        <w:t xml:space="preserve"> provides benefits in the form of services, the reasonable cash value of each service rendered shall be deemed an </w:t>
      </w:r>
      <w:r>
        <w:rPr>
          <w:rFonts w:ascii="Arial" w:cs="Arial" w:eastAsia="Arial" w:hAnsi="Arial"/>
          <w:sz w:val="20"/>
          <w:szCs w:val="20"/>
          <w:b w:val="1"/>
          <w:bCs w:val="1"/>
          <w:color w:val="auto"/>
        </w:rPr>
        <w:t>allowable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expense </w:t>
      </w:r>
      <w:r>
        <w:rPr>
          <w:rFonts w:ascii="Arial" w:cs="Arial" w:eastAsia="Arial" w:hAnsi="Arial"/>
          <w:sz w:val="20"/>
          <w:szCs w:val="20"/>
          <w:color w:val="auto"/>
        </w:rPr>
        <w:t>and a benefit paid.</w:t>
      </w:r>
    </w:p>
    <w:p>
      <w:pPr>
        <w:spacing w:after="0" w:line="177"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Closed Panel Plan(s). </w:t>
      </w:r>
      <w:r>
        <w:rPr>
          <w:rFonts w:ascii="Arial" w:cs="Arial" w:eastAsia="Arial" w:hAnsi="Arial"/>
          <w:sz w:val="20"/>
          <w:szCs w:val="20"/>
          <w:color w:val="auto"/>
        </w:rPr>
        <w:t>A plan that provides health benefits to covered persons primarily in the form of services through a panel of providers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that have contracted with or are employed by the </w:t>
      </w:r>
      <w:r>
        <w:rPr>
          <w:rFonts w:ascii="Arial" w:cs="Arial" w:eastAsia="Arial" w:hAnsi="Arial"/>
          <w:sz w:val="20"/>
          <w:szCs w:val="20"/>
          <w:b w:val="1"/>
          <w:bCs w:val="1"/>
          <w:color w:val="auto"/>
        </w:rPr>
        <w:t>plan</w:t>
      </w:r>
      <w:r>
        <w:rPr>
          <w:rFonts w:ascii="Arial" w:cs="Arial" w:eastAsia="Arial" w:hAnsi="Arial"/>
          <w:sz w:val="20"/>
          <w:szCs w:val="20"/>
          <w:color w:val="auto"/>
        </w:rPr>
        <w:t>, and that limits or excludes benefits for services provided by other providers, except in cases of emergency or referral by a panel member.</w:t>
      </w:r>
    </w:p>
    <w:p>
      <w:pPr>
        <w:spacing w:after="0" w:line="191"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 xml:space="preserve">Custodial Parent. </w:t>
      </w:r>
      <w:r>
        <w:rPr>
          <w:rFonts w:ascii="Arial" w:cs="Arial" w:eastAsia="Arial" w:hAnsi="Arial"/>
          <w:sz w:val="20"/>
          <w:szCs w:val="20"/>
          <w:color w:val="auto"/>
        </w:rPr>
        <w:t>A parent awarded custody by a court decree. In the absence of a court decree, it is the parent with whom the child resides</w:t>
      </w:r>
      <w:r>
        <w:rPr>
          <w:rFonts w:ascii="Arial" w:cs="Arial" w:eastAsia="Arial" w:hAnsi="Arial"/>
          <w:sz w:val="20"/>
          <w:szCs w:val="20"/>
          <w:b w:val="1"/>
          <w:bCs w:val="1"/>
          <w:color w:val="auto"/>
        </w:rPr>
        <w:t xml:space="preserve"> </w:t>
      </w:r>
      <w:r>
        <w:rPr>
          <w:rFonts w:ascii="Arial" w:cs="Arial" w:eastAsia="Arial" w:hAnsi="Arial"/>
          <w:sz w:val="20"/>
          <w:szCs w:val="20"/>
          <w:color w:val="auto"/>
        </w:rPr>
        <w:t>more than one half of the calendar year without regard to any temporary visitation.</w:t>
      </w:r>
    </w:p>
    <w:p>
      <w:pPr>
        <w:spacing w:after="0" w:line="177"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Any</w:t>
      </w:r>
      <w:r>
        <w:rPr>
          <w:rFonts w:ascii="Arial" w:cs="Arial" w:eastAsia="Arial" w:hAnsi="Arial"/>
          <w:sz w:val="20"/>
          <w:szCs w:val="20"/>
          <w:b w:val="1"/>
          <w:bCs w:val="1"/>
          <w:color w:val="auto"/>
        </w:rPr>
        <w:t xml:space="preserve"> Plan </w:t>
      </w:r>
      <w:r>
        <w:rPr>
          <w:rFonts w:ascii="Arial" w:cs="Arial" w:eastAsia="Arial" w:hAnsi="Arial"/>
          <w:sz w:val="20"/>
          <w:szCs w:val="20"/>
          <w:color w:val="auto"/>
        </w:rPr>
        <w:t>providing benefits or services by reason of health care or treatment, which benefits or services are provided by one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w:t>
      </w:r>
    </w:p>
    <w:p>
      <w:pPr>
        <w:spacing w:after="0" w:line="183" w:lineRule="exact"/>
        <w:rPr>
          <w:sz w:val="20"/>
          <w:szCs w:val="20"/>
          <w:color w:val="auto"/>
        </w:rPr>
      </w:pPr>
    </w:p>
    <w:p>
      <w:pPr>
        <w:ind w:left="340" w:hanging="331"/>
        <w:spacing w:after="0"/>
        <w:tabs>
          <w:tab w:leader="none" w:pos="34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Group or nongroup, blanket, or franchise health insurance policies issued by insurers, including health care service contractors;</w:t>
      </w:r>
    </w:p>
    <w:p>
      <w:pPr>
        <w:spacing w:after="0" w:line="31" w:lineRule="exact"/>
        <w:rPr>
          <w:rFonts w:ascii="Arial" w:cs="Arial" w:eastAsia="Arial" w:hAnsi="Arial"/>
          <w:sz w:val="19"/>
          <w:szCs w:val="19"/>
          <w:color w:val="auto"/>
        </w:rPr>
      </w:pPr>
    </w:p>
    <w:p>
      <w:pPr>
        <w:ind w:left="340" w:hanging="331"/>
        <w:spacing w:after="0"/>
        <w:tabs>
          <w:tab w:leader="none" w:pos="34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Other prepaid coverage under service plan contracts, or under group or individual practice;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Uninsured arrangements of group or group-type coverage;</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Labor-management trustee plans, labor organization plans, employer organization plans</w:t>
      </w:r>
      <w:r>
        <w:rPr>
          <w:rFonts w:ascii="Arial" w:cs="Arial" w:eastAsia="Arial" w:hAnsi="Arial"/>
          <w:sz w:val="19"/>
          <w:szCs w:val="19"/>
          <w:b w:val="1"/>
          <w:bCs w:val="1"/>
          <w:color w:val="auto"/>
        </w:rPr>
        <w:t>,</w:t>
      </w:r>
      <w:r>
        <w:rPr>
          <w:rFonts w:ascii="Arial" w:cs="Arial" w:eastAsia="Arial" w:hAnsi="Arial"/>
          <w:sz w:val="19"/>
          <w:szCs w:val="19"/>
          <w:color w:val="auto"/>
        </w:rPr>
        <w:t xml:space="preserve"> or employee benefit organization plans;</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 xml:space="preserve">Medicare </w:t>
      </w:r>
      <w:r>
        <w:rPr>
          <w:rFonts w:ascii="Arial" w:cs="Arial" w:eastAsia="Arial" w:hAnsi="Arial"/>
          <w:sz w:val="20"/>
          <w:szCs w:val="20"/>
          <w:color w:val="auto"/>
        </w:rPr>
        <w:t>or other governmental benefits;</w:t>
      </w:r>
    </w:p>
    <w:p>
      <w:pPr>
        <w:spacing w:after="0" w:line="8" w:lineRule="exact"/>
        <w:rPr>
          <w:rFonts w:ascii="Arial" w:cs="Arial" w:eastAsia="Arial" w:hAnsi="Arial"/>
          <w:sz w:val="20"/>
          <w:szCs w:val="20"/>
          <w:color w:val="auto"/>
        </w:rPr>
      </w:pPr>
    </w:p>
    <w:p>
      <w:pPr>
        <w:ind w:left="340" w:right="720" w:hanging="331"/>
        <w:spacing w:after="0" w:line="244" w:lineRule="auto"/>
        <w:tabs>
          <w:tab w:leader="none" w:pos="34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Other group-type contracts. Group type contracts are those which are not available to the general public and can be obtained and maintained only because membership in or connection with a particular organization or group.</w:t>
      </w:r>
    </w:p>
    <w:p>
      <w:pPr>
        <w:spacing w:after="0" w:line="199" w:lineRule="exact"/>
        <w:rPr>
          <w:sz w:val="20"/>
          <w:szCs w:val="20"/>
          <w:color w:val="auto"/>
        </w:rPr>
      </w:pPr>
    </w:p>
    <w:p>
      <w:pPr>
        <w:jc w:val="both"/>
        <w:ind w:right="180"/>
        <w:spacing w:after="0" w:line="393" w:lineRule="auto"/>
        <w:rPr>
          <w:sz w:val="20"/>
          <w:szCs w:val="20"/>
          <w:color w:val="auto"/>
        </w:rPr>
      </w:pPr>
      <w:r>
        <w:rPr>
          <w:rFonts w:ascii="Arial" w:cs="Arial" w:eastAsia="Arial" w:hAnsi="Arial"/>
          <w:sz w:val="16"/>
          <w:szCs w:val="16"/>
          <w:color w:val="auto"/>
        </w:rPr>
        <w:t xml:space="preserve">If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includes medical, prescription drug, dental, vision and hearing coverage, those coverages will be considered separate </w:t>
      </w:r>
      <w:r>
        <w:rPr>
          <w:rFonts w:ascii="Arial" w:cs="Arial" w:eastAsia="Arial" w:hAnsi="Arial"/>
          <w:sz w:val="16"/>
          <w:szCs w:val="16"/>
          <w:b w:val="1"/>
          <w:bCs w:val="1"/>
          <w:color w:val="auto"/>
        </w:rPr>
        <w:t>plans</w:t>
      </w:r>
      <w:r>
        <w:rPr>
          <w:rFonts w:ascii="Arial" w:cs="Arial" w:eastAsia="Arial" w:hAnsi="Arial"/>
          <w:sz w:val="16"/>
          <w:szCs w:val="16"/>
          <w:color w:val="auto"/>
        </w:rPr>
        <w:t xml:space="preserve">. For example, Medical coverage will be coordinated with other Medical </w:t>
      </w:r>
      <w:r>
        <w:rPr>
          <w:rFonts w:ascii="Arial" w:cs="Arial" w:eastAsia="Arial" w:hAnsi="Arial"/>
          <w:sz w:val="16"/>
          <w:szCs w:val="16"/>
          <w:b w:val="1"/>
          <w:bCs w:val="1"/>
          <w:color w:val="auto"/>
        </w:rPr>
        <w:t>plans</w:t>
      </w:r>
      <w:r>
        <w:rPr>
          <w:rFonts w:ascii="Arial" w:cs="Arial" w:eastAsia="Arial" w:hAnsi="Arial"/>
          <w:sz w:val="16"/>
          <w:szCs w:val="16"/>
          <w:color w:val="auto"/>
        </w:rPr>
        <w:t xml:space="preserve">, and dental coverage will be coordinated with other dental </w:t>
      </w:r>
      <w:r>
        <w:rPr>
          <w:rFonts w:ascii="Arial" w:cs="Arial" w:eastAsia="Arial" w:hAnsi="Arial"/>
          <w:sz w:val="16"/>
          <w:szCs w:val="16"/>
          <w:b w:val="1"/>
          <w:bCs w:val="1"/>
          <w:color w:val="auto"/>
        </w:rPr>
        <w:t>plans</w:t>
      </w: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Plan </w:t>
      </w:r>
      <w:r>
        <w:rPr>
          <w:rFonts w:ascii="Arial" w:cs="Arial" w:eastAsia="Arial" w:hAnsi="Arial"/>
          <w:sz w:val="20"/>
          <w:szCs w:val="20"/>
          <w:color w:val="auto"/>
        </w:rPr>
        <w:t>is any part of the policy that provides benefits for health care expenses.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Primary Plan </w:t>
      </w:r>
      <w:r>
        <w:rPr>
          <w:rFonts w:ascii="Arial" w:cs="Arial" w:eastAsia="Arial" w:hAnsi="Arial"/>
          <w:sz w:val="20"/>
          <w:szCs w:val="20"/>
          <w:color w:val="auto"/>
        </w:rPr>
        <w:t>/</w:t>
      </w:r>
      <w:r>
        <w:rPr>
          <w:rFonts w:ascii="Arial" w:cs="Arial" w:eastAsia="Arial" w:hAnsi="Arial"/>
          <w:sz w:val="20"/>
          <w:szCs w:val="20"/>
          <w:b w:val="1"/>
          <w:bCs w:val="1"/>
          <w:color w:val="auto"/>
        </w:rPr>
        <w:t xml:space="preserve"> Secondary Plan. </w:t>
      </w:r>
      <w:r>
        <w:rPr>
          <w:rFonts w:ascii="Arial" w:cs="Arial" w:eastAsia="Arial" w:hAnsi="Arial"/>
          <w:sz w:val="20"/>
          <w:szCs w:val="20"/>
          <w:color w:val="auto"/>
        </w:rPr>
        <w:t>The order of benefit determination rules state whether</w:t>
      </w:r>
      <w:r>
        <w:rPr>
          <w:rFonts w:ascii="Arial" w:cs="Arial" w:eastAsia="Arial" w:hAnsi="Arial"/>
          <w:sz w:val="20"/>
          <w:szCs w:val="20"/>
          <w:b w:val="1"/>
          <w:bCs w:val="1"/>
          <w:color w:val="auto"/>
        </w:rPr>
        <w:t xml:space="preserve"> This Plan </w:t>
      </w:r>
      <w:r>
        <w:rPr>
          <w:rFonts w:ascii="Arial" w:cs="Arial" w:eastAsia="Arial" w:hAnsi="Arial"/>
          <w:sz w:val="20"/>
          <w:szCs w:val="20"/>
          <w:color w:val="auto"/>
        </w:rPr>
        <w:t>is a</w:t>
      </w:r>
      <w:r>
        <w:rPr>
          <w:rFonts w:ascii="Arial" w:cs="Arial" w:eastAsia="Arial" w:hAnsi="Arial"/>
          <w:sz w:val="20"/>
          <w:szCs w:val="20"/>
          <w:b w:val="1"/>
          <w:bCs w:val="1"/>
          <w:color w:val="auto"/>
        </w:rPr>
        <w:t xml:space="preserve"> Primary Plan </w:t>
      </w:r>
      <w:r>
        <w:rPr>
          <w:rFonts w:ascii="Arial" w:cs="Arial" w:eastAsia="Arial" w:hAnsi="Arial"/>
          <w:sz w:val="20"/>
          <w:szCs w:val="20"/>
          <w:color w:val="auto"/>
        </w:rPr>
        <w:t>or</w:t>
      </w:r>
      <w:r>
        <w:rPr>
          <w:rFonts w:ascii="Arial" w:cs="Arial" w:eastAsia="Arial" w:hAnsi="Arial"/>
          <w:sz w:val="20"/>
          <w:szCs w:val="20"/>
          <w:b w:val="1"/>
          <w:bCs w:val="1"/>
          <w:color w:val="auto"/>
        </w:rPr>
        <w:t xml:space="preserve"> Secondary Plan </w:t>
      </w:r>
      <w:r>
        <w:rPr>
          <w:rFonts w:ascii="Arial" w:cs="Arial" w:eastAsia="Arial" w:hAnsi="Arial"/>
          <w:sz w:val="20"/>
          <w:szCs w:val="20"/>
          <w:color w:val="auto"/>
        </w:rPr>
        <w:t>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another </w:t>
      </w:r>
      <w:r>
        <w:rPr>
          <w:rFonts w:ascii="Arial" w:cs="Arial" w:eastAsia="Arial" w:hAnsi="Arial"/>
          <w:sz w:val="20"/>
          <w:szCs w:val="20"/>
          <w:b w:val="1"/>
          <w:bCs w:val="1"/>
          <w:color w:val="auto"/>
        </w:rPr>
        <w:t>Plan</w:t>
      </w:r>
      <w:r>
        <w:rPr>
          <w:rFonts w:ascii="Arial" w:cs="Arial" w:eastAsia="Arial" w:hAnsi="Arial"/>
          <w:sz w:val="20"/>
          <w:szCs w:val="20"/>
          <w:color w:val="auto"/>
        </w:rPr>
        <w:t xml:space="preserve"> covering the person.</w:t>
      </w:r>
    </w:p>
    <w:p>
      <w:pPr>
        <w:spacing w:after="0" w:line="177"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color w:val="auto"/>
        </w:rPr>
        <w:t xml:space="preserve">When </w:t>
      </w:r>
      <w:r>
        <w:rPr>
          <w:rFonts w:ascii="Arial" w:cs="Arial" w:eastAsia="Arial" w:hAnsi="Arial"/>
          <w:sz w:val="20"/>
          <w:szCs w:val="20"/>
          <w:b w:val="1"/>
          <w:bCs w:val="1"/>
          <w:color w:val="auto"/>
        </w:rPr>
        <w:t>This Plan</w:t>
      </w:r>
      <w:r>
        <w:rPr>
          <w:rFonts w:ascii="Arial" w:cs="Arial" w:eastAsia="Arial" w:hAnsi="Arial"/>
          <w:sz w:val="20"/>
          <w:szCs w:val="20"/>
          <w:color w:val="auto"/>
        </w:rPr>
        <w:t xml:space="preserve"> is a </w:t>
      </w:r>
      <w:r>
        <w:rPr>
          <w:rFonts w:ascii="Arial" w:cs="Arial" w:eastAsia="Arial" w:hAnsi="Arial"/>
          <w:sz w:val="20"/>
          <w:szCs w:val="20"/>
          <w:b w:val="1"/>
          <w:bCs w:val="1"/>
          <w:color w:val="auto"/>
        </w:rPr>
        <w:t>Primary Plan</w:t>
      </w:r>
      <w:r>
        <w:rPr>
          <w:rFonts w:ascii="Arial" w:cs="Arial" w:eastAsia="Arial" w:hAnsi="Arial"/>
          <w:sz w:val="20"/>
          <w:szCs w:val="20"/>
          <w:color w:val="auto"/>
        </w:rPr>
        <w:t xml:space="preserve">, its benefits are determined before those of the other </w:t>
      </w:r>
      <w:r>
        <w:rPr>
          <w:rFonts w:ascii="Arial" w:cs="Arial" w:eastAsia="Arial" w:hAnsi="Arial"/>
          <w:sz w:val="20"/>
          <w:szCs w:val="20"/>
          <w:b w:val="1"/>
          <w:bCs w:val="1"/>
          <w:color w:val="auto"/>
        </w:rPr>
        <w:t>Plan</w:t>
      </w:r>
      <w:r>
        <w:rPr>
          <w:rFonts w:ascii="Arial" w:cs="Arial" w:eastAsia="Arial" w:hAnsi="Arial"/>
          <w:sz w:val="20"/>
          <w:szCs w:val="20"/>
          <w:color w:val="auto"/>
        </w:rPr>
        <w:t xml:space="preserve"> and without considering the other </w:t>
      </w:r>
      <w:r>
        <w:rPr>
          <w:rFonts w:ascii="Arial" w:cs="Arial" w:eastAsia="Arial" w:hAnsi="Arial"/>
          <w:sz w:val="20"/>
          <w:szCs w:val="20"/>
          <w:b w:val="1"/>
          <w:bCs w:val="1"/>
          <w:color w:val="auto"/>
        </w:rPr>
        <w:t>Plan's</w:t>
      </w:r>
      <w:r>
        <w:rPr>
          <w:rFonts w:ascii="Arial" w:cs="Arial" w:eastAsia="Arial" w:hAnsi="Arial"/>
          <w:sz w:val="20"/>
          <w:szCs w:val="20"/>
          <w:color w:val="auto"/>
        </w:rPr>
        <w:t xml:space="preserve"> benefits.</w:t>
      </w:r>
    </w:p>
    <w:p>
      <w:pPr>
        <w:spacing w:after="0" w:line="164"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color w:val="auto"/>
        </w:rPr>
        <w:t xml:space="preserve">When </w:t>
      </w:r>
      <w:r>
        <w:rPr>
          <w:rFonts w:ascii="Arial" w:cs="Arial" w:eastAsia="Arial" w:hAnsi="Arial"/>
          <w:sz w:val="20"/>
          <w:szCs w:val="20"/>
          <w:b w:val="1"/>
          <w:bCs w:val="1"/>
          <w:color w:val="auto"/>
        </w:rPr>
        <w:t>This Plan</w:t>
      </w:r>
      <w:r>
        <w:rPr>
          <w:rFonts w:ascii="Arial" w:cs="Arial" w:eastAsia="Arial" w:hAnsi="Arial"/>
          <w:sz w:val="20"/>
          <w:szCs w:val="20"/>
          <w:color w:val="auto"/>
        </w:rPr>
        <w:t xml:space="preserve"> is a </w:t>
      </w:r>
      <w:r>
        <w:rPr>
          <w:rFonts w:ascii="Arial" w:cs="Arial" w:eastAsia="Arial" w:hAnsi="Arial"/>
          <w:sz w:val="20"/>
          <w:szCs w:val="20"/>
          <w:b w:val="1"/>
          <w:bCs w:val="1"/>
          <w:color w:val="auto"/>
        </w:rPr>
        <w:t>Secondary Plan</w:t>
      </w:r>
      <w:r>
        <w:rPr>
          <w:rFonts w:ascii="Arial" w:cs="Arial" w:eastAsia="Arial" w:hAnsi="Arial"/>
          <w:sz w:val="20"/>
          <w:szCs w:val="20"/>
          <w:color w:val="auto"/>
        </w:rPr>
        <w:t xml:space="preserve">, its benefits are determined after those of the other </w:t>
      </w:r>
      <w:r>
        <w:rPr>
          <w:rFonts w:ascii="Arial" w:cs="Arial" w:eastAsia="Arial" w:hAnsi="Arial"/>
          <w:sz w:val="20"/>
          <w:szCs w:val="20"/>
          <w:b w:val="1"/>
          <w:bCs w:val="1"/>
          <w:color w:val="auto"/>
        </w:rPr>
        <w:t>Plan</w:t>
      </w:r>
      <w:r>
        <w:rPr>
          <w:rFonts w:ascii="Arial" w:cs="Arial" w:eastAsia="Arial" w:hAnsi="Arial"/>
          <w:sz w:val="20"/>
          <w:szCs w:val="20"/>
          <w:color w:val="auto"/>
        </w:rPr>
        <w:t xml:space="preserve"> and may be reduced because of the other </w:t>
      </w:r>
      <w:r>
        <w:rPr>
          <w:rFonts w:ascii="Arial" w:cs="Arial" w:eastAsia="Arial" w:hAnsi="Arial"/>
          <w:sz w:val="20"/>
          <w:szCs w:val="20"/>
          <w:b w:val="1"/>
          <w:bCs w:val="1"/>
          <w:color w:val="auto"/>
        </w:rPr>
        <w:t xml:space="preserve">Plan's </w:t>
      </w:r>
      <w:r>
        <w:rPr>
          <w:rFonts w:ascii="Arial" w:cs="Arial" w:eastAsia="Arial" w:hAnsi="Arial"/>
          <w:sz w:val="20"/>
          <w:szCs w:val="20"/>
          <w:color w:val="auto"/>
        </w:rPr>
        <w:t>benefits.</w:t>
      </w:r>
    </w:p>
    <w:p>
      <w:pPr>
        <w:spacing w:after="0" w:line="177"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auto"/>
        </w:rPr>
        <w:t xml:space="preserve">When there are more than two </w:t>
      </w:r>
      <w:r>
        <w:rPr>
          <w:rFonts w:ascii="Arial" w:cs="Arial" w:eastAsia="Arial" w:hAnsi="Arial"/>
          <w:sz w:val="20"/>
          <w:szCs w:val="20"/>
          <w:b w:val="1"/>
          <w:bCs w:val="1"/>
          <w:color w:val="auto"/>
        </w:rPr>
        <w:t>Plans</w:t>
      </w:r>
      <w:r>
        <w:rPr>
          <w:rFonts w:ascii="Arial" w:cs="Arial" w:eastAsia="Arial" w:hAnsi="Arial"/>
          <w:sz w:val="20"/>
          <w:szCs w:val="20"/>
          <w:color w:val="auto"/>
        </w:rPr>
        <w:t xml:space="preserve"> covering the person, </w:t>
      </w:r>
      <w:r>
        <w:rPr>
          <w:rFonts w:ascii="Arial" w:cs="Arial" w:eastAsia="Arial" w:hAnsi="Arial"/>
          <w:sz w:val="20"/>
          <w:szCs w:val="20"/>
          <w:b w:val="1"/>
          <w:bCs w:val="1"/>
          <w:color w:val="auto"/>
        </w:rPr>
        <w:t>This Plan</w:t>
      </w:r>
      <w:r>
        <w:rPr>
          <w:rFonts w:ascii="Arial" w:cs="Arial" w:eastAsia="Arial" w:hAnsi="Arial"/>
          <w:sz w:val="20"/>
          <w:szCs w:val="20"/>
          <w:color w:val="auto"/>
        </w:rPr>
        <w:t xml:space="preserve"> may be a </w:t>
      </w:r>
      <w:r>
        <w:rPr>
          <w:rFonts w:ascii="Arial" w:cs="Arial" w:eastAsia="Arial" w:hAnsi="Arial"/>
          <w:sz w:val="20"/>
          <w:szCs w:val="20"/>
          <w:b w:val="1"/>
          <w:bCs w:val="1"/>
          <w:color w:val="auto"/>
        </w:rPr>
        <w:t>Primary Plan</w:t>
      </w:r>
      <w:r>
        <w:rPr>
          <w:rFonts w:ascii="Arial" w:cs="Arial" w:eastAsia="Arial" w:hAnsi="Arial"/>
          <w:sz w:val="20"/>
          <w:szCs w:val="20"/>
          <w:color w:val="auto"/>
        </w:rPr>
        <w:t xml:space="preserve"> as to one or more other </w:t>
      </w:r>
      <w:r>
        <w:rPr>
          <w:rFonts w:ascii="Arial" w:cs="Arial" w:eastAsia="Arial" w:hAnsi="Arial"/>
          <w:sz w:val="20"/>
          <w:szCs w:val="20"/>
          <w:b w:val="1"/>
          <w:bCs w:val="1"/>
          <w:color w:val="auto"/>
        </w:rPr>
        <w:t>Plans</w:t>
      </w:r>
      <w:r>
        <w:rPr>
          <w:rFonts w:ascii="Arial" w:cs="Arial" w:eastAsia="Arial" w:hAnsi="Arial"/>
          <w:sz w:val="20"/>
          <w:szCs w:val="20"/>
          <w:color w:val="auto"/>
        </w:rPr>
        <w:t xml:space="preserve">, and may be a </w:t>
      </w:r>
      <w:r>
        <w:rPr>
          <w:rFonts w:ascii="Arial" w:cs="Arial" w:eastAsia="Arial" w:hAnsi="Arial"/>
          <w:sz w:val="20"/>
          <w:szCs w:val="20"/>
          <w:b w:val="1"/>
          <w:bCs w:val="1"/>
          <w:color w:val="auto"/>
        </w:rPr>
        <w:t xml:space="preserve">Secondary Plan </w:t>
      </w:r>
      <w:r>
        <w:rPr>
          <w:rFonts w:ascii="Arial" w:cs="Arial" w:eastAsia="Arial" w:hAnsi="Arial"/>
          <w:sz w:val="20"/>
          <w:szCs w:val="20"/>
          <w:color w:val="auto"/>
        </w:rPr>
        <w:t>as to a different</w:t>
      </w:r>
      <w:r>
        <w:rPr>
          <w:rFonts w:ascii="Arial" w:cs="Arial" w:eastAsia="Arial" w:hAnsi="Arial"/>
          <w:sz w:val="20"/>
          <w:szCs w:val="20"/>
          <w:b w:val="1"/>
          <w:bCs w:val="1"/>
          <w:color w:val="auto"/>
        </w:rPr>
        <w:t xml:space="preserve"> Plan </w:t>
      </w:r>
      <w:r>
        <w:rPr>
          <w:rFonts w:ascii="Arial" w:cs="Arial" w:eastAsia="Arial" w:hAnsi="Arial"/>
          <w:sz w:val="20"/>
          <w:szCs w:val="20"/>
          <w:color w:val="auto"/>
        </w:rPr>
        <w:t>or</w:t>
      </w:r>
      <w:r>
        <w:rPr>
          <w:rFonts w:ascii="Arial" w:cs="Arial" w:eastAsia="Arial" w:hAnsi="Arial"/>
          <w:sz w:val="20"/>
          <w:szCs w:val="20"/>
          <w:b w:val="1"/>
          <w:bCs w:val="1"/>
          <w:color w:val="auto"/>
        </w:rPr>
        <w:t xml:space="preserve"> Plans</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Which Plan Pays First </w:t>
      </w:r>
      <w:r>
        <w:rPr>
          <w:rFonts w:ascii="Arial" w:cs="Arial" w:eastAsia="Arial" w:hAnsi="Arial"/>
          <w:sz w:val="14"/>
          <w:szCs w:val="14"/>
          <w:i w:val="1"/>
          <w:iCs w:val="1"/>
          <w:color w:val="auto"/>
        </w:rPr>
        <w:t>(GR-9N-33-010-01)</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When two or more plans pay benefits, the rules for determining the order of payment are as follows:</w:t>
      </w:r>
    </w:p>
    <w:p>
      <w:pPr>
        <w:spacing w:after="0" w:line="243" w:lineRule="exact"/>
        <w:rPr>
          <w:sz w:val="20"/>
          <w:szCs w:val="20"/>
          <w:color w:val="auto"/>
        </w:rPr>
      </w:pPr>
    </w:p>
    <w:p>
      <w:pPr>
        <w:ind w:left="340" w:hanging="331"/>
        <w:spacing w:after="0"/>
        <w:tabs>
          <w:tab w:leader="none" w:pos="34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The primary plan pays or provides its benefits as if the secondary plan or plans did not exist.</w:t>
      </w:r>
    </w:p>
    <w:p>
      <w:pPr>
        <w:spacing w:after="0" w:line="15" w:lineRule="exact"/>
        <w:rPr>
          <w:rFonts w:ascii="Arial" w:cs="Arial" w:eastAsia="Arial" w:hAnsi="Arial"/>
          <w:sz w:val="20"/>
          <w:szCs w:val="20"/>
          <w:color w:val="auto"/>
        </w:rPr>
      </w:pPr>
    </w:p>
    <w:p>
      <w:pPr>
        <w:ind w:left="340" w:right="200" w:hanging="331"/>
        <w:spacing w:after="0" w:line="266" w:lineRule="auto"/>
        <w:tabs>
          <w:tab w:leader="none" w:pos="3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A plan that does not contain a coordination of benefits provision that is consistent with this provision is always primary. There is one exception: coverage that is obtained by virtue of membership in a group that is designed to supplement a part of a basic package of benefits may provide that the supplementary coverage shall be excess to any other parts of the plan provided by the contract holder. Examples of these types of situations are major medical coverages that are superimposed over base plan </w:t>
      </w:r>
      <w:r>
        <w:rPr>
          <w:rFonts w:ascii="Arial" w:cs="Arial" w:eastAsia="Arial" w:hAnsi="Arial"/>
          <w:sz w:val="18"/>
          <w:szCs w:val="18"/>
          <w:b w:val="1"/>
          <w:bCs w:val="1"/>
          <w:color w:val="auto"/>
        </w:rPr>
        <w:t>hospital</w:t>
      </w:r>
      <w:r>
        <w:rPr>
          <w:rFonts w:ascii="Arial" w:cs="Arial" w:eastAsia="Arial" w:hAnsi="Arial"/>
          <w:sz w:val="18"/>
          <w:szCs w:val="18"/>
          <w:color w:val="auto"/>
        </w:rPr>
        <w:t xml:space="preserve"> and surgical benefits, and insurance type coverages that are written in connection with a closed panel plan to provide out-of-network benefits.</w:t>
      </w:r>
    </w:p>
    <w:p>
      <w:pPr>
        <w:ind w:left="340" w:hanging="331"/>
        <w:spacing w:after="0"/>
        <w:tabs>
          <w:tab w:leader="none" w:pos="3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plan may consider the benefits paid or provided by another plan in determining its benefits only when it is secondary to that other plan.</w:t>
      </w:r>
    </w:p>
    <w:p>
      <w:pPr>
        <w:sectPr>
          <w:pgSz w:w="11900" w:h="16838" w:orient="portrait"/>
          <w:cols w:equalWidth="0" w:num="1">
            <w:col w:w="11220"/>
          </w:cols>
          <w:pgMar w:left="320" w:top="427" w:right="359" w:bottom="1440" w:gutter="0" w:footer="0" w:header="0"/>
        </w:sectPr>
      </w:pPr>
    </w:p>
    <w:bookmarkStart w:id="254" w:name="page255"/>
    <w:bookmarkEnd w:id="254"/>
    <w:p>
      <w:pPr>
        <w:spacing w:after="0"/>
        <w:rPr>
          <w:sz w:val="20"/>
          <w:szCs w:val="20"/>
          <w:color w:val="auto"/>
        </w:rPr>
      </w:pPr>
      <w:r>
        <w:rPr>
          <w:rFonts w:ascii="Arial" w:cs="Arial" w:eastAsia="Arial" w:hAnsi="Arial"/>
          <w:sz w:val="20"/>
          <w:szCs w:val="20"/>
          <w:color w:val="auto"/>
        </w:rPr>
        <w:t>The first of the following rules that describes which plan pays its benefits before another plan is the rule to use:</w:t>
      </w:r>
    </w:p>
    <w:p>
      <w:pPr>
        <w:spacing w:after="0" w:line="229" w:lineRule="exact"/>
        <w:rPr>
          <w:sz w:val="20"/>
          <w:szCs w:val="20"/>
          <w:color w:val="auto"/>
        </w:rPr>
      </w:pPr>
    </w:p>
    <w:p>
      <w:pPr>
        <w:ind w:left="340" w:hanging="331"/>
        <w:spacing w:after="0" w:line="269" w:lineRule="auto"/>
        <w:tabs>
          <w:tab w:leader="none" w:pos="3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Non-Dependent or Dependent. The plan that covers the person other than as a dependent, for example as an employee, member, subscriber or retiree is primary and the plan that covers the person as a dependent is secondary. However, if the person is a </w:t>
      </w:r>
      <w:r>
        <w:rPr>
          <w:rFonts w:ascii="Arial" w:cs="Arial" w:eastAsia="Arial" w:hAnsi="Arial"/>
          <w:sz w:val="18"/>
          <w:szCs w:val="18"/>
          <w:b w:val="1"/>
          <w:bCs w:val="1"/>
          <w:color w:val="auto"/>
        </w:rPr>
        <w:t>Medicare</w:t>
      </w:r>
      <w:r>
        <w:rPr>
          <w:rFonts w:ascii="Arial" w:cs="Arial" w:eastAsia="Arial" w:hAnsi="Arial"/>
          <w:sz w:val="18"/>
          <w:szCs w:val="18"/>
          <w:color w:val="auto"/>
        </w:rPr>
        <w:t xml:space="preserve"> beneficiary and, as a result of federal law, </w:t>
      </w:r>
      <w:r>
        <w:rPr>
          <w:rFonts w:ascii="Arial" w:cs="Arial" w:eastAsia="Arial" w:hAnsi="Arial"/>
          <w:sz w:val="18"/>
          <w:szCs w:val="18"/>
          <w:b w:val="1"/>
          <w:bCs w:val="1"/>
          <w:color w:val="auto"/>
        </w:rPr>
        <w:t>Medicare</w:t>
      </w:r>
      <w:r>
        <w:rPr>
          <w:rFonts w:ascii="Arial" w:cs="Arial" w:eastAsia="Arial" w:hAnsi="Arial"/>
          <w:sz w:val="18"/>
          <w:szCs w:val="18"/>
          <w:color w:val="auto"/>
        </w:rPr>
        <w:t xml:space="preserve"> is secondary to the plan covering the person as a dependent; and primary to the plan covering the person as other than a dependent (e.g. a retired employee); then the order of benefits between the two plans is reversed so that the plan covering the person as an employee, member, subscriber or retiree is secondary and the other plan is primary.</w:t>
      </w:r>
    </w:p>
    <w:p>
      <w:pPr>
        <w:spacing w:after="0" w:line="3" w:lineRule="exact"/>
        <w:rPr>
          <w:rFonts w:ascii="Arial" w:cs="Arial" w:eastAsia="Arial" w:hAnsi="Arial"/>
          <w:sz w:val="18"/>
          <w:szCs w:val="18"/>
          <w:color w:val="auto"/>
        </w:rPr>
      </w:pPr>
    </w:p>
    <w:p>
      <w:pPr>
        <w:ind w:left="340" w:right="1920" w:hanging="331"/>
        <w:spacing w:after="0" w:line="249" w:lineRule="auto"/>
        <w:tabs>
          <w:tab w:leader="none" w:pos="340" w:val="left"/>
        </w:tabs>
        <w:numPr>
          <w:ilvl w:val="0"/>
          <w:numId w:val="361"/>
        </w:numPr>
        <w:rPr>
          <w:rFonts w:ascii="Arial" w:cs="Arial" w:eastAsia="Arial" w:hAnsi="Arial"/>
          <w:sz w:val="20"/>
          <w:szCs w:val="20"/>
          <w:color w:val="auto"/>
        </w:rPr>
      </w:pPr>
      <w:r>
        <w:rPr>
          <w:rFonts w:ascii="Arial" w:cs="Arial" w:eastAsia="Arial" w:hAnsi="Arial"/>
          <w:sz w:val="20"/>
          <w:szCs w:val="20"/>
          <w:color w:val="auto"/>
        </w:rPr>
        <w:t>Child Covered Under More than One Plan. The order of benefits when a child is covered by more than one plan is: A. The primary plan is the plan of the parent whose birthday is earlier in the year if:</w:t>
      </w:r>
    </w:p>
    <w:p>
      <w:pPr>
        <w:ind w:left="1140" w:hanging="402"/>
        <w:spacing w:after="0"/>
        <w:tabs>
          <w:tab w:leader="none" w:pos="114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The parents are married or living together whether or not married;</w:t>
      </w:r>
    </w:p>
    <w:p>
      <w:pPr>
        <w:spacing w:after="0" w:line="8" w:lineRule="exact"/>
        <w:rPr>
          <w:sz w:val="20"/>
          <w:szCs w:val="20"/>
          <w:color w:val="auto"/>
        </w:rPr>
      </w:pPr>
    </w:p>
    <w:p>
      <w:pPr>
        <w:ind w:left="1140" w:right="20" w:hanging="442"/>
        <w:spacing w:after="0" w:line="239" w:lineRule="auto"/>
        <w:tabs>
          <w:tab w:leader="none" w:pos="1140" w:val="left"/>
        </w:tabs>
        <w:numPr>
          <w:ilvl w:val="2"/>
          <w:numId w:val="363"/>
        </w:numPr>
        <w:rPr>
          <w:rFonts w:ascii="Arial" w:cs="Arial" w:eastAsia="Arial" w:hAnsi="Arial"/>
          <w:sz w:val="20"/>
          <w:szCs w:val="20"/>
          <w:color w:val="auto"/>
        </w:rPr>
      </w:pPr>
      <w:r>
        <w:rPr>
          <w:rFonts w:ascii="Arial" w:cs="Arial" w:eastAsia="Arial" w:hAnsi="Arial"/>
          <w:sz w:val="20"/>
          <w:szCs w:val="20"/>
          <w:color w:val="auto"/>
        </w:rPr>
        <w:t>A court decree awards joint custody without specifying that one party has the responsibility to provide health care coverage or if the decree states that both parents are responsible for health coverage. If both parents have the same birthday, the plan that covered either of the parents longer is primary.</w:t>
      </w:r>
    </w:p>
    <w:p>
      <w:pPr>
        <w:spacing w:after="0" w:line="1" w:lineRule="exact"/>
        <w:rPr>
          <w:rFonts w:ascii="Arial" w:cs="Arial" w:eastAsia="Arial" w:hAnsi="Arial"/>
          <w:sz w:val="20"/>
          <w:szCs w:val="20"/>
          <w:color w:val="auto"/>
        </w:rPr>
      </w:pPr>
    </w:p>
    <w:p>
      <w:pPr>
        <w:ind w:left="660" w:right="140" w:hanging="327"/>
        <w:spacing w:after="0" w:line="239" w:lineRule="auto"/>
        <w:tabs>
          <w:tab w:leader="none" w:pos="66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If the specific terms of a court decree state that one of the parents is responsible for the child’s health care expenses or health care coverage and the plan of that parent has actual knowledge of those terms, that plan is primary. If the parent with responsibility has no health coverage for the dependent child’s health care expenses, but that parent’s spouse does, the plan of the parent’s spouse is the primary plan.</w:t>
      </w:r>
    </w:p>
    <w:p>
      <w:pPr>
        <w:spacing w:after="0" w:line="2" w:lineRule="exact"/>
        <w:rPr>
          <w:rFonts w:ascii="Arial" w:cs="Arial" w:eastAsia="Arial" w:hAnsi="Arial"/>
          <w:sz w:val="20"/>
          <w:szCs w:val="20"/>
          <w:color w:val="auto"/>
        </w:rPr>
      </w:pPr>
    </w:p>
    <w:p>
      <w:pPr>
        <w:ind w:left="660" w:right="420" w:hanging="327"/>
        <w:spacing w:after="0" w:line="244" w:lineRule="auto"/>
        <w:tabs>
          <w:tab w:leader="none" w:pos="66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If the parents are separated or divorced or are not living together whether or not they have ever been married and there is no court decree allocating responsibility for health coverage, the order of benefits is:</w:t>
      </w:r>
    </w:p>
    <w:p>
      <w:pPr>
        <w:spacing w:after="0" w:line="2" w:lineRule="exact"/>
        <w:rPr>
          <w:rFonts w:ascii="Arial" w:cs="Arial" w:eastAsia="Arial" w:hAnsi="Arial"/>
          <w:sz w:val="20"/>
          <w:szCs w:val="20"/>
          <w:color w:val="auto"/>
        </w:rPr>
      </w:pPr>
    </w:p>
    <w:p>
      <w:pPr>
        <w:ind w:left="980" w:hanging="323"/>
        <w:spacing w:after="0"/>
        <w:tabs>
          <w:tab w:leader="none" w:pos="98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plan of the custodial parent;</w:t>
      </w:r>
    </w:p>
    <w:p>
      <w:pPr>
        <w:spacing w:after="0" w:line="34" w:lineRule="exact"/>
        <w:rPr>
          <w:rFonts w:ascii="Arial" w:cs="Arial" w:eastAsia="Arial" w:hAnsi="Arial"/>
          <w:sz w:val="20"/>
          <w:szCs w:val="20"/>
          <w:color w:val="auto"/>
        </w:rPr>
      </w:pPr>
    </w:p>
    <w:p>
      <w:pPr>
        <w:ind w:left="980" w:hanging="323"/>
        <w:spacing w:after="0"/>
        <w:tabs>
          <w:tab w:leader="none" w:pos="98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 xml:space="preserve">The plan of the spouse of the </w:t>
      </w:r>
      <w:r>
        <w:rPr>
          <w:rFonts w:ascii="Arial" w:cs="Arial" w:eastAsia="Arial" w:hAnsi="Arial"/>
          <w:sz w:val="20"/>
          <w:szCs w:val="20"/>
          <w:b w:val="1"/>
          <w:bCs w:val="1"/>
          <w:color w:val="auto"/>
        </w:rPr>
        <w:t>custodial parent</w:t>
      </w: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980" w:hanging="323"/>
        <w:spacing w:after="0"/>
        <w:tabs>
          <w:tab w:leader="none" w:pos="98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plan of the non</w:t>
      </w:r>
      <w:r>
        <w:rPr>
          <w:rFonts w:ascii="Arial" w:cs="Arial" w:eastAsia="Arial" w:hAnsi="Arial"/>
          <w:sz w:val="20"/>
          <w:szCs w:val="20"/>
          <w:b w:val="1"/>
          <w:bCs w:val="1"/>
          <w:color w:val="auto"/>
        </w:rPr>
        <w:t>custodial parent</w:t>
      </w:r>
      <w:r>
        <w:rPr>
          <w:rFonts w:ascii="Arial" w:cs="Arial" w:eastAsia="Arial" w:hAnsi="Arial"/>
          <w:sz w:val="20"/>
          <w:szCs w:val="20"/>
          <w:color w:val="auto"/>
        </w:rPr>
        <w:t>; and then</w:t>
      </w:r>
    </w:p>
    <w:p>
      <w:pPr>
        <w:spacing w:after="0" w:line="26" w:lineRule="exact"/>
        <w:rPr>
          <w:rFonts w:ascii="Arial" w:cs="Arial" w:eastAsia="Arial" w:hAnsi="Arial"/>
          <w:sz w:val="20"/>
          <w:szCs w:val="20"/>
          <w:color w:val="auto"/>
        </w:rPr>
      </w:pPr>
    </w:p>
    <w:p>
      <w:pPr>
        <w:ind w:left="980" w:hanging="323"/>
        <w:spacing w:after="0"/>
        <w:tabs>
          <w:tab w:leader="none" w:pos="98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plan of the spouse of the non</w:t>
      </w:r>
      <w:r>
        <w:rPr>
          <w:rFonts w:ascii="Arial" w:cs="Arial" w:eastAsia="Arial" w:hAnsi="Arial"/>
          <w:sz w:val="20"/>
          <w:szCs w:val="20"/>
          <w:b w:val="1"/>
          <w:bCs w:val="1"/>
          <w:color w:val="auto"/>
        </w:rPr>
        <w:t>custodial parent</w:t>
      </w:r>
      <w:r>
        <w:rPr>
          <w:rFonts w:ascii="Arial" w:cs="Arial" w:eastAsia="Arial" w:hAnsi="Arial"/>
          <w:sz w:val="20"/>
          <w:szCs w:val="20"/>
          <w:color w:val="auto"/>
        </w:rPr>
        <w:t>.</w:t>
      </w:r>
    </w:p>
    <w:p>
      <w:pPr>
        <w:spacing w:after="0" w:line="208" w:lineRule="exact"/>
        <w:rPr>
          <w:sz w:val="20"/>
          <w:szCs w:val="20"/>
          <w:color w:val="auto"/>
        </w:rPr>
      </w:pPr>
    </w:p>
    <w:p>
      <w:pPr>
        <w:ind w:left="660" w:right="520"/>
        <w:spacing w:after="0" w:line="260" w:lineRule="auto"/>
        <w:rPr>
          <w:sz w:val="20"/>
          <w:szCs w:val="20"/>
          <w:color w:val="auto"/>
        </w:rPr>
      </w:pPr>
      <w:r>
        <w:rPr>
          <w:rFonts w:ascii="Arial" w:cs="Arial" w:eastAsia="Arial" w:hAnsi="Arial"/>
          <w:sz w:val="20"/>
          <w:szCs w:val="20"/>
          <w:color w:val="auto"/>
        </w:rPr>
        <w:t>For a dependent child covered under more than one plan of individuals who are not the parents of the child, the order of benefits should be determined as outlined above as if the individuals were the parents.</w:t>
      </w:r>
    </w:p>
    <w:p>
      <w:pPr>
        <w:spacing w:after="0" w:line="190" w:lineRule="exact"/>
        <w:rPr>
          <w:sz w:val="20"/>
          <w:szCs w:val="20"/>
          <w:color w:val="auto"/>
        </w:rPr>
      </w:pPr>
    </w:p>
    <w:p>
      <w:pPr>
        <w:ind w:left="340" w:right="100" w:hanging="331"/>
        <w:spacing w:after="0" w:line="242" w:lineRule="auto"/>
        <w:tabs>
          <w:tab w:leader="none" w:pos="340" w:val="left"/>
        </w:tabs>
        <w:numPr>
          <w:ilvl w:val="0"/>
          <w:numId w:val="365"/>
        </w:numPr>
        <w:rPr>
          <w:rFonts w:ascii="Arial" w:cs="Arial" w:eastAsia="Arial" w:hAnsi="Arial"/>
          <w:sz w:val="20"/>
          <w:szCs w:val="20"/>
          <w:color w:val="auto"/>
        </w:rPr>
      </w:pPr>
      <w:r>
        <w:rPr>
          <w:rFonts w:ascii="Arial" w:cs="Arial" w:eastAsia="Arial" w:hAnsi="Arial"/>
          <w:sz w:val="20"/>
          <w:szCs w:val="20"/>
          <w:color w:val="auto"/>
        </w:rPr>
        <w:t>Active Employee or Retired or Laid off Employee. The plan that covers a person as an employee who is neither laid off nor retired or as a dependent of an active employee, is the primary plan. The plan covering that same person as a retired or laid off employee or as a dependent of a retired or laid off employee is the secondary plan. If the other plan does not have this rule, and if, as a result, the plans do not agree on the order of benefits, this rule is ignored. This rule will not apply if the Non-Dependent or Dependent rules above determine the order of benefits.</w:t>
      </w:r>
    </w:p>
    <w:p>
      <w:pPr>
        <w:spacing w:after="0" w:line="4" w:lineRule="exact"/>
        <w:rPr>
          <w:rFonts w:ascii="Arial" w:cs="Arial" w:eastAsia="Arial" w:hAnsi="Arial"/>
          <w:sz w:val="20"/>
          <w:szCs w:val="20"/>
          <w:color w:val="auto"/>
        </w:rPr>
      </w:pPr>
    </w:p>
    <w:p>
      <w:pPr>
        <w:jc w:val="both"/>
        <w:ind w:left="340" w:hanging="331"/>
        <w:spacing w:after="0" w:line="239" w:lineRule="auto"/>
        <w:tabs>
          <w:tab w:leader="none" w:pos="340" w:val="left"/>
        </w:tabs>
        <w:numPr>
          <w:ilvl w:val="0"/>
          <w:numId w:val="365"/>
        </w:numPr>
        <w:rPr>
          <w:rFonts w:ascii="Arial" w:cs="Arial" w:eastAsia="Arial" w:hAnsi="Arial"/>
          <w:sz w:val="20"/>
          <w:szCs w:val="20"/>
          <w:color w:val="auto"/>
        </w:rPr>
      </w:pPr>
      <w:r>
        <w:rPr>
          <w:rFonts w:ascii="Arial" w:cs="Arial" w:eastAsia="Arial" w:hAnsi="Arial"/>
          <w:sz w:val="20"/>
          <w:szCs w:val="20"/>
          <w:color w:val="auto"/>
        </w:rPr>
        <w:t>Continuation Coverage. If a person whose coverage is provided under a right of continuation provided by federal or state law also is covered under another plan, the plan covering the person as an employee, member, subscriber or retiree (or as that person’s dependent) is primary, and the continuation coverage is secondary. If the other plan does not have this rule, and if, as a result, the plans do not agree on the order of benefits, this rule is ignored. This rule will not apply if the Non-Dependent or Dependent rules above determine the order of benefits.</w:t>
      </w:r>
    </w:p>
    <w:p>
      <w:pPr>
        <w:spacing w:after="0" w:line="2" w:lineRule="exact"/>
        <w:rPr>
          <w:rFonts w:ascii="Arial" w:cs="Arial" w:eastAsia="Arial" w:hAnsi="Arial"/>
          <w:sz w:val="20"/>
          <w:szCs w:val="20"/>
          <w:color w:val="auto"/>
        </w:rPr>
      </w:pPr>
    </w:p>
    <w:p>
      <w:pPr>
        <w:ind w:left="340" w:hanging="331"/>
        <w:spacing w:after="0"/>
        <w:tabs>
          <w:tab w:leader="none" w:pos="3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Longer or Shorter Length of Coverage. The plan that covered the person as an employee, member, or subscriber longer is primary.</w:t>
      </w:r>
    </w:p>
    <w:p>
      <w:pPr>
        <w:spacing w:after="0" w:line="22" w:lineRule="exact"/>
        <w:rPr>
          <w:rFonts w:ascii="Arial" w:cs="Arial" w:eastAsia="Arial" w:hAnsi="Arial"/>
          <w:sz w:val="18"/>
          <w:szCs w:val="18"/>
          <w:color w:val="auto"/>
        </w:rPr>
      </w:pPr>
    </w:p>
    <w:p>
      <w:pPr>
        <w:ind w:left="340" w:right="340" w:hanging="331"/>
        <w:spacing w:after="0" w:line="298" w:lineRule="auto"/>
        <w:tabs>
          <w:tab w:leader="none" w:pos="3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If the preceding rules do not determine the primary plan, the allowable expenses shall be shared equally between the plans meeting the definition of plan under this provision. In addition, This Plan will not pay more than it would have paid had it been primary.</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Coordination of Benefits Works</w:t>
      </w:r>
    </w:p>
    <w:p>
      <w:pPr>
        <w:spacing w:after="0" w:line="23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When this plan is secondary, it may reduce its benefits so that total benefits paid or provided by all plans during a claim determination period are not more than 100% of total allowable expenses. The difference between the benefit payments that this plan would have paid had it been the primary plan, and the benefit payments that it actually paid or provided shall be recorded as a benefit reserve for the covered person and used by this plan to pay any allowable expenses, not otherwise paid during the claim determination period.</w:t>
      </w:r>
    </w:p>
    <w:p>
      <w:pPr>
        <w:sectPr>
          <w:pgSz w:w="11900" w:h="16838" w:orient="portrait"/>
          <w:cols w:equalWidth="0" w:num="1">
            <w:col w:w="11340"/>
          </w:cols>
          <w:pgMar w:left="320" w:top="433"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 xml:space="preserve">In addition, a </w:t>
      </w:r>
      <w:r>
        <w:rPr>
          <w:rFonts w:ascii="Arial" w:cs="Arial" w:eastAsia="Arial" w:hAnsi="Arial"/>
          <w:sz w:val="18"/>
          <w:szCs w:val="18"/>
          <w:b w:val="1"/>
          <w:bCs w:val="1"/>
          <w:color w:val="auto"/>
        </w:rPr>
        <w:t>secondary plan</w:t>
      </w:r>
      <w:r>
        <w:rPr>
          <w:rFonts w:ascii="Arial" w:cs="Arial" w:eastAsia="Arial" w:hAnsi="Arial"/>
          <w:sz w:val="18"/>
          <w:szCs w:val="18"/>
          <w:color w:val="auto"/>
        </w:rPr>
        <w:t xml:space="preserve"> will credit to its plan deductible any amounts that would have been credited in the absence of other coverage.</w:t>
      </w:r>
    </w:p>
    <w:p>
      <w:pPr>
        <w:spacing w:after="0" w:line="252" w:lineRule="exact"/>
        <w:rPr>
          <w:sz w:val="20"/>
          <w:szCs w:val="20"/>
          <w:color w:val="auto"/>
        </w:rPr>
      </w:pPr>
    </w:p>
    <w:p>
      <w:pPr>
        <w:jc w:val="both"/>
        <w:ind w:right="60"/>
        <w:spacing w:after="0" w:line="280" w:lineRule="auto"/>
        <w:rPr>
          <w:sz w:val="20"/>
          <w:szCs w:val="20"/>
          <w:color w:val="auto"/>
        </w:rPr>
      </w:pPr>
      <w:r>
        <w:rPr>
          <w:rFonts w:ascii="Arial" w:cs="Arial" w:eastAsia="Arial" w:hAnsi="Arial"/>
          <w:sz w:val="18"/>
          <w:szCs w:val="18"/>
          <w:color w:val="auto"/>
        </w:rPr>
        <w:t xml:space="preserve">Under the COB provision of </w:t>
      </w:r>
      <w:r>
        <w:rPr>
          <w:rFonts w:ascii="Arial" w:cs="Arial" w:eastAsia="Arial" w:hAnsi="Arial"/>
          <w:sz w:val="18"/>
          <w:szCs w:val="18"/>
          <w:b w:val="1"/>
          <w:bCs w:val="1"/>
          <w:color w:val="auto"/>
        </w:rPr>
        <w:t>This Plan</w:t>
      </w:r>
      <w:r>
        <w:rPr>
          <w:rFonts w:ascii="Arial" w:cs="Arial" w:eastAsia="Arial" w:hAnsi="Arial"/>
          <w:sz w:val="18"/>
          <w:szCs w:val="18"/>
          <w:color w:val="auto"/>
        </w:rPr>
        <w:t xml:space="preserve">, the amount normally reimbursed for covered benefits or expenses under </w:t>
      </w:r>
      <w:r>
        <w:rPr>
          <w:rFonts w:ascii="Arial" w:cs="Arial" w:eastAsia="Arial" w:hAnsi="Arial"/>
          <w:sz w:val="18"/>
          <w:szCs w:val="18"/>
          <w:b w:val="1"/>
          <w:bCs w:val="1"/>
          <w:color w:val="auto"/>
        </w:rPr>
        <w:t>This Plan</w:t>
      </w:r>
      <w:r>
        <w:rPr>
          <w:rFonts w:ascii="Arial" w:cs="Arial" w:eastAsia="Arial" w:hAnsi="Arial"/>
          <w:sz w:val="18"/>
          <w:szCs w:val="18"/>
          <w:color w:val="auto"/>
        </w:rPr>
        <w:t xml:space="preserve"> is reduced to take into account payments made by other plans. The general rule is that the benefits otherwise payable under </w:t>
      </w:r>
      <w:r>
        <w:rPr>
          <w:rFonts w:ascii="Arial" w:cs="Arial" w:eastAsia="Arial" w:hAnsi="Arial"/>
          <w:sz w:val="18"/>
          <w:szCs w:val="18"/>
          <w:b w:val="1"/>
          <w:bCs w:val="1"/>
          <w:color w:val="auto"/>
        </w:rPr>
        <w:t>This Plan</w:t>
      </w:r>
      <w:r>
        <w:rPr>
          <w:rFonts w:ascii="Arial" w:cs="Arial" w:eastAsia="Arial" w:hAnsi="Arial"/>
          <w:sz w:val="18"/>
          <w:szCs w:val="18"/>
          <w:color w:val="auto"/>
        </w:rPr>
        <w:t xml:space="preserve"> for all covered benefits or expenses will be reduced by all other plan benefits payable for those expenses. When the COB rules of </w:t>
      </w:r>
      <w:r>
        <w:rPr>
          <w:rFonts w:ascii="Arial" w:cs="Arial" w:eastAsia="Arial" w:hAnsi="Arial"/>
          <w:sz w:val="18"/>
          <w:szCs w:val="18"/>
          <w:b w:val="1"/>
          <w:bCs w:val="1"/>
          <w:color w:val="auto"/>
        </w:rPr>
        <w:t>This Plan</w:t>
      </w:r>
      <w:r>
        <w:rPr>
          <w:rFonts w:ascii="Arial" w:cs="Arial" w:eastAsia="Arial" w:hAnsi="Arial"/>
          <w:sz w:val="18"/>
          <w:szCs w:val="18"/>
          <w:color w:val="auto"/>
        </w:rPr>
        <w:t xml:space="preserve"> and another plan both agree that </w:t>
      </w:r>
      <w:r>
        <w:rPr>
          <w:rFonts w:ascii="Arial" w:cs="Arial" w:eastAsia="Arial" w:hAnsi="Arial"/>
          <w:sz w:val="18"/>
          <w:szCs w:val="18"/>
          <w:b w:val="1"/>
          <w:bCs w:val="1"/>
          <w:color w:val="auto"/>
        </w:rPr>
        <w:t>This Plan</w:t>
      </w:r>
      <w:r>
        <w:rPr>
          <w:rFonts w:ascii="Arial" w:cs="Arial" w:eastAsia="Arial" w:hAnsi="Arial"/>
          <w:sz w:val="18"/>
          <w:szCs w:val="18"/>
          <w:color w:val="auto"/>
        </w:rPr>
        <w:t xml:space="preserve"> determines its benefits before such other plan, the benefits of the other plan will be ignored in applying the general rule above to the claim involved. Such reduced amount will be charged against any applicable benefit limit of this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a covered person is enrolled in two or more </w:t>
      </w:r>
      <w:r>
        <w:rPr>
          <w:rFonts w:ascii="Arial" w:cs="Arial" w:eastAsia="Arial" w:hAnsi="Arial"/>
          <w:sz w:val="18"/>
          <w:szCs w:val="18"/>
          <w:b w:val="1"/>
          <w:bCs w:val="1"/>
          <w:color w:val="auto"/>
        </w:rPr>
        <w:t>closed panel plans</w:t>
      </w:r>
      <w:r>
        <w:rPr>
          <w:rFonts w:ascii="Arial" w:cs="Arial" w:eastAsia="Arial" w:hAnsi="Arial"/>
          <w:sz w:val="18"/>
          <w:szCs w:val="18"/>
          <w:color w:val="auto"/>
        </w:rPr>
        <w:t xml:space="preserve"> COB generally does not occur with respect to the use of panel providers.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However, COB may occur if a person receives emergency services that would have been covered by both plans.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Right To Receive And Release Needed Information</w:t>
      </w:r>
    </w:p>
    <w:p>
      <w:pPr>
        <w:spacing w:after="0" w:line="32"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 xml:space="preserve">Certain facts about health care coverage and services are needed to apply these COB rules and to determine benefits under this plan and other plans.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the right to release or obtain any information and make or recover any payments it considers necessary in order to administer this provision.</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Facility of Payment</w:t>
      </w:r>
    </w:p>
    <w:p>
      <w:pPr>
        <w:spacing w:after="0" w:line="3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Any payment made under another plan may include an amount, which should have been paid under this plan. If so, </w:t>
      </w:r>
      <w:r>
        <w:rPr>
          <w:rFonts w:ascii="Arial" w:cs="Arial" w:eastAsia="Arial" w:hAnsi="Arial"/>
          <w:sz w:val="20"/>
          <w:szCs w:val="20"/>
          <w:b w:val="1"/>
          <w:bCs w:val="1"/>
          <w:color w:val="auto"/>
        </w:rPr>
        <w:t>Aetna</w:t>
      </w:r>
      <w:r>
        <w:rPr>
          <w:rFonts w:ascii="Arial" w:cs="Arial" w:eastAsia="Arial" w:hAnsi="Arial"/>
          <w:sz w:val="20"/>
          <w:szCs w:val="20"/>
          <w:color w:val="auto"/>
        </w:rPr>
        <w:t xml:space="preserve"> may pay that amount to the organization, which made that payment. That amount will then be treated as though it were a benefit paid under this plan. </w:t>
      </w:r>
      <w:r>
        <w:rPr>
          <w:rFonts w:ascii="Arial" w:cs="Arial" w:eastAsia="Arial" w:hAnsi="Arial"/>
          <w:sz w:val="20"/>
          <w:szCs w:val="20"/>
          <w:b w:val="1"/>
          <w:bCs w:val="1"/>
          <w:color w:val="auto"/>
        </w:rPr>
        <w:t>Aetna</w:t>
      </w:r>
      <w:r>
        <w:rPr>
          <w:rFonts w:ascii="Arial" w:cs="Arial" w:eastAsia="Arial" w:hAnsi="Arial"/>
          <w:sz w:val="20"/>
          <w:szCs w:val="20"/>
          <w:color w:val="auto"/>
        </w:rPr>
        <w:t xml:space="preserve"> will not have to pay that amount again. The term “payment made” means reasonable cash value of the benefits provided in the form of services.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Right of Recovery</w:t>
      </w:r>
    </w:p>
    <w:p>
      <w:pPr>
        <w:spacing w:after="0" w:line="3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 xml:space="preserve">If the amount of the payments made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is more than it should have paid under this COB provision, it may recover the excess from one or more of the persons it has paid or for whom it has paid; or any other person or organization that may be responsible for the benefits or services provided for the covered person. The “amount of the payments made” includes the reasonable cash value of any benefits provided in the form of services.</w:t>
      </w:r>
    </w:p>
    <w:p>
      <w:pPr>
        <w:sectPr>
          <w:pgSz w:w="11900" w:h="16838" w:orient="portrait"/>
          <w:cols w:equalWidth="0" w:num="1">
            <w:col w:w="11320"/>
          </w:cols>
          <w:pgMar w:left="320" w:top="427" w:right="259" w:bottom="1440" w:gutter="0" w:footer="0" w:header="0"/>
        </w:sectPr>
      </w:pPr>
    </w:p>
    <w:bookmarkStart w:id="256" w:name="page257"/>
    <w:bookmarkEnd w:id="256"/>
    <w:tbl>
      <w:tblPr>
        <w:tblLayout w:type="fixed"/>
        <w:tblInd w:w="22" w:type="dxa"/>
        <w:tblCellMar>
          <w:top w:w="0" w:type="dxa"/>
          <w:left w:w="0" w:type="dxa"/>
          <w:bottom w:w="0" w:type="dxa"/>
          <w:right w:w="0" w:type="dxa"/>
        </w:tblCellMar>
      </w:tblPr>
      <w:tr>
        <w:trPr>
          <w:trHeight w:val="494"/>
        </w:trPr>
        <w:tc>
          <w:tcPr>
            <w:tcW w:w="6200" w:type="dxa"/>
            <w:vAlign w:val="bottom"/>
          </w:tcPr>
          <w:p>
            <w:pPr>
              <w:spacing w:after="0"/>
              <w:rPr>
                <w:sz w:val="20"/>
                <w:szCs w:val="20"/>
                <w:color w:val="auto"/>
              </w:rPr>
            </w:pPr>
            <w:r>
              <w:rPr>
                <w:rFonts w:ascii="Arial" w:cs="Arial" w:eastAsia="Arial" w:hAnsi="Arial"/>
                <w:sz w:val="43"/>
                <w:szCs w:val="43"/>
                <w:b w:val="1"/>
                <w:bCs w:val="1"/>
                <w:color w:val="auto"/>
              </w:rPr>
              <w:t>When You Have Medicare</w:t>
            </w:r>
          </w:p>
        </w:tc>
        <w:tc>
          <w:tcPr>
            <w:tcW w:w="4600" w:type="dxa"/>
            <w:vAlign w:val="bottom"/>
            <w:shd w:val="clear" w:color="auto" w:fill="0000FF"/>
          </w:tcPr>
          <w:p>
            <w:pPr>
              <w:ind w:left="420"/>
              <w:spacing w:after="0"/>
              <w:rPr>
                <w:sz w:val="20"/>
                <w:szCs w:val="20"/>
                <w:color w:val="auto"/>
              </w:rPr>
            </w:pPr>
            <w:r>
              <w:rPr>
                <w:rFonts w:ascii="Arial" w:cs="Arial" w:eastAsia="Arial" w:hAnsi="Arial"/>
                <w:sz w:val="25"/>
                <w:szCs w:val="25"/>
                <w:b w:val="1"/>
                <w:bCs w:val="1"/>
                <w:color w:val="FFFFFF"/>
              </w:rPr>
              <w:t>Which Plan Pays First</w:t>
            </w:r>
          </w:p>
        </w:tc>
      </w:tr>
      <w:tr>
        <w:trPr>
          <w:trHeight w:val="439"/>
        </w:trPr>
        <w:tc>
          <w:tcPr>
            <w:tcW w:w="6200" w:type="dxa"/>
            <w:vAlign w:val="bottom"/>
          </w:tcPr>
          <w:p>
            <w:pPr>
              <w:spacing w:after="0" w:line="439" w:lineRule="exact"/>
              <w:rPr>
                <w:sz w:val="20"/>
                <w:szCs w:val="20"/>
                <w:color w:val="auto"/>
              </w:rPr>
            </w:pPr>
            <w:r>
              <w:rPr>
                <w:rFonts w:ascii="Arial" w:cs="Arial" w:eastAsia="Arial" w:hAnsi="Arial"/>
                <w:sz w:val="43"/>
                <w:szCs w:val="43"/>
                <w:b w:val="1"/>
                <w:bCs w:val="1"/>
                <w:color w:val="auto"/>
              </w:rPr>
              <w:t>Coverage</w:t>
            </w:r>
          </w:p>
        </w:tc>
        <w:tc>
          <w:tcPr>
            <w:tcW w:w="4600" w:type="dxa"/>
            <w:vAlign w:val="bottom"/>
            <w:shd w:val="clear" w:color="auto" w:fill="0000FF"/>
          </w:tcPr>
          <w:p>
            <w:pPr>
              <w:ind w:left="420"/>
              <w:spacing w:after="0"/>
              <w:rPr>
                <w:sz w:val="20"/>
                <w:szCs w:val="20"/>
                <w:color w:val="auto"/>
              </w:rPr>
            </w:pPr>
            <w:r>
              <w:rPr>
                <w:rFonts w:ascii="Arial" w:cs="Arial" w:eastAsia="Arial" w:hAnsi="Arial"/>
                <w:sz w:val="25"/>
                <w:szCs w:val="25"/>
                <w:b w:val="1"/>
                <w:bCs w:val="1"/>
                <w:color w:val="FFFFFF"/>
              </w:rPr>
              <w:t>How Coordination with Medicare</w:t>
            </w:r>
          </w:p>
        </w:tc>
      </w:tr>
      <w:tr>
        <w:trPr>
          <w:trHeight w:val="329"/>
        </w:trPr>
        <w:tc>
          <w:tcPr>
            <w:tcW w:w="6200" w:type="dxa"/>
            <w:vAlign w:val="bottom"/>
          </w:tcPr>
          <w:p>
            <w:pPr>
              <w:spacing w:after="0"/>
              <w:rPr>
                <w:sz w:val="20"/>
                <w:szCs w:val="20"/>
                <w:color w:val="auto"/>
              </w:rPr>
            </w:pPr>
            <w:r>
              <w:rPr>
                <w:rFonts w:ascii="Arial" w:cs="Arial" w:eastAsia="Arial" w:hAnsi="Arial"/>
                <w:sz w:val="14"/>
                <w:szCs w:val="14"/>
                <w:i w:val="1"/>
                <w:iCs w:val="1"/>
                <w:color w:val="auto"/>
              </w:rPr>
              <w:t>(GR-9N-33-020-01)</w:t>
            </w:r>
          </w:p>
        </w:tc>
        <w:tc>
          <w:tcPr>
            <w:tcW w:w="4600" w:type="dxa"/>
            <w:vAlign w:val="bottom"/>
            <w:shd w:val="clear" w:color="auto" w:fill="0000FF"/>
          </w:tcPr>
          <w:p>
            <w:pPr>
              <w:ind w:left="420"/>
              <w:spacing w:after="0"/>
              <w:rPr>
                <w:sz w:val="20"/>
                <w:szCs w:val="20"/>
                <w:color w:val="auto"/>
              </w:rPr>
            </w:pPr>
            <w:r>
              <w:rPr>
                <w:rFonts w:ascii="Arial" w:cs="Arial" w:eastAsia="Arial" w:hAnsi="Arial"/>
                <w:sz w:val="25"/>
                <w:szCs w:val="25"/>
                <w:b w:val="1"/>
                <w:bCs w:val="1"/>
                <w:color w:val="FFFFFF"/>
              </w:rPr>
              <w:t>Works</w:t>
            </w:r>
          </w:p>
        </w:tc>
      </w:tr>
      <w:tr>
        <w:trPr>
          <w:trHeight w:val="478"/>
        </w:trPr>
        <w:tc>
          <w:tcPr>
            <w:tcW w:w="6200" w:type="dxa"/>
            <w:vAlign w:val="bottom"/>
          </w:tcPr>
          <w:p>
            <w:pPr>
              <w:spacing w:after="0"/>
              <w:rPr>
                <w:sz w:val="24"/>
                <w:szCs w:val="24"/>
                <w:color w:val="auto"/>
              </w:rPr>
            </w:pPr>
          </w:p>
        </w:tc>
        <w:tc>
          <w:tcPr>
            <w:tcW w:w="4600" w:type="dxa"/>
            <w:vAlign w:val="bottom"/>
            <w:shd w:val="clear" w:color="auto" w:fill="0000FF"/>
          </w:tcPr>
          <w:p>
            <w:pPr>
              <w:ind w:left="420"/>
              <w:spacing w:after="0"/>
              <w:rPr>
                <w:sz w:val="20"/>
                <w:szCs w:val="20"/>
                <w:color w:val="auto"/>
              </w:rPr>
            </w:pPr>
            <w:r>
              <w:rPr>
                <w:rFonts w:ascii="Arial" w:cs="Arial" w:eastAsia="Arial" w:hAnsi="Arial"/>
                <w:sz w:val="25"/>
                <w:szCs w:val="25"/>
                <w:b w:val="1"/>
                <w:bCs w:val="1"/>
                <w:color w:val="FFFFFF"/>
              </w:rPr>
              <w:t>What is Not Covered</w:t>
            </w:r>
          </w:p>
        </w:tc>
      </w:tr>
    </w:tbl>
    <w:p>
      <w:pPr>
        <w:spacing w:after="0" w:line="58"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This section explains how the benefits under </w:t>
      </w:r>
      <w:r>
        <w:rPr>
          <w:rFonts w:ascii="Arial" w:cs="Arial" w:eastAsia="Arial" w:hAnsi="Arial"/>
          <w:sz w:val="20"/>
          <w:szCs w:val="20"/>
          <w:b w:val="1"/>
          <w:bCs w:val="1"/>
          <w:color w:val="auto"/>
        </w:rPr>
        <w:t>This Plan</w:t>
      </w:r>
      <w:r>
        <w:rPr>
          <w:rFonts w:ascii="Arial" w:cs="Arial" w:eastAsia="Arial" w:hAnsi="Arial"/>
          <w:sz w:val="20"/>
          <w:szCs w:val="20"/>
          <w:color w:val="auto"/>
        </w:rPr>
        <w:t xml:space="preserve"> interact with benefits available under </w:t>
      </w:r>
      <w:r>
        <w:rPr>
          <w:rFonts w:ascii="Arial" w:cs="Arial" w:eastAsia="Arial" w:hAnsi="Arial"/>
          <w:sz w:val="20"/>
          <w:szCs w:val="20"/>
          <w:b w:val="1"/>
          <w:bCs w:val="1"/>
          <w:color w:val="auto"/>
        </w:rPr>
        <w:t>Medicare</w:t>
      </w:r>
      <w:r>
        <w:rPr>
          <w:rFonts w:ascii="Arial" w:cs="Arial" w:eastAsia="Arial" w:hAnsi="Arial"/>
          <w:sz w:val="20"/>
          <w:szCs w:val="20"/>
          <w:color w:val="auto"/>
        </w:rPr>
        <w:t>.</w:t>
      </w:r>
    </w:p>
    <w:p>
      <w:pPr>
        <w:spacing w:after="0" w:line="229" w:lineRule="exact"/>
        <w:rPr>
          <w:sz w:val="20"/>
          <w:szCs w:val="20"/>
          <w:color w:val="auto"/>
        </w:rPr>
      </w:pPr>
    </w:p>
    <w:p>
      <w:pPr>
        <w:ind w:left="2" w:right="380"/>
        <w:spacing w:after="0" w:line="278" w:lineRule="auto"/>
        <w:rPr>
          <w:sz w:val="20"/>
          <w:szCs w:val="20"/>
          <w:color w:val="auto"/>
        </w:rPr>
      </w:pPr>
      <w:r>
        <w:rPr>
          <w:rFonts w:ascii="Arial" w:cs="Arial" w:eastAsia="Arial" w:hAnsi="Arial"/>
          <w:sz w:val="18"/>
          <w:szCs w:val="18"/>
          <w:b w:val="1"/>
          <w:bCs w:val="1"/>
          <w:color w:val="auto"/>
        </w:rPr>
        <w:t>Medicare</w:t>
      </w:r>
      <w:r>
        <w:rPr>
          <w:rFonts w:ascii="Arial" w:cs="Arial" w:eastAsia="Arial" w:hAnsi="Arial"/>
          <w:sz w:val="18"/>
          <w:szCs w:val="18"/>
          <w:color w:val="auto"/>
        </w:rPr>
        <w:t>, when used in this Booklet-Certificate, means the health insurance provided by Title XVIII of the Social Security Act,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It includes Health Maintenance Organization (HMO) or similar coverage that is an authorized alternative to Parts A and B of</w:t>
      </w:r>
    </w:p>
    <w:p>
      <w:pPr>
        <w:spacing w:after="0" w:line="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Medicare</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You are eligible for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if you are:</w:t>
      </w:r>
    </w:p>
    <w:p>
      <w:pPr>
        <w:spacing w:after="0" w:line="222" w:lineRule="exact"/>
        <w:rPr>
          <w:sz w:val="20"/>
          <w:szCs w:val="20"/>
          <w:color w:val="auto"/>
        </w:rPr>
      </w:pPr>
    </w:p>
    <w:p>
      <w:pPr>
        <w:ind w:left="322" w:hanging="322"/>
        <w:spacing w:after="0"/>
        <w:tabs>
          <w:tab w:leader="none" w:pos="322" w:val="left"/>
        </w:tabs>
        <w:numPr>
          <w:ilvl w:val="0"/>
          <w:numId w:val="366"/>
        </w:numPr>
        <w:rPr>
          <w:rFonts w:ascii="Arial" w:cs="Arial" w:eastAsia="Arial" w:hAnsi="Arial"/>
          <w:sz w:val="20"/>
          <w:szCs w:val="20"/>
          <w:color w:val="auto"/>
        </w:rPr>
      </w:pPr>
      <w:r>
        <w:rPr>
          <w:rFonts w:ascii="Arial" w:cs="Arial" w:eastAsia="Arial" w:hAnsi="Arial"/>
          <w:sz w:val="20"/>
          <w:szCs w:val="20"/>
          <w:color w:val="auto"/>
        </w:rPr>
        <w:t>Covered under it by reason of age, disability, or</w:t>
      </w:r>
    </w:p>
    <w:p>
      <w:pPr>
        <w:spacing w:after="0" w:line="20" w:lineRule="exact"/>
        <w:rPr>
          <w:rFonts w:ascii="Arial" w:cs="Arial" w:eastAsia="Arial" w:hAnsi="Arial"/>
          <w:sz w:val="20"/>
          <w:szCs w:val="20"/>
          <w:color w:val="auto"/>
        </w:rPr>
      </w:pPr>
    </w:p>
    <w:p>
      <w:pPr>
        <w:ind w:left="322" w:hanging="322"/>
        <w:spacing w:after="0"/>
        <w:tabs>
          <w:tab w:leader="none" w:pos="322" w:val="left"/>
        </w:tabs>
        <w:numPr>
          <w:ilvl w:val="0"/>
          <w:numId w:val="366"/>
        </w:numPr>
        <w:rPr>
          <w:rFonts w:ascii="Arial" w:cs="Arial" w:eastAsia="Arial" w:hAnsi="Arial"/>
          <w:sz w:val="20"/>
          <w:szCs w:val="20"/>
          <w:color w:val="auto"/>
        </w:rPr>
      </w:pPr>
      <w:r>
        <w:rPr>
          <w:rFonts w:ascii="Arial" w:cs="Arial" w:eastAsia="Arial" w:hAnsi="Arial"/>
          <w:sz w:val="20"/>
          <w:szCs w:val="20"/>
          <w:color w:val="auto"/>
        </w:rPr>
        <w:t>End Stage Renal Disease; or</w:t>
      </w:r>
    </w:p>
    <w:p>
      <w:pPr>
        <w:spacing w:after="0" w:line="13" w:lineRule="exact"/>
        <w:rPr>
          <w:rFonts w:ascii="Arial" w:cs="Arial" w:eastAsia="Arial" w:hAnsi="Arial"/>
          <w:sz w:val="20"/>
          <w:szCs w:val="20"/>
          <w:color w:val="auto"/>
        </w:rPr>
      </w:pPr>
    </w:p>
    <w:p>
      <w:pPr>
        <w:ind w:left="322" w:hanging="322"/>
        <w:spacing w:after="0"/>
        <w:tabs>
          <w:tab w:leader="none" w:pos="322" w:val="left"/>
        </w:tabs>
        <w:numPr>
          <w:ilvl w:val="0"/>
          <w:numId w:val="366"/>
        </w:numPr>
        <w:rPr>
          <w:rFonts w:ascii="Arial" w:cs="Arial" w:eastAsia="Arial" w:hAnsi="Arial"/>
          <w:sz w:val="20"/>
          <w:szCs w:val="20"/>
          <w:color w:val="auto"/>
        </w:rPr>
      </w:pPr>
      <w:r>
        <w:rPr>
          <w:rFonts w:ascii="Arial" w:cs="Arial" w:eastAsia="Arial" w:hAnsi="Arial"/>
          <w:sz w:val="20"/>
          <w:szCs w:val="20"/>
          <w:color w:val="auto"/>
        </w:rPr>
        <w:t>Not covered under it because you:</w:t>
      </w:r>
    </w:p>
    <w:p>
      <w:pPr>
        <w:spacing w:after="0" w:line="13" w:lineRule="exact"/>
        <w:rPr>
          <w:rFonts w:ascii="Arial" w:cs="Arial" w:eastAsia="Arial" w:hAnsi="Arial"/>
          <w:sz w:val="20"/>
          <w:szCs w:val="20"/>
          <w:color w:val="auto"/>
        </w:rPr>
      </w:pPr>
    </w:p>
    <w:p>
      <w:pPr>
        <w:ind w:left="642" w:hanging="318"/>
        <w:spacing w:after="0"/>
        <w:tabs>
          <w:tab w:leader="none" w:pos="642" w:val="left"/>
        </w:tabs>
        <w:numPr>
          <w:ilvl w:val="1"/>
          <w:numId w:val="366"/>
        </w:numPr>
        <w:rPr>
          <w:rFonts w:ascii="Arial" w:cs="Arial" w:eastAsia="Arial" w:hAnsi="Arial"/>
          <w:sz w:val="20"/>
          <w:szCs w:val="20"/>
          <w:color w:val="auto"/>
        </w:rPr>
      </w:pPr>
      <w:r>
        <w:rPr>
          <w:rFonts w:ascii="Arial" w:cs="Arial" w:eastAsia="Arial" w:hAnsi="Arial"/>
          <w:sz w:val="20"/>
          <w:szCs w:val="20"/>
          <w:color w:val="auto"/>
        </w:rPr>
        <w:t>Refused it;</w:t>
      </w:r>
    </w:p>
    <w:p>
      <w:pPr>
        <w:spacing w:after="0" w:line="13" w:lineRule="exact"/>
        <w:rPr>
          <w:rFonts w:ascii="Arial" w:cs="Arial" w:eastAsia="Arial" w:hAnsi="Arial"/>
          <w:sz w:val="20"/>
          <w:szCs w:val="20"/>
          <w:color w:val="auto"/>
        </w:rPr>
      </w:pPr>
    </w:p>
    <w:p>
      <w:pPr>
        <w:ind w:left="642" w:hanging="318"/>
        <w:spacing w:after="0"/>
        <w:tabs>
          <w:tab w:leader="none" w:pos="642" w:val="left"/>
        </w:tabs>
        <w:numPr>
          <w:ilvl w:val="1"/>
          <w:numId w:val="366"/>
        </w:numPr>
        <w:rPr>
          <w:rFonts w:ascii="Arial" w:cs="Arial" w:eastAsia="Arial" w:hAnsi="Arial"/>
          <w:sz w:val="20"/>
          <w:szCs w:val="20"/>
          <w:color w:val="auto"/>
        </w:rPr>
      </w:pPr>
      <w:r>
        <w:rPr>
          <w:rFonts w:ascii="Arial" w:cs="Arial" w:eastAsia="Arial" w:hAnsi="Arial"/>
          <w:sz w:val="20"/>
          <w:szCs w:val="20"/>
          <w:color w:val="auto"/>
        </w:rPr>
        <w:t>Dropped it; or</w:t>
      </w:r>
    </w:p>
    <w:p>
      <w:pPr>
        <w:spacing w:after="0" w:line="8" w:lineRule="exact"/>
        <w:rPr>
          <w:rFonts w:ascii="Arial" w:cs="Arial" w:eastAsia="Arial" w:hAnsi="Arial"/>
          <w:sz w:val="20"/>
          <w:szCs w:val="20"/>
          <w:color w:val="auto"/>
        </w:rPr>
      </w:pPr>
    </w:p>
    <w:p>
      <w:pPr>
        <w:ind w:left="642" w:hanging="318"/>
        <w:spacing w:after="0"/>
        <w:tabs>
          <w:tab w:leader="none" w:pos="642" w:val="left"/>
        </w:tabs>
        <w:numPr>
          <w:ilvl w:val="1"/>
          <w:numId w:val="366"/>
        </w:numPr>
        <w:rPr>
          <w:rFonts w:ascii="Arial" w:cs="Arial" w:eastAsia="Arial" w:hAnsi="Arial"/>
          <w:sz w:val="20"/>
          <w:szCs w:val="20"/>
          <w:color w:val="auto"/>
        </w:rPr>
      </w:pPr>
      <w:r>
        <w:rPr>
          <w:rFonts w:ascii="Arial" w:cs="Arial" w:eastAsia="Arial" w:hAnsi="Arial"/>
          <w:sz w:val="20"/>
          <w:szCs w:val="20"/>
          <w:color w:val="auto"/>
        </w:rPr>
        <w:t>Failed to make a proper request for it.</w:t>
      </w:r>
    </w:p>
    <w:p>
      <w:pPr>
        <w:spacing w:after="0" w:line="207" w:lineRule="exact"/>
        <w:rPr>
          <w:sz w:val="20"/>
          <w:szCs w:val="20"/>
          <w:color w:val="auto"/>
        </w:rPr>
      </w:pPr>
    </w:p>
    <w:p>
      <w:pPr>
        <w:ind w:left="2" w:right="120"/>
        <w:spacing w:after="0" w:line="253" w:lineRule="auto"/>
        <w:rPr>
          <w:sz w:val="20"/>
          <w:szCs w:val="20"/>
          <w:color w:val="auto"/>
        </w:rPr>
      </w:pPr>
      <w:r>
        <w:rPr>
          <w:rFonts w:ascii="Arial" w:cs="Arial" w:eastAsia="Arial" w:hAnsi="Arial"/>
          <w:sz w:val="20"/>
          <w:szCs w:val="20"/>
          <w:color w:val="auto"/>
        </w:rPr>
        <w:t xml:space="preserve">If you are eligible for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the plan coordinates the benefits it pays with the benefits that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pays. Sometimes,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is the primary payor, which means that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pays benefits before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pays benefits. Under other circumstances,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is the secondary payor, and pays benefits after </w:t>
      </w:r>
      <w:r>
        <w:rPr>
          <w:rFonts w:ascii="Arial" w:cs="Arial" w:eastAsia="Arial" w:hAnsi="Arial"/>
          <w:sz w:val="20"/>
          <w:szCs w:val="20"/>
          <w:b w:val="1"/>
          <w:bCs w:val="1"/>
          <w:color w:val="auto"/>
        </w:rPr>
        <w:t>Medicare</w:t>
      </w:r>
      <w:r>
        <w:rPr>
          <w:rFonts w:ascii="Arial" w:cs="Arial" w:eastAsia="Arial" w:hAnsi="Arial"/>
          <w:sz w:val="20"/>
          <w:szCs w:val="20"/>
          <w:color w:val="auto"/>
        </w:rPr>
        <w:t>.</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32"/>
          <w:szCs w:val="32"/>
          <w:b w:val="1"/>
          <w:bCs w:val="1"/>
          <w:color w:val="auto"/>
        </w:rPr>
        <w:t>Which Plan Pays First</w:t>
      </w:r>
    </w:p>
    <w:p>
      <w:pPr>
        <w:spacing w:after="0" w:line="231" w:lineRule="exact"/>
        <w:rPr>
          <w:sz w:val="20"/>
          <w:szCs w:val="20"/>
          <w:color w:val="auto"/>
        </w:rPr>
      </w:pPr>
    </w:p>
    <w:p>
      <w:pPr>
        <w:ind w:left="2" w:right="260"/>
        <w:spacing w:after="0" w:line="267" w:lineRule="auto"/>
        <w:rPr>
          <w:sz w:val="20"/>
          <w:szCs w:val="20"/>
          <w:color w:val="auto"/>
        </w:rPr>
      </w:pPr>
      <w:r>
        <w:rPr>
          <w:rFonts w:ascii="Arial" w:cs="Arial" w:eastAsia="Arial" w:hAnsi="Arial"/>
          <w:sz w:val="20"/>
          <w:szCs w:val="20"/>
          <w:color w:val="auto"/>
        </w:rPr>
        <w:t xml:space="preserve">The plan is the primary payor when your coverage for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’s benefits is based on current employment with your employer.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will act as the primary payor for the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beneficiary who is eligible for </w:t>
      </w:r>
      <w:r>
        <w:rPr>
          <w:rFonts w:ascii="Arial" w:cs="Arial" w:eastAsia="Arial" w:hAnsi="Arial"/>
          <w:sz w:val="20"/>
          <w:szCs w:val="20"/>
          <w:b w:val="1"/>
          <w:bCs w:val="1"/>
          <w:color w:val="auto"/>
        </w:rPr>
        <w:t>Medicare</w:t>
      </w:r>
      <w:r>
        <w:rPr>
          <w:rFonts w:ascii="Arial" w:cs="Arial" w:eastAsia="Arial" w:hAnsi="Arial"/>
          <w:sz w:val="20"/>
          <w:szCs w:val="20"/>
          <w:color w:val="auto"/>
        </w:rPr>
        <w:t>:</w:t>
      </w:r>
    </w:p>
    <w:p>
      <w:pPr>
        <w:spacing w:after="0" w:line="164" w:lineRule="exact"/>
        <w:rPr>
          <w:sz w:val="20"/>
          <w:szCs w:val="20"/>
          <w:color w:val="auto"/>
        </w:rPr>
      </w:pPr>
    </w:p>
    <w:p>
      <w:pPr>
        <w:ind w:left="322" w:right="660" w:hanging="322"/>
        <w:spacing w:after="0" w:line="251" w:lineRule="auto"/>
        <w:tabs>
          <w:tab w:leader="none" w:pos="322"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Solely due to age if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is subject to the Social Security Act requirements for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with respect to working aged (i.e., generally a plan of an employer with 20 or more employees);</w:t>
      </w:r>
    </w:p>
    <w:p>
      <w:pPr>
        <w:ind w:left="322" w:hanging="322"/>
        <w:spacing w:after="0" w:line="239" w:lineRule="auto"/>
        <w:tabs>
          <w:tab w:leader="none" w:pos="322"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Due to diagnosis of end stage renal disease, but only during the first 30 months of such eligibility for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benefits. This provision does not apply if, at the start of eligibility, you were already eligible for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benefits, and the </w:t>
      </w:r>
      <w:r>
        <w:rPr>
          <w:rFonts w:ascii="Arial" w:cs="Arial" w:eastAsia="Arial" w:hAnsi="Arial"/>
          <w:sz w:val="20"/>
          <w:szCs w:val="20"/>
          <w:b w:val="1"/>
          <w:bCs w:val="1"/>
          <w:color w:val="auto"/>
        </w:rPr>
        <w:t>plan</w:t>
      </w:r>
      <w:r>
        <w:rPr>
          <w:rFonts w:ascii="Arial" w:cs="Arial" w:eastAsia="Arial" w:hAnsi="Arial"/>
          <w:sz w:val="20"/>
          <w:szCs w:val="20"/>
          <w:color w:val="auto"/>
        </w:rPr>
        <w:t>’s benefits were payable on a secondary basis;</w:t>
      </w:r>
    </w:p>
    <w:p>
      <w:pPr>
        <w:spacing w:after="0" w:line="1" w:lineRule="exact"/>
        <w:rPr>
          <w:rFonts w:ascii="Arial" w:cs="Arial" w:eastAsia="Arial" w:hAnsi="Arial"/>
          <w:sz w:val="20"/>
          <w:szCs w:val="20"/>
          <w:color w:val="auto"/>
        </w:rPr>
      </w:pPr>
    </w:p>
    <w:p>
      <w:pPr>
        <w:ind w:left="322" w:right="180" w:hanging="322"/>
        <w:spacing w:after="0" w:line="269" w:lineRule="auto"/>
        <w:tabs>
          <w:tab w:leader="none" w:pos="322" w:val="left"/>
        </w:tabs>
        <w:numPr>
          <w:ilvl w:val="0"/>
          <w:numId w:val="367"/>
        </w:numPr>
        <w:rPr>
          <w:rFonts w:ascii="Arial" w:cs="Arial" w:eastAsia="Arial" w:hAnsi="Arial"/>
          <w:sz w:val="19"/>
          <w:szCs w:val="19"/>
          <w:color w:val="auto"/>
        </w:rPr>
      </w:pPr>
      <w:r>
        <w:rPr>
          <w:rFonts w:ascii="Arial" w:cs="Arial" w:eastAsia="Arial" w:hAnsi="Arial"/>
          <w:sz w:val="19"/>
          <w:szCs w:val="19"/>
          <w:color w:val="auto"/>
        </w:rPr>
        <w:t xml:space="preserve">Solely due to any disability other than end stage renal disease; but only if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meets the definition of a large group health plan as outlined in the Internal Revenue Code (i.e., generally a plan of an employer with 100 or more employees).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plan is the secondary payor in all other circumstances.</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32"/>
          <w:szCs w:val="32"/>
          <w:b w:val="1"/>
          <w:bCs w:val="1"/>
          <w:color w:val="auto"/>
        </w:rPr>
        <w:t>How Coordination With Medicare Works</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When the Plan is Primary</w:t>
      </w:r>
    </w:p>
    <w:p>
      <w:pPr>
        <w:spacing w:after="0" w:line="17"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pays benefits first when it is the primary payor. You may then submit your claim to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for consideration.</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When Medicare is Primary</w:t>
      </w:r>
    </w:p>
    <w:p>
      <w:pPr>
        <w:spacing w:after="0" w:line="28" w:lineRule="exact"/>
        <w:rPr>
          <w:sz w:val="20"/>
          <w:szCs w:val="20"/>
          <w:color w:val="auto"/>
        </w:rPr>
      </w:pPr>
    </w:p>
    <w:p>
      <w:pPr>
        <w:ind w:left="2" w:right="2080"/>
        <w:spacing w:after="0" w:line="247" w:lineRule="auto"/>
        <w:rPr>
          <w:sz w:val="20"/>
          <w:szCs w:val="20"/>
          <w:color w:val="auto"/>
        </w:rPr>
      </w:pPr>
      <w:r>
        <w:rPr>
          <w:rFonts w:ascii="Arial" w:cs="Arial" w:eastAsia="Arial" w:hAnsi="Arial"/>
          <w:sz w:val="20"/>
          <w:szCs w:val="20"/>
          <w:color w:val="auto"/>
        </w:rPr>
        <w:t xml:space="preserve">Your health care expense must be considered for payment by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first. You may then submit the expense to </w:t>
      </w:r>
      <w:r>
        <w:rPr>
          <w:rFonts w:ascii="Arial" w:cs="Arial" w:eastAsia="Arial" w:hAnsi="Arial"/>
          <w:sz w:val="20"/>
          <w:szCs w:val="20"/>
          <w:b w:val="1"/>
          <w:bCs w:val="1"/>
          <w:color w:val="auto"/>
        </w:rPr>
        <w:t xml:space="preserve">Aetna </w:t>
      </w:r>
      <w:r>
        <w:rPr>
          <w:rFonts w:ascii="Arial" w:cs="Arial" w:eastAsia="Arial" w:hAnsi="Arial"/>
          <w:sz w:val="20"/>
          <w:szCs w:val="20"/>
          <w:color w:val="auto"/>
        </w:rPr>
        <w:t>for consideration.</w:t>
      </w:r>
    </w:p>
    <w:p>
      <w:pPr>
        <w:sectPr>
          <w:pgSz w:w="11900" w:h="16838" w:orient="portrait"/>
          <w:cols w:equalWidth="0" w:num="1">
            <w:col w:w="11082"/>
          </w:cols>
          <w:pgMar w:left="518" w:top="507" w:right="299" w:bottom="1440" w:gutter="0" w:footer="0" w:header="0"/>
        </w:sectPr>
      </w:pPr>
    </w:p>
    <w:bookmarkStart w:id="257" w:name="page258"/>
    <w:bookmarkEnd w:id="257"/>
    <w:p>
      <w:pPr>
        <w:spacing w:after="0"/>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will calculate the benefits the</w:t>
      </w:r>
      <w:r>
        <w:rPr>
          <w:rFonts w:ascii="Arial" w:cs="Arial" w:eastAsia="Arial" w:hAnsi="Arial"/>
          <w:sz w:val="20"/>
          <w:szCs w:val="20"/>
          <w:b w:val="1"/>
          <w:bCs w:val="1"/>
          <w:color w:val="auto"/>
        </w:rPr>
        <w:t xml:space="preserve"> plan </w:t>
      </w:r>
      <w:r>
        <w:rPr>
          <w:rFonts w:ascii="Arial" w:cs="Arial" w:eastAsia="Arial" w:hAnsi="Arial"/>
          <w:sz w:val="20"/>
          <w:szCs w:val="20"/>
          <w:color w:val="auto"/>
        </w:rPr>
        <w:t>would pay in the absence of</w:t>
      </w:r>
      <w:r>
        <w:rPr>
          <w:rFonts w:ascii="Arial" w:cs="Arial" w:eastAsia="Arial" w:hAnsi="Arial"/>
          <w:sz w:val="20"/>
          <w:szCs w:val="20"/>
          <w:b w:val="1"/>
          <w:bCs w:val="1"/>
          <w:color w:val="auto"/>
        </w:rPr>
        <w:t xml:space="preserve"> Medicare</w:t>
      </w:r>
      <w:r>
        <w:rPr>
          <w:rFonts w:ascii="Arial" w:cs="Arial" w:eastAsia="Arial" w:hAnsi="Arial"/>
          <w:sz w:val="20"/>
          <w:szCs w:val="20"/>
          <w:color w:val="auto"/>
        </w:rPr>
        <w: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 xml:space="preserve">The amount will be reduced so that when combined with the amount paid by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the total benefits paid or provided by all plans for the claim do not exceed 100 % of the total </w:t>
      </w:r>
      <w:r>
        <w:rPr>
          <w:rFonts w:ascii="Arial" w:cs="Arial" w:eastAsia="Arial" w:hAnsi="Arial"/>
          <w:sz w:val="20"/>
          <w:szCs w:val="20"/>
          <w:b w:val="1"/>
          <w:bCs w:val="1"/>
          <w:color w:val="auto"/>
        </w:rPr>
        <w:t>allowable expense</w:t>
      </w:r>
      <w:r>
        <w:rPr>
          <w:rFonts w:ascii="Arial" w:cs="Arial" w:eastAsia="Arial" w:hAnsi="Arial"/>
          <w:sz w:val="20"/>
          <w:szCs w:val="20"/>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This review is done on a claim-by-claim basis.</w:t>
      </w:r>
    </w:p>
    <w:p>
      <w:pPr>
        <w:spacing w:after="0" w:line="223" w:lineRule="exact"/>
        <w:rPr>
          <w:sz w:val="20"/>
          <w:szCs w:val="20"/>
          <w:color w:val="auto"/>
        </w:rPr>
      </w:pPr>
    </w:p>
    <w:p>
      <w:pPr>
        <w:ind w:right="400"/>
        <w:spacing w:after="0" w:line="267" w:lineRule="auto"/>
        <w:rPr>
          <w:sz w:val="20"/>
          <w:szCs w:val="20"/>
          <w:color w:val="auto"/>
        </w:rPr>
      </w:pPr>
      <w:r>
        <w:rPr>
          <w:rFonts w:ascii="Arial" w:cs="Arial" w:eastAsia="Arial" w:hAnsi="Arial"/>
          <w:sz w:val="20"/>
          <w:szCs w:val="20"/>
          <w:color w:val="auto"/>
        </w:rPr>
        <w:t xml:space="preserve">Charges used to satisfy your Part B deductible under </w:t>
      </w:r>
      <w:r>
        <w:rPr>
          <w:rFonts w:ascii="Arial" w:cs="Arial" w:eastAsia="Arial" w:hAnsi="Arial"/>
          <w:sz w:val="20"/>
          <w:szCs w:val="20"/>
          <w:b w:val="1"/>
          <w:bCs w:val="1"/>
          <w:color w:val="auto"/>
        </w:rPr>
        <w:t>Medicare</w:t>
      </w:r>
      <w:r>
        <w:rPr>
          <w:rFonts w:ascii="Arial" w:cs="Arial" w:eastAsia="Arial" w:hAnsi="Arial"/>
          <w:sz w:val="20"/>
          <w:szCs w:val="20"/>
          <w:color w:val="auto"/>
        </w:rPr>
        <w:t xml:space="preserve"> will be applied under the </w:t>
      </w:r>
      <w:r>
        <w:rPr>
          <w:rFonts w:ascii="Arial" w:cs="Arial" w:eastAsia="Arial" w:hAnsi="Arial"/>
          <w:sz w:val="20"/>
          <w:szCs w:val="20"/>
          <w:b w:val="1"/>
          <w:bCs w:val="1"/>
          <w:color w:val="auto"/>
        </w:rPr>
        <w:t>plan</w:t>
      </w:r>
      <w:r>
        <w:rPr>
          <w:rFonts w:ascii="Arial" w:cs="Arial" w:eastAsia="Arial" w:hAnsi="Arial"/>
          <w:sz w:val="20"/>
          <w:szCs w:val="20"/>
          <w:color w:val="auto"/>
        </w:rPr>
        <w:t xml:space="preserve"> in the order received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w:t>
      </w:r>
      <w:r>
        <w:rPr>
          <w:rFonts w:ascii="Arial" w:cs="Arial" w:eastAsia="Arial" w:hAnsi="Arial"/>
          <w:sz w:val="20"/>
          <w:szCs w:val="20"/>
          <w:b w:val="1"/>
          <w:bCs w:val="1"/>
          <w:color w:val="auto"/>
        </w:rPr>
        <w:t>Aetna</w:t>
      </w:r>
      <w:r>
        <w:rPr>
          <w:rFonts w:ascii="Arial" w:cs="Arial" w:eastAsia="Arial" w:hAnsi="Arial"/>
          <w:sz w:val="20"/>
          <w:szCs w:val="20"/>
          <w:color w:val="auto"/>
        </w:rPr>
        <w:t xml:space="preserve"> will apply the largest charge first when two or more charges are received at the same time.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will apply any rule for coordinating health care benefits after determining the benefits payable.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Right to Receive and Release Required Information </w:t>
      </w:r>
      <w:r>
        <w:rPr>
          <w:rFonts w:ascii="Arial" w:cs="Arial" w:eastAsia="Arial" w:hAnsi="Arial"/>
          <w:sz w:val="14"/>
          <w:szCs w:val="14"/>
          <w:i w:val="1"/>
          <w:iCs w:val="1"/>
          <w:color w:val="auto"/>
        </w:rPr>
        <w:t>(GR-9N-33-025-01)</w:t>
      </w:r>
    </w:p>
    <w:p>
      <w:pPr>
        <w:spacing w:after="0" w:line="4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Certain facts about health care coverage and services are required to apply coordination of benefits (COB) rules to determine benefits under </w:t>
      </w:r>
      <w:r>
        <w:rPr>
          <w:rFonts w:ascii="Arial" w:cs="Arial" w:eastAsia="Arial" w:hAnsi="Arial"/>
          <w:sz w:val="20"/>
          <w:szCs w:val="20"/>
          <w:b w:val="1"/>
          <w:bCs w:val="1"/>
          <w:color w:val="auto"/>
        </w:rPr>
        <w:t xml:space="preserve">This Plan </w:t>
      </w:r>
      <w:r>
        <w:rPr>
          <w:rFonts w:ascii="Arial" w:cs="Arial" w:eastAsia="Arial" w:hAnsi="Arial"/>
          <w:sz w:val="20"/>
          <w:szCs w:val="20"/>
          <w:color w:val="auto"/>
        </w:rPr>
        <w:t>and other</w:t>
      </w:r>
      <w:r>
        <w:rPr>
          <w:rFonts w:ascii="Arial" w:cs="Arial" w:eastAsia="Arial" w:hAnsi="Arial"/>
          <w:sz w:val="20"/>
          <w:szCs w:val="20"/>
          <w:b w:val="1"/>
          <w:bCs w:val="1"/>
          <w:color w:val="auto"/>
        </w:rPr>
        <w:t xml:space="preserve"> plans</w:t>
      </w:r>
      <w:r>
        <w:rPr>
          <w:rFonts w:ascii="Arial" w:cs="Arial" w:eastAsia="Arial" w:hAnsi="Arial"/>
          <w:sz w:val="20"/>
          <w:szCs w:val="20"/>
          <w:color w:val="auto"/>
        </w:rPr>
        <w:t>.</w:t>
      </w:r>
      <w:r>
        <w:rPr>
          <w:rFonts w:ascii="Arial" w:cs="Arial" w:eastAsia="Arial" w:hAnsi="Arial"/>
          <w:sz w:val="20"/>
          <w:szCs w:val="20"/>
          <w:b w:val="1"/>
          <w:bCs w:val="1"/>
          <w:color w:val="auto"/>
        </w:rPr>
        <w:t xml:space="preserve"> Aetna </w:t>
      </w:r>
      <w:r>
        <w:rPr>
          <w:rFonts w:ascii="Arial" w:cs="Arial" w:eastAsia="Arial" w:hAnsi="Arial"/>
          <w:sz w:val="20"/>
          <w:szCs w:val="20"/>
          <w:color w:val="auto"/>
        </w:rPr>
        <w:t>has the right to obtain or release any information, and make or recover any payments it considers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in order to administer this provision.</w:t>
      </w:r>
    </w:p>
    <w:p>
      <w:pPr>
        <w:sectPr>
          <w:pgSz w:w="11900" w:h="16838" w:orient="portrait"/>
          <w:cols w:equalWidth="0" w:num="1">
            <w:col w:w="11300"/>
          </w:cols>
          <w:pgMar w:left="320" w:top="428" w:right="279" w:bottom="1440" w:gutter="0" w:footer="0" w:header="0"/>
        </w:sectPr>
      </w:pPr>
    </w:p>
    <w:bookmarkStart w:id="258" w:name="page259"/>
    <w:bookmarkEnd w:id="258"/>
    <w:p>
      <w:pPr>
        <w:spacing w:after="0"/>
        <w:rPr>
          <w:sz w:val="20"/>
          <w:szCs w:val="20"/>
          <w:color w:val="auto"/>
        </w:rPr>
      </w:pPr>
      <w:r>
        <w:rPr>
          <w:rFonts w:ascii="Arial" w:cs="Arial" w:eastAsia="Arial" w:hAnsi="Arial"/>
          <w:sz w:val="43"/>
          <w:szCs w:val="43"/>
          <w:b w:val="1"/>
          <w:bCs w:val="1"/>
          <w:color w:val="auto"/>
        </w:rPr>
        <w:t xml:space="preserve">General Provisions </w:t>
      </w:r>
      <w:r>
        <w:rPr>
          <w:rFonts w:ascii="Arial" w:cs="Arial" w:eastAsia="Arial" w:hAnsi="Arial"/>
          <w:sz w:val="14"/>
          <w:szCs w:val="14"/>
          <w:i w:val="1"/>
          <w:iCs w:val="1"/>
          <w:color w:val="auto"/>
        </w:rPr>
        <w:t>(GR-9N-32-005-02 VA)</w:t>
      </w:r>
    </w:p>
    <w:p>
      <w:pPr>
        <w:spacing w:after="0" w:line="34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Type of Coverage</w:t>
      </w:r>
    </w:p>
    <w:p>
      <w:pPr>
        <w:spacing w:after="0" w:line="231"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auto"/>
        </w:rPr>
        <w:t xml:space="preserve">Coverage under the plan is </w:t>
      </w:r>
      <w:r>
        <w:rPr>
          <w:rFonts w:ascii="Arial" w:cs="Arial" w:eastAsia="Arial" w:hAnsi="Arial"/>
          <w:sz w:val="20"/>
          <w:szCs w:val="20"/>
          <w:b w:val="1"/>
          <w:bCs w:val="1"/>
          <w:color w:val="auto"/>
        </w:rPr>
        <w:t>non-occupational</w:t>
      </w:r>
      <w:r>
        <w:rPr>
          <w:rFonts w:ascii="Arial" w:cs="Arial" w:eastAsia="Arial" w:hAnsi="Arial"/>
          <w:sz w:val="20"/>
          <w:szCs w:val="20"/>
          <w:color w:val="auto"/>
        </w:rPr>
        <w:t xml:space="preserve">. Only </w:t>
      </w:r>
      <w:r>
        <w:rPr>
          <w:rFonts w:ascii="Arial" w:cs="Arial" w:eastAsia="Arial" w:hAnsi="Arial"/>
          <w:sz w:val="20"/>
          <w:szCs w:val="20"/>
          <w:b w:val="1"/>
          <w:bCs w:val="1"/>
          <w:color w:val="auto"/>
        </w:rPr>
        <w:t>non-occupational</w:t>
      </w:r>
      <w:r>
        <w:rPr>
          <w:rFonts w:ascii="Arial" w:cs="Arial" w:eastAsia="Arial" w:hAnsi="Arial"/>
          <w:sz w:val="20"/>
          <w:szCs w:val="20"/>
          <w:color w:val="auto"/>
        </w:rPr>
        <w:t xml:space="preserve"> accidental </w:t>
      </w:r>
      <w:r>
        <w:rPr>
          <w:rFonts w:ascii="Arial" w:cs="Arial" w:eastAsia="Arial" w:hAnsi="Arial"/>
          <w:sz w:val="20"/>
          <w:szCs w:val="20"/>
          <w:b w:val="1"/>
          <w:bCs w:val="1"/>
          <w:color w:val="auto"/>
        </w:rPr>
        <w:t>injuries</w:t>
      </w:r>
      <w:r>
        <w:rPr>
          <w:rFonts w:ascii="Arial" w:cs="Arial" w:eastAsia="Arial" w:hAnsi="Arial"/>
          <w:sz w:val="20"/>
          <w:szCs w:val="20"/>
          <w:color w:val="auto"/>
        </w:rPr>
        <w:t xml:space="preserve"> and </w:t>
      </w:r>
      <w:r>
        <w:rPr>
          <w:rFonts w:ascii="Arial" w:cs="Arial" w:eastAsia="Arial" w:hAnsi="Arial"/>
          <w:sz w:val="20"/>
          <w:szCs w:val="20"/>
          <w:b w:val="1"/>
          <w:bCs w:val="1"/>
          <w:color w:val="auto"/>
        </w:rPr>
        <w:t>non-occupational illnesses</w:t>
      </w:r>
      <w:r>
        <w:rPr>
          <w:rFonts w:ascii="Arial" w:cs="Arial" w:eastAsia="Arial" w:hAnsi="Arial"/>
          <w:sz w:val="20"/>
          <w:szCs w:val="20"/>
          <w:color w:val="auto"/>
        </w:rPr>
        <w:t xml:space="preserve"> are covered. The plan covers charges made for services and supplies only while the person is covered under the plan.</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Physical Examinations</w:t>
      </w:r>
    </w:p>
    <w:p>
      <w:pPr>
        <w:spacing w:after="0" w:line="231"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will have the right and opportunity to examine and evaluate any person who is the basis of any claim at all reasonable times while a</w:t>
      </w:r>
      <w:r>
        <w:rPr>
          <w:rFonts w:ascii="Arial" w:cs="Arial" w:eastAsia="Arial" w:hAnsi="Arial"/>
          <w:sz w:val="20"/>
          <w:szCs w:val="20"/>
          <w:b w:val="1"/>
          <w:bCs w:val="1"/>
          <w:color w:val="auto"/>
        </w:rPr>
        <w:t xml:space="preserve"> </w:t>
      </w:r>
      <w:r>
        <w:rPr>
          <w:rFonts w:ascii="Arial" w:cs="Arial" w:eastAsia="Arial" w:hAnsi="Arial"/>
          <w:sz w:val="20"/>
          <w:szCs w:val="20"/>
          <w:color w:val="auto"/>
        </w:rPr>
        <w:t>claim is pending or under review. This will be done at no cost to you.</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Action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 legal action can be brought to recover payment under any benefit after 3 years from the deadline for filing claims.</w:t>
      </w:r>
    </w:p>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will not try to reduce or deny a benefit payment on the grounds that a condition existed before your coverage went into effect, if the</w:t>
      </w:r>
      <w:r>
        <w:rPr>
          <w:rFonts w:ascii="Arial" w:cs="Arial" w:eastAsia="Arial" w:hAnsi="Arial"/>
          <w:sz w:val="20"/>
          <w:szCs w:val="20"/>
          <w:b w:val="1"/>
          <w:bCs w:val="1"/>
          <w:color w:val="auto"/>
        </w:rPr>
        <w:t xml:space="preserve"> </w:t>
      </w:r>
      <w:r>
        <w:rPr>
          <w:rFonts w:ascii="Arial" w:cs="Arial" w:eastAsia="Arial" w:hAnsi="Arial"/>
          <w:sz w:val="20"/>
          <w:szCs w:val="20"/>
          <w:color w:val="auto"/>
        </w:rPr>
        <w:t>loss occurs more than 2 years from the date coverage commenced. This will not apply to conditions excluded from coverage on the date of the loss.</w:t>
      </w:r>
    </w:p>
    <w:p>
      <w:pPr>
        <w:spacing w:after="0" w:line="1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Confidentiality</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Information contained in your medical records and information received from any provider incident to the provider- patient relationship shall be kept confidential in accordance with applicable law. Information may be used or disclosed by </w:t>
      </w:r>
      <w:r>
        <w:rPr>
          <w:rFonts w:ascii="Arial" w:cs="Arial" w:eastAsia="Arial" w:hAnsi="Arial"/>
          <w:sz w:val="18"/>
          <w:szCs w:val="18"/>
          <w:b w:val="1"/>
          <w:bCs w:val="1"/>
          <w:color w:val="auto"/>
        </w:rPr>
        <w:t>Aetna</w:t>
      </w:r>
      <w:r>
        <w:rPr>
          <w:rFonts w:ascii="Arial" w:cs="Arial" w:eastAsia="Arial" w:hAnsi="Arial"/>
          <w:sz w:val="18"/>
          <w:szCs w:val="18"/>
          <w:color w:val="auto"/>
        </w:rPr>
        <w:t xml:space="preserve"> when necessary for your care or treatment, the operation of the plan and administration of this Booklet- Certificate, or other activities, as permitted by applicable law. You can obtain a copy of </w:t>
      </w:r>
      <w:r>
        <w:rPr>
          <w:rFonts w:ascii="Arial" w:cs="Arial" w:eastAsia="Arial" w:hAnsi="Arial"/>
          <w:sz w:val="18"/>
          <w:szCs w:val="18"/>
          <w:b w:val="1"/>
          <w:bCs w:val="1"/>
          <w:color w:val="auto"/>
        </w:rPr>
        <w:t>Aetna</w:t>
      </w:r>
      <w:r>
        <w:rPr>
          <w:rFonts w:ascii="Arial" w:cs="Arial" w:eastAsia="Arial" w:hAnsi="Arial"/>
          <w:sz w:val="18"/>
          <w:szCs w:val="18"/>
          <w:color w:val="auto"/>
        </w:rPr>
        <w:t xml:space="preserve">’s Notice of Information Practices by calling </w:t>
      </w:r>
      <w:r>
        <w:rPr>
          <w:rFonts w:ascii="Arial" w:cs="Arial" w:eastAsia="Arial" w:hAnsi="Arial"/>
          <w:sz w:val="18"/>
          <w:szCs w:val="18"/>
          <w:b w:val="1"/>
          <w:bCs w:val="1"/>
          <w:color w:val="auto"/>
        </w:rPr>
        <w:t>Aetna</w:t>
      </w:r>
      <w:r>
        <w:rPr>
          <w:rFonts w:ascii="Arial" w:cs="Arial" w:eastAsia="Arial" w:hAnsi="Arial"/>
          <w:sz w:val="18"/>
          <w:szCs w:val="18"/>
          <w:color w:val="auto"/>
        </w:rPr>
        <w:t>’s toll-free Member Service telephone.</w:t>
      </w:r>
    </w:p>
    <w:p>
      <w:pPr>
        <w:spacing w:after="0" w:line="1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Provisions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additional provisions apply to your coverage.</w:t>
      </w:r>
    </w:p>
    <w:p>
      <w:pPr>
        <w:spacing w:after="0" w:line="216" w:lineRule="exact"/>
        <w:rPr>
          <w:sz w:val="20"/>
          <w:szCs w:val="20"/>
          <w:color w:val="auto"/>
        </w:rPr>
      </w:pPr>
    </w:p>
    <w:p>
      <w:pPr>
        <w:ind w:left="340" w:hanging="331"/>
        <w:spacing w:after="0" w:line="250" w:lineRule="auto"/>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This Booklet-Certificate applies to coverage only, and does not restrict your ability to receive health care services that are not, or might not be, covered.</w:t>
      </w:r>
    </w:p>
    <w:p>
      <w:pPr>
        <w:ind w:left="340" w:hanging="331"/>
        <w:spacing w:after="0"/>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You cannot receive multiple coverage under the plan because you are connected with more than one employer.</w:t>
      </w:r>
    </w:p>
    <w:p>
      <w:pPr>
        <w:spacing w:after="0" w:line="8" w:lineRule="exact"/>
        <w:rPr>
          <w:rFonts w:ascii="Arial" w:cs="Arial" w:eastAsia="Arial" w:hAnsi="Arial"/>
          <w:sz w:val="20"/>
          <w:szCs w:val="20"/>
          <w:color w:val="auto"/>
        </w:rPr>
      </w:pPr>
    </w:p>
    <w:p>
      <w:pPr>
        <w:ind w:left="340" w:right="200" w:hanging="331"/>
        <w:spacing w:after="0" w:line="239" w:lineRule="auto"/>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In the event of a misstatement of any fact affecting your coverage under the plan, the true facts will be used to determine the coverage in force.</w:t>
      </w:r>
    </w:p>
    <w:p>
      <w:pPr>
        <w:spacing w:after="0" w:line="1" w:lineRule="exact"/>
        <w:rPr>
          <w:rFonts w:ascii="Arial" w:cs="Arial" w:eastAsia="Arial" w:hAnsi="Arial"/>
          <w:sz w:val="20"/>
          <w:szCs w:val="20"/>
          <w:color w:val="auto"/>
        </w:rPr>
      </w:pPr>
    </w:p>
    <w:p>
      <w:pPr>
        <w:ind w:left="340" w:right="100" w:hanging="331"/>
        <w:spacing w:after="0" w:line="252" w:lineRule="auto"/>
        <w:tabs>
          <w:tab w:leader="none" w:pos="340" w:val="left"/>
        </w:tabs>
        <w:numPr>
          <w:ilvl w:val="0"/>
          <w:numId w:val="368"/>
        </w:numPr>
        <w:rPr>
          <w:rFonts w:ascii="Arial" w:cs="Arial" w:eastAsia="Arial" w:hAnsi="Arial"/>
          <w:sz w:val="19"/>
          <w:szCs w:val="19"/>
          <w:color w:val="auto"/>
        </w:rPr>
      </w:pPr>
      <w:r>
        <w:rPr>
          <w:rFonts w:ascii="Arial" w:cs="Arial" w:eastAsia="Arial" w:hAnsi="Arial"/>
          <w:sz w:val="19"/>
          <w:szCs w:val="19"/>
          <w:color w:val="auto"/>
        </w:rPr>
        <w:t xml:space="preserve">This document describes the main features of the plan. Additional provisions are described elsewhere in the </w:t>
      </w:r>
      <w:r>
        <w:rPr>
          <w:rFonts w:ascii="Arial" w:cs="Arial" w:eastAsia="Arial" w:hAnsi="Arial"/>
          <w:sz w:val="19"/>
          <w:szCs w:val="19"/>
          <w:i w:val="1"/>
          <w:iCs w:val="1"/>
          <w:color w:val="auto"/>
        </w:rPr>
        <w:t>group policy</w:t>
      </w:r>
      <w:r>
        <w:rPr>
          <w:rFonts w:ascii="Arial" w:cs="Arial" w:eastAsia="Arial" w:hAnsi="Arial"/>
          <w:sz w:val="19"/>
          <w:szCs w:val="19"/>
          <w:color w:val="auto"/>
        </w:rPr>
        <w:t xml:space="preserve">. If you have any questions about the terms of the plan or about the proper payment of benefits, contact your employer or </w:t>
      </w:r>
      <w:r>
        <w:rPr>
          <w:rFonts w:ascii="Arial" w:cs="Arial" w:eastAsia="Arial" w:hAnsi="Arial"/>
          <w:sz w:val="19"/>
          <w:szCs w:val="19"/>
          <w:b w:val="1"/>
          <w:bCs w:val="1"/>
          <w:color w:val="auto"/>
        </w:rPr>
        <w:t>Aetna</w:t>
      </w:r>
      <w:r>
        <w:rPr>
          <w:rFonts w:ascii="Arial" w:cs="Arial" w:eastAsia="Arial" w:hAnsi="Arial"/>
          <w:sz w:val="19"/>
          <w:szCs w:val="19"/>
          <w:color w:val="auto"/>
        </w:rPr>
        <w:t>.</w:t>
      </w:r>
    </w:p>
    <w:p>
      <w:pPr>
        <w:ind w:left="340" w:right="180" w:hanging="331"/>
        <w:spacing w:after="0" w:line="244" w:lineRule="auto"/>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Your employer hopes to continue the plan indefinitely but, as with all group plans, the plan may be changed or discontinued with respect to your coverage.</w:t>
      </w:r>
    </w:p>
    <w:p>
      <w:pPr>
        <w:sectPr>
          <w:pgSz w:w="11900" w:h="16838" w:orient="portrait"/>
          <w:cols w:equalWidth="0" w:num="1">
            <w:col w:w="11340"/>
          </w:cols>
          <w:pgMar w:left="320" w:top="421" w:right="239" w:bottom="1440" w:gutter="0" w:footer="0" w:header="0"/>
        </w:sectPr>
      </w:pPr>
    </w:p>
    <w:bookmarkStart w:id="259" w:name="page260"/>
    <w:bookmarkEnd w:id="259"/>
    <w:p>
      <w:pPr>
        <w:spacing w:after="0"/>
        <w:rPr>
          <w:sz w:val="20"/>
          <w:szCs w:val="20"/>
          <w:color w:val="auto"/>
        </w:rPr>
      </w:pPr>
      <w:r>
        <w:rPr>
          <w:rFonts w:ascii="Arial" w:cs="Arial" w:eastAsia="Arial" w:hAnsi="Arial"/>
          <w:sz w:val="32"/>
          <w:szCs w:val="32"/>
          <w:b w:val="1"/>
          <w:bCs w:val="1"/>
          <w:color w:val="auto"/>
        </w:rPr>
        <w:t xml:space="preserve">Assignments </w:t>
      </w:r>
      <w:r>
        <w:rPr>
          <w:rFonts w:ascii="Arial" w:cs="Arial" w:eastAsia="Arial" w:hAnsi="Arial"/>
          <w:sz w:val="14"/>
          <w:szCs w:val="14"/>
          <w:i w:val="1"/>
          <w:iCs w:val="1"/>
          <w:color w:val="auto"/>
        </w:rPr>
        <w:t>(GR-9N-32-005-01)</w:t>
      </w:r>
    </w:p>
    <w:p>
      <w:pPr>
        <w:spacing w:after="0" w:line="299"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color w:val="auto"/>
        </w:rPr>
        <w:t xml:space="preserve">Coverage may be assigned only with the written consent of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the extent allowed by law, </w:t>
      </w:r>
      <w:r>
        <w:rPr>
          <w:rFonts w:ascii="Arial" w:cs="Arial" w:eastAsia="Arial" w:hAnsi="Arial"/>
          <w:sz w:val="20"/>
          <w:szCs w:val="20"/>
          <w:b w:val="1"/>
          <w:bCs w:val="1"/>
          <w:color w:val="auto"/>
        </w:rPr>
        <w:t>Aetna</w:t>
      </w:r>
      <w:r>
        <w:rPr>
          <w:rFonts w:ascii="Arial" w:cs="Arial" w:eastAsia="Arial" w:hAnsi="Arial"/>
          <w:sz w:val="20"/>
          <w:szCs w:val="20"/>
          <w:color w:val="auto"/>
        </w:rPr>
        <w:t xml:space="preserve"> will not accept an assignment to a provider or facility including but not limited to, an assignment of:</w:t>
      </w:r>
    </w:p>
    <w:p>
      <w:pPr>
        <w:spacing w:after="0" w:line="170" w:lineRule="exact"/>
        <w:rPr>
          <w:sz w:val="20"/>
          <w:szCs w:val="20"/>
          <w:color w:val="auto"/>
        </w:rPr>
      </w:pPr>
    </w:p>
    <w:p>
      <w:pPr>
        <w:ind w:left="340" w:hanging="331"/>
        <w:spacing w:after="0"/>
        <w:tabs>
          <w:tab w:leader="none" w:pos="34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The benefits due under this group insurance policy;</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The right to receive payments due under this group insurance policy; or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Any claim you make for damages resulting from a breach or alleged breach, of the terms of this group insurance policy.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Misstatements </w:t>
      </w:r>
      <w:r>
        <w:rPr>
          <w:rFonts w:ascii="Arial" w:cs="Arial" w:eastAsia="Arial" w:hAnsi="Arial"/>
          <w:sz w:val="14"/>
          <w:szCs w:val="14"/>
          <w:i w:val="1"/>
          <w:iCs w:val="1"/>
          <w:color w:val="auto"/>
        </w:rPr>
        <w:t>(GR-9N-32-005-03)</w:t>
      </w:r>
    </w:p>
    <w:p>
      <w:pPr>
        <w:spacing w:after="0" w:line="305" w:lineRule="exact"/>
        <w:rPr>
          <w:sz w:val="20"/>
          <w:szCs w:val="20"/>
          <w:color w:val="auto"/>
        </w:rPr>
      </w:pPr>
    </w:p>
    <w:p>
      <w:pPr>
        <w:ind w:right="180"/>
        <w:spacing w:after="0" w:line="386" w:lineRule="auto"/>
        <w:rPr>
          <w:sz w:val="20"/>
          <w:szCs w:val="20"/>
          <w:color w:val="auto"/>
        </w:rPr>
      </w:pPr>
      <w:r>
        <w:rPr>
          <w:rFonts w:ascii="Arial" w:cs="Arial" w:eastAsia="Arial" w:hAnsi="Arial"/>
          <w:sz w:val="16"/>
          <w:szCs w:val="16"/>
          <w:color w:val="auto"/>
        </w:rPr>
        <w:t>If any fact as to the Policyholder or you is found to have been misstated, a fair change in premiums may be made. If the misstatement affects the existence or amount of coverage, the true facts will be used in determining whether coverage is or remains in force and its amount.</w:t>
      </w:r>
    </w:p>
    <w:p>
      <w:pPr>
        <w:spacing w:after="0" w:line="8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 xml:space="preserve">All statements made by the Policyholder or you shall be deemed representations and not warranties. No written statement made by you shall be used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in a contest unless a copy of the statement is or has been furnished to you or your beneficiary, or the person making the claim.</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Aetna’s </w:t>
      </w:r>
      <w:r>
        <w:rPr>
          <w:rFonts w:ascii="Arial" w:cs="Arial" w:eastAsia="Arial" w:hAnsi="Arial"/>
          <w:sz w:val="20"/>
          <w:szCs w:val="20"/>
          <w:color w:val="auto"/>
        </w:rPr>
        <w:t>failure to implement or insist upon compliance with any provision of this policy at any given time or times, shall not constitute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waiver of </w:t>
      </w:r>
      <w:r>
        <w:rPr>
          <w:rFonts w:ascii="Arial" w:cs="Arial" w:eastAsia="Arial" w:hAnsi="Arial"/>
          <w:sz w:val="20"/>
          <w:szCs w:val="20"/>
          <w:b w:val="1"/>
          <w:bCs w:val="1"/>
          <w:color w:val="auto"/>
        </w:rPr>
        <w:t>Aetna’s</w:t>
      </w:r>
      <w:r>
        <w:rPr>
          <w:rFonts w:ascii="Arial" w:cs="Arial" w:eastAsia="Arial" w:hAnsi="Arial"/>
          <w:sz w:val="20"/>
          <w:szCs w:val="20"/>
          <w:color w:val="auto"/>
        </w:rPr>
        <w:t xml:space="preserve"> right to implement or insist upon compliance with that provision at any other time or times. This includes, but is not limited to, the payment of premiums. This applies whether or not the circumstances are the same.</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Incontestability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As to Accident and Health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Except as to a fraudulent misstatement, or issues concerning Premiums due:</w:t>
      </w:r>
    </w:p>
    <w:p>
      <w:pPr>
        <w:spacing w:after="0" w:line="216" w:lineRule="exact"/>
        <w:rPr>
          <w:sz w:val="20"/>
          <w:szCs w:val="20"/>
          <w:color w:val="auto"/>
        </w:rPr>
      </w:pPr>
    </w:p>
    <w:p>
      <w:pPr>
        <w:ind w:left="340" w:hanging="331"/>
        <w:spacing w:after="0" w:line="247" w:lineRule="auto"/>
        <w:tabs>
          <w:tab w:leader="none" w:pos="3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No statement made by the Policyholder or you or your dependent shall be the basis for voiding coverage or denying coverage or be used in defense of a claim unless it is in writing after it has been in force for 2 years from its effective date.</w:t>
      </w:r>
    </w:p>
    <w:p>
      <w:pPr>
        <w:spacing w:after="0" w:line="1" w:lineRule="exact"/>
        <w:rPr>
          <w:rFonts w:ascii="Arial" w:cs="Arial" w:eastAsia="Arial" w:hAnsi="Arial"/>
          <w:sz w:val="20"/>
          <w:szCs w:val="20"/>
          <w:color w:val="auto"/>
        </w:rPr>
      </w:pPr>
    </w:p>
    <w:p>
      <w:pPr>
        <w:ind w:left="340" w:right="380" w:hanging="331"/>
        <w:spacing w:after="0" w:line="239" w:lineRule="auto"/>
        <w:tabs>
          <w:tab w:leader="none" w:pos="3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No statement made by the Policyholder shall be the basis for voiding this Policy after it has been in force for 2 years from its effective date.</w:t>
      </w:r>
    </w:p>
    <w:p>
      <w:pPr>
        <w:spacing w:after="0" w:line="1" w:lineRule="exact"/>
        <w:rPr>
          <w:rFonts w:ascii="Arial" w:cs="Arial" w:eastAsia="Arial" w:hAnsi="Arial"/>
          <w:sz w:val="20"/>
          <w:szCs w:val="20"/>
          <w:color w:val="auto"/>
        </w:rPr>
      </w:pPr>
    </w:p>
    <w:p>
      <w:pPr>
        <w:ind w:left="340" w:right="260" w:hanging="331"/>
        <w:spacing w:after="0" w:line="244" w:lineRule="auto"/>
        <w:tabs>
          <w:tab w:leader="none" w:pos="34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No statement made by you, an eligible employee or your dependent shall be used in defense of a claim for loss incurred or starting after coverage as to which claim is made has been in effect for 2 years.</w:t>
      </w:r>
    </w:p>
    <w:p>
      <w:pPr>
        <w:spacing w:after="0" w:line="1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Recovery of Overpayments </w:t>
      </w:r>
      <w:r>
        <w:rPr>
          <w:rFonts w:ascii="Arial" w:cs="Arial" w:eastAsia="Arial" w:hAnsi="Arial"/>
          <w:sz w:val="14"/>
          <w:szCs w:val="14"/>
          <w:i w:val="1"/>
          <w:iCs w:val="1"/>
          <w:color w:val="auto"/>
        </w:rPr>
        <w:t>(GR-9N-32-015-01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 Coverage</w:t>
      </w:r>
    </w:p>
    <w:p>
      <w:pPr>
        <w:spacing w:after="0" w:line="3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 xml:space="preserve">If a benefit payment is made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or on your behalf, which exceeds the benefit amount that you are entitled to receive,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the right:</w:t>
      </w:r>
    </w:p>
    <w:p>
      <w:pPr>
        <w:spacing w:after="0" w:line="219" w:lineRule="exact"/>
        <w:rPr>
          <w:sz w:val="20"/>
          <w:szCs w:val="20"/>
          <w:color w:val="auto"/>
        </w:rPr>
      </w:pPr>
    </w:p>
    <w:p>
      <w:pPr>
        <w:ind w:left="340" w:hanging="331"/>
        <w:spacing w:after="0"/>
        <w:tabs>
          <w:tab w:leader="none" w:pos="34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To require the return of the overpayment; or</w:t>
      </w:r>
    </w:p>
    <w:p>
      <w:pPr>
        <w:spacing w:after="0" w:line="15" w:lineRule="exact"/>
        <w:rPr>
          <w:rFonts w:ascii="Arial" w:cs="Arial" w:eastAsia="Arial" w:hAnsi="Arial"/>
          <w:sz w:val="20"/>
          <w:szCs w:val="20"/>
          <w:color w:val="auto"/>
        </w:rPr>
      </w:pPr>
    </w:p>
    <w:p>
      <w:pPr>
        <w:ind w:left="340" w:right="260" w:hanging="331"/>
        <w:spacing w:after="0" w:line="244" w:lineRule="auto"/>
        <w:tabs>
          <w:tab w:leader="none" w:pos="34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To reduce by the amount of the overpayment, any future benefit payment made to or on behalf of that person or another person in his or her family.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Such right does not affect any other right of recovery </w:t>
      </w:r>
      <w:r>
        <w:rPr>
          <w:rFonts w:ascii="Arial" w:cs="Arial" w:eastAsia="Arial" w:hAnsi="Arial"/>
          <w:sz w:val="20"/>
          <w:szCs w:val="20"/>
          <w:b w:val="1"/>
          <w:bCs w:val="1"/>
          <w:color w:val="auto"/>
        </w:rPr>
        <w:t>Aetna</w:t>
      </w:r>
      <w:r>
        <w:rPr>
          <w:rFonts w:ascii="Arial" w:cs="Arial" w:eastAsia="Arial" w:hAnsi="Arial"/>
          <w:sz w:val="20"/>
          <w:szCs w:val="20"/>
          <w:color w:val="auto"/>
        </w:rPr>
        <w:t xml:space="preserve"> may have with respect to such overpayment.</w:t>
      </w:r>
    </w:p>
    <w:p>
      <w:pPr>
        <w:sectPr>
          <w:pgSz w:w="11900" w:h="16838" w:orient="portrait"/>
          <w:cols w:equalWidth="0" w:num="1">
            <w:col w:w="11340"/>
          </w:cols>
          <w:pgMar w:left="320" w:top="423" w:right="239" w:bottom="1440" w:gutter="0" w:footer="0" w:header="0"/>
        </w:sectPr>
      </w:pPr>
    </w:p>
    <w:bookmarkStart w:id="260" w:name="page261"/>
    <w:bookmarkEnd w:id="260"/>
    <w:p>
      <w:pPr>
        <w:spacing w:after="0"/>
        <w:rPr>
          <w:sz w:val="20"/>
          <w:szCs w:val="20"/>
          <w:color w:val="auto"/>
        </w:rPr>
      </w:pPr>
      <w:r>
        <w:rPr>
          <w:rFonts w:ascii="Arial" w:cs="Arial" w:eastAsia="Arial" w:hAnsi="Arial"/>
          <w:sz w:val="32"/>
          <w:szCs w:val="32"/>
          <w:b w:val="1"/>
          <w:bCs w:val="1"/>
          <w:color w:val="auto"/>
        </w:rPr>
        <w:t xml:space="preserve">Reporting of Claims </w:t>
      </w:r>
      <w:r>
        <w:rPr>
          <w:rFonts w:ascii="Arial" w:cs="Arial" w:eastAsia="Arial" w:hAnsi="Arial"/>
          <w:sz w:val="14"/>
          <w:szCs w:val="14"/>
          <w:i w:val="1"/>
          <w:iCs w:val="1"/>
          <w:color w:val="auto"/>
        </w:rPr>
        <w:t>(GR-9N-32-020 01-VA)</w:t>
      </w:r>
    </w:p>
    <w:p>
      <w:pPr>
        <w:spacing w:after="0" w:line="299"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color w:val="auto"/>
        </w:rPr>
        <w:t xml:space="preserve">A claim must be submitted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in writing. It must give proof of the nature and extent of the loss. Your employer or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claim forms. </w:t>
      </w:r>
      <w:r>
        <w:rPr>
          <w:rFonts w:ascii="Arial" w:cs="Arial" w:eastAsia="Arial" w:hAnsi="Arial"/>
          <w:sz w:val="20"/>
          <w:szCs w:val="20"/>
          <w:b w:val="1"/>
          <w:bCs w:val="1"/>
          <w:color w:val="auto"/>
        </w:rPr>
        <w:t>Aetna</w:t>
      </w:r>
      <w:r>
        <w:rPr>
          <w:rFonts w:ascii="Arial" w:cs="Arial" w:eastAsia="Arial" w:hAnsi="Arial"/>
          <w:sz w:val="20"/>
          <w:szCs w:val="20"/>
          <w:color w:val="auto"/>
        </w:rPr>
        <w:t xml:space="preserve"> will supply you with a claim form within 15 days of your request.</w:t>
      </w:r>
    </w:p>
    <w:p>
      <w:pPr>
        <w:spacing w:after="0" w:line="177"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color w:val="auto"/>
        </w:rPr>
        <w:t xml:space="preserve">All other claims should be reported promptly. Written notice of a claim must be given to </w:t>
      </w:r>
      <w:r>
        <w:rPr>
          <w:rFonts w:ascii="Arial" w:cs="Arial" w:eastAsia="Arial" w:hAnsi="Arial"/>
          <w:sz w:val="18"/>
          <w:szCs w:val="18"/>
          <w:b w:val="1"/>
          <w:bCs w:val="1"/>
          <w:color w:val="auto"/>
        </w:rPr>
        <w:t>Aetna</w:t>
      </w:r>
      <w:r>
        <w:rPr>
          <w:rFonts w:ascii="Arial" w:cs="Arial" w:eastAsia="Arial" w:hAnsi="Arial"/>
          <w:sz w:val="18"/>
          <w:szCs w:val="18"/>
          <w:color w:val="auto"/>
        </w:rPr>
        <w:t xml:space="preserve"> within 20 days after the occurrence or commencement of any loss covered under this policy. Failure to give notice within that time shall not invalidate or reduce any claim if it can be shown that notice was given as soon as reasonably possible. The deadline for filing a claim is 90 days after the date of the loss.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through no fault of your own, you are not able to meet the deadline for filing claim, your claim will still be accepted if you file as soon as possible. Unless you are legally incapacitated, late claims for health benefits will not be covered if they are filed more than 2 years after the deadline.</w:t>
      </w: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Payment of Benefits </w:t>
      </w:r>
      <w:r>
        <w:rPr>
          <w:rFonts w:ascii="Arial" w:cs="Arial" w:eastAsia="Arial" w:hAnsi="Arial"/>
          <w:sz w:val="14"/>
          <w:szCs w:val="14"/>
          <w:i w:val="1"/>
          <w:iCs w:val="1"/>
          <w:color w:val="auto"/>
        </w:rPr>
        <w:t>(GR-9N-32-005-02-VA)</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Benefits will be paid as soon as the necessary proof to support the claim is received. Written proof must be provided for all benefits.</w:t>
      </w:r>
    </w:p>
    <w:p>
      <w:pPr>
        <w:spacing w:after="0" w:line="235"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auto"/>
        </w:rPr>
        <w:t xml:space="preserve">All benefits are payable to you. However,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the right to pay any health benefits to the service provider. This will be done unless you have told </w:t>
      </w:r>
      <w:r>
        <w:rPr>
          <w:rFonts w:ascii="Arial" w:cs="Arial" w:eastAsia="Arial" w:hAnsi="Arial"/>
          <w:sz w:val="20"/>
          <w:szCs w:val="20"/>
          <w:b w:val="1"/>
          <w:bCs w:val="1"/>
          <w:color w:val="auto"/>
        </w:rPr>
        <w:t>Aetna</w:t>
      </w:r>
      <w:r>
        <w:rPr>
          <w:rFonts w:ascii="Arial" w:cs="Arial" w:eastAsia="Arial" w:hAnsi="Arial"/>
          <w:sz w:val="20"/>
          <w:szCs w:val="20"/>
          <w:color w:val="auto"/>
        </w:rPr>
        <w:t xml:space="preserve"> otherwise by the time you file the claim.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Any unpaid balance will be paid within 30 days of receipt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of the due written proof.</w:t>
      </w:r>
    </w:p>
    <w:p>
      <w:pPr>
        <w:spacing w:after="0" w:line="229"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Aetna </w:t>
      </w:r>
      <w:r>
        <w:rPr>
          <w:rFonts w:ascii="Arial" w:cs="Arial" w:eastAsia="Arial" w:hAnsi="Arial"/>
          <w:sz w:val="18"/>
          <w:szCs w:val="18"/>
          <w:color w:val="auto"/>
        </w:rPr>
        <w:t>may pay up to $5,000 of any other benefit to any of your relatives whom it believes are fairly entitled to it. This can be done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is payable to you and you are a minor or not able to give a valid release. It can also be done if a benefit is payable to your estate.</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Records of Expenses </w:t>
      </w:r>
      <w:r>
        <w:rPr>
          <w:rFonts w:ascii="Arial" w:cs="Arial" w:eastAsia="Arial" w:hAnsi="Arial"/>
          <w:sz w:val="14"/>
          <w:szCs w:val="14"/>
          <w:i w:val="1"/>
          <w:iCs w:val="1"/>
          <w:color w:val="auto"/>
        </w:rPr>
        <w:t>(GR-9N-32-030-02)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Keep complete records of the expenses of each person. They will be required when a claim is made. Very important are:</w:t>
      </w:r>
    </w:p>
    <w:p>
      <w:pPr>
        <w:spacing w:after="0" w:line="129" w:lineRule="exact"/>
        <w:rPr>
          <w:sz w:val="20"/>
          <w:szCs w:val="20"/>
          <w:color w:val="auto"/>
        </w:rPr>
      </w:pPr>
    </w:p>
    <w:p>
      <w:pPr>
        <w:ind w:left="340" w:hanging="331"/>
        <w:spacing w:after="0"/>
        <w:tabs>
          <w:tab w:leader="none" w:pos="34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 xml:space="preserve">Names of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w:t>
      </w:r>
      <w:r>
        <w:rPr>
          <w:rFonts w:ascii="Arial" w:cs="Arial" w:eastAsia="Arial" w:hAnsi="Arial"/>
          <w:sz w:val="20"/>
          <w:szCs w:val="20"/>
          <w:b w:val="1"/>
          <w:bCs w:val="1"/>
          <w:color w:val="auto"/>
        </w:rPr>
        <w:t>dentists</w:t>
      </w:r>
      <w:r>
        <w:rPr>
          <w:rFonts w:ascii="Arial" w:cs="Arial" w:eastAsia="Arial" w:hAnsi="Arial"/>
          <w:sz w:val="20"/>
          <w:szCs w:val="20"/>
          <w:color w:val="auto"/>
        </w:rPr>
        <w:t xml:space="preserve"> and others who furnish services.</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Dates expenses are incurred.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Copies of all bills and receipts.</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Contacting Aetna</w:t>
      </w:r>
    </w:p>
    <w:p>
      <w:pPr>
        <w:spacing w:after="0" w:line="231"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auto"/>
        </w:rPr>
        <w:t xml:space="preserve">If you have questions, comments or concerns about your benefits or coverage, or if you are required to submit information to </w:t>
      </w:r>
      <w:r>
        <w:rPr>
          <w:rFonts w:ascii="Arial" w:cs="Arial" w:eastAsia="Arial" w:hAnsi="Arial"/>
          <w:sz w:val="20"/>
          <w:szCs w:val="20"/>
          <w:b w:val="1"/>
          <w:bCs w:val="1"/>
          <w:color w:val="auto"/>
        </w:rPr>
        <w:t>Aetna</w:t>
      </w:r>
      <w:r>
        <w:rPr>
          <w:rFonts w:ascii="Arial" w:cs="Arial" w:eastAsia="Arial" w:hAnsi="Arial"/>
          <w:sz w:val="20"/>
          <w:szCs w:val="20"/>
          <w:color w:val="auto"/>
        </w:rPr>
        <w:t xml:space="preserve">, you may contact </w:t>
      </w:r>
      <w:r>
        <w:rPr>
          <w:rFonts w:ascii="Arial" w:cs="Arial" w:eastAsia="Arial" w:hAnsi="Arial"/>
          <w:sz w:val="20"/>
          <w:szCs w:val="20"/>
          <w:b w:val="1"/>
          <w:bCs w:val="1"/>
          <w:color w:val="auto"/>
        </w:rPr>
        <w:t>Aetna</w:t>
      </w:r>
      <w:r>
        <w:rPr>
          <w:rFonts w:ascii="Arial" w:cs="Arial" w:eastAsia="Arial" w:hAnsi="Arial"/>
          <w:sz w:val="20"/>
          <w:szCs w:val="20"/>
          <w:color w:val="auto"/>
        </w:rPr>
        <w:t>’s Home Office at: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Aetna Life Insurance Company 151 Farmington Avenue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Hartford, CT 06156</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You may also use </w:t>
      </w:r>
      <w:r>
        <w:rPr>
          <w:rFonts w:ascii="Arial" w:cs="Arial" w:eastAsia="Arial" w:hAnsi="Arial"/>
          <w:sz w:val="19"/>
          <w:szCs w:val="19"/>
          <w:b w:val="1"/>
          <w:bCs w:val="1"/>
          <w:color w:val="auto"/>
        </w:rPr>
        <w:t>Aetna</w:t>
      </w:r>
      <w:r>
        <w:rPr>
          <w:rFonts w:ascii="Arial" w:cs="Arial" w:eastAsia="Arial" w:hAnsi="Arial"/>
          <w:sz w:val="19"/>
          <w:szCs w:val="19"/>
          <w:color w:val="auto"/>
        </w:rPr>
        <w:t xml:space="preserve">’s toll free Member Services phone number on your ID card or visit </w:t>
      </w:r>
      <w:r>
        <w:rPr>
          <w:rFonts w:ascii="Arial" w:cs="Arial" w:eastAsia="Arial" w:hAnsi="Arial"/>
          <w:sz w:val="19"/>
          <w:szCs w:val="19"/>
          <w:b w:val="1"/>
          <w:bCs w:val="1"/>
          <w:color w:val="auto"/>
        </w:rPr>
        <w:t>Aetna</w:t>
      </w:r>
      <w:r>
        <w:rPr>
          <w:rFonts w:ascii="Arial" w:cs="Arial" w:eastAsia="Arial" w:hAnsi="Arial"/>
          <w:sz w:val="19"/>
          <w:szCs w:val="19"/>
          <w:color w:val="auto"/>
        </w:rPr>
        <w:t xml:space="preserve">’s web site at </w:t>
      </w:r>
      <w:r>
        <w:rPr>
          <w:rFonts w:ascii="Arial" w:cs="Arial" w:eastAsia="Arial" w:hAnsi="Arial"/>
          <w:sz w:val="19"/>
          <w:szCs w:val="19"/>
          <w:u w:val="single" w:color="auto"/>
          <w:color w:val="0000FF"/>
        </w:rPr>
        <w:t>www.aetna.com</w:t>
      </w:r>
      <w:r>
        <w:rPr>
          <w:rFonts w:ascii="Arial" w:cs="Arial" w:eastAsia="Arial" w:hAnsi="Arial"/>
          <w:sz w:val="19"/>
          <w:szCs w:val="19"/>
          <w:color w:val="auto"/>
        </w:rPr>
        <w:t>.</w:t>
      </w:r>
    </w:p>
    <w:p>
      <w:pPr>
        <w:sectPr>
          <w:pgSz w:w="11900" w:h="16838" w:orient="portrait"/>
          <w:cols w:equalWidth="0" w:num="1">
            <w:col w:w="11340"/>
          </w:cols>
          <w:pgMar w:left="320" w:top="422" w:right="239" w:bottom="1440" w:gutter="0" w:footer="0" w:header="0"/>
        </w:sectPr>
      </w:pPr>
    </w:p>
    <w:bookmarkStart w:id="261" w:name="page262"/>
    <w:bookmarkEnd w:id="261"/>
    <w:p>
      <w:pPr>
        <w:spacing w:after="0"/>
        <w:rPr>
          <w:sz w:val="20"/>
          <w:szCs w:val="20"/>
          <w:color w:val="auto"/>
        </w:rPr>
      </w:pPr>
      <w:r>
        <w:rPr>
          <w:rFonts w:ascii="Arial" w:cs="Arial" w:eastAsia="Arial" w:hAnsi="Arial"/>
          <w:sz w:val="32"/>
          <w:szCs w:val="32"/>
          <w:b w:val="1"/>
          <w:bCs w:val="1"/>
          <w:color w:val="auto"/>
        </w:rPr>
        <w:t xml:space="preserve">Effect of Benefits Under Other Plans </w:t>
      </w:r>
      <w:r>
        <w:rPr>
          <w:rFonts w:ascii="Arial" w:cs="Arial" w:eastAsia="Arial" w:hAnsi="Arial"/>
          <w:sz w:val="14"/>
          <w:szCs w:val="14"/>
          <w:i w:val="1"/>
          <w:iCs w:val="1"/>
          <w:color w:val="auto"/>
        </w:rPr>
        <w:t>(GR-9N 32-035-01)</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of An Health Maintenance Organization Plan (HMO Plan) On Coverage</w:t>
      </w:r>
    </w:p>
    <w:p>
      <w:pPr>
        <w:spacing w:after="0" w:line="3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If you are in an eligible class and have chosen coverage under an HMO Plan offered by your employer, you will be excluded from medical expense coverage (except Vision Care), if any, on the date of your coverage under such HMO Plan.</w:t>
      </w:r>
    </w:p>
    <w:p>
      <w:pPr>
        <w:spacing w:after="0" w:line="20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If you are in an eligible class and are covered under an HMO Plan, you can choose to change to coverage for yourself and your covered dependents under this plan. If you:</w:t>
      </w:r>
    </w:p>
    <w:p>
      <w:pPr>
        <w:spacing w:after="0" w:line="177" w:lineRule="exact"/>
        <w:rPr>
          <w:sz w:val="20"/>
          <w:szCs w:val="20"/>
          <w:color w:val="auto"/>
        </w:rPr>
      </w:pPr>
    </w:p>
    <w:p>
      <w:pPr>
        <w:ind w:left="340" w:right="180" w:hanging="331"/>
        <w:spacing w:after="0" w:line="275" w:lineRule="auto"/>
        <w:tabs>
          <w:tab w:leader="none" w:pos="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Live in an HMO Plan enrollment area and choose to change coverage during an open enrollment period, coverage will take effect on the group policy anniversary date after the open enrollment period. There will be no rules for waiting periods or preexisting conditions.</w:t>
      </w:r>
    </w:p>
    <w:p>
      <w:pPr>
        <w:ind w:left="340" w:right="360" w:hanging="331"/>
        <w:spacing w:after="0" w:line="239" w:lineRule="auto"/>
        <w:tabs>
          <w:tab w:leader="none" w:pos="34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 xml:space="preserve">Live in an HMO Plan enrollment area and choose to change coverage when there is not an open enrollment period, coverage will take effect only if and when </w:t>
      </w:r>
      <w:r>
        <w:rPr>
          <w:rFonts w:ascii="Arial" w:cs="Arial" w:eastAsia="Arial" w:hAnsi="Arial"/>
          <w:sz w:val="20"/>
          <w:szCs w:val="20"/>
          <w:b w:val="1"/>
          <w:bCs w:val="1"/>
          <w:color w:val="auto"/>
        </w:rPr>
        <w:t>Aetna</w:t>
      </w:r>
      <w:r>
        <w:rPr>
          <w:rFonts w:ascii="Arial" w:cs="Arial" w:eastAsia="Arial" w:hAnsi="Arial"/>
          <w:sz w:val="20"/>
          <w:szCs w:val="20"/>
          <w:color w:val="auto"/>
        </w:rPr>
        <w:t xml:space="preserve"> gives its written consent.</w:t>
      </w:r>
    </w:p>
    <w:p>
      <w:pPr>
        <w:spacing w:after="0" w:line="1" w:lineRule="exact"/>
        <w:rPr>
          <w:rFonts w:ascii="Arial" w:cs="Arial" w:eastAsia="Arial" w:hAnsi="Arial"/>
          <w:sz w:val="20"/>
          <w:szCs w:val="20"/>
          <w:color w:val="auto"/>
        </w:rPr>
      </w:pPr>
    </w:p>
    <w:p>
      <w:pPr>
        <w:ind w:left="340" w:right="80" w:hanging="331"/>
        <w:spacing w:after="0" w:line="241" w:lineRule="auto"/>
        <w:tabs>
          <w:tab w:leader="none" w:pos="34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 xml:space="preserve">Move from an HMO Plan enrollment area or if the HMO discontinues and you choose to change coverage within 31 days of the move or the discontinuance, coverage will take effect on the date you elect such coverage. There will be no restrictions for waiting periods or preexisting conditions. If you choose to change coverage after 31 days, coverage will take effect only if and when </w:t>
      </w:r>
      <w:r>
        <w:rPr>
          <w:rFonts w:ascii="Arial" w:cs="Arial" w:eastAsia="Arial" w:hAnsi="Arial"/>
          <w:sz w:val="20"/>
          <w:szCs w:val="20"/>
          <w:b w:val="1"/>
          <w:bCs w:val="1"/>
          <w:color w:val="auto"/>
        </w:rPr>
        <w:t>Aetna</w:t>
      </w:r>
      <w:r>
        <w:rPr>
          <w:rFonts w:ascii="Arial" w:cs="Arial" w:eastAsia="Arial" w:hAnsi="Arial"/>
          <w:sz w:val="20"/>
          <w:szCs w:val="20"/>
          <w:color w:val="auto"/>
        </w:rPr>
        <w:t xml:space="preserve"> gives its written consent.</w:t>
      </w:r>
    </w:p>
    <w:p>
      <w:pPr>
        <w:spacing w:after="0" w:line="208"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Any extensions of benefits under this plan for disability or pregnancy will not always apply on and after the date of a change to an HMO Plan providing medical coverage. They will apply only if the person is not covered at once under the HMO Plan because he or she is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not affiliated with the HMO. If you give evidence that the HMO Plan provides an extension of benefits for disability or pregnancy, coverage under this plan will be extended. The extension will be for the same length of time and for the same conditions as the HMO Plan provides. It will not be longer than the first to occur of:</w:t>
      </w:r>
    </w:p>
    <w:p>
      <w:pPr>
        <w:spacing w:after="0" w:line="195" w:lineRule="exact"/>
        <w:rPr>
          <w:sz w:val="20"/>
          <w:szCs w:val="20"/>
          <w:color w:val="auto"/>
        </w:rPr>
      </w:pPr>
    </w:p>
    <w:p>
      <w:pPr>
        <w:ind w:left="340" w:hanging="331"/>
        <w:spacing w:after="0"/>
        <w:tabs>
          <w:tab w:leader="none" w:pos="34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end of a 90 day period; and</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date the person is not confined.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No benefits will be paid for any charges for services rendered or supplies furnished under an HMO Plan.</w:t>
      </w: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Effect of Prior Coverage - Transferred Business </w:t>
      </w:r>
      <w:r>
        <w:rPr>
          <w:rFonts w:ascii="Arial" w:cs="Arial" w:eastAsia="Arial" w:hAnsi="Arial"/>
          <w:sz w:val="14"/>
          <w:szCs w:val="14"/>
          <w:i w:val="1"/>
          <w:iCs w:val="1"/>
          <w:color w:val="auto"/>
        </w:rPr>
        <w:t>(GR-9N 32-040 02 VA)</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If your coverage under any part of this plan replaces any prior coverage for you, the rules below apply to that part.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"Prior coverage" is any plan of group coverage that has been replaced by coverage under part or all of this plan; it must have been sponsored by your employer (e.g., transferred business). The replacement can be complete or in part for the eligible class to which you belong. Any such plan is prior coverage if provided by another group contract or any benefit section of this plan.</w:t>
      </w:r>
    </w:p>
    <w:p>
      <w:pPr>
        <w:spacing w:after="0" w:line="18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Coverage under any other section of this plan will be in exchange for all privileges and benefits provided under any like prior coverage. Any benefits provided under such prior coverage may reduce benefits payable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If:</w:t>
      </w:r>
    </w:p>
    <w:p>
      <w:pPr>
        <w:spacing w:after="0" w:line="216" w:lineRule="exact"/>
        <w:rPr>
          <w:sz w:val="20"/>
          <w:szCs w:val="20"/>
          <w:color w:val="auto"/>
        </w:rPr>
      </w:pPr>
    </w:p>
    <w:p>
      <w:pPr>
        <w:ind w:left="340" w:right="80" w:hanging="331"/>
        <w:spacing w:after="0" w:line="247" w:lineRule="auto"/>
        <w:tabs>
          <w:tab w:leader="none" w:pos="34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A dependent child's eligibility under the prior coverage is a result of his or her status as a full-time student at a postsecondary educational institution; and</w:t>
      </w:r>
    </w:p>
    <w:p>
      <w:pPr>
        <w:spacing w:after="0" w:line="1" w:lineRule="exact"/>
        <w:rPr>
          <w:rFonts w:ascii="Arial" w:cs="Arial" w:eastAsia="Arial" w:hAnsi="Arial"/>
          <w:sz w:val="20"/>
          <w:szCs w:val="20"/>
          <w:color w:val="auto"/>
        </w:rPr>
      </w:pPr>
    </w:p>
    <w:p>
      <w:pPr>
        <w:ind w:left="340" w:hanging="331"/>
        <w:spacing w:after="0" w:line="242" w:lineRule="auto"/>
        <w:tabs>
          <w:tab w:leader="none" w:pos="34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Such dependent child is in a period of coverage continuation pursuant to a medically necessary leave of absence from school (or change in full-time student status); and</w:t>
      </w:r>
    </w:p>
    <w:p>
      <w:pPr>
        <w:ind w:left="340" w:hanging="331"/>
        <w:spacing w:after="0"/>
        <w:tabs>
          <w:tab w:leader="none" w:pos="34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This plan provides coverage for eligible dependents;</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coverage under any Major or Comprehensive Medical Expense Coverage section this plan will continue uninterrupted as to such dependent child for the remainder of the continuation period.</w:t>
      </w:r>
    </w:p>
    <w:p>
      <w:pPr>
        <w:sectPr>
          <w:pgSz w:w="11900" w:h="16838" w:orient="portrait"/>
          <w:cols w:equalWidth="0" w:num="1">
            <w:col w:w="11300"/>
          </w:cols>
          <w:pgMar w:left="320" w:top="422" w:right="279" w:bottom="1440" w:gutter="0" w:footer="0" w:header="0"/>
        </w:sectPr>
      </w:pPr>
    </w:p>
    <w:bookmarkStart w:id="262" w:name="page263"/>
    <w:bookmarkEnd w:id="262"/>
    <w:p>
      <w:pPr>
        <w:ind w:right="140"/>
        <w:spacing w:after="0" w:line="248" w:lineRule="auto"/>
        <w:rPr>
          <w:sz w:val="20"/>
          <w:szCs w:val="20"/>
          <w:color w:val="auto"/>
        </w:rPr>
      </w:pPr>
      <w:r>
        <w:rPr>
          <w:rFonts w:ascii="Arial" w:cs="Arial" w:eastAsia="Arial" w:hAnsi="Arial"/>
          <w:sz w:val="20"/>
          <w:szCs w:val="20"/>
          <w:color w:val="auto"/>
        </w:rPr>
        <w:t xml:space="preserve">If part or all of your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under any section of a prior </w:t>
      </w:r>
      <w:r>
        <w:rPr>
          <w:rFonts w:ascii="Arial" w:cs="Arial" w:eastAsia="Arial" w:hAnsi="Arial"/>
          <w:sz w:val="20"/>
          <w:szCs w:val="20"/>
          <w:b w:val="1"/>
          <w:bCs w:val="1"/>
          <w:color w:val="auto"/>
        </w:rPr>
        <w:t>Aetna</w:t>
      </w:r>
      <w:r>
        <w:rPr>
          <w:rFonts w:ascii="Arial" w:cs="Arial" w:eastAsia="Arial" w:hAnsi="Arial"/>
          <w:sz w:val="20"/>
          <w:szCs w:val="20"/>
          <w:color w:val="auto"/>
        </w:rPr>
        <w:t xml:space="preserve"> Major or Comprehensive Medical Expense Insurance Plan has been applied against covered medical expenses incurred by you, your </w:t>
      </w:r>
      <w:r>
        <w:rPr>
          <w:rFonts w:ascii="Arial" w:cs="Arial" w:eastAsia="Arial" w:hAnsi="Arial"/>
          <w:sz w:val="20"/>
          <w:szCs w:val="20"/>
          <w:b w:val="1"/>
          <w:bCs w:val="1"/>
          <w:color w:val="auto"/>
        </w:rPr>
        <w:t>deductible</w:t>
      </w:r>
      <w:r>
        <w:rPr>
          <w:rFonts w:ascii="Arial" w:cs="Arial" w:eastAsia="Arial" w:hAnsi="Arial"/>
          <w:sz w:val="20"/>
          <w:szCs w:val="20"/>
          <w:color w:val="auto"/>
        </w:rPr>
        <w:t xml:space="preserve"> under any Comprehensive Medical Expense Coverage section of this plan will, for the calendar year in which you become covered, be reduced by the amount so applied. This will be done only if such expenses are incurred by you during:</w:t>
      </w:r>
    </w:p>
    <w:p>
      <w:pPr>
        <w:spacing w:after="0" w:line="190" w:lineRule="exact"/>
        <w:rPr>
          <w:sz w:val="20"/>
          <w:szCs w:val="20"/>
          <w:color w:val="auto"/>
        </w:rPr>
      </w:pPr>
    </w:p>
    <w:p>
      <w:pPr>
        <w:ind w:left="340" w:hanging="331"/>
        <w:spacing w:after="0"/>
        <w:tabs>
          <w:tab w:leader="none" w:pos="340" w:val="left"/>
        </w:tabs>
        <w:numPr>
          <w:ilvl w:val="0"/>
          <w:numId w:val="376"/>
        </w:numPr>
        <w:rPr>
          <w:rFonts w:ascii="Arial" w:cs="Arial" w:eastAsia="Arial" w:hAnsi="Arial"/>
          <w:sz w:val="19"/>
          <w:szCs w:val="19"/>
          <w:color w:val="auto"/>
        </w:rPr>
      </w:pPr>
      <w:r>
        <w:rPr>
          <w:rFonts w:ascii="Arial" w:cs="Arial" w:eastAsia="Arial" w:hAnsi="Arial"/>
          <w:sz w:val="19"/>
          <w:szCs w:val="19"/>
          <w:color w:val="auto"/>
        </w:rPr>
        <w:t>The calendar year in which you become covered under any Comprehensive Medical Expense Coverage section of this plan; or</w:t>
      </w:r>
    </w:p>
    <w:p>
      <w:pPr>
        <w:spacing w:after="0" w:line="31" w:lineRule="exact"/>
        <w:rPr>
          <w:rFonts w:ascii="Arial" w:cs="Arial" w:eastAsia="Arial" w:hAnsi="Arial"/>
          <w:sz w:val="19"/>
          <w:szCs w:val="19"/>
          <w:color w:val="auto"/>
        </w:rPr>
      </w:pPr>
    </w:p>
    <w:p>
      <w:pPr>
        <w:ind w:left="340" w:hanging="331"/>
        <w:spacing w:after="0"/>
        <w:tabs>
          <w:tab w:leader="none" w:pos="340" w:val="left"/>
        </w:tabs>
        <w:numPr>
          <w:ilvl w:val="0"/>
          <w:numId w:val="376"/>
        </w:numPr>
        <w:rPr>
          <w:rFonts w:ascii="Arial" w:cs="Arial" w:eastAsia="Arial" w:hAnsi="Arial"/>
          <w:sz w:val="20"/>
          <w:szCs w:val="20"/>
          <w:color w:val="auto"/>
        </w:rPr>
      </w:pPr>
      <w:r>
        <w:rPr>
          <w:rFonts w:ascii="Arial" w:cs="Arial" w:eastAsia="Arial" w:hAnsi="Arial"/>
          <w:sz w:val="20"/>
          <w:szCs w:val="20"/>
          <w:color w:val="auto"/>
        </w:rPr>
        <w:t>The last 3 months of the calendar year right before the year your coverage takes effect.</w:t>
      </w: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Discount Programs </w:t>
      </w:r>
      <w:r>
        <w:rPr>
          <w:rFonts w:ascii="Arial" w:cs="Arial" w:eastAsia="Arial" w:hAnsi="Arial"/>
          <w:sz w:val="14"/>
          <w:szCs w:val="14"/>
          <w:i w:val="1"/>
          <w:iCs w:val="1"/>
          <w:color w:val="auto"/>
        </w:rPr>
        <w:t>(GR-9N-32-045-01 VA)</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Discount Arrangements</w:t>
      </w:r>
    </w:p>
    <w:p>
      <w:pPr>
        <w:spacing w:after="0" w:line="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From time to time, we may offer, provide, or arrange for discount arrangements or special rates from certain service providers such as pharmacies, optometrists, </w:t>
      </w:r>
      <w:r>
        <w:rPr>
          <w:rFonts w:ascii="Arial" w:cs="Arial" w:eastAsia="Arial" w:hAnsi="Arial"/>
          <w:sz w:val="16"/>
          <w:szCs w:val="16"/>
          <w:b w:val="1"/>
          <w:bCs w:val="1"/>
          <w:color w:val="auto"/>
        </w:rPr>
        <w:t>dentists</w:t>
      </w:r>
      <w:r>
        <w:rPr>
          <w:rFonts w:ascii="Arial" w:cs="Arial" w:eastAsia="Arial" w:hAnsi="Arial"/>
          <w:sz w:val="16"/>
          <w:szCs w:val="16"/>
          <w:color w:val="auto"/>
        </w:rPr>
        <w:t xml:space="preserve">, alternative medicine, wellness and healthy living providers to you under this plan. Some of these arrangements may be made available through third parties who may make payments to </w:t>
      </w:r>
      <w:r>
        <w:rPr>
          <w:rFonts w:ascii="Arial" w:cs="Arial" w:eastAsia="Arial" w:hAnsi="Arial"/>
          <w:sz w:val="16"/>
          <w:szCs w:val="16"/>
          <w:b w:val="1"/>
          <w:bCs w:val="1"/>
          <w:color w:val="auto"/>
        </w:rPr>
        <w:t>Aetna</w:t>
      </w:r>
      <w:r>
        <w:rPr>
          <w:rFonts w:ascii="Arial" w:cs="Arial" w:eastAsia="Arial" w:hAnsi="Arial"/>
          <w:sz w:val="16"/>
          <w:szCs w:val="16"/>
          <w:color w:val="auto"/>
        </w:rPr>
        <w:t xml:space="preserve"> in exchange for making these services available.</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The third party service providers are independent contractors and are solely responsible to you for the provision of any such goods and/or services. We reserve the right to modify or discontinue such arrangements at any time. These discount arrangements are not insurance. There are no benefits payable to you nor do we compensate providers for services they may render through discount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Incentives </w:t>
      </w:r>
      <w:r>
        <w:rPr>
          <w:rFonts w:ascii="Arial" w:cs="Arial" w:eastAsia="Arial" w:hAnsi="Arial"/>
          <w:sz w:val="14"/>
          <w:szCs w:val="14"/>
          <w:i w:val="1"/>
          <w:iCs w:val="1"/>
          <w:color w:val="auto"/>
        </w:rPr>
        <w:t>(GR-9N-32-045-01 VA)</w:t>
      </w:r>
    </w:p>
    <w:p>
      <w:pPr>
        <w:spacing w:after="0" w:line="299"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 xml:space="preserve">In order to encourage you to access certain medical services when deemed appropriate by you in consultation with your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or other service providers, we may, from time to time, offer to waive or reduce a member’s </w:t>
      </w:r>
      <w:r>
        <w:rPr>
          <w:rFonts w:ascii="Arial" w:cs="Arial" w:eastAsia="Arial" w:hAnsi="Arial"/>
          <w:sz w:val="18"/>
          <w:szCs w:val="18"/>
          <w:b w:val="1"/>
          <w:bCs w:val="1"/>
          <w:color w:val="auto"/>
        </w:rPr>
        <w:t>copayment</w:t>
      </w:r>
      <w:r>
        <w:rPr>
          <w:rFonts w:ascii="Arial" w:cs="Arial" w:eastAsia="Arial" w:hAnsi="Arial"/>
          <w:sz w:val="18"/>
          <w:szCs w:val="18"/>
          <w:color w:val="auto"/>
        </w:rPr>
        <w:t xml:space="preserve">, coinsurance, and/or a </w:t>
      </w:r>
      <w:r>
        <w:rPr>
          <w:rFonts w:ascii="Arial" w:cs="Arial" w:eastAsia="Arial" w:hAnsi="Arial"/>
          <w:sz w:val="18"/>
          <w:szCs w:val="18"/>
          <w:b w:val="1"/>
          <w:bCs w:val="1"/>
          <w:color w:val="auto"/>
        </w:rPr>
        <w:t>deductible</w:t>
      </w:r>
      <w:r>
        <w:rPr>
          <w:rFonts w:ascii="Arial" w:cs="Arial" w:eastAsia="Arial" w:hAnsi="Arial"/>
          <w:sz w:val="18"/>
          <w:szCs w:val="18"/>
          <w:color w:val="auto"/>
        </w:rPr>
        <w:t xml:space="preserve"> otherwise required under the plan or offer coupons or other financial incentives. We have the right to determine the amount and duration of any waiver, reduction, coupon, or financial incentive and to limit the covered persons to whom these arrangements are available.</w:t>
      </w:r>
    </w:p>
    <w:p>
      <w:pPr>
        <w:sectPr>
          <w:pgSz w:w="11900" w:h="16838" w:orient="portrait"/>
          <w:cols w:equalWidth="0" w:num="1">
            <w:col w:w="11320"/>
          </w:cols>
          <w:pgMar w:left="320" w:top="427" w:right="259" w:bottom="1440" w:gutter="0" w:footer="0" w:header="0"/>
        </w:sectPr>
      </w:pPr>
    </w:p>
    <w:bookmarkStart w:id="263" w:name="page264"/>
    <w:bookmarkEnd w:id="263"/>
    <w:p>
      <w:pPr>
        <w:spacing w:after="0"/>
        <w:rPr>
          <w:sz w:val="20"/>
          <w:szCs w:val="20"/>
          <w:color w:val="auto"/>
        </w:rPr>
      </w:pPr>
      <w:r>
        <w:rPr>
          <w:rFonts w:ascii="Arial" w:cs="Arial" w:eastAsia="Arial" w:hAnsi="Arial"/>
          <w:sz w:val="43"/>
          <w:szCs w:val="43"/>
          <w:b w:val="1"/>
          <w:bCs w:val="1"/>
          <w:color w:val="auto"/>
        </w:rPr>
        <w:t>Glossary</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(GR-9N-34-005-01 VA)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this section, you will find definitions for the words and phrases that appear in </w:t>
      </w:r>
      <w:r>
        <w:rPr>
          <w:rFonts w:ascii="Arial" w:cs="Arial" w:eastAsia="Arial" w:hAnsi="Arial"/>
          <w:sz w:val="18"/>
          <w:szCs w:val="18"/>
          <w:b w:val="1"/>
          <w:bCs w:val="1"/>
          <w:color w:val="auto"/>
        </w:rPr>
        <w:t>bold type</w:t>
      </w:r>
      <w:r>
        <w:rPr>
          <w:rFonts w:ascii="Arial" w:cs="Arial" w:eastAsia="Arial" w:hAnsi="Arial"/>
          <w:sz w:val="18"/>
          <w:szCs w:val="18"/>
          <w:color w:val="auto"/>
        </w:rPr>
        <w:t xml:space="preserve"> throughout the text of this Booklet-Certificate.</w:t>
      </w:r>
    </w:p>
    <w:p>
      <w:pPr>
        <w:spacing w:after="0" w:line="246" w:lineRule="exact"/>
        <w:rPr>
          <w:sz w:val="20"/>
          <w:szCs w:val="20"/>
          <w:color w:val="auto"/>
        </w:rPr>
      </w:pPr>
    </w:p>
    <w:p>
      <w:pPr>
        <w:ind w:left="320" w:hanging="311"/>
        <w:spacing w:after="0"/>
        <w:tabs>
          <w:tab w:leader="none" w:pos="320" w:val="left"/>
        </w:tabs>
        <w:numPr>
          <w:ilvl w:val="0"/>
          <w:numId w:val="377"/>
        </w:numPr>
        <w:rPr>
          <w:rFonts w:ascii="Arial" w:cs="Arial" w:eastAsia="Arial" w:hAnsi="Arial"/>
          <w:sz w:val="32"/>
          <w:szCs w:val="32"/>
          <w:b w:val="1"/>
          <w:bCs w:val="1"/>
          <w:color w:val="auto"/>
        </w:rPr>
      </w:pPr>
      <w:r>
        <w:rPr>
          <w:rFonts w:ascii="Arial" w:cs="Arial" w:eastAsia="Arial" w:hAnsi="Arial"/>
          <w:sz w:val="14"/>
          <w:szCs w:val="14"/>
          <w:i w:val="1"/>
          <w:iCs w:val="1"/>
          <w:color w:val="auto"/>
        </w:rPr>
        <w:t>(GR-9N-34-005-05)</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Aetna</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Aetna </w:t>
      </w:r>
      <w:r>
        <w:rPr>
          <w:rFonts w:ascii="Arial" w:cs="Arial" w:eastAsia="Arial" w:hAnsi="Arial"/>
          <w:sz w:val="20"/>
          <w:szCs w:val="20"/>
          <w:color w:val="auto"/>
        </w:rPr>
        <w:t>Life Insurance Company, an affiliate, or a third party vendor under contract with</w:t>
      </w:r>
      <w:r>
        <w:rPr>
          <w:rFonts w:ascii="Arial" w:cs="Arial" w:eastAsia="Arial" w:hAnsi="Arial"/>
          <w:sz w:val="20"/>
          <w:szCs w:val="20"/>
          <w:b w:val="1"/>
          <w:bCs w:val="1"/>
          <w:color w:val="auto"/>
        </w:rPr>
        <w:t xml:space="preserve"> Aetna</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Ambulance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vehicle that is staffed with medical personnel and equipped to transport an ill or injured person.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Average Wholesale Price (AWP)</w:t>
      </w:r>
    </w:p>
    <w:p>
      <w:pPr>
        <w:spacing w:after="0" w:line="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The current </w:t>
      </w:r>
      <w:r>
        <w:rPr>
          <w:rFonts w:ascii="Arial" w:cs="Arial" w:eastAsia="Arial" w:hAnsi="Arial"/>
          <w:sz w:val="20"/>
          <w:szCs w:val="20"/>
          <w:b w:val="1"/>
          <w:bCs w:val="1"/>
          <w:color w:val="auto"/>
        </w:rPr>
        <w:t>average wholesale price</w:t>
      </w:r>
      <w:r>
        <w:rPr>
          <w:rFonts w:ascii="Arial" w:cs="Arial" w:eastAsia="Arial" w:hAnsi="Arial"/>
          <w:sz w:val="20"/>
          <w:szCs w:val="20"/>
          <w:color w:val="auto"/>
        </w:rPr>
        <w:t xml:space="preserve"> of a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listed in the Facts and Comparisons weekly price updates (or any other similar publication designated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on the day that a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claim is submitted for adjudication.</w:t>
      </w:r>
    </w:p>
    <w:p>
      <w:pPr>
        <w:spacing w:after="0" w:line="180" w:lineRule="exact"/>
        <w:rPr>
          <w:sz w:val="20"/>
          <w:szCs w:val="20"/>
          <w:color w:val="auto"/>
        </w:rPr>
      </w:pPr>
    </w:p>
    <w:p>
      <w:pPr>
        <w:ind w:left="300" w:hanging="291"/>
        <w:spacing w:after="0"/>
        <w:tabs>
          <w:tab w:leader="none" w:pos="300" w:val="left"/>
        </w:tabs>
        <w:numPr>
          <w:ilvl w:val="0"/>
          <w:numId w:val="378"/>
        </w:numPr>
        <w:rPr>
          <w:rFonts w:ascii="Arial" w:cs="Arial" w:eastAsia="Arial" w:hAnsi="Arial"/>
          <w:sz w:val="32"/>
          <w:szCs w:val="32"/>
          <w:b w:val="1"/>
          <w:bCs w:val="1"/>
          <w:color w:val="auto"/>
        </w:rPr>
      </w:pPr>
      <w:r>
        <w:rPr>
          <w:rFonts w:ascii="Arial" w:cs="Arial" w:eastAsia="Arial" w:hAnsi="Arial"/>
          <w:sz w:val="14"/>
          <w:szCs w:val="14"/>
          <w:i w:val="1"/>
          <w:iCs w:val="1"/>
          <w:color w:val="auto"/>
        </w:rPr>
        <w:t>(GR-9N-34-010-01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Behavioral Health Provider/Practitioner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A licensed organization or professional providing diagnostic, therapeutic or psychological services for behavioral health conditions.</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Birthing Center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freestanding facility that meets </w:t>
      </w:r>
      <w:r>
        <w:rPr>
          <w:rFonts w:ascii="Arial" w:cs="Arial" w:eastAsia="Arial" w:hAnsi="Arial"/>
          <w:sz w:val="20"/>
          <w:szCs w:val="20"/>
          <w:b w:val="1"/>
          <w:bCs w:val="1"/>
          <w:i w:val="1"/>
          <w:iCs w:val="1"/>
          <w:color w:val="auto"/>
        </w:rPr>
        <w:t>all</w:t>
      </w:r>
      <w:r>
        <w:rPr>
          <w:rFonts w:ascii="Arial" w:cs="Arial" w:eastAsia="Arial" w:hAnsi="Arial"/>
          <w:sz w:val="20"/>
          <w:szCs w:val="20"/>
          <w:color w:val="auto"/>
        </w:rPr>
        <w:t xml:space="preserve"> of the following requirements:</w:t>
      </w:r>
    </w:p>
    <w:p>
      <w:pPr>
        <w:spacing w:after="0" w:line="239" w:lineRule="exact"/>
        <w:rPr>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Meets licensing standards.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Is set up, equipped and run to provide prenatal care, delivery and immediate postpartum care.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Charges for its services.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Is directed by at least one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who is a </w:t>
      </w:r>
      <w:r>
        <w:rPr>
          <w:rFonts w:ascii="Arial" w:cs="Arial" w:eastAsia="Arial" w:hAnsi="Arial"/>
          <w:sz w:val="20"/>
          <w:szCs w:val="20"/>
          <w:b w:val="1"/>
          <w:bCs w:val="1"/>
          <w:color w:val="auto"/>
        </w:rPr>
        <w:t>specialist</w:t>
      </w:r>
      <w:r>
        <w:rPr>
          <w:rFonts w:ascii="Arial" w:cs="Arial" w:eastAsia="Arial" w:hAnsi="Arial"/>
          <w:sz w:val="20"/>
          <w:szCs w:val="20"/>
          <w:color w:val="auto"/>
        </w:rPr>
        <w:t xml:space="preserve"> in obstetrics and gynecology.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Has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certified nurse midwife present at all births and during the immediate postpartum period.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Extends staff privileges to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who practice obstetrics and gynecology in an area </w:t>
      </w:r>
      <w:r>
        <w:rPr>
          <w:rFonts w:ascii="Arial" w:cs="Arial" w:eastAsia="Arial" w:hAnsi="Arial"/>
          <w:sz w:val="20"/>
          <w:szCs w:val="20"/>
          <w:b w:val="1"/>
          <w:bCs w:val="1"/>
          <w:color w:val="auto"/>
        </w:rPr>
        <w:t>hospital</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Has at least 2 beds or 2 birthing rooms for use by patients while in labor and during delivery.</w:t>
      </w:r>
    </w:p>
    <w:p>
      <w:pPr>
        <w:spacing w:after="0" w:line="8" w:lineRule="exact"/>
        <w:rPr>
          <w:rFonts w:ascii="Arial" w:cs="Arial" w:eastAsia="Arial" w:hAnsi="Arial"/>
          <w:sz w:val="20"/>
          <w:szCs w:val="20"/>
          <w:color w:val="auto"/>
        </w:rPr>
      </w:pPr>
    </w:p>
    <w:p>
      <w:pPr>
        <w:ind w:left="340" w:hanging="331"/>
        <w:spacing w:after="0" w:line="242" w:lineRule="auto"/>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Provides, during labor, delivery and the immediate postpartum period, full-time </w:t>
      </w:r>
      <w:r>
        <w:rPr>
          <w:rFonts w:ascii="Arial" w:cs="Arial" w:eastAsia="Arial" w:hAnsi="Arial"/>
          <w:sz w:val="20"/>
          <w:szCs w:val="20"/>
          <w:b w:val="1"/>
          <w:bCs w:val="1"/>
          <w:color w:val="auto"/>
        </w:rPr>
        <w:t>skilled nursing services</w:t>
      </w:r>
      <w:r>
        <w:rPr>
          <w:rFonts w:ascii="Arial" w:cs="Arial" w:eastAsia="Arial" w:hAnsi="Arial"/>
          <w:sz w:val="20"/>
          <w:szCs w:val="20"/>
          <w:color w:val="auto"/>
        </w:rPr>
        <w:t xml:space="preserve"> directed by an </w:t>
      </w:r>
      <w:r>
        <w:rPr>
          <w:rFonts w:ascii="Arial" w:cs="Arial" w:eastAsia="Arial" w:hAnsi="Arial"/>
          <w:sz w:val="20"/>
          <w:szCs w:val="20"/>
          <w:b w:val="1"/>
          <w:bCs w:val="1"/>
          <w:color w:val="auto"/>
        </w:rPr>
        <w:t>R.N.</w:t>
      </w:r>
      <w:r>
        <w:rPr>
          <w:rFonts w:ascii="Arial" w:cs="Arial" w:eastAsia="Arial" w:hAnsi="Arial"/>
          <w:sz w:val="20"/>
          <w:szCs w:val="20"/>
          <w:color w:val="auto"/>
        </w:rPr>
        <w:t xml:space="preserve"> or certified nurse midwife.</w:t>
      </w: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Provides, or arranges with a facility in the area for, diagnostic X-ray and lab services for the mother and child.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Has the capacity to administer a local anesthetic and to perform minor surgery. This includes episiotomy and repair of perineal tear.</w:t>
      </w:r>
    </w:p>
    <w:p>
      <w:pPr>
        <w:spacing w:after="0" w:line="22" w:lineRule="exact"/>
        <w:rPr>
          <w:rFonts w:ascii="Arial" w:cs="Arial" w:eastAsia="Arial" w:hAnsi="Arial"/>
          <w:sz w:val="18"/>
          <w:szCs w:val="18"/>
          <w:color w:val="auto"/>
        </w:rPr>
      </w:pPr>
    </w:p>
    <w:p>
      <w:pPr>
        <w:ind w:left="340" w:hanging="331"/>
        <w:spacing w:after="0"/>
        <w:tabs>
          <w:tab w:leader="none" w:pos="3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Is equipped and has trained staff to handle </w:t>
      </w:r>
      <w:r>
        <w:rPr>
          <w:rFonts w:ascii="Arial" w:cs="Arial" w:eastAsia="Arial" w:hAnsi="Arial"/>
          <w:sz w:val="18"/>
          <w:szCs w:val="18"/>
          <w:b w:val="1"/>
          <w:bCs w:val="1"/>
          <w:color w:val="auto"/>
        </w:rPr>
        <w:t>emergency medical conditions</w:t>
      </w:r>
      <w:r>
        <w:rPr>
          <w:rFonts w:ascii="Arial" w:cs="Arial" w:eastAsia="Arial" w:hAnsi="Arial"/>
          <w:sz w:val="18"/>
          <w:szCs w:val="18"/>
          <w:color w:val="auto"/>
        </w:rPr>
        <w:t xml:space="preserve"> and provide immediate support measures to sustain life if:</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1"/>
          <w:numId w:val="379"/>
        </w:numPr>
        <w:rPr>
          <w:rFonts w:ascii="Arial" w:cs="Arial" w:eastAsia="Arial" w:hAnsi="Arial"/>
          <w:sz w:val="20"/>
          <w:szCs w:val="20"/>
          <w:color w:val="auto"/>
        </w:rPr>
      </w:pPr>
      <w:r>
        <w:rPr>
          <w:rFonts w:ascii="Arial" w:cs="Arial" w:eastAsia="Arial" w:hAnsi="Arial"/>
          <w:sz w:val="20"/>
          <w:szCs w:val="20"/>
          <w:color w:val="auto"/>
        </w:rPr>
        <w:t>Complications arise during labor; or</w:t>
      </w:r>
    </w:p>
    <w:p>
      <w:pPr>
        <w:spacing w:after="0" w:line="10" w:lineRule="exact"/>
        <w:rPr>
          <w:rFonts w:ascii="Arial" w:cs="Arial" w:eastAsia="Arial" w:hAnsi="Arial"/>
          <w:sz w:val="20"/>
          <w:szCs w:val="20"/>
          <w:color w:val="auto"/>
        </w:rPr>
      </w:pPr>
    </w:p>
    <w:p>
      <w:pPr>
        <w:ind w:left="660" w:hanging="327"/>
        <w:spacing w:after="0"/>
        <w:tabs>
          <w:tab w:leader="none" w:pos="660" w:val="left"/>
        </w:tabs>
        <w:numPr>
          <w:ilvl w:val="1"/>
          <w:numId w:val="379"/>
        </w:numPr>
        <w:rPr>
          <w:rFonts w:ascii="Arial" w:cs="Arial" w:eastAsia="Arial" w:hAnsi="Arial"/>
          <w:sz w:val="20"/>
          <w:szCs w:val="20"/>
          <w:color w:val="auto"/>
        </w:rPr>
      </w:pPr>
      <w:r>
        <w:rPr>
          <w:rFonts w:ascii="Arial" w:cs="Arial" w:eastAsia="Arial" w:hAnsi="Arial"/>
          <w:sz w:val="20"/>
          <w:szCs w:val="20"/>
          <w:color w:val="auto"/>
        </w:rPr>
        <w:t>A child is born with an abnormality which impairs function or threatens life.</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Accepts only patients with low-risk pregnancies.</w:t>
      </w:r>
    </w:p>
    <w:p>
      <w:pPr>
        <w:spacing w:after="0" w:line="15" w:lineRule="exact"/>
        <w:rPr>
          <w:rFonts w:ascii="Arial" w:cs="Arial" w:eastAsia="Arial" w:hAnsi="Arial"/>
          <w:sz w:val="20"/>
          <w:szCs w:val="20"/>
          <w:color w:val="auto"/>
        </w:rPr>
      </w:pPr>
    </w:p>
    <w:p>
      <w:pPr>
        <w:ind w:left="340" w:right="100" w:hanging="331"/>
        <w:spacing w:after="0" w:line="239" w:lineRule="auto"/>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Has a written agreement with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in the area for emergency transfer of a patient or a child. Written procedures for such a transfer must be displayed and the staff must be aware of them.</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 xml:space="preserve">Provides an ongoing quality assurance program. This includes reviews by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who do not own or direct the facility.</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Keeps a medical record on each patient and child.</w:t>
      </w:r>
    </w:p>
    <w:p>
      <w:pPr>
        <w:sectPr>
          <w:pgSz w:w="11900" w:h="16838" w:orient="portrait"/>
          <w:cols w:equalWidth="0" w:num="1">
            <w:col w:w="11180"/>
          </w:cols>
          <w:pgMar w:left="320" w:top="745" w:right="399" w:bottom="1440" w:gutter="0" w:footer="0" w:header="0"/>
        </w:sectPr>
      </w:pPr>
    </w:p>
    <w:bookmarkStart w:id="264" w:name="page265"/>
    <w:bookmarkEnd w:id="264"/>
    <w:p>
      <w:pPr>
        <w:spacing w:after="0"/>
        <w:rPr>
          <w:sz w:val="20"/>
          <w:szCs w:val="20"/>
          <w:color w:val="auto"/>
        </w:rPr>
      </w:pPr>
      <w:r>
        <w:rPr>
          <w:rFonts w:ascii="Arial" w:cs="Arial" w:eastAsia="Arial" w:hAnsi="Arial"/>
          <w:sz w:val="25"/>
          <w:szCs w:val="25"/>
          <w:b w:val="1"/>
          <w:bCs w:val="1"/>
          <w:color w:val="auto"/>
        </w:rPr>
        <w:t>Body Mass Index</w:t>
      </w:r>
    </w:p>
    <w:p>
      <w:pPr>
        <w:spacing w:after="0" w:line="3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This is a practical marker that is used to assess the degree of obesity and is calculated by dividing the weight in kilograms by the height in meters squared.</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Brand-Name Prescription Drug</w:t>
      </w:r>
    </w:p>
    <w:p>
      <w:pPr>
        <w:spacing w:after="0" w:line="3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with a proprietary name assigned to it by the manufacturer or distributor and so indicated by Medi-Span or any other similar publication designated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or an affiliate.</w:t>
      </w:r>
    </w:p>
    <w:p>
      <w:pPr>
        <w:spacing w:after="0" w:line="193" w:lineRule="exact"/>
        <w:rPr>
          <w:sz w:val="20"/>
          <w:szCs w:val="20"/>
          <w:color w:val="auto"/>
        </w:rPr>
      </w:pPr>
    </w:p>
    <w:p>
      <w:pPr>
        <w:ind w:left="320" w:hanging="311"/>
        <w:spacing w:after="0"/>
        <w:tabs>
          <w:tab w:leader="none" w:pos="320" w:val="left"/>
        </w:tabs>
        <w:numPr>
          <w:ilvl w:val="0"/>
          <w:numId w:val="380"/>
        </w:numPr>
        <w:rPr>
          <w:rFonts w:ascii="Arial" w:cs="Arial" w:eastAsia="Arial" w:hAnsi="Arial"/>
          <w:sz w:val="32"/>
          <w:szCs w:val="32"/>
          <w:b w:val="1"/>
          <w:bCs w:val="1"/>
          <w:color w:val="auto"/>
        </w:rPr>
      </w:pPr>
      <w:r>
        <w:rPr>
          <w:rFonts w:ascii="Arial" w:cs="Arial" w:eastAsia="Arial" w:hAnsi="Arial"/>
          <w:sz w:val="14"/>
          <w:szCs w:val="14"/>
          <w:i w:val="1"/>
          <w:iCs w:val="1"/>
          <w:color w:val="auto"/>
        </w:rPr>
        <w:t>(GR-9N-34-015-02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Coinsurance</w:t>
      </w:r>
    </w:p>
    <w:p>
      <w:pPr>
        <w:spacing w:after="0" w:line="3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b w:val="1"/>
          <w:bCs w:val="1"/>
          <w:color w:val="auto"/>
        </w:rPr>
        <w:t xml:space="preserve">Coinsurance </w:t>
      </w:r>
      <w:r>
        <w:rPr>
          <w:rFonts w:ascii="Arial" w:cs="Arial" w:eastAsia="Arial" w:hAnsi="Arial"/>
          <w:sz w:val="20"/>
          <w:szCs w:val="20"/>
          <w:color w:val="auto"/>
        </w:rPr>
        <w:t>is both the percentage of</w:t>
      </w:r>
      <w:r>
        <w:rPr>
          <w:rFonts w:ascii="Arial" w:cs="Arial" w:eastAsia="Arial" w:hAnsi="Arial"/>
          <w:sz w:val="20"/>
          <w:szCs w:val="20"/>
          <w:b w:val="1"/>
          <w:bCs w:val="1"/>
          <w:color w:val="auto"/>
        </w:rPr>
        <w:t xml:space="preserve"> covered expenses </w:t>
      </w:r>
      <w:r>
        <w:rPr>
          <w:rFonts w:ascii="Arial" w:cs="Arial" w:eastAsia="Arial" w:hAnsi="Arial"/>
          <w:sz w:val="20"/>
          <w:szCs w:val="20"/>
          <w:color w:val="auto"/>
        </w:rPr>
        <w:t>that the plan pays, and the percentage of</w:t>
      </w:r>
      <w:r>
        <w:rPr>
          <w:rFonts w:ascii="Arial" w:cs="Arial" w:eastAsia="Arial" w:hAnsi="Arial"/>
          <w:sz w:val="20"/>
          <w:szCs w:val="20"/>
          <w:b w:val="1"/>
          <w:bCs w:val="1"/>
          <w:color w:val="auto"/>
        </w:rPr>
        <w:t xml:space="preserve"> covered expenses </w:t>
      </w:r>
      <w:r>
        <w:rPr>
          <w:rFonts w:ascii="Arial" w:cs="Arial" w:eastAsia="Arial" w:hAnsi="Arial"/>
          <w:sz w:val="20"/>
          <w:szCs w:val="20"/>
          <w:color w:val="auto"/>
        </w:rPr>
        <w:t>that you pay.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percentage that the plan pays is referred to as “plan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and varies by the type of expense. Please refer to the </w:t>
      </w:r>
      <w:r>
        <w:rPr>
          <w:rFonts w:ascii="Arial" w:cs="Arial" w:eastAsia="Arial" w:hAnsi="Arial"/>
          <w:sz w:val="20"/>
          <w:szCs w:val="20"/>
          <w:i w:val="1"/>
          <w:iCs w:val="1"/>
          <w:color w:val="auto"/>
        </w:rPr>
        <w:t>Schedule of Benefits</w:t>
      </w:r>
      <w:r>
        <w:rPr>
          <w:rFonts w:ascii="Arial" w:cs="Arial" w:eastAsia="Arial" w:hAnsi="Arial"/>
          <w:sz w:val="20"/>
          <w:szCs w:val="20"/>
          <w:color w:val="auto"/>
        </w:rPr>
        <w:t xml:space="preserve"> for specific information on </w:t>
      </w:r>
      <w:r>
        <w:rPr>
          <w:rFonts w:ascii="Arial" w:cs="Arial" w:eastAsia="Arial" w:hAnsi="Arial"/>
          <w:sz w:val="20"/>
          <w:szCs w:val="20"/>
          <w:b w:val="1"/>
          <w:bCs w:val="1"/>
          <w:color w:val="auto"/>
        </w:rPr>
        <w:t>coinsurance</w:t>
      </w:r>
      <w:r>
        <w:rPr>
          <w:rFonts w:ascii="Arial" w:cs="Arial" w:eastAsia="Arial" w:hAnsi="Arial"/>
          <w:sz w:val="20"/>
          <w:szCs w:val="20"/>
          <w:color w:val="auto"/>
        </w:rPr>
        <w:t xml:space="preserve"> amounts.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Coinsurance Limit</w:t>
      </w:r>
    </w:p>
    <w:p>
      <w:pPr>
        <w:sectPr>
          <w:pgSz w:w="11900" w:h="16838" w:orient="portrait"/>
          <w:cols w:equalWidth="0" w:num="1">
            <w:col w:w="11340"/>
          </w:cols>
          <w:pgMar w:left="320" w:top="427" w:right="239" w:bottom="1440" w:gutter="0" w:footer="0" w:header="0"/>
        </w:sectPr>
      </w:pP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Coinsurance limit </w:t>
      </w:r>
      <w:r>
        <w:rPr>
          <w:rFonts w:ascii="Arial" w:cs="Arial" w:eastAsia="Arial" w:hAnsi="Arial"/>
          <w:sz w:val="20"/>
          <w:szCs w:val="20"/>
          <w:color w:val="auto"/>
        </w:rPr>
        <w:t>is the maximum out-of-pocket amount you are responsible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calendar year. Once you satisfy the </w:t>
      </w:r>
      <w:r>
        <w:rPr>
          <w:rFonts w:ascii="Arial" w:cs="Arial" w:eastAsia="Arial" w:hAnsi="Arial"/>
          <w:sz w:val="20"/>
          <w:szCs w:val="20"/>
          <w:b w:val="1"/>
          <w:bCs w:val="1"/>
          <w:color w:val="auto"/>
        </w:rPr>
        <w:t>coinsurance limit</w:t>
      </w:r>
      <w:r>
        <w:rPr>
          <w:rFonts w:ascii="Arial" w:cs="Arial" w:eastAsia="Arial" w:hAnsi="Arial"/>
          <w:sz w:val="20"/>
          <w:szCs w:val="20"/>
          <w:color w:val="auto"/>
        </w:rPr>
        <w:t>, the plan will pay 100% of the of the calendar year.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hanging="47"/>
        <w:spacing w:after="0" w:line="365" w:lineRule="auto"/>
        <w:rPr>
          <w:sz w:val="20"/>
          <w:szCs w:val="20"/>
          <w:color w:val="auto"/>
        </w:rPr>
      </w:pPr>
      <w:r>
        <w:rPr>
          <w:rFonts w:ascii="Arial" w:cs="Arial" w:eastAsia="Arial" w:hAnsi="Arial"/>
          <w:sz w:val="16"/>
          <w:szCs w:val="16"/>
          <w:color w:val="auto"/>
        </w:rPr>
        <w:t xml:space="preserve">pay for </w:t>
      </w:r>
      <w:r>
        <w:rPr>
          <w:rFonts w:ascii="Arial" w:cs="Arial" w:eastAsia="Arial" w:hAnsi="Arial"/>
          <w:sz w:val="16"/>
          <w:szCs w:val="16"/>
          <w:b w:val="1"/>
          <w:bCs w:val="1"/>
          <w:color w:val="auto"/>
        </w:rPr>
        <w:t>coinsurance</w:t>
      </w:r>
      <w:r>
        <w:rPr>
          <w:rFonts w:ascii="Arial" w:cs="Arial" w:eastAsia="Arial" w:hAnsi="Arial"/>
          <w:sz w:val="16"/>
          <w:szCs w:val="16"/>
          <w:color w:val="auto"/>
        </w:rPr>
        <w:t xml:space="preserve"> for </w:t>
      </w:r>
      <w:r>
        <w:rPr>
          <w:rFonts w:ascii="Arial" w:cs="Arial" w:eastAsia="Arial" w:hAnsi="Arial"/>
          <w:sz w:val="16"/>
          <w:szCs w:val="16"/>
          <w:b w:val="1"/>
          <w:bCs w:val="1"/>
          <w:color w:val="auto"/>
        </w:rPr>
        <w:t>covered expenses</w:t>
      </w:r>
      <w:r>
        <w:rPr>
          <w:rFonts w:ascii="Arial" w:cs="Arial" w:eastAsia="Arial" w:hAnsi="Arial"/>
          <w:sz w:val="16"/>
          <w:szCs w:val="16"/>
          <w:color w:val="auto"/>
        </w:rPr>
        <w:t xml:space="preserve"> during your </w:t>
      </w:r>
      <w:r>
        <w:rPr>
          <w:rFonts w:ascii="Arial" w:cs="Arial" w:eastAsia="Arial" w:hAnsi="Arial"/>
          <w:sz w:val="16"/>
          <w:szCs w:val="16"/>
          <w:b w:val="1"/>
          <w:bCs w:val="1"/>
          <w:color w:val="auto"/>
        </w:rPr>
        <w:t xml:space="preserve">covered expenses </w:t>
      </w:r>
      <w:r>
        <w:rPr>
          <w:rFonts w:ascii="Arial" w:cs="Arial" w:eastAsia="Arial" w:hAnsi="Arial"/>
          <w:sz w:val="16"/>
          <w:szCs w:val="16"/>
          <w:color w:val="auto"/>
        </w:rPr>
        <w:t>that apply toward the limit for the rest</w:t>
      </w:r>
    </w:p>
    <w:p>
      <w:pPr>
        <w:spacing w:after="0" w:line="333" w:lineRule="exact"/>
        <w:rPr>
          <w:sz w:val="20"/>
          <w:szCs w:val="20"/>
          <w:color w:val="auto"/>
        </w:rPr>
      </w:pPr>
    </w:p>
    <w:p>
      <w:pPr>
        <w:sectPr>
          <w:pgSz w:w="11900" w:h="16838" w:orient="portrait"/>
          <w:cols w:equalWidth="0" w:num="2">
            <w:col w:w="6760" w:space="40"/>
            <w:col w:w="4540"/>
          </w:cols>
          <w:pgMar w:left="320" w:top="427"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Copay or Copayment</w:t>
      </w:r>
    </w:p>
    <w:p>
      <w:pPr>
        <w:spacing w:after="0" w:line="41" w:lineRule="exact"/>
        <w:rPr>
          <w:sz w:val="20"/>
          <w:szCs w:val="20"/>
          <w:color w:val="auto"/>
        </w:rPr>
      </w:pPr>
    </w:p>
    <w:p>
      <w:pPr>
        <w:ind w:right="2400"/>
        <w:spacing w:after="0" w:line="302" w:lineRule="auto"/>
        <w:rPr>
          <w:sz w:val="20"/>
          <w:szCs w:val="20"/>
          <w:color w:val="auto"/>
        </w:rPr>
      </w:pPr>
      <w:r>
        <w:rPr>
          <w:rFonts w:ascii="Arial" w:cs="Arial" w:eastAsia="Arial" w:hAnsi="Arial"/>
          <w:sz w:val="18"/>
          <w:szCs w:val="18"/>
          <w:color w:val="auto"/>
        </w:rPr>
        <w:t xml:space="preserve">The specific dollar amount or percentage required to be paid by you or on your behalf. The plan includes various </w:t>
      </w:r>
      <w:r>
        <w:rPr>
          <w:rFonts w:ascii="Arial" w:cs="Arial" w:eastAsia="Arial" w:hAnsi="Arial"/>
          <w:sz w:val="18"/>
          <w:szCs w:val="18"/>
          <w:b w:val="1"/>
          <w:bCs w:val="1"/>
          <w:color w:val="auto"/>
        </w:rPr>
        <w:t>copayments</w:t>
      </w:r>
      <w:r>
        <w:rPr>
          <w:rFonts w:ascii="Arial" w:cs="Arial" w:eastAsia="Arial" w:hAnsi="Arial"/>
          <w:sz w:val="18"/>
          <w:szCs w:val="18"/>
          <w:color w:val="auto"/>
        </w:rPr>
        <w:t>, and these</w:t>
      </w:r>
      <w:r>
        <w:rPr>
          <w:rFonts w:ascii="Arial" w:cs="Arial" w:eastAsia="Arial" w:hAnsi="Arial"/>
          <w:sz w:val="18"/>
          <w:szCs w:val="18"/>
          <w:b w:val="1"/>
          <w:bCs w:val="1"/>
          <w:color w:val="auto"/>
        </w:rPr>
        <w:t xml:space="preserve"> copayment </w:t>
      </w:r>
      <w:r>
        <w:rPr>
          <w:rFonts w:ascii="Arial" w:cs="Arial" w:eastAsia="Arial" w:hAnsi="Arial"/>
          <w:sz w:val="18"/>
          <w:szCs w:val="18"/>
          <w:color w:val="auto"/>
        </w:rPr>
        <w:t>amounts or percentages are specified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Schedule of Benefits</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Cosmetic</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Services or supplies that alter, improve or enhance appearance.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Covered Expenses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Medical, dental, vision or hearing services and supplies shown as covered under this Booklet.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Creditable Coverage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A person’s prior medical coverage as defined in the Health Insurance Portability and Accountability Act of 1996 (HIPAA).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Such coverage includes:</w:t>
      </w:r>
    </w:p>
    <w:p>
      <w:pPr>
        <w:spacing w:after="0" w:line="216" w:lineRule="exact"/>
        <w:rPr>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Health coverage issued on a group or individual basis;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Medicare;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Medicaid;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Health care for members of the uniformed services;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 program of the Indian Health Service;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 state health benefits risk pool;</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The Federal Employees’ Health Benefit Plan (FEHBP);</w:t>
      </w:r>
    </w:p>
    <w:p>
      <w:pPr>
        <w:spacing w:after="0" w:line="8" w:lineRule="exact"/>
        <w:rPr>
          <w:rFonts w:ascii="Arial" w:cs="Arial" w:eastAsia="Arial" w:hAnsi="Arial"/>
          <w:sz w:val="20"/>
          <w:szCs w:val="20"/>
          <w:color w:val="auto"/>
        </w:rPr>
      </w:pPr>
    </w:p>
    <w:p>
      <w:pPr>
        <w:ind w:left="340" w:right="820" w:hanging="331"/>
        <w:spacing w:after="0" w:line="242" w:lineRule="auto"/>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 public health plan (any plan established by a State, the government of the United States, or any subdivision of a State or of the government of the United States, or a foreign country);</w:t>
      </w: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Any health benefit plan under Section 5(e) of the Peace Corps Act;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The State Children’s Health Insurance Program (S-Chip).</w:t>
      </w:r>
    </w:p>
    <w:p>
      <w:pPr>
        <w:sectPr>
          <w:pgSz w:w="11900" w:h="16838" w:orient="portrait"/>
          <w:cols w:equalWidth="0" w:num="1">
            <w:col w:w="11340"/>
          </w:cols>
          <w:pgMar w:left="320" w:top="427" w:right="23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25"/>
          <w:szCs w:val="25"/>
          <w:b w:val="1"/>
          <w:bCs w:val="1"/>
          <w:color w:val="auto"/>
        </w:rPr>
        <w:t>Custodial Care</w:t>
      </w:r>
    </w:p>
    <w:p>
      <w:pPr>
        <w:spacing w:after="0" w:line="3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 xml:space="preserve">Services and supplies that are primarily intended to help you meet personal needs. </w:t>
      </w:r>
      <w:r>
        <w:rPr>
          <w:rFonts w:ascii="Arial" w:cs="Arial" w:eastAsia="Arial" w:hAnsi="Arial"/>
          <w:sz w:val="20"/>
          <w:szCs w:val="20"/>
          <w:b w:val="1"/>
          <w:bCs w:val="1"/>
          <w:color w:val="auto"/>
        </w:rPr>
        <w:t>Custodial care</w:t>
      </w:r>
      <w:r>
        <w:rPr>
          <w:rFonts w:ascii="Arial" w:cs="Arial" w:eastAsia="Arial" w:hAnsi="Arial"/>
          <w:sz w:val="20"/>
          <w:szCs w:val="20"/>
          <w:color w:val="auto"/>
        </w:rPr>
        <w:t xml:space="preserve"> can be prescribed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given by trained medical personnel. It may involve artificial methods such as feeding tubes, ventilators or catheters. Examples of </w:t>
      </w:r>
      <w:r>
        <w:rPr>
          <w:rFonts w:ascii="Arial" w:cs="Arial" w:eastAsia="Arial" w:hAnsi="Arial"/>
          <w:sz w:val="20"/>
          <w:szCs w:val="20"/>
          <w:b w:val="1"/>
          <w:bCs w:val="1"/>
          <w:color w:val="auto"/>
        </w:rPr>
        <w:t>custodial care</w:t>
      </w:r>
      <w:r>
        <w:rPr>
          <w:rFonts w:ascii="Arial" w:cs="Arial" w:eastAsia="Arial" w:hAnsi="Arial"/>
          <w:sz w:val="20"/>
          <w:szCs w:val="20"/>
          <w:color w:val="auto"/>
        </w:rPr>
        <w:t xml:space="preserve"> include:</w:t>
      </w:r>
    </w:p>
    <w:p>
      <w:pPr>
        <w:spacing w:after="0" w:line="210" w:lineRule="exact"/>
        <w:rPr>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Routine patient care such as changing dressings, periodic turning and positioning in bed, administering medications;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Care of a stable tracheostomy (including intermittent suctioning);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Care of a stable colostomy/ileostomy;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Care of stable gastrostomy/jejunostomy/nasogastric tube (intermittent or continuous) feedings;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Care of a stable indwelling bladder catheter (including emptying/changing containers and clamping tubing);</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Watching or protecting you;</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Respite care, adult (or child) day care, or convalescent care;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 xml:space="preserve">Institutional care, including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for rest cures, adult day care and convalescent care;</w:t>
      </w:r>
    </w:p>
    <w:p>
      <w:pPr>
        <w:spacing w:after="0" w:line="8" w:lineRule="exact"/>
        <w:rPr>
          <w:rFonts w:ascii="Arial" w:cs="Arial" w:eastAsia="Arial" w:hAnsi="Arial"/>
          <w:sz w:val="20"/>
          <w:szCs w:val="20"/>
          <w:color w:val="auto"/>
        </w:rPr>
      </w:pPr>
    </w:p>
    <w:p>
      <w:pPr>
        <w:ind w:left="340" w:right="180" w:hanging="331"/>
        <w:spacing w:after="0" w:line="242" w:lineRule="auto"/>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Help with the daily living activities, such as walking, grooming, bathing, dressing, getting in or out of bed, toileting, eating or preparing foods;</w:t>
      </w: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Any services that a person without medical or paramedical training could be trained to perform;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Any service that can be performed by a person without any medical or paramedical training.</w:t>
      </w:r>
    </w:p>
    <w:p>
      <w:pPr>
        <w:spacing w:after="0" w:line="210" w:lineRule="exact"/>
        <w:rPr>
          <w:sz w:val="20"/>
          <w:szCs w:val="20"/>
          <w:color w:val="auto"/>
        </w:rPr>
      </w:pPr>
    </w:p>
    <w:p>
      <w:pPr>
        <w:ind w:left="320" w:hanging="311"/>
        <w:spacing w:after="0"/>
        <w:tabs>
          <w:tab w:leader="none" w:pos="320" w:val="left"/>
        </w:tabs>
        <w:numPr>
          <w:ilvl w:val="0"/>
          <w:numId w:val="383"/>
        </w:numPr>
        <w:rPr>
          <w:rFonts w:ascii="Arial" w:cs="Arial" w:eastAsia="Arial" w:hAnsi="Arial"/>
          <w:sz w:val="32"/>
          <w:szCs w:val="32"/>
          <w:b w:val="1"/>
          <w:bCs w:val="1"/>
          <w:color w:val="auto"/>
        </w:rPr>
      </w:pPr>
      <w:r>
        <w:rPr>
          <w:rFonts w:ascii="Arial" w:cs="Arial" w:eastAsia="Arial" w:hAnsi="Arial"/>
          <w:sz w:val="14"/>
          <w:szCs w:val="14"/>
          <w:i w:val="1"/>
          <w:iCs w:val="1"/>
          <w:color w:val="auto"/>
        </w:rPr>
        <w:t>(GR-9N-34-020-01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Day Care Treatment</w:t>
      </w:r>
    </w:p>
    <w:p>
      <w:pPr>
        <w:spacing w:after="0" w:line="3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partial confinement treatment</w:t>
      </w:r>
      <w:r>
        <w:rPr>
          <w:rFonts w:ascii="Arial" w:cs="Arial" w:eastAsia="Arial" w:hAnsi="Arial"/>
          <w:sz w:val="20"/>
          <w:szCs w:val="20"/>
          <w:color w:val="auto"/>
        </w:rPr>
        <w:t xml:space="preserve"> program to provide treatment for you during the day.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psychiatric 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residential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treatment facility </w:t>
      </w:r>
      <w:r>
        <w:rPr>
          <w:rFonts w:ascii="Arial" w:cs="Arial" w:eastAsia="Arial" w:hAnsi="Arial"/>
          <w:sz w:val="20"/>
          <w:szCs w:val="20"/>
          <w:color w:val="auto"/>
        </w:rPr>
        <w:t>does not make a room charge for</w:t>
      </w:r>
      <w:r>
        <w:rPr>
          <w:rFonts w:ascii="Arial" w:cs="Arial" w:eastAsia="Arial" w:hAnsi="Arial"/>
          <w:sz w:val="20"/>
          <w:szCs w:val="20"/>
          <w:b w:val="1"/>
          <w:bCs w:val="1"/>
          <w:color w:val="auto"/>
        </w:rPr>
        <w:t xml:space="preserve"> day care treatment. </w:t>
      </w:r>
      <w:r>
        <w:rPr>
          <w:rFonts w:ascii="Arial" w:cs="Arial" w:eastAsia="Arial" w:hAnsi="Arial"/>
          <w:sz w:val="20"/>
          <w:szCs w:val="20"/>
          <w:color w:val="auto"/>
        </w:rPr>
        <w:t>Such treatment must be available for at least 4 hours, but not more</w:t>
      </w:r>
      <w:r>
        <w:rPr>
          <w:rFonts w:ascii="Arial" w:cs="Arial" w:eastAsia="Arial" w:hAnsi="Arial"/>
          <w:sz w:val="20"/>
          <w:szCs w:val="20"/>
          <w:b w:val="1"/>
          <w:bCs w:val="1"/>
          <w:color w:val="auto"/>
        </w:rPr>
        <w:t xml:space="preserve"> </w:t>
      </w:r>
      <w:r>
        <w:rPr>
          <w:rFonts w:ascii="Arial" w:cs="Arial" w:eastAsia="Arial" w:hAnsi="Arial"/>
          <w:sz w:val="20"/>
          <w:szCs w:val="20"/>
          <w:color w:val="auto"/>
        </w:rPr>
        <w:t>than 12 hours in any 24-hour period.</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Deductible</w:t>
      </w:r>
    </w:p>
    <w:p>
      <w:pPr>
        <w:spacing w:after="0" w:line="41" w:lineRule="exact"/>
        <w:rPr>
          <w:sz w:val="20"/>
          <w:szCs w:val="20"/>
          <w:color w:val="auto"/>
        </w:rPr>
      </w:pPr>
    </w:p>
    <w:p>
      <w:pPr>
        <w:ind w:right="2160"/>
        <w:spacing w:after="0" w:line="248" w:lineRule="auto"/>
        <w:rPr>
          <w:sz w:val="20"/>
          <w:szCs w:val="20"/>
          <w:color w:val="auto"/>
        </w:rPr>
      </w:pPr>
      <w:r>
        <w:rPr>
          <w:rFonts w:ascii="Arial" w:cs="Arial" w:eastAsia="Arial" w:hAnsi="Arial"/>
          <w:sz w:val="20"/>
          <w:szCs w:val="20"/>
          <w:color w:val="auto"/>
        </w:rPr>
        <w:t xml:space="preserve">The part of your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you pay before the plan starts to pay benefits. Additional information regarding </w:t>
      </w:r>
      <w:r>
        <w:rPr>
          <w:rFonts w:ascii="Arial" w:cs="Arial" w:eastAsia="Arial" w:hAnsi="Arial"/>
          <w:sz w:val="20"/>
          <w:szCs w:val="20"/>
          <w:b w:val="1"/>
          <w:bCs w:val="1"/>
          <w:color w:val="auto"/>
        </w:rPr>
        <w:t xml:space="preserve">deductibles </w:t>
      </w:r>
      <w:r>
        <w:rPr>
          <w:rFonts w:ascii="Arial" w:cs="Arial" w:eastAsia="Arial" w:hAnsi="Arial"/>
          <w:sz w:val="20"/>
          <w:szCs w:val="20"/>
          <w:color w:val="auto"/>
        </w:rPr>
        <w:t>and</w:t>
      </w:r>
      <w:r>
        <w:rPr>
          <w:rFonts w:ascii="Arial" w:cs="Arial" w:eastAsia="Arial" w:hAnsi="Arial"/>
          <w:sz w:val="20"/>
          <w:szCs w:val="20"/>
          <w:b w:val="1"/>
          <w:bCs w:val="1"/>
          <w:color w:val="auto"/>
        </w:rPr>
        <w:t xml:space="preserve"> deductible </w:t>
      </w:r>
      <w:r>
        <w:rPr>
          <w:rFonts w:ascii="Arial" w:cs="Arial" w:eastAsia="Arial" w:hAnsi="Arial"/>
          <w:sz w:val="20"/>
          <w:szCs w:val="20"/>
          <w:color w:val="auto"/>
        </w:rPr>
        <w:t>amounts can be found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Schedule of Benefits</w:t>
      </w:r>
      <w:r>
        <w:rPr>
          <w:rFonts w:ascii="Arial" w:cs="Arial" w:eastAsia="Arial" w:hAnsi="Arial"/>
          <w:sz w:val="20"/>
          <w:szCs w:val="20"/>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Deductible Carryover</w:t>
      </w:r>
    </w:p>
    <w:p>
      <w:pPr>
        <w:spacing w:after="0" w:line="32" w:lineRule="exact"/>
        <w:rPr>
          <w:sz w:val="20"/>
          <w:szCs w:val="20"/>
          <w:color w:val="auto"/>
        </w:rPr>
      </w:pPr>
    </w:p>
    <w:p>
      <w:pPr>
        <w:ind w:right="840"/>
        <w:spacing w:after="0" w:line="244" w:lineRule="auto"/>
        <w:rPr>
          <w:sz w:val="20"/>
          <w:szCs w:val="20"/>
          <w:color w:val="auto"/>
        </w:rPr>
      </w:pPr>
      <w:r>
        <w:rPr>
          <w:rFonts w:ascii="Arial" w:cs="Arial" w:eastAsia="Arial" w:hAnsi="Arial"/>
          <w:sz w:val="20"/>
          <w:szCs w:val="20"/>
          <w:color w:val="auto"/>
        </w:rPr>
        <w:t xml:space="preserve">This allows you to apply any </w:t>
      </w:r>
      <w:r>
        <w:rPr>
          <w:rFonts w:ascii="Arial" w:cs="Arial" w:eastAsia="Arial" w:hAnsi="Arial"/>
          <w:sz w:val="20"/>
          <w:szCs w:val="20"/>
          <w:b w:val="1"/>
          <w:bCs w:val="1"/>
          <w:color w:val="auto"/>
        </w:rPr>
        <w:t>covered expense</w:t>
      </w:r>
      <w:r>
        <w:rPr>
          <w:rFonts w:ascii="Arial" w:cs="Arial" w:eastAsia="Arial" w:hAnsi="Arial"/>
          <w:sz w:val="20"/>
          <w:szCs w:val="20"/>
          <w:color w:val="auto"/>
        </w:rPr>
        <w:t xml:space="preserve"> incurred during the last 3 months of a calendar year that is applied toward this year's </w:t>
      </w:r>
      <w:r>
        <w:rPr>
          <w:rFonts w:ascii="Arial" w:cs="Arial" w:eastAsia="Arial" w:hAnsi="Arial"/>
          <w:sz w:val="20"/>
          <w:szCs w:val="20"/>
          <w:b w:val="1"/>
          <w:bCs w:val="1"/>
          <w:color w:val="auto"/>
        </w:rPr>
        <w:t xml:space="preserve">deductible </w:t>
      </w:r>
      <w:r>
        <w:rPr>
          <w:rFonts w:ascii="Arial" w:cs="Arial" w:eastAsia="Arial" w:hAnsi="Arial"/>
          <w:sz w:val="20"/>
          <w:szCs w:val="20"/>
          <w:color w:val="auto"/>
        </w:rPr>
        <w:t>to also apply toward the following year's</w:t>
      </w:r>
      <w:r>
        <w:rPr>
          <w:rFonts w:ascii="Arial" w:cs="Arial" w:eastAsia="Arial" w:hAnsi="Arial"/>
          <w:sz w:val="20"/>
          <w:szCs w:val="20"/>
          <w:b w:val="1"/>
          <w:bCs w:val="1"/>
          <w:color w:val="auto"/>
        </w:rPr>
        <w:t xml:space="preserve"> deductible</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Dentist</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legally qualified </w:t>
      </w:r>
      <w:r>
        <w:rPr>
          <w:rFonts w:ascii="Arial" w:cs="Arial" w:eastAsia="Arial" w:hAnsi="Arial"/>
          <w:sz w:val="20"/>
          <w:szCs w:val="20"/>
          <w:b w:val="1"/>
          <w:bCs w:val="1"/>
          <w:color w:val="auto"/>
        </w:rPr>
        <w:t>dentist</w:t>
      </w:r>
      <w:r>
        <w:rPr>
          <w:rFonts w:ascii="Arial" w:cs="Arial" w:eastAsia="Arial" w:hAnsi="Arial"/>
          <w:sz w:val="20"/>
          <w:szCs w:val="20"/>
          <w:color w:val="auto"/>
        </w:rPr>
        <w:t xml:space="preserve">, or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licensed to do the dental work he or she performs.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Detoxification</w:t>
      </w:r>
    </w:p>
    <w:p>
      <w:pPr>
        <w:spacing w:after="0" w:line="32"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The process by which an alcohol-intoxicated or drug-intoxicated; or an alcohol-dependent or drug-dependent person is medically managed through the period of time necessary to eliminate, by metabolic or other means, the:</w:t>
      </w:r>
    </w:p>
    <w:p>
      <w:pPr>
        <w:spacing w:after="0" w:line="205" w:lineRule="exact"/>
        <w:rPr>
          <w:sz w:val="20"/>
          <w:szCs w:val="20"/>
          <w:color w:val="auto"/>
        </w:rPr>
      </w:pPr>
    </w:p>
    <w:p>
      <w:pPr>
        <w:ind w:left="340" w:hanging="331"/>
        <w:spacing w:after="0"/>
        <w:tabs>
          <w:tab w:leader="none" w:pos="34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Intoxicating alcohol or drug;</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Alcohol or drug-dependent factors; or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Alcohol in combination with drugs;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as determined by a </w:t>
      </w:r>
      <w:r>
        <w:rPr>
          <w:rFonts w:ascii="Arial" w:cs="Arial" w:eastAsia="Arial" w:hAnsi="Arial"/>
          <w:sz w:val="20"/>
          <w:szCs w:val="20"/>
          <w:b w:val="1"/>
          <w:bCs w:val="1"/>
          <w:color w:val="auto"/>
        </w:rPr>
        <w:t>physician</w:t>
      </w:r>
      <w:r>
        <w:rPr>
          <w:rFonts w:ascii="Arial" w:cs="Arial" w:eastAsia="Arial" w:hAnsi="Arial"/>
          <w:sz w:val="20"/>
          <w:szCs w:val="20"/>
          <w:color w:val="auto"/>
        </w:rPr>
        <w:t>. The process must keep the physiological risk to the patient at a minimum, and take place in a facility that meets any applicable licensing standards established by the jurisdiction in which it is located.</w:t>
      </w:r>
    </w:p>
    <w:p>
      <w:pPr>
        <w:sectPr>
          <w:pgSz w:w="11900" w:h="16838" w:orient="portrait"/>
          <w:cols w:equalWidth="0" w:num="1">
            <w:col w:w="11280"/>
          </w:cols>
          <w:pgMar w:left="320" w:top="427" w:right="299" w:bottom="1440" w:gutter="0" w:footer="0" w:header="0"/>
        </w:sectPr>
      </w:pPr>
    </w:p>
    <w:bookmarkStart w:id="266" w:name="page267"/>
    <w:bookmarkEnd w:id="266"/>
    <w:p>
      <w:pPr>
        <w:ind w:left="100"/>
        <w:spacing w:after="0"/>
        <w:rPr>
          <w:sz w:val="20"/>
          <w:szCs w:val="20"/>
          <w:color w:val="auto"/>
        </w:rPr>
      </w:pPr>
      <w:r>
        <w:rPr>
          <w:rFonts w:ascii="Arial" w:cs="Arial" w:eastAsia="Arial" w:hAnsi="Arial"/>
          <w:sz w:val="25"/>
          <w:szCs w:val="25"/>
          <w:b w:val="1"/>
          <w:bCs w:val="1"/>
          <w:color w:val="auto"/>
        </w:rPr>
        <w:t>Directory</w:t>
      </w:r>
    </w:p>
    <w:p>
      <w:pPr>
        <w:spacing w:after="0" w:line="32" w:lineRule="exact"/>
        <w:rPr>
          <w:sz w:val="20"/>
          <w:szCs w:val="20"/>
          <w:color w:val="auto"/>
        </w:rPr>
      </w:pPr>
    </w:p>
    <w:p>
      <w:pPr>
        <w:ind w:left="100" w:right="40"/>
        <w:spacing w:after="0" w:line="241" w:lineRule="auto"/>
        <w:rPr>
          <w:sz w:val="20"/>
          <w:szCs w:val="20"/>
          <w:color w:val="auto"/>
        </w:rPr>
      </w:pPr>
      <w:r>
        <w:rPr>
          <w:rFonts w:ascii="Arial" w:cs="Arial" w:eastAsia="Arial" w:hAnsi="Arial"/>
          <w:sz w:val="20"/>
          <w:szCs w:val="20"/>
          <w:color w:val="auto"/>
        </w:rPr>
        <w:t xml:space="preserve">A listing of all </w:t>
      </w:r>
      <w:r>
        <w:rPr>
          <w:rFonts w:ascii="Arial" w:cs="Arial" w:eastAsia="Arial" w:hAnsi="Arial"/>
          <w:sz w:val="20"/>
          <w:szCs w:val="20"/>
          <w:b w:val="1"/>
          <w:bCs w:val="1"/>
          <w:color w:val="auto"/>
        </w:rPr>
        <w:t>network providers</w:t>
      </w:r>
      <w:r>
        <w:rPr>
          <w:rFonts w:ascii="Arial" w:cs="Arial" w:eastAsia="Arial" w:hAnsi="Arial"/>
          <w:sz w:val="20"/>
          <w:szCs w:val="20"/>
          <w:color w:val="auto"/>
        </w:rPr>
        <w:t xml:space="preserve"> serving the class of employees to which you belong. The policyholder will give you a copy of this </w:t>
      </w:r>
      <w:r>
        <w:rPr>
          <w:rFonts w:ascii="Arial" w:cs="Arial" w:eastAsia="Arial" w:hAnsi="Arial"/>
          <w:sz w:val="20"/>
          <w:szCs w:val="20"/>
          <w:b w:val="1"/>
          <w:bCs w:val="1"/>
          <w:color w:val="auto"/>
        </w:rPr>
        <w:t>directory</w:t>
      </w:r>
      <w:r>
        <w:rPr>
          <w:rFonts w:ascii="Arial" w:cs="Arial" w:eastAsia="Arial" w:hAnsi="Arial"/>
          <w:sz w:val="20"/>
          <w:szCs w:val="20"/>
          <w:color w:val="auto"/>
        </w:rPr>
        <w:t>.</w:t>
      </w:r>
      <w:r>
        <w:rPr>
          <w:rFonts w:ascii="Arial" w:cs="Arial" w:eastAsia="Arial" w:hAnsi="Arial"/>
          <w:sz w:val="20"/>
          <w:szCs w:val="20"/>
          <w:b w:val="1"/>
          <w:bCs w:val="1"/>
          <w:color w:val="auto"/>
        </w:rPr>
        <w:t xml:space="preserve"> Network provider </w:t>
      </w:r>
      <w:r>
        <w:rPr>
          <w:rFonts w:ascii="Arial" w:cs="Arial" w:eastAsia="Arial" w:hAnsi="Arial"/>
          <w:sz w:val="20"/>
          <w:szCs w:val="20"/>
          <w:color w:val="auto"/>
        </w:rPr>
        <w:t>information is available through</w:t>
      </w:r>
      <w:r>
        <w:rPr>
          <w:rFonts w:ascii="Arial" w:cs="Arial" w:eastAsia="Arial" w:hAnsi="Arial"/>
          <w:sz w:val="20"/>
          <w:szCs w:val="20"/>
          <w:b w:val="1"/>
          <w:bCs w:val="1"/>
          <w:color w:val="auto"/>
        </w:rPr>
        <w:t xml:space="preserve"> Aetna's </w:t>
      </w:r>
      <w:r>
        <w:rPr>
          <w:rFonts w:ascii="Arial" w:cs="Arial" w:eastAsia="Arial" w:hAnsi="Arial"/>
          <w:sz w:val="20"/>
          <w:szCs w:val="20"/>
          <w:color w:val="auto"/>
        </w:rPr>
        <w:t>online provider</w:t>
      </w:r>
      <w:r>
        <w:rPr>
          <w:rFonts w:ascii="Arial" w:cs="Arial" w:eastAsia="Arial" w:hAnsi="Arial"/>
          <w:sz w:val="20"/>
          <w:szCs w:val="20"/>
          <w:b w:val="1"/>
          <w:bCs w:val="1"/>
          <w:color w:val="auto"/>
        </w:rPr>
        <w:t xml:space="preserve"> directory</w:t>
      </w:r>
      <w:r>
        <w:rPr>
          <w:rFonts w:ascii="Arial" w:cs="Arial" w:eastAsia="Arial" w:hAnsi="Arial"/>
          <w:sz w:val="20"/>
          <w:szCs w:val="20"/>
          <w:color w:val="auto"/>
        </w:rPr>
        <w:t>, DocFind®. You can also call the Member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Services phone number listed on your ID card to request a copy of this </w:t>
      </w:r>
      <w:r>
        <w:rPr>
          <w:rFonts w:ascii="Arial" w:cs="Arial" w:eastAsia="Arial" w:hAnsi="Arial"/>
          <w:sz w:val="20"/>
          <w:szCs w:val="20"/>
          <w:b w:val="1"/>
          <w:bCs w:val="1"/>
          <w:color w:val="auto"/>
        </w:rPr>
        <w:t>directory</w:t>
      </w:r>
      <w:r>
        <w:rPr>
          <w:rFonts w:ascii="Arial" w:cs="Arial" w:eastAsia="Arial" w:hAnsi="Arial"/>
          <w:sz w:val="20"/>
          <w:szCs w:val="20"/>
          <w:color w:val="auto"/>
        </w:rPr>
        <w: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Durable Medical and Surgical Equipment (DME)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Equipment, and the accessories needed to operate it, that is:</w:t>
      </w:r>
    </w:p>
    <w:p>
      <w:pPr>
        <w:spacing w:after="0" w:line="200" w:lineRule="exact"/>
        <w:rPr>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Made to withstand prolonged use;</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 xml:space="preserve">Made for and mainly used in the treatment of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Suited for use in the home;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 xml:space="preserve">Not normally of use to people who do not have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Not for use in altering air quality or temperature; and</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Not for exercise or training.</w:t>
      </w:r>
    </w:p>
    <w:p>
      <w:pPr>
        <w:spacing w:after="0" w:line="194"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Durable medical and surgical equipment </w:t>
      </w:r>
      <w:r>
        <w:rPr>
          <w:rFonts w:ascii="Arial" w:cs="Arial" w:eastAsia="Arial" w:hAnsi="Arial"/>
          <w:sz w:val="20"/>
          <w:szCs w:val="20"/>
          <w:color w:val="auto"/>
        </w:rPr>
        <w:t>does not include equipment such as whirlpools, portable whirlpool pumps, sauna baths, massage</w:t>
      </w:r>
      <w:r>
        <w:rPr>
          <w:rFonts w:ascii="Arial" w:cs="Arial" w:eastAsia="Arial" w:hAnsi="Arial"/>
          <w:sz w:val="20"/>
          <w:szCs w:val="20"/>
          <w:b w:val="1"/>
          <w:bCs w:val="1"/>
          <w:color w:val="auto"/>
        </w:rPr>
        <w:t xml:space="preserve"> </w:t>
      </w:r>
      <w:r>
        <w:rPr>
          <w:rFonts w:ascii="Arial" w:cs="Arial" w:eastAsia="Arial" w:hAnsi="Arial"/>
          <w:sz w:val="20"/>
          <w:szCs w:val="20"/>
          <w:color w:val="auto"/>
        </w:rPr>
        <w:t>devices, over bed tables, elevators, communication aids, vision aids and telephone alert systems.</w:t>
      </w:r>
    </w:p>
    <w:p>
      <w:pPr>
        <w:spacing w:after="0" w:line="131" w:lineRule="exact"/>
        <w:rPr>
          <w:sz w:val="20"/>
          <w:szCs w:val="20"/>
          <w:color w:val="auto"/>
        </w:rPr>
      </w:pPr>
    </w:p>
    <w:p>
      <w:pPr>
        <w:ind w:left="400" w:hanging="290"/>
        <w:spacing w:after="0"/>
        <w:tabs>
          <w:tab w:leader="none" w:pos="400" w:val="left"/>
        </w:tabs>
        <w:numPr>
          <w:ilvl w:val="0"/>
          <w:numId w:val="386"/>
        </w:numPr>
        <w:rPr>
          <w:rFonts w:ascii="Arial" w:cs="Arial" w:eastAsia="Arial" w:hAnsi="Arial"/>
          <w:sz w:val="32"/>
          <w:szCs w:val="32"/>
          <w:b w:val="1"/>
          <w:bCs w:val="1"/>
          <w:color w:val="auto"/>
        </w:rPr>
      </w:pPr>
      <w:r>
        <w:rPr>
          <w:rFonts w:ascii="Arial" w:cs="Arial" w:eastAsia="Arial" w:hAnsi="Arial"/>
          <w:sz w:val="14"/>
          <w:szCs w:val="14"/>
          <w:i w:val="1"/>
          <w:iCs w:val="1"/>
          <w:color w:val="auto"/>
        </w:rPr>
        <w:t>(GR-9N 34-025 04)</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Emergency Care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This means the treatment given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s emergency room to evaluate and treat an </w:t>
      </w:r>
      <w:r>
        <w:rPr>
          <w:rFonts w:ascii="Arial" w:cs="Arial" w:eastAsia="Arial" w:hAnsi="Arial"/>
          <w:sz w:val="20"/>
          <w:szCs w:val="20"/>
          <w:b w:val="1"/>
          <w:bCs w:val="1"/>
          <w:color w:val="auto"/>
        </w:rPr>
        <w:t>emergency medical condition</w:t>
      </w:r>
      <w:r>
        <w:rPr>
          <w:rFonts w:ascii="Arial" w:cs="Arial" w:eastAsia="Arial" w:hAnsi="Arial"/>
          <w:sz w:val="20"/>
          <w:szCs w:val="20"/>
          <w:color w:val="auto"/>
        </w:rPr>
        <w:t>.</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Emergency Medical Condition</w:t>
      </w:r>
    </w:p>
    <w:p>
      <w:pPr>
        <w:spacing w:after="0" w:line="32" w:lineRule="exact"/>
        <w:rPr>
          <w:sz w:val="20"/>
          <w:szCs w:val="20"/>
          <w:color w:val="auto"/>
        </w:rPr>
      </w:pPr>
    </w:p>
    <w:p>
      <w:pPr>
        <w:jc w:val="both"/>
        <w:ind w:left="100" w:right="580"/>
        <w:spacing w:after="0" w:line="241" w:lineRule="auto"/>
        <w:rPr>
          <w:sz w:val="20"/>
          <w:szCs w:val="20"/>
          <w:color w:val="auto"/>
        </w:rPr>
      </w:pPr>
      <w:r>
        <w:rPr>
          <w:rFonts w:ascii="Arial" w:cs="Arial" w:eastAsia="Arial" w:hAnsi="Arial"/>
          <w:sz w:val="20"/>
          <w:szCs w:val="20"/>
          <w:color w:val="auto"/>
        </w:rPr>
        <w:t xml:space="preserve">A recent and severe medical condition, including (but not limited to) severe pain, which would lead a prudent layperson possessing an average knowledge of medicine and health, to believe that his or her condition,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is of such a nature that failure to get immediate medical care could result in:</w:t>
      </w:r>
    </w:p>
    <w:p>
      <w:pPr>
        <w:spacing w:after="0" w:line="196" w:lineRule="exact"/>
        <w:rPr>
          <w:sz w:val="20"/>
          <w:szCs w:val="20"/>
          <w:color w:val="auto"/>
        </w:rPr>
      </w:pPr>
    </w:p>
    <w:p>
      <w:pPr>
        <w:ind w:left="440" w:hanging="330"/>
        <w:spacing w:after="0"/>
        <w:tabs>
          <w:tab w:leader="none" w:pos="44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Placing your health in serious jeopardy; or</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Serious impairment to bodily function; or</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Serious dysfunction of a body part or organ; or</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In the case of a pregnant woman, serious jeopardy to the health of the fetus.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Experimental or Investigational</w:t>
      </w:r>
    </w:p>
    <w:p>
      <w:pPr>
        <w:spacing w:after="0" w:line="32" w:lineRule="exact"/>
        <w:rPr>
          <w:sz w:val="20"/>
          <w:szCs w:val="20"/>
          <w:color w:val="auto"/>
        </w:rPr>
      </w:pPr>
    </w:p>
    <w:p>
      <w:pPr>
        <w:ind w:left="100" w:right="640"/>
        <w:spacing w:after="0" w:line="244" w:lineRule="auto"/>
        <w:rPr>
          <w:sz w:val="20"/>
          <w:szCs w:val="20"/>
          <w:color w:val="auto"/>
        </w:rPr>
      </w:pPr>
      <w:r>
        <w:rPr>
          <w:rFonts w:ascii="Arial" w:cs="Arial" w:eastAsia="Arial" w:hAnsi="Arial"/>
          <w:sz w:val="20"/>
          <w:szCs w:val="20"/>
          <w:color w:val="auto"/>
        </w:rPr>
        <w:t xml:space="preserve">Except as provided for under the Clinical Trials benefit provision, a drug, a device, a procedure, or treatment will be determined to be </w:t>
      </w:r>
      <w:r>
        <w:rPr>
          <w:rFonts w:ascii="Arial" w:cs="Arial" w:eastAsia="Arial" w:hAnsi="Arial"/>
          <w:sz w:val="20"/>
          <w:szCs w:val="20"/>
          <w:b w:val="1"/>
          <w:bCs w:val="1"/>
          <w:color w:val="auto"/>
        </w:rPr>
        <w:t xml:space="preserve">experimental or investigational </w:t>
      </w:r>
      <w:r>
        <w:rPr>
          <w:rFonts w:ascii="Arial" w:cs="Arial" w:eastAsia="Arial" w:hAnsi="Arial"/>
          <w:sz w:val="20"/>
          <w:szCs w:val="20"/>
          <w:color w:val="auto"/>
        </w:rPr>
        <w:t>if:</w:t>
      </w:r>
    </w:p>
    <w:p>
      <w:pPr>
        <w:spacing w:after="0" w:line="192" w:lineRule="exact"/>
        <w:rPr>
          <w:sz w:val="20"/>
          <w:szCs w:val="20"/>
          <w:color w:val="auto"/>
        </w:rPr>
      </w:pPr>
    </w:p>
    <w:p>
      <w:pPr>
        <w:ind w:left="440" w:right="320" w:hanging="330"/>
        <w:spacing w:after="0" w:line="250" w:lineRule="auto"/>
        <w:tabs>
          <w:tab w:leader="none" w:pos="44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 xml:space="preserve">There is not enough outcomes data available from controlled clinical trials published in the peer-reviewed literature to substantiate its safety and effectiveness for the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involved; or</w:t>
      </w:r>
    </w:p>
    <w:p>
      <w:pPr>
        <w:ind w:left="440" w:hanging="330"/>
        <w:spacing w:after="0"/>
        <w:tabs>
          <w:tab w:leader="none" w:pos="44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Approval required by the FDA has not been granted for marketing; or</w:t>
      </w:r>
    </w:p>
    <w:p>
      <w:pPr>
        <w:spacing w:after="0" w:line="13" w:lineRule="exact"/>
        <w:rPr>
          <w:rFonts w:ascii="Arial" w:cs="Arial" w:eastAsia="Arial" w:hAnsi="Arial"/>
          <w:sz w:val="20"/>
          <w:szCs w:val="20"/>
          <w:color w:val="auto"/>
        </w:rPr>
      </w:pPr>
    </w:p>
    <w:p>
      <w:pPr>
        <w:ind w:left="440" w:right="2560" w:hanging="330"/>
        <w:spacing w:after="0" w:line="251" w:lineRule="auto"/>
        <w:tabs>
          <w:tab w:leader="none" w:pos="44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 xml:space="preserve">A recognized national medical or dental society or regulatory agency has determined, in writing, that it is </w:t>
      </w:r>
      <w:r>
        <w:rPr>
          <w:rFonts w:ascii="Arial" w:cs="Arial" w:eastAsia="Arial" w:hAnsi="Arial"/>
          <w:sz w:val="20"/>
          <w:szCs w:val="20"/>
          <w:b w:val="1"/>
          <w:bCs w:val="1"/>
          <w:color w:val="auto"/>
        </w:rPr>
        <w:t>experimental or investigational</w:t>
      </w:r>
      <w:r>
        <w:rPr>
          <w:rFonts w:ascii="Arial" w:cs="Arial" w:eastAsia="Arial" w:hAnsi="Arial"/>
          <w:sz w:val="20"/>
          <w:szCs w:val="20"/>
          <w:color w:val="auto"/>
        </w:rPr>
        <w:t>, or for research purposes; or</w:t>
      </w:r>
    </w:p>
    <w:p>
      <w:pPr>
        <w:ind w:left="440" w:hanging="330"/>
        <w:spacing w:after="0" w:line="239" w:lineRule="auto"/>
        <w:tabs>
          <w:tab w:leader="none" w:pos="44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It is a type of drug, device or treatment that is the subject of a Phase I or Phase II clinical trial or the experimental or research arm of a Phase III clinical trial, using the definition of “phases” indicated in regulations and other official actions and publications of the FDA and Department of Health and Human Services; or</w:t>
      </w:r>
    </w:p>
    <w:p>
      <w:pPr>
        <w:spacing w:after="0" w:line="1" w:lineRule="exact"/>
        <w:rPr>
          <w:rFonts w:ascii="Arial" w:cs="Arial" w:eastAsia="Arial" w:hAnsi="Arial"/>
          <w:sz w:val="20"/>
          <w:szCs w:val="20"/>
          <w:color w:val="auto"/>
        </w:rPr>
      </w:pPr>
    </w:p>
    <w:p>
      <w:pPr>
        <w:ind w:left="440" w:right="100" w:hanging="330"/>
        <w:spacing w:after="0" w:line="244" w:lineRule="auto"/>
        <w:tabs>
          <w:tab w:leader="none" w:pos="44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written protocol or protocols used by the treating facility, or the protocol or protocols of any other facility studying substantially the same:</w:t>
      </w:r>
    </w:p>
    <w:p>
      <w:pPr>
        <w:spacing w:after="0" w:line="2" w:lineRule="exact"/>
        <w:rPr>
          <w:rFonts w:ascii="Arial" w:cs="Arial" w:eastAsia="Arial" w:hAnsi="Arial"/>
          <w:sz w:val="20"/>
          <w:szCs w:val="20"/>
          <w:color w:val="auto"/>
        </w:rPr>
      </w:pPr>
    </w:p>
    <w:p>
      <w:pPr>
        <w:ind w:left="760" w:hanging="326"/>
        <w:spacing w:after="0"/>
        <w:tabs>
          <w:tab w:leader="none" w:pos="76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drug;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device;</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procedure; or</w:t>
      </w:r>
    </w:p>
    <w:p>
      <w:pPr>
        <w:sectPr>
          <w:pgSz w:w="11900" w:h="16838" w:orient="portrait"/>
          <w:cols w:equalWidth="0" w:num="1">
            <w:col w:w="11320"/>
          </w:cols>
          <w:pgMar w:left="260" w:top="427" w:right="319" w:bottom="1440" w:gutter="0" w:footer="0" w:header="0"/>
        </w:sectPr>
      </w:pPr>
    </w:p>
    <w:bookmarkStart w:id="267" w:name="page268"/>
    <w:bookmarkEnd w:id="267"/>
    <w:p>
      <w:pPr>
        <w:ind w:left="760" w:hanging="326"/>
        <w:spacing w:after="0"/>
        <w:tabs>
          <w:tab w:leader="none" w:pos="76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treatment.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 also includes the written informed consent used by:</w:t>
      </w:r>
    </w:p>
    <w:p>
      <w:pPr>
        <w:spacing w:after="0" w:line="243" w:lineRule="exact"/>
        <w:rPr>
          <w:sz w:val="20"/>
          <w:szCs w:val="20"/>
          <w:color w:val="auto"/>
        </w:rPr>
      </w:pPr>
    </w:p>
    <w:p>
      <w:pPr>
        <w:ind w:left="440" w:hanging="330"/>
        <w:spacing w:after="0"/>
        <w:tabs>
          <w:tab w:leader="none" w:pos="44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the treating facility; or</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by another facility studying the same:</w:t>
      </w:r>
    </w:p>
    <w:p>
      <w:pPr>
        <w:spacing w:after="0" w:line="19" w:lineRule="exact"/>
        <w:rPr>
          <w:rFonts w:ascii="Arial" w:cs="Arial" w:eastAsia="Arial" w:hAnsi="Arial"/>
          <w:sz w:val="20"/>
          <w:szCs w:val="20"/>
          <w:color w:val="auto"/>
        </w:rPr>
      </w:pPr>
    </w:p>
    <w:p>
      <w:pPr>
        <w:ind w:left="760" w:hanging="326"/>
        <w:spacing w:after="0"/>
        <w:tabs>
          <w:tab w:leader="none" w:pos="76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drug;</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device;</w:t>
      </w:r>
    </w:p>
    <w:p>
      <w:pPr>
        <w:spacing w:after="0" w:line="40" w:lineRule="exact"/>
        <w:rPr>
          <w:rFonts w:ascii="Arial" w:cs="Arial" w:eastAsia="Arial" w:hAnsi="Arial"/>
          <w:sz w:val="20"/>
          <w:szCs w:val="20"/>
          <w:color w:val="auto"/>
        </w:rPr>
      </w:pPr>
    </w:p>
    <w:p>
      <w:pPr>
        <w:ind w:left="760" w:hanging="326"/>
        <w:spacing w:after="0"/>
        <w:tabs>
          <w:tab w:leader="none" w:pos="76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procedure; or</w:t>
      </w:r>
    </w:p>
    <w:p>
      <w:pPr>
        <w:spacing w:after="0" w:line="20" w:lineRule="exact"/>
        <w:rPr>
          <w:rFonts w:ascii="Arial" w:cs="Arial" w:eastAsia="Arial" w:hAnsi="Arial"/>
          <w:sz w:val="20"/>
          <w:szCs w:val="20"/>
          <w:color w:val="auto"/>
        </w:rPr>
      </w:pPr>
    </w:p>
    <w:p>
      <w:pPr>
        <w:ind w:left="760" w:hanging="326"/>
        <w:spacing w:after="0"/>
        <w:tabs>
          <w:tab w:leader="none" w:pos="76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treatment.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that states that it is </w:t>
      </w:r>
      <w:r>
        <w:rPr>
          <w:rFonts w:ascii="Arial" w:cs="Arial" w:eastAsia="Arial" w:hAnsi="Arial"/>
          <w:sz w:val="20"/>
          <w:szCs w:val="20"/>
          <w:b w:val="1"/>
          <w:bCs w:val="1"/>
          <w:color w:val="auto"/>
        </w:rPr>
        <w:t>experimental or investigational</w:t>
      </w:r>
      <w:r>
        <w:rPr>
          <w:rFonts w:ascii="Arial" w:cs="Arial" w:eastAsia="Arial" w:hAnsi="Arial"/>
          <w:sz w:val="20"/>
          <w:szCs w:val="20"/>
          <w:color w:val="auto"/>
        </w:rPr>
        <w:t>, or for research purposes.</w:t>
      </w:r>
    </w:p>
    <w:p>
      <w:pPr>
        <w:spacing w:after="0" w:line="223" w:lineRule="exact"/>
        <w:rPr>
          <w:sz w:val="20"/>
          <w:szCs w:val="20"/>
          <w:color w:val="auto"/>
        </w:rPr>
      </w:pPr>
    </w:p>
    <w:p>
      <w:pPr>
        <w:ind w:left="440" w:hanging="330"/>
        <w:spacing w:after="0"/>
        <w:tabs>
          <w:tab w:leader="none" w:pos="440" w:val="left"/>
        </w:tabs>
        <w:numPr>
          <w:ilvl w:val="0"/>
          <w:numId w:val="391"/>
        </w:numPr>
        <w:rPr>
          <w:rFonts w:ascii="Arial" w:cs="Arial" w:eastAsia="Arial" w:hAnsi="Arial"/>
          <w:sz w:val="32"/>
          <w:szCs w:val="32"/>
          <w:b w:val="1"/>
          <w:bCs w:val="1"/>
          <w:color w:val="auto"/>
        </w:rPr>
      </w:pPr>
      <w:r>
        <w:rPr>
          <w:rFonts w:ascii="Arial" w:cs="Arial" w:eastAsia="Arial" w:hAnsi="Arial"/>
          <w:sz w:val="14"/>
          <w:szCs w:val="14"/>
          <w:i w:val="1"/>
          <w:iCs w:val="1"/>
          <w:color w:val="auto"/>
        </w:rPr>
        <w:t>(GR-9N 34-035 01)</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Generic Prescription Drug</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prescription drug</w:t>
      </w:r>
      <w:r>
        <w:rPr>
          <w:rFonts w:ascii="Arial" w:cs="Arial" w:eastAsia="Arial" w:hAnsi="Arial"/>
          <w:sz w:val="20"/>
          <w:szCs w:val="20"/>
          <w:color w:val="auto"/>
        </w:rPr>
        <w:t>, that is identified by its:</w:t>
      </w:r>
    </w:p>
    <w:p>
      <w:pPr>
        <w:spacing w:after="0" w:line="9" w:lineRule="exact"/>
        <w:rPr>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chemical;</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proprietary; or</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non-proprietary name;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is accepted by the U.S. Food and Drug Administration as therapeutically the same;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can be replaced with drugs with the same amount of active ingredient; and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 xml:space="preserve">so stated by Medispan or any other publication named by </w:t>
      </w:r>
      <w:r>
        <w:rPr>
          <w:rFonts w:ascii="Arial" w:cs="Arial" w:eastAsia="Arial" w:hAnsi="Arial"/>
          <w:sz w:val="20"/>
          <w:szCs w:val="20"/>
          <w:b w:val="1"/>
          <w:bCs w:val="1"/>
          <w:color w:val="auto"/>
        </w:rPr>
        <w:t>Aetna</w:t>
      </w:r>
      <w:r>
        <w:rPr>
          <w:rFonts w:ascii="Arial" w:cs="Arial" w:eastAsia="Arial" w:hAnsi="Arial"/>
          <w:sz w:val="20"/>
          <w:szCs w:val="20"/>
          <w:color w:val="auto"/>
        </w:rPr>
        <w:t xml:space="preserve"> or consort.</w:t>
      </w:r>
    </w:p>
    <w:p>
      <w:pPr>
        <w:spacing w:after="0" w:line="210" w:lineRule="exact"/>
        <w:rPr>
          <w:sz w:val="20"/>
          <w:szCs w:val="20"/>
          <w:color w:val="auto"/>
        </w:rPr>
      </w:pPr>
    </w:p>
    <w:p>
      <w:pPr>
        <w:ind w:left="440" w:hanging="330"/>
        <w:spacing w:after="0"/>
        <w:tabs>
          <w:tab w:leader="none" w:pos="440" w:val="left"/>
        </w:tabs>
        <w:numPr>
          <w:ilvl w:val="0"/>
          <w:numId w:val="393"/>
        </w:numPr>
        <w:rPr>
          <w:rFonts w:ascii="Arial" w:cs="Arial" w:eastAsia="Arial" w:hAnsi="Arial"/>
          <w:sz w:val="32"/>
          <w:szCs w:val="32"/>
          <w:b w:val="1"/>
          <w:bCs w:val="1"/>
          <w:color w:val="auto"/>
        </w:rPr>
      </w:pPr>
      <w:r>
        <w:rPr>
          <w:rFonts w:ascii="Arial" w:cs="Arial" w:eastAsia="Arial" w:hAnsi="Arial"/>
          <w:sz w:val="14"/>
          <w:szCs w:val="14"/>
          <w:i w:val="1"/>
          <w:iCs w:val="1"/>
          <w:color w:val="auto"/>
        </w:rPr>
        <w:t>(GR-9N-34-040-02 VA)</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Homebound</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means that you are confined to your place of residence:</w:t>
      </w:r>
    </w:p>
    <w:p>
      <w:pPr>
        <w:spacing w:after="0" w:line="194" w:lineRule="exact"/>
        <w:rPr>
          <w:sz w:val="20"/>
          <w:szCs w:val="20"/>
          <w:color w:val="auto"/>
        </w:rPr>
      </w:pPr>
    </w:p>
    <w:p>
      <w:pPr>
        <w:ind w:left="440" w:hanging="330"/>
        <w:spacing w:after="0"/>
        <w:tabs>
          <w:tab w:leader="none" w:pos="440" w:val="left"/>
        </w:tabs>
        <w:numPr>
          <w:ilvl w:val="0"/>
          <w:numId w:val="394"/>
        </w:numPr>
        <w:rPr>
          <w:rFonts w:ascii="Arial" w:cs="Arial" w:eastAsia="Arial" w:hAnsi="Arial"/>
          <w:sz w:val="20"/>
          <w:szCs w:val="20"/>
          <w:color w:val="auto"/>
        </w:rPr>
      </w:pPr>
      <w:r>
        <w:rPr>
          <w:rFonts w:ascii="Arial" w:cs="Arial" w:eastAsia="Arial" w:hAnsi="Arial"/>
          <w:sz w:val="20"/>
          <w:szCs w:val="20"/>
          <w:color w:val="auto"/>
        </w:rPr>
        <w:t xml:space="preserve">Due to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xml:space="preserve"> which makes leaving the home medically contraindicated; or</w:t>
      </w:r>
    </w:p>
    <w:p>
      <w:pPr>
        <w:spacing w:after="0" w:line="21" w:lineRule="exact"/>
        <w:rPr>
          <w:rFonts w:ascii="Arial" w:cs="Arial" w:eastAsia="Arial" w:hAnsi="Arial"/>
          <w:sz w:val="20"/>
          <w:szCs w:val="20"/>
          <w:color w:val="auto"/>
        </w:rPr>
      </w:pPr>
    </w:p>
    <w:p>
      <w:pPr>
        <w:ind w:left="440" w:hanging="330"/>
        <w:spacing w:after="0"/>
        <w:tabs>
          <w:tab w:leader="none" w:pos="440" w:val="left"/>
        </w:tabs>
        <w:numPr>
          <w:ilvl w:val="0"/>
          <w:numId w:val="394"/>
        </w:numPr>
        <w:rPr>
          <w:rFonts w:ascii="Arial" w:cs="Arial" w:eastAsia="Arial" w:hAnsi="Arial"/>
          <w:sz w:val="20"/>
          <w:szCs w:val="20"/>
          <w:color w:val="auto"/>
        </w:rPr>
      </w:pPr>
      <w:r>
        <w:rPr>
          <w:rFonts w:ascii="Arial" w:cs="Arial" w:eastAsia="Arial" w:hAnsi="Arial"/>
          <w:sz w:val="20"/>
          <w:szCs w:val="20"/>
          <w:color w:val="auto"/>
        </w:rPr>
        <w:t>Because the act of transport would be a serious risk to your life or health.</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Situations where you would not be considered </w:t>
      </w:r>
      <w:r>
        <w:rPr>
          <w:rFonts w:ascii="Arial" w:cs="Arial" w:eastAsia="Arial" w:hAnsi="Arial"/>
          <w:sz w:val="20"/>
          <w:szCs w:val="20"/>
          <w:b w:val="1"/>
          <w:bCs w:val="1"/>
          <w:color w:val="auto"/>
        </w:rPr>
        <w:t>homebound</w:t>
      </w:r>
      <w:r>
        <w:rPr>
          <w:rFonts w:ascii="Arial" w:cs="Arial" w:eastAsia="Arial" w:hAnsi="Arial"/>
          <w:sz w:val="20"/>
          <w:szCs w:val="20"/>
          <w:color w:val="auto"/>
        </w:rPr>
        <w:t xml:space="preserve"> include (but are not limited to) the following:</w:t>
      </w:r>
    </w:p>
    <w:p>
      <w:pPr>
        <w:spacing w:after="0" w:line="235" w:lineRule="exact"/>
        <w:rPr>
          <w:sz w:val="20"/>
          <w:szCs w:val="20"/>
          <w:color w:val="auto"/>
        </w:rPr>
      </w:pPr>
    </w:p>
    <w:p>
      <w:pPr>
        <w:ind w:left="400" w:hanging="331"/>
        <w:spacing w:after="0"/>
        <w:tabs>
          <w:tab w:leader="none" w:pos="4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You do not often travel from home because of feebleness or insecurity brought on by advanced age (or otherwise); or</w:t>
      </w:r>
    </w:p>
    <w:p>
      <w:pPr>
        <w:spacing w:after="0" w:line="66" w:lineRule="exact"/>
        <w:rPr>
          <w:rFonts w:ascii="Arial" w:cs="Arial" w:eastAsia="Arial" w:hAnsi="Arial"/>
          <w:sz w:val="16"/>
          <w:szCs w:val="16"/>
          <w:color w:val="auto"/>
        </w:rPr>
      </w:pPr>
    </w:p>
    <w:p>
      <w:pPr>
        <w:ind w:left="400" w:hanging="331"/>
        <w:spacing w:after="0"/>
        <w:tabs>
          <w:tab w:leader="none" w:pos="4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You are wheelchair bound but could safely be transported via wheelchair accessible transportation.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Home Health Care Agency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An agency that meets all of the following requirements.</w:t>
      </w:r>
    </w:p>
    <w:p>
      <w:pPr>
        <w:spacing w:after="0" w:line="200" w:lineRule="exact"/>
        <w:rPr>
          <w:sz w:val="20"/>
          <w:szCs w:val="20"/>
          <w:color w:val="auto"/>
        </w:rPr>
      </w:pPr>
    </w:p>
    <w:p>
      <w:pPr>
        <w:ind w:left="440" w:hanging="330"/>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Mainly provides skilled nursing and other therapeutic services.</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 xml:space="preserve">Is associated with a professional group (of at least one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and one </w:t>
      </w:r>
      <w:r>
        <w:rPr>
          <w:rFonts w:ascii="Arial" w:cs="Arial" w:eastAsia="Arial" w:hAnsi="Arial"/>
          <w:sz w:val="20"/>
          <w:szCs w:val="20"/>
          <w:b w:val="1"/>
          <w:bCs w:val="1"/>
          <w:color w:val="auto"/>
        </w:rPr>
        <w:t>R.N.</w:t>
      </w:r>
      <w:r>
        <w:rPr>
          <w:rFonts w:ascii="Arial" w:cs="Arial" w:eastAsia="Arial" w:hAnsi="Arial"/>
          <w:sz w:val="20"/>
          <w:szCs w:val="20"/>
          <w:color w:val="auto"/>
        </w:rPr>
        <w:t>) which makes policy.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96"/>
        </w:numPr>
        <w:rPr>
          <w:rFonts w:ascii="Arial" w:cs="Arial" w:eastAsia="Arial" w:hAnsi="Arial"/>
          <w:sz w:val="20"/>
          <w:szCs w:val="20"/>
          <w:b w:val="1"/>
          <w:bCs w:val="1"/>
          <w:color w:val="auto"/>
        </w:rPr>
      </w:pPr>
      <w:r>
        <w:rPr>
          <w:rFonts w:ascii="Arial" w:cs="Arial" w:eastAsia="Arial" w:hAnsi="Arial"/>
          <w:sz w:val="20"/>
          <w:szCs w:val="20"/>
          <w:color w:val="auto"/>
        </w:rPr>
        <w:t xml:space="preserve">Has full-time supervision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an </w:t>
      </w:r>
      <w:r>
        <w:rPr>
          <w:rFonts w:ascii="Arial" w:cs="Arial" w:eastAsia="Arial" w:hAnsi="Arial"/>
          <w:sz w:val="20"/>
          <w:szCs w:val="20"/>
          <w:b w:val="1"/>
          <w:bCs w:val="1"/>
          <w:color w:val="auto"/>
        </w:rPr>
        <w:t>R.N.</w:t>
      </w:r>
    </w:p>
    <w:p>
      <w:pPr>
        <w:spacing w:after="0" w:line="13" w:lineRule="exact"/>
        <w:rPr>
          <w:rFonts w:ascii="Arial" w:cs="Arial" w:eastAsia="Arial" w:hAnsi="Arial"/>
          <w:sz w:val="20"/>
          <w:szCs w:val="20"/>
          <w:b w:val="1"/>
          <w:bCs w:val="1"/>
          <w:color w:val="auto"/>
        </w:rPr>
      </w:pPr>
    </w:p>
    <w:p>
      <w:pPr>
        <w:ind w:left="440" w:hanging="330"/>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Keeps complete medical records on each person.</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Has an administrator.</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Meets licensing standards.</w:t>
      </w:r>
    </w:p>
    <w:p>
      <w:pPr>
        <w:sectPr>
          <w:pgSz w:w="11900" w:h="16838" w:orient="portrait"/>
          <w:cols w:equalWidth="0" w:num="1">
            <w:col w:w="10199"/>
          </w:cols>
          <w:pgMar w:left="260" w:top="433" w:right="1440" w:bottom="1440" w:gutter="0" w:footer="0" w:header="0"/>
        </w:sectPr>
      </w:pPr>
    </w:p>
    <w:bookmarkStart w:id="268" w:name="page269"/>
    <w:bookmarkEnd w:id="268"/>
    <w:p>
      <w:pPr>
        <w:spacing w:after="0"/>
        <w:rPr>
          <w:sz w:val="20"/>
          <w:szCs w:val="20"/>
          <w:color w:val="auto"/>
        </w:rPr>
      </w:pPr>
      <w:r>
        <w:rPr>
          <w:rFonts w:ascii="Arial" w:cs="Arial" w:eastAsia="Arial" w:hAnsi="Arial"/>
          <w:sz w:val="25"/>
          <w:szCs w:val="25"/>
          <w:b w:val="1"/>
          <w:bCs w:val="1"/>
          <w:color w:val="auto"/>
        </w:rPr>
        <w:t>Home Health Care Plan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is a plan that provides for continued care and treatment of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or </w:t>
      </w:r>
      <w:r>
        <w:rPr>
          <w:rFonts w:ascii="Arial" w:cs="Arial" w:eastAsia="Arial" w:hAnsi="Arial"/>
          <w:sz w:val="20"/>
          <w:szCs w:val="20"/>
          <w:b w:val="1"/>
          <w:bCs w:val="1"/>
          <w:color w:val="auto"/>
        </w:rPr>
        <w:t>injury</w:t>
      </w:r>
      <w:r>
        <w:rPr>
          <w:rFonts w:ascii="Arial" w:cs="Arial" w:eastAsia="Arial" w:hAnsi="Arial"/>
          <w:sz w:val="20"/>
          <w:szCs w:val="20"/>
          <w:color w:val="auto"/>
        </w:rPr>
        <w:t>. The care and treatment must be:</w:t>
      </w:r>
    </w:p>
    <w:p>
      <w:pPr>
        <w:spacing w:after="0" w:line="221" w:lineRule="exact"/>
        <w:rPr>
          <w:sz w:val="20"/>
          <w:szCs w:val="20"/>
          <w:color w:val="auto"/>
        </w:rPr>
      </w:pPr>
    </w:p>
    <w:p>
      <w:pPr>
        <w:ind w:left="340" w:hanging="331"/>
        <w:spacing w:after="0"/>
        <w:tabs>
          <w:tab w:leader="none" w:pos="34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 xml:space="preserve">Prescribed in writing by the attending </w:t>
      </w:r>
      <w:r>
        <w:rPr>
          <w:rFonts w:ascii="Arial" w:cs="Arial" w:eastAsia="Arial" w:hAnsi="Arial"/>
          <w:sz w:val="20"/>
          <w:szCs w:val="20"/>
          <w:b w:val="1"/>
          <w:bCs w:val="1"/>
          <w:color w:val="auto"/>
        </w:rPr>
        <w:t>physician</w:t>
      </w:r>
      <w:r>
        <w:rPr>
          <w:rFonts w:ascii="Arial" w:cs="Arial" w:eastAsia="Arial" w:hAnsi="Arial"/>
          <w:sz w:val="20"/>
          <w:szCs w:val="20"/>
          <w:color w:val="auto"/>
        </w:rPr>
        <w:t>; and</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 xml:space="preserve">An alternative to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skilled nursing facility stay</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Hospice Care</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This is care given to a </w:t>
      </w:r>
      <w:r>
        <w:rPr>
          <w:rFonts w:ascii="Arial" w:cs="Arial" w:eastAsia="Arial" w:hAnsi="Arial"/>
          <w:sz w:val="20"/>
          <w:szCs w:val="20"/>
          <w:b w:val="1"/>
          <w:bCs w:val="1"/>
          <w:color w:val="auto"/>
        </w:rPr>
        <w:t>terminally ill</w:t>
      </w:r>
      <w:r>
        <w:rPr>
          <w:rFonts w:ascii="Arial" w:cs="Arial" w:eastAsia="Arial" w:hAnsi="Arial"/>
          <w:sz w:val="20"/>
          <w:szCs w:val="20"/>
          <w:color w:val="auto"/>
        </w:rPr>
        <w:t xml:space="preserve"> person by or under arrangements with a </w:t>
      </w:r>
      <w:r>
        <w:rPr>
          <w:rFonts w:ascii="Arial" w:cs="Arial" w:eastAsia="Arial" w:hAnsi="Arial"/>
          <w:sz w:val="20"/>
          <w:szCs w:val="20"/>
          <w:b w:val="1"/>
          <w:bCs w:val="1"/>
          <w:color w:val="auto"/>
        </w:rPr>
        <w:t>hospice care agency</w:t>
      </w:r>
      <w:r>
        <w:rPr>
          <w:rFonts w:ascii="Arial" w:cs="Arial" w:eastAsia="Arial" w:hAnsi="Arial"/>
          <w:sz w:val="20"/>
          <w:szCs w:val="20"/>
          <w:color w:val="auto"/>
        </w:rPr>
        <w:t xml:space="preserve">. The care must be part of a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w:t>
      </w:r>
      <w:r>
        <w:rPr>
          <w:rFonts w:ascii="Arial" w:cs="Arial" w:eastAsia="Arial" w:hAnsi="Arial"/>
          <w:sz w:val="20"/>
          <w:szCs w:val="20"/>
          <w:b w:val="1"/>
          <w:bCs w:val="1"/>
          <w:color w:val="auto"/>
        </w:rPr>
        <w:t>program</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Hospice Care Agency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An agency or organization that meets all of the following requirements:</w:t>
      </w:r>
    </w:p>
    <w:p>
      <w:pPr>
        <w:spacing w:after="0" w:line="207" w:lineRule="exact"/>
        <w:rPr>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 xml:space="preserve">Has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available 24 hours a day.</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Meets any licensing or certification standards established by the jurisdiction where it is located.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Provides:</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b w:val="1"/>
          <w:bCs w:val="1"/>
          <w:color w:val="auto"/>
        </w:rPr>
        <w:t>Skilled nursing services</w:t>
      </w:r>
      <w:r>
        <w:rPr>
          <w:rFonts w:ascii="Arial" w:cs="Arial" w:eastAsia="Arial" w:hAnsi="Arial"/>
          <w:sz w:val="20"/>
          <w:szCs w:val="20"/>
          <w:color w:val="auto"/>
        </w:rPr>
        <w:t>;</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Medical social services; and</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Psychological and dietary counseling.</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Provides, or arranges for, other services which include:</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b w:val="1"/>
          <w:bCs w:val="1"/>
          <w:color w:val="auto"/>
        </w:rPr>
        <w:t xml:space="preserve">Physician </w:t>
      </w:r>
      <w:r>
        <w:rPr>
          <w:rFonts w:ascii="Arial" w:cs="Arial" w:eastAsia="Arial" w:hAnsi="Arial"/>
          <w:sz w:val="20"/>
          <w:szCs w:val="20"/>
          <w:color w:val="auto"/>
        </w:rPr>
        <w:t>services;</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Physical and occupational therapy;</w:t>
      </w:r>
    </w:p>
    <w:p>
      <w:pPr>
        <w:spacing w:after="0" w:line="34"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Part-time home health aide services which mainly consist of caring for </w:t>
      </w:r>
      <w:r>
        <w:rPr>
          <w:rFonts w:ascii="Arial" w:cs="Arial" w:eastAsia="Arial" w:hAnsi="Arial"/>
          <w:sz w:val="20"/>
          <w:szCs w:val="20"/>
          <w:b w:val="1"/>
          <w:bCs w:val="1"/>
          <w:color w:val="auto"/>
        </w:rPr>
        <w:t>terminally ill</w:t>
      </w:r>
      <w:r>
        <w:rPr>
          <w:rFonts w:ascii="Arial" w:cs="Arial" w:eastAsia="Arial" w:hAnsi="Arial"/>
          <w:sz w:val="20"/>
          <w:szCs w:val="20"/>
          <w:color w:val="auto"/>
        </w:rPr>
        <w:t xml:space="preserve"> people; and</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Inpatient care in a facility when needed for pain control and acute and chronic symptom management.</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Has at least the following personnel:</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One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One </w:t>
      </w:r>
      <w:r>
        <w:rPr>
          <w:rFonts w:ascii="Arial" w:cs="Arial" w:eastAsia="Arial" w:hAnsi="Arial"/>
          <w:sz w:val="20"/>
          <w:szCs w:val="20"/>
          <w:b w:val="1"/>
          <w:bCs w:val="1"/>
          <w:color w:val="auto"/>
        </w:rPr>
        <w:t>R.N.</w:t>
      </w:r>
      <w:r>
        <w:rPr>
          <w:rFonts w:ascii="Arial" w:cs="Arial" w:eastAsia="Arial" w:hAnsi="Arial"/>
          <w:sz w:val="20"/>
          <w:szCs w:val="20"/>
          <w:color w:val="auto"/>
        </w:rPr>
        <w:t>; and</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One licensed or certified social worker employed by the agency.</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 xml:space="preserve">Establishes policies about how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is provided.</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Assesses the patient's medical and social needs.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 xml:space="preserve">Develops a </w:t>
      </w:r>
      <w:r>
        <w:rPr>
          <w:rFonts w:ascii="Arial" w:cs="Arial" w:eastAsia="Arial" w:hAnsi="Arial"/>
          <w:sz w:val="20"/>
          <w:szCs w:val="20"/>
          <w:b w:val="1"/>
          <w:bCs w:val="1"/>
          <w:color w:val="auto"/>
        </w:rPr>
        <w:t>hospice care program</w:t>
      </w:r>
      <w:r>
        <w:rPr>
          <w:rFonts w:ascii="Arial" w:cs="Arial" w:eastAsia="Arial" w:hAnsi="Arial"/>
          <w:sz w:val="20"/>
          <w:szCs w:val="20"/>
          <w:color w:val="auto"/>
        </w:rPr>
        <w:t xml:space="preserve"> to meet those needs.</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Provides an ongoing quality assurance program. This includes reviews by </w:t>
      </w:r>
      <w:r>
        <w:rPr>
          <w:rFonts w:ascii="Arial" w:cs="Arial" w:eastAsia="Arial" w:hAnsi="Arial"/>
          <w:sz w:val="18"/>
          <w:szCs w:val="18"/>
          <w:b w:val="1"/>
          <w:bCs w:val="1"/>
          <w:color w:val="auto"/>
        </w:rPr>
        <w:t>physicians</w:t>
      </w:r>
      <w:r>
        <w:rPr>
          <w:rFonts w:ascii="Arial" w:cs="Arial" w:eastAsia="Arial" w:hAnsi="Arial"/>
          <w:sz w:val="18"/>
          <w:szCs w:val="18"/>
          <w:color w:val="auto"/>
        </w:rPr>
        <w:t>, other than those who own or direct the agency.</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Permits all area medical personnel to utilize its services for their patients.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Keeps a medical record on each patient.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Uses volunteers trained in providing services for non-medical needs.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Has a full-time administrator.</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Hospice Care Program</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is a written plan of </w:t>
      </w:r>
      <w:r>
        <w:rPr>
          <w:rFonts w:ascii="Arial" w:cs="Arial" w:eastAsia="Arial" w:hAnsi="Arial"/>
          <w:sz w:val="20"/>
          <w:szCs w:val="20"/>
          <w:b w:val="1"/>
          <w:bCs w:val="1"/>
          <w:color w:val="auto"/>
        </w:rPr>
        <w:t>hospice care</w:t>
      </w:r>
      <w:r>
        <w:rPr>
          <w:rFonts w:ascii="Arial" w:cs="Arial" w:eastAsia="Arial" w:hAnsi="Arial"/>
          <w:sz w:val="20"/>
          <w:szCs w:val="20"/>
          <w:color w:val="auto"/>
        </w:rPr>
        <w:t>, which:</w:t>
      </w:r>
    </w:p>
    <w:p>
      <w:pPr>
        <w:spacing w:after="0" w:line="194" w:lineRule="exact"/>
        <w:rPr>
          <w:sz w:val="20"/>
          <w:szCs w:val="20"/>
          <w:color w:val="auto"/>
        </w:rPr>
      </w:pPr>
    </w:p>
    <w:p>
      <w:pPr>
        <w:ind w:left="340" w:right="380" w:hanging="331"/>
        <w:spacing w:after="0" w:line="251" w:lineRule="auto"/>
        <w:tabs>
          <w:tab w:leader="none" w:pos="34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 xml:space="preserve">Is established by and reviewed from time to time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attending the person, and appropriate personnel of a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w:t>
      </w:r>
      <w:r>
        <w:rPr>
          <w:rFonts w:ascii="Arial" w:cs="Arial" w:eastAsia="Arial" w:hAnsi="Arial"/>
          <w:sz w:val="20"/>
          <w:szCs w:val="20"/>
          <w:b w:val="1"/>
          <w:bCs w:val="1"/>
          <w:color w:val="auto"/>
        </w:rPr>
        <w:t>agency</w:t>
      </w:r>
      <w:r>
        <w:rPr>
          <w:rFonts w:ascii="Arial" w:cs="Arial" w:eastAsia="Arial" w:hAnsi="Arial"/>
          <w:sz w:val="20"/>
          <w:szCs w:val="20"/>
          <w:color w:val="auto"/>
        </w:rPr>
        <w:t>;</w:t>
      </w:r>
    </w:p>
    <w:p>
      <w:pPr>
        <w:ind w:left="340" w:hanging="331"/>
        <w:spacing w:after="0"/>
        <w:tabs>
          <w:tab w:leader="none" w:pos="34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 xml:space="preserve">Is designed to provide palliative and supportive care to </w:t>
      </w:r>
      <w:r>
        <w:rPr>
          <w:rFonts w:ascii="Arial" w:cs="Arial" w:eastAsia="Arial" w:hAnsi="Arial"/>
          <w:sz w:val="20"/>
          <w:szCs w:val="20"/>
          <w:b w:val="1"/>
          <w:bCs w:val="1"/>
          <w:color w:val="auto"/>
        </w:rPr>
        <w:t>terminally ill</w:t>
      </w:r>
      <w:r>
        <w:rPr>
          <w:rFonts w:ascii="Arial" w:cs="Arial" w:eastAsia="Arial" w:hAnsi="Arial"/>
          <w:sz w:val="20"/>
          <w:szCs w:val="20"/>
          <w:color w:val="auto"/>
        </w:rPr>
        <w:t xml:space="preserve"> persons, and supportive care to their families; and</w:t>
      </w:r>
    </w:p>
    <w:p>
      <w:pPr>
        <w:ind w:left="340" w:hanging="331"/>
        <w:spacing w:after="0"/>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Includes an assessment of the person's medical and social needs; and a description of the care to be given to meet those needs.</w:t>
      </w:r>
    </w:p>
    <w:p>
      <w:pPr>
        <w:sectPr>
          <w:pgSz w:w="11900" w:h="16838" w:orient="portrait"/>
          <w:cols w:equalWidth="0" w:num="1">
            <w:col w:w="11060"/>
          </w:cols>
          <w:pgMar w:left="320" w:top="427" w:right="519" w:bottom="1440" w:gutter="0" w:footer="0" w:header="0"/>
        </w:sectPr>
      </w:pPr>
    </w:p>
    <w:bookmarkStart w:id="269" w:name="page270"/>
    <w:bookmarkEnd w:id="269"/>
    <w:p>
      <w:pPr>
        <w:ind w:left="100"/>
        <w:spacing w:after="0"/>
        <w:rPr>
          <w:sz w:val="20"/>
          <w:szCs w:val="20"/>
          <w:color w:val="auto"/>
        </w:rPr>
      </w:pPr>
      <w:r>
        <w:rPr>
          <w:rFonts w:ascii="Arial" w:cs="Arial" w:eastAsia="Arial" w:hAnsi="Arial"/>
          <w:sz w:val="25"/>
          <w:szCs w:val="25"/>
          <w:b w:val="1"/>
          <w:bCs w:val="1"/>
          <w:color w:val="auto"/>
        </w:rPr>
        <w:t>Hospice Facility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 facility, or distinct part of one, that meets all of the following requirements:</w:t>
      </w:r>
    </w:p>
    <w:p>
      <w:pPr>
        <w:spacing w:after="0" w:line="221" w:lineRule="exact"/>
        <w:rPr>
          <w:sz w:val="20"/>
          <w:szCs w:val="20"/>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 xml:space="preserve">Mainly provides inpatient </w:t>
      </w:r>
      <w:r>
        <w:rPr>
          <w:rFonts w:ascii="Arial" w:cs="Arial" w:eastAsia="Arial" w:hAnsi="Arial"/>
          <w:sz w:val="20"/>
          <w:szCs w:val="20"/>
          <w:b w:val="1"/>
          <w:bCs w:val="1"/>
          <w:color w:val="auto"/>
        </w:rPr>
        <w:t>hospice care</w:t>
      </w:r>
      <w:r>
        <w:rPr>
          <w:rFonts w:ascii="Arial" w:cs="Arial" w:eastAsia="Arial" w:hAnsi="Arial"/>
          <w:sz w:val="20"/>
          <w:szCs w:val="20"/>
          <w:color w:val="auto"/>
        </w:rPr>
        <w:t xml:space="preserve"> to </w:t>
      </w:r>
      <w:r>
        <w:rPr>
          <w:rFonts w:ascii="Arial" w:cs="Arial" w:eastAsia="Arial" w:hAnsi="Arial"/>
          <w:sz w:val="20"/>
          <w:szCs w:val="20"/>
          <w:b w:val="1"/>
          <w:bCs w:val="1"/>
          <w:color w:val="auto"/>
        </w:rPr>
        <w:t>terminally ill</w:t>
      </w:r>
      <w:r>
        <w:rPr>
          <w:rFonts w:ascii="Arial" w:cs="Arial" w:eastAsia="Arial" w:hAnsi="Arial"/>
          <w:sz w:val="20"/>
          <w:szCs w:val="20"/>
          <w:color w:val="auto"/>
        </w:rPr>
        <w:t xml:space="preserve"> persons.</w:t>
      </w:r>
    </w:p>
    <w:p>
      <w:pPr>
        <w:spacing w:after="0" w:line="26" w:lineRule="exact"/>
        <w:rPr>
          <w:rFonts w:ascii="Arial" w:cs="Arial" w:eastAsia="Arial" w:hAnsi="Arial"/>
          <w:sz w:val="20"/>
          <w:szCs w:val="20"/>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Charges patients for its services.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Meets any licensing or certification standards established by the jurisdiction where it is located.</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Keeps a medical record on each patient.</w:t>
      </w:r>
    </w:p>
    <w:p>
      <w:pPr>
        <w:spacing w:after="0" w:line="8" w:lineRule="exact"/>
        <w:rPr>
          <w:rFonts w:ascii="Arial" w:cs="Arial" w:eastAsia="Arial" w:hAnsi="Arial"/>
          <w:sz w:val="20"/>
          <w:szCs w:val="20"/>
          <w:color w:val="auto"/>
        </w:rPr>
      </w:pPr>
    </w:p>
    <w:p>
      <w:pPr>
        <w:ind w:left="440" w:hanging="330"/>
        <w:spacing w:after="0"/>
        <w:tabs>
          <w:tab w:leader="none" w:pos="44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Provides an ongoing quality assurance program including reviews by </w:t>
      </w:r>
      <w:r>
        <w:rPr>
          <w:rFonts w:ascii="Arial" w:cs="Arial" w:eastAsia="Arial" w:hAnsi="Arial"/>
          <w:sz w:val="19"/>
          <w:szCs w:val="19"/>
          <w:b w:val="1"/>
          <w:bCs w:val="1"/>
          <w:color w:val="auto"/>
        </w:rPr>
        <w:t>physicians</w:t>
      </w:r>
      <w:r>
        <w:rPr>
          <w:rFonts w:ascii="Arial" w:cs="Arial" w:eastAsia="Arial" w:hAnsi="Arial"/>
          <w:sz w:val="19"/>
          <w:szCs w:val="19"/>
          <w:color w:val="auto"/>
        </w:rPr>
        <w:t xml:space="preserve"> other than those who own or direct the facility.</w:t>
      </w:r>
    </w:p>
    <w:p>
      <w:pPr>
        <w:spacing w:after="0" w:line="15" w:lineRule="exact"/>
        <w:rPr>
          <w:rFonts w:ascii="Arial" w:cs="Arial" w:eastAsia="Arial" w:hAnsi="Arial"/>
          <w:sz w:val="19"/>
          <w:szCs w:val="19"/>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 xml:space="preserve">Is run by a staff of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At least one staff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must be on call at all times.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00"/>
        </w:numPr>
        <w:rPr>
          <w:rFonts w:ascii="Arial" w:cs="Arial" w:eastAsia="Arial" w:hAnsi="Arial"/>
          <w:sz w:val="20"/>
          <w:szCs w:val="20"/>
          <w:b w:val="1"/>
          <w:bCs w:val="1"/>
          <w:color w:val="auto"/>
        </w:rPr>
      </w:pPr>
      <w:r>
        <w:rPr>
          <w:rFonts w:ascii="Arial" w:cs="Arial" w:eastAsia="Arial" w:hAnsi="Arial"/>
          <w:sz w:val="20"/>
          <w:szCs w:val="20"/>
          <w:color w:val="auto"/>
        </w:rPr>
        <w:t xml:space="preserve">Provides 24-hour-a-day nursing services under the direction of an </w:t>
      </w:r>
      <w:r>
        <w:rPr>
          <w:rFonts w:ascii="Arial" w:cs="Arial" w:eastAsia="Arial" w:hAnsi="Arial"/>
          <w:sz w:val="20"/>
          <w:szCs w:val="20"/>
          <w:b w:val="1"/>
          <w:bCs w:val="1"/>
          <w:color w:val="auto"/>
        </w:rPr>
        <w:t>R.N.</w:t>
      </w:r>
    </w:p>
    <w:p>
      <w:pPr>
        <w:spacing w:after="0" w:line="13" w:lineRule="exact"/>
        <w:rPr>
          <w:rFonts w:ascii="Arial" w:cs="Arial" w:eastAsia="Arial" w:hAnsi="Arial"/>
          <w:sz w:val="20"/>
          <w:szCs w:val="20"/>
          <w:b w:val="1"/>
          <w:bCs w:val="1"/>
          <w:color w:val="auto"/>
        </w:rPr>
      </w:pPr>
    </w:p>
    <w:p>
      <w:pPr>
        <w:ind w:left="440" w:hanging="330"/>
        <w:spacing w:after="0"/>
        <w:tabs>
          <w:tab w:leader="none" w:pos="44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Has a full-time administrator.</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Hospital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An institution that:</w:t>
      </w:r>
    </w:p>
    <w:p>
      <w:pPr>
        <w:spacing w:after="0" w:line="200" w:lineRule="exact"/>
        <w:rPr>
          <w:sz w:val="20"/>
          <w:szCs w:val="20"/>
          <w:color w:val="auto"/>
        </w:rPr>
      </w:pPr>
    </w:p>
    <w:p>
      <w:pPr>
        <w:ind w:left="440" w:hanging="330"/>
        <w:spacing w:after="0"/>
        <w:tabs>
          <w:tab w:leader="none" w:pos="44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Is primarily engaged in providing, on its premises, inpatient medical, surgical and diagnostic services;</w:t>
      </w:r>
    </w:p>
    <w:p>
      <w:pPr>
        <w:spacing w:after="0" w:line="15" w:lineRule="exact"/>
        <w:rPr>
          <w:rFonts w:ascii="Arial" w:cs="Arial" w:eastAsia="Arial" w:hAnsi="Arial"/>
          <w:sz w:val="20"/>
          <w:szCs w:val="20"/>
          <w:color w:val="auto"/>
        </w:rPr>
      </w:pPr>
    </w:p>
    <w:p>
      <w:pPr>
        <w:ind w:left="440" w:hanging="330"/>
        <w:spacing w:after="0"/>
        <w:tabs>
          <w:tab w:leader="none" w:pos="44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 xml:space="preserve">Is supervised by a staff of </w:t>
      </w:r>
      <w:r>
        <w:rPr>
          <w:rFonts w:ascii="Arial" w:cs="Arial" w:eastAsia="Arial" w:hAnsi="Arial"/>
          <w:sz w:val="20"/>
          <w:szCs w:val="20"/>
          <w:b w:val="1"/>
          <w:bCs w:val="1"/>
          <w:color w:val="auto"/>
        </w:rPr>
        <w:t>physicians</w:t>
      </w:r>
      <w:r>
        <w:rPr>
          <w:rFonts w:ascii="Arial" w:cs="Arial" w:eastAsia="Arial" w:hAnsi="Arial"/>
          <w:sz w:val="20"/>
          <w:szCs w:val="20"/>
          <w:color w:val="auto"/>
        </w:rPr>
        <w:t>;</w:t>
      </w:r>
    </w:p>
    <w:p>
      <w:pPr>
        <w:spacing w:after="0" w:line="4" w:lineRule="exact"/>
        <w:rPr>
          <w:rFonts w:ascii="Arial" w:cs="Arial" w:eastAsia="Arial" w:hAnsi="Arial"/>
          <w:sz w:val="20"/>
          <w:szCs w:val="20"/>
          <w:color w:val="auto"/>
        </w:rPr>
      </w:pPr>
    </w:p>
    <w:p>
      <w:pPr>
        <w:ind w:left="440" w:hanging="330"/>
        <w:spacing w:after="0"/>
        <w:tabs>
          <w:tab w:leader="none" w:pos="44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 xml:space="preserve">Provides twenty-four (24) hour-a-day </w:t>
      </w:r>
      <w:r>
        <w:rPr>
          <w:rFonts w:ascii="Arial" w:cs="Arial" w:eastAsia="Arial" w:hAnsi="Arial"/>
          <w:sz w:val="20"/>
          <w:szCs w:val="20"/>
          <w:b w:val="1"/>
          <w:bCs w:val="1"/>
          <w:color w:val="auto"/>
        </w:rPr>
        <w:t>R.N.</w:t>
      </w:r>
      <w:r>
        <w:rPr>
          <w:rFonts w:ascii="Arial" w:cs="Arial" w:eastAsia="Arial" w:hAnsi="Arial"/>
          <w:sz w:val="20"/>
          <w:szCs w:val="20"/>
          <w:color w:val="auto"/>
        </w:rPr>
        <w:t xml:space="preserve"> service,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Charges patients for its services;</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Is operating in accordance with the laws of the jurisdiction in which it is located; and</w:t>
      </w:r>
    </w:p>
    <w:p>
      <w:pPr>
        <w:spacing w:after="0" w:line="8" w:lineRule="exact"/>
        <w:rPr>
          <w:rFonts w:ascii="Arial" w:cs="Arial" w:eastAsia="Arial" w:hAnsi="Arial"/>
          <w:sz w:val="20"/>
          <w:szCs w:val="20"/>
          <w:color w:val="auto"/>
        </w:rPr>
      </w:pPr>
    </w:p>
    <w:p>
      <w:pPr>
        <w:ind w:left="440" w:right="300" w:hanging="330"/>
        <w:spacing w:after="0" w:line="298" w:lineRule="auto"/>
        <w:tabs>
          <w:tab w:leader="none" w:pos="4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Does not meet all of the requirements above, but does meet the requirements of the jurisdiction in which it operates for licensing as a </w:t>
      </w:r>
      <w:r>
        <w:rPr>
          <w:rFonts w:ascii="Arial" w:cs="Arial" w:eastAsia="Arial" w:hAnsi="Arial"/>
          <w:sz w:val="18"/>
          <w:szCs w:val="18"/>
          <w:b w:val="1"/>
          <w:bCs w:val="1"/>
          <w:color w:val="auto"/>
        </w:rPr>
        <w:t xml:space="preserve">hospital </w:t>
      </w:r>
      <w:r>
        <w:rPr>
          <w:rFonts w:ascii="Arial" w:cs="Arial" w:eastAsia="Arial" w:hAnsi="Arial"/>
          <w:sz w:val="18"/>
          <w:szCs w:val="18"/>
          <w:color w:val="auto"/>
        </w:rPr>
        <w:t>and is accredited as a</w:t>
      </w:r>
      <w:r>
        <w:rPr>
          <w:rFonts w:ascii="Arial" w:cs="Arial" w:eastAsia="Arial" w:hAnsi="Arial"/>
          <w:sz w:val="18"/>
          <w:szCs w:val="18"/>
          <w:b w:val="1"/>
          <w:bCs w:val="1"/>
          <w:color w:val="auto"/>
        </w:rPr>
        <w:t xml:space="preserve"> hospital </w:t>
      </w:r>
      <w:r>
        <w:rPr>
          <w:rFonts w:ascii="Arial" w:cs="Arial" w:eastAsia="Arial" w:hAnsi="Arial"/>
          <w:sz w:val="18"/>
          <w:szCs w:val="18"/>
          <w:color w:val="auto"/>
        </w:rPr>
        <w:t>by the Joint Commission on the Accreditation of Healthcare Organizations.</w:t>
      </w:r>
    </w:p>
    <w:p>
      <w:pPr>
        <w:spacing w:after="0" w:line="149" w:lineRule="exact"/>
        <w:rPr>
          <w:sz w:val="20"/>
          <w:szCs w:val="20"/>
          <w:color w:val="auto"/>
        </w:rPr>
      </w:pPr>
    </w:p>
    <w:p>
      <w:pPr>
        <w:jc w:val="both"/>
        <w:ind w:right="200"/>
        <w:spacing w:after="0" w:line="263" w:lineRule="auto"/>
        <w:rPr>
          <w:sz w:val="20"/>
          <w:szCs w:val="20"/>
          <w:color w:val="auto"/>
        </w:rPr>
      </w:pPr>
      <w:r>
        <w:rPr>
          <w:rFonts w:ascii="Arial" w:cs="Arial" w:eastAsia="Arial" w:hAnsi="Arial"/>
          <w:sz w:val="21"/>
          <w:szCs w:val="21"/>
          <w:b w:val="1"/>
          <w:bCs w:val="1"/>
          <w:i w:val="1"/>
          <w:iCs w:val="1"/>
          <w:color w:val="auto"/>
        </w:rPr>
        <w:t xml:space="preserve">In no event </w:t>
      </w:r>
      <w:r>
        <w:rPr>
          <w:rFonts w:ascii="Arial" w:cs="Arial" w:eastAsia="Arial" w:hAnsi="Arial"/>
          <w:sz w:val="19"/>
          <w:szCs w:val="19"/>
          <w:color w:val="auto"/>
        </w:rPr>
        <w:t>does</w:t>
      </w:r>
      <w:r>
        <w:rPr>
          <w:rFonts w:ascii="Arial" w:cs="Arial" w:eastAsia="Arial" w:hAnsi="Arial"/>
          <w:sz w:val="21"/>
          <w:szCs w:val="21"/>
          <w:b w:val="1"/>
          <w:bCs w:val="1"/>
          <w:i w:val="1"/>
          <w:iCs w:val="1"/>
          <w:color w:val="auto"/>
        </w:rPr>
        <w:t xml:space="preserve"> </w:t>
      </w:r>
      <w:r>
        <w:rPr>
          <w:rFonts w:ascii="Arial" w:cs="Arial" w:eastAsia="Arial" w:hAnsi="Arial"/>
          <w:sz w:val="19"/>
          <w:szCs w:val="19"/>
          <w:b w:val="1"/>
          <w:bCs w:val="1"/>
          <w:color w:val="auto"/>
        </w:rPr>
        <w:t>hospital</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include a convalescent nursing home or any institution or part of one which is used principally as a convalescent</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 xml:space="preserve">facility, rest facility, nursing facility, facility for the aged, extended care facility, intermediate care facility, </w:t>
      </w:r>
      <w:r>
        <w:rPr>
          <w:rFonts w:ascii="Arial" w:cs="Arial" w:eastAsia="Arial" w:hAnsi="Arial"/>
          <w:sz w:val="19"/>
          <w:szCs w:val="19"/>
          <w:b w:val="1"/>
          <w:bCs w:val="1"/>
          <w:color w:val="auto"/>
        </w:rPr>
        <w:t>skilled nursing facility</w:t>
      </w:r>
      <w:r>
        <w:rPr>
          <w:rFonts w:ascii="Arial" w:cs="Arial" w:eastAsia="Arial" w:hAnsi="Arial"/>
          <w:sz w:val="19"/>
          <w:szCs w:val="19"/>
          <w:color w:val="auto"/>
        </w:rPr>
        <w:t xml:space="preserve">, hospice, rehabilitative </w:t>
      </w:r>
      <w:r>
        <w:rPr>
          <w:rFonts w:ascii="Arial" w:cs="Arial" w:eastAsia="Arial" w:hAnsi="Arial"/>
          <w:sz w:val="19"/>
          <w:szCs w:val="19"/>
          <w:b w:val="1"/>
          <w:bCs w:val="1"/>
          <w:color w:val="auto"/>
        </w:rPr>
        <w:t>hospital</w:t>
      </w:r>
      <w:r>
        <w:rPr>
          <w:rFonts w:ascii="Arial" w:cs="Arial" w:eastAsia="Arial" w:hAnsi="Arial"/>
          <w:sz w:val="19"/>
          <w:szCs w:val="19"/>
          <w:color w:val="auto"/>
        </w:rPr>
        <w:t xml:space="preserve"> or facility primarily for rehabilitative or custodial services.</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Hospitalization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 continuous confinement as an inpatient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for which a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 is made.</w:t>
      </w:r>
    </w:p>
    <w:p>
      <w:pPr>
        <w:spacing w:after="0" w:line="188" w:lineRule="exact"/>
        <w:rPr>
          <w:sz w:val="20"/>
          <w:szCs w:val="20"/>
          <w:color w:val="auto"/>
        </w:rPr>
      </w:pPr>
    </w:p>
    <w:p>
      <w:pPr>
        <w:ind w:left="320" w:hanging="210"/>
        <w:spacing w:after="0"/>
        <w:tabs>
          <w:tab w:leader="none" w:pos="320" w:val="left"/>
        </w:tabs>
        <w:numPr>
          <w:ilvl w:val="0"/>
          <w:numId w:val="402"/>
        </w:numPr>
        <w:rPr>
          <w:rFonts w:ascii="Arial" w:cs="Arial" w:eastAsia="Arial" w:hAnsi="Arial"/>
          <w:sz w:val="32"/>
          <w:szCs w:val="32"/>
          <w:b w:val="1"/>
          <w:bCs w:val="1"/>
          <w:color w:val="auto"/>
        </w:rPr>
      </w:pPr>
      <w:r>
        <w:rPr>
          <w:rFonts w:ascii="Arial" w:cs="Arial" w:eastAsia="Arial" w:hAnsi="Arial"/>
          <w:sz w:val="14"/>
          <w:szCs w:val="14"/>
          <w:i w:val="1"/>
          <w:iCs w:val="1"/>
          <w:color w:val="auto"/>
        </w:rPr>
        <w:t>(GR-9N 34-045 02)</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Illness</w:t>
      </w:r>
    </w:p>
    <w:p>
      <w:pPr>
        <w:spacing w:after="0" w:line="32" w:lineRule="exact"/>
        <w:rPr>
          <w:sz w:val="20"/>
          <w:szCs w:val="20"/>
          <w:color w:val="auto"/>
        </w:rPr>
      </w:pPr>
    </w:p>
    <w:p>
      <w:pPr>
        <w:ind w:left="100"/>
        <w:spacing w:after="0" w:line="244" w:lineRule="auto"/>
        <w:rPr>
          <w:sz w:val="20"/>
          <w:szCs w:val="20"/>
          <w:color w:val="auto"/>
        </w:rPr>
      </w:pPr>
      <w:r>
        <w:rPr>
          <w:rFonts w:ascii="Arial" w:cs="Arial" w:eastAsia="Arial" w:hAnsi="Arial"/>
          <w:sz w:val="20"/>
          <w:szCs w:val="20"/>
          <w:color w:val="auto"/>
        </w:rPr>
        <w:t>A pathological condition of the body that presents a group of clinical signs and symptoms and laboratory findings peculiar to the findings set the condition apart as an abnormal entity differing from other normal or pathological body states.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Infertile or Infertility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condition of a presumably healthy covered person who is unable to conceive or produce conception after:</w:t>
      </w:r>
    </w:p>
    <w:p>
      <w:pPr>
        <w:spacing w:after="0" w:line="200" w:lineRule="exact"/>
        <w:rPr>
          <w:sz w:val="20"/>
          <w:szCs w:val="20"/>
          <w:color w:val="auto"/>
        </w:rPr>
      </w:pPr>
    </w:p>
    <w:p>
      <w:pPr>
        <w:ind w:left="440" w:hanging="330"/>
        <w:spacing w:after="0"/>
        <w:tabs>
          <w:tab w:leader="none" w:pos="440" w:val="left"/>
        </w:tabs>
        <w:numPr>
          <w:ilvl w:val="0"/>
          <w:numId w:val="403"/>
        </w:numPr>
        <w:rPr>
          <w:rFonts w:ascii="Arial" w:cs="Arial" w:eastAsia="Arial" w:hAnsi="Arial"/>
          <w:sz w:val="19"/>
          <w:szCs w:val="19"/>
          <w:color w:val="auto"/>
        </w:rPr>
      </w:pPr>
      <w:r>
        <w:rPr>
          <w:rFonts w:ascii="Arial" w:cs="Arial" w:eastAsia="Arial" w:hAnsi="Arial"/>
          <w:sz w:val="19"/>
          <w:szCs w:val="19"/>
          <w:i w:val="1"/>
          <w:iCs w:val="1"/>
          <w:color w:val="auto"/>
        </w:rPr>
        <w:t xml:space="preserve">For a </w:t>
      </w:r>
      <w:r>
        <w:rPr>
          <w:rFonts w:ascii="Arial" w:cs="Arial" w:eastAsia="Arial" w:hAnsi="Arial"/>
          <w:sz w:val="19"/>
          <w:szCs w:val="19"/>
          <w:color w:val="auto"/>
        </w:rPr>
        <w:t>woman</w:t>
      </w:r>
      <w:r>
        <w:rPr>
          <w:rFonts w:ascii="Arial" w:cs="Arial" w:eastAsia="Arial" w:hAnsi="Arial"/>
          <w:sz w:val="19"/>
          <w:szCs w:val="19"/>
          <w:i w:val="1"/>
          <w:iCs w:val="1"/>
          <w:color w:val="auto"/>
        </w:rPr>
        <w:t xml:space="preserve"> who is under 35 years of age</w:t>
      </w:r>
      <w:r>
        <w:rPr>
          <w:rFonts w:ascii="Arial" w:cs="Arial" w:eastAsia="Arial" w:hAnsi="Arial"/>
          <w:sz w:val="19"/>
          <w:szCs w:val="19"/>
          <w:color w:val="auto"/>
        </w:rPr>
        <w:t>: 1 year or more of timed, unprotected coitus, or 12 cycles of artificial insemination; or</w:t>
      </w:r>
    </w:p>
    <w:p>
      <w:pPr>
        <w:spacing w:after="0" w:line="27" w:lineRule="exact"/>
        <w:rPr>
          <w:rFonts w:ascii="Arial" w:cs="Arial" w:eastAsia="Arial" w:hAnsi="Arial"/>
          <w:sz w:val="19"/>
          <w:szCs w:val="19"/>
          <w:color w:val="auto"/>
        </w:rPr>
      </w:pPr>
    </w:p>
    <w:p>
      <w:pPr>
        <w:ind w:left="440" w:hanging="330"/>
        <w:spacing w:after="0"/>
        <w:tabs>
          <w:tab w:leader="none" w:pos="440" w:val="left"/>
        </w:tabs>
        <w:numPr>
          <w:ilvl w:val="0"/>
          <w:numId w:val="403"/>
        </w:numPr>
        <w:rPr>
          <w:rFonts w:ascii="Arial" w:cs="Arial" w:eastAsia="Arial" w:hAnsi="Arial"/>
          <w:sz w:val="18"/>
          <w:szCs w:val="18"/>
          <w:color w:val="auto"/>
        </w:rPr>
      </w:pPr>
      <w:r>
        <w:rPr>
          <w:rFonts w:ascii="Arial" w:cs="Arial" w:eastAsia="Arial" w:hAnsi="Arial"/>
          <w:sz w:val="18"/>
          <w:szCs w:val="18"/>
          <w:i w:val="1"/>
          <w:iCs w:val="1"/>
          <w:color w:val="auto"/>
        </w:rPr>
        <w:t xml:space="preserve">For a </w:t>
      </w:r>
      <w:r>
        <w:rPr>
          <w:rFonts w:ascii="Arial" w:cs="Arial" w:eastAsia="Arial" w:hAnsi="Arial"/>
          <w:sz w:val="18"/>
          <w:szCs w:val="18"/>
          <w:color w:val="auto"/>
        </w:rPr>
        <w:t>woman</w:t>
      </w:r>
      <w:r>
        <w:rPr>
          <w:rFonts w:ascii="Arial" w:cs="Arial" w:eastAsia="Arial" w:hAnsi="Arial"/>
          <w:sz w:val="18"/>
          <w:szCs w:val="18"/>
          <w:i w:val="1"/>
          <w:iCs w:val="1"/>
          <w:color w:val="auto"/>
        </w:rPr>
        <w:t xml:space="preserve"> who is 35 years of age or older</w:t>
      </w:r>
      <w:r>
        <w:rPr>
          <w:rFonts w:ascii="Arial" w:cs="Arial" w:eastAsia="Arial" w:hAnsi="Arial"/>
          <w:sz w:val="18"/>
          <w:szCs w:val="18"/>
          <w:color w:val="auto"/>
        </w:rPr>
        <w:t>: 6 months or more of timed, unprotected coitus, or 6 cycles of artificial insemination.</w:t>
      </w:r>
    </w:p>
    <w:p>
      <w:pPr>
        <w:sectPr>
          <w:pgSz w:w="11900" w:h="16838" w:orient="portrait"/>
          <w:cols w:equalWidth="0" w:num="1">
            <w:col w:w="11260"/>
          </w:cols>
          <w:pgMar w:left="260" w:top="427" w:right="379" w:bottom="1440" w:gutter="0" w:footer="0" w:header="0"/>
        </w:sectPr>
      </w:pPr>
    </w:p>
    <w:bookmarkStart w:id="270" w:name="page271"/>
    <w:bookmarkEnd w:id="270"/>
    <w:p>
      <w:pPr>
        <w:spacing w:after="0"/>
        <w:rPr>
          <w:sz w:val="20"/>
          <w:szCs w:val="20"/>
          <w:color w:val="auto"/>
        </w:rPr>
      </w:pPr>
      <w:r>
        <w:rPr>
          <w:rFonts w:ascii="Arial" w:cs="Arial" w:eastAsia="Arial" w:hAnsi="Arial"/>
          <w:sz w:val="25"/>
          <w:szCs w:val="25"/>
          <w:b w:val="1"/>
          <w:bCs w:val="1"/>
          <w:color w:val="auto"/>
        </w:rPr>
        <w:t>Injury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 accidental bodily </w:t>
      </w:r>
      <w:r>
        <w:rPr>
          <w:rFonts w:ascii="Arial" w:cs="Arial" w:eastAsia="Arial" w:hAnsi="Arial"/>
          <w:sz w:val="20"/>
          <w:szCs w:val="20"/>
          <w:b w:val="1"/>
          <w:bCs w:val="1"/>
          <w:color w:val="auto"/>
        </w:rPr>
        <w:t>injury</w:t>
      </w:r>
      <w:r>
        <w:rPr>
          <w:rFonts w:ascii="Arial" w:cs="Arial" w:eastAsia="Arial" w:hAnsi="Arial"/>
          <w:sz w:val="20"/>
          <w:szCs w:val="20"/>
          <w:color w:val="auto"/>
        </w:rPr>
        <w:t xml:space="preserve"> that is the sole and direct result of:</w:t>
      </w:r>
    </w:p>
    <w:p>
      <w:pPr>
        <w:spacing w:after="0" w:line="227" w:lineRule="exact"/>
        <w:rPr>
          <w:sz w:val="20"/>
          <w:szCs w:val="20"/>
          <w:color w:val="auto"/>
        </w:rPr>
      </w:pPr>
    </w:p>
    <w:p>
      <w:pPr>
        <w:ind w:left="340" w:hanging="331"/>
        <w:spacing w:after="0"/>
        <w:tabs>
          <w:tab w:leader="none" w:pos="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 unexpected or reasonably unforeseen occurrence or event;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reasonable unforeseeable consequences of a voluntary act by the person.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 act or event must be definite as to time and place.</w:t>
      </w:r>
    </w:p>
    <w:p>
      <w:pPr>
        <w:spacing w:after="0" w:line="201" w:lineRule="exact"/>
        <w:rPr>
          <w:sz w:val="20"/>
          <w:szCs w:val="20"/>
          <w:color w:val="auto"/>
        </w:rPr>
      </w:pPr>
    </w:p>
    <w:p>
      <w:pPr>
        <w:ind w:left="260" w:hanging="251"/>
        <w:spacing w:after="0"/>
        <w:tabs>
          <w:tab w:leader="none" w:pos="260" w:val="left"/>
        </w:tabs>
        <w:numPr>
          <w:ilvl w:val="0"/>
          <w:numId w:val="405"/>
        </w:numPr>
        <w:rPr>
          <w:rFonts w:ascii="Arial" w:cs="Arial" w:eastAsia="Arial" w:hAnsi="Arial"/>
          <w:sz w:val="32"/>
          <w:szCs w:val="32"/>
          <w:b w:val="1"/>
          <w:bCs w:val="1"/>
          <w:color w:val="auto"/>
        </w:rPr>
      </w:pPr>
      <w:r>
        <w:rPr>
          <w:rFonts w:ascii="Arial" w:cs="Arial" w:eastAsia="Arial" w:hAnsi="Arial"/>
          <w:sz w:val="14"/>
          <w:szCs w:val="14"/>
          <w:i w:val="1"/>
          <w:iCs w:val="1"/>
          <w:color w:val="auto"/>
        </w:rPr>
        <w:t>(GR-9N 34-050 01)</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Jaw Joint Disorder </w:t>
      </w:r>
      <w:r>
        <w:rPr>
          <w:rFonts w:ascii="Arial" w:cs="Arial" w:eastAsia="Arial" w:hAnsi="Arial"/>
          <w:sz w:val="14"/>
          <w:szCs w:val="14"/>
          <w:i w:val="1"/>
          <w:iCs w:val="1"/>
          <w:color w:val="auto"/>
        </w:rPr>
        <w:t>(GR-9N 34-050 01)</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This is:</w:t>
      </w:r>
    </w:p>
    <w:p>
      <w:pPr>
        <w:spacing w:after="0" w:line="243" w:lineRule="exact"/>
        <w:rPr>
          <w:sz w:val="20"/>
          <w:szCs w:val="20"/>
          <w:color w:val="auto"/>
        </w:rPr>
      </w:pPr>
    </w:p>
    <w:p>
      <w:pPr>
        <w:ind w:left="340" w:hanging="331"/>
        <w:spacing w:after="0"/>
        <w:tabs>
          <w:tab w:leader="none" w:pos="34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 Temporomandibular Joint (TMJ) dysfunction or any alike disorder of the jaw joint;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 Myofacial Pain Dysfunction (MPD); or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Any alike disorder in the relationship of the jaw joint and the related muscles and nerves.</w:t>
      </w:r>
    </w:p>
    <w:p>
      <w:pPr>
        <w:spacing w:after="0" w:line="201" w:lineRule="exact"/>
        <w:rPr>
          <w:sz w:val="20"/>
          <w:szCs w:val="20"/>
          <w:color w:val="auto"/>
        </w:rPr>
      </w:pPr>
    </w:p>
    <w:p>
      <w:pPr>
        <w:ind w:left="300" w:hanging="291"/>
        <w:spacing w:after="0"/>
        <w:tabs>
          <w:tab w:leader="none" w:pos="300" w:val="left"/>
        </w:tabs>
        <w:numPr>
          <w:ilvl w:val="0"/>
          <w:numId w:val="407"/>
        </w:numPr>
        <w:rPr>
          <w:rFonts w:ascii="Arial" w:cs="Arial" w:eastAsia="Arial" w:hAnsi="Arial"/>
          <w:sz w:val="32"/>
          <w:szCs w:val="32"/>
          <w:b w:val="1"/>
          <w:bCs w:val="1"/>
          <w:color w:val="auto"/>
        </w:rPr>
      </w:pPr>
      <w:r>
        <w:rPr>
          <w:rFonts w:ascii="Arial" w:cs="Arial" w:eastAsia="Arial" w:hAnsi="Arial"/>
          <w:sz w:val="14"/>
          <w:szCs w:val="14"/>
          <w:i w:val="1"/>
          <w:iCs w:val="1"/>
          <w:color w:val="auto"/>
        </w:rPr>
        <w:t>(GR-9N 34-055 01)</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Late Enrollee</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is an employee in an Eligible Class who asked for enrollment under this Plan after the Initial Enrollment Period. Also, this is an eligible dependent for whom the employee did not choose coverage for the Initial Enrollment Period, but for whom coverage is asked for at a later time.</w:t>
      </w:r>
    </w:p>
    <w:p>
      <w:pPr>
        <w:spacing w:after="0" w:line="19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 xml:space="preserve">An eligible employee or dependent may not be considered a </w:t>
      </w:r>
      <w:r>
        <w:rPr>
          <w:rFonts w:ascii="Arial" w:cs="Arial" w:eastAsia="Arial" w:hAnsi="Arial"/>
          <w:sz w:val="20"/>
          <w:szCs w:val="20"/>
          <w:b w:val="1"/>
          <w:bCs w:val="1"/>
          <w:color w:val="auto"/>
        </w:rPr>
        <w:t>Late Enrollee</w:t>
      </w:r>
      <w:r>
        <w:rPr>
          <w:rFonts w:ascii="Arial" w:cs="Arial" w:eastAsia="Arial" w:hAnsi="Arial"/>
          <w:sz w:val="20"/>
          <w:szCs w:val="20"/>
          <w:color w:val="auto"/>
        </w:rPr>
        <w:t xml:space="preserve"> at certain times. See the Special Enrollment Periods section of the (Booklet-Certificate).</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L.P.N.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licensed practical or vocational nurse.</w:t>
      </w:r>
    </w:p>
    <w:p>
      <w:pPr>
        <w:spacing w:after="0" w:line="188" w:lineRule="exact"/>
        <w:rPr>
          <w:sz w:val="20"/>
          <w:szCs w:val="20"/>
          <w:color w:val="auto"/>
        </w:rPr>
      </w:pPr>
    </w:p>
    <w:p>
      <w:pPr>
        <w:ind w:left="400" w:hanging="391"/>
        <w:spacing w:after="0"/>
        <w:tabs>
          <w:tab w:leader="none" w:pos="400" w:val="left"/>
        </w:tabs>
        <w:numPr>
          <w:ilvl w:val="0"/>
          <w:numId w:val="408"/>
        </w:numPr>
        <w:rPr>
          <w:rFonts w:ascii="Arial" w:cs="Arial" w:eastAsia="Arial" w:hAnsi="Arial"/>
          <w:sz w:val="32"/>
          <w:szCs w:val="32"/>
          <w:b w:val="1"/>
          <w:bCs w:val="1"/>
          <w:color w:val="auto"/>
        </w:rPr>
      </w:pPr>
      <w:r>
        <w:rPr>
          <w:rFonts w:ascii="Arial" w:cs="Arial" w:eastAsia="Arial" w:hAnsi="Arial"/>
          <w:sz w:val="14"/>
          <w:szCs w:val="14"/>
          <w:i w:val="1"/>
          <w:iCs w:val="1"/>
          <w:color w:val="auto"/>
        </w:rPr>
        <w:t>(GR-9N-34-065-03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Mail Order Pharmacy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 establishment where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are legally given out by mail or other carrier.</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Maintenance Care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Care made up of services and supplies that:</w:t>
      </w:r>
    </w:p>
    <w:p>
      <w:pPr>
        <w:spacing w:after="0" w:line="227" w:lineRule="exact"/>
        <w:rPr>
          <w:sz w:val="20"/>
          <w:szCs w:val="20"/>
          <w:color w:val="auto"/>
        </w:rPr>
      </w:pPr>
    </w:p>
    <w:p>
      <w:pPr>
        <w:ind w:left="340" w:hanging="331"/>
        <w:spacing w:after="0"/>
        <w:tabs>
          <w:tab w:leader="none" w:pos="3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Are given mainly to maintain, rather than to improve, a level of physical, or mental function;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Give a surrounding free from exposures that can worsen the person's physical or mental condition.</w:t>
      </w:r>
    </w:p>
    <w:p>
      <w:pPr>
        <w:sectPr>
          <w:pgSz w:w="11900" w:h="16838" w:orient="portrait"/>
          <w:cols w:equalWidth="0" w:num="1">
            <w:col w:w="11340"/>
          </w:cols>
          <w:pgMar w:left="320" w:top="427" w:right="239" w:bottom="1440" w:gutter="0" w:footer="0" w:header="0"/>
        </w:sectPr>
      </w:pPr>
    </w:p>
    <w:bookmarkStart w:id="271" w:name="page272"/>
    <w:bookmarkEnd w:id="271"/>
    <w:p>
      <w:pPr>
        <w:spacing w:after="0"/>
        <w:rPr>
          <w:sz w:val="20"/>
          <w:szCs w:val="20"/>
          <w:color w:val="auto"/>
        </w:rPr>
      </w:pPr>
      <w:r>
        <w:rPr>
          <w:rFonts w:ascii="Arial" w:cs="Arial" w:eastAsia="Arial" w:hAnsi="Arial"/>
          <w:sz w:val="25"/>
          <w:szCs w:val="25"/>
          <w:b w:val="1"/>
          <w:bCs w:val="1"/>
          <w:color w:val="auto"/>
        </w:rPr>
        <w:t>Medically Necessary or Medical Necessity</w:t>
      </w:r>
    </w:p>
    <w:p>
      <w:pPr>
        <w:spacing w:after="0" w:line="3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 xml:space="preserve">These are health care or dental services, and supplies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s that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other health care provider or </w:t>
      </w:r>
      <w:r>
        <w:rPr>
          <w:rFonts w:ascii="Arial" w:cs="Arial" w:eastAsia="Arial" w:hAnsi="Arial"/>
          <w:sz w:val="20"/>
          <w:szCs w:val="20"/>
          <w:b w:val="1"/>
          <w:bCs w:val="1"/>
          <w:color w:val="auto"/>
        </w:rPr>
        <w:t>dental provider</w:t>
      </w:r>
      <w:r>
        <w:rPr>
          <w:rFonts w:ascii="Arial" w:cs="Arial" w:eastAsia="Arial" w:hAnsi="Arial"/>
          <w:sz w:val="20"/>
          <w:szCs w:val="20"/>
          <w:color w:val="auto"/>
        </w:rPr>
        <w:t>, exercising prudent clinical judgment, would give to a patient for the purpose of:</w:t>
      </w:r>
    </w:p>
    <w:p>
      <w:pPr>
        <w:spacing w:after="0" w:line="219" w:lineRule="exact"/>
        <w:rPr>
          <w:sz w:val="20"/>
          <w:szCs w:val="20"/>
          <w:color w:val="auto"/>
        </w:rPr>
      </w:pPr>
    </w:p>
    <w:p>
      <w:pPr>
        <w:ind w:left="340" w:hanging="331"/>
        <w:spacing w:after="0"/>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preventing;</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evaluating;</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diagnosing;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treating:</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illness</w:t>
      </w: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a disease; or</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its symptoms.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provision of the service, supply or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must be:</w:t>
      </w:r>
    </w:p>
    <w:p>
      <w:pPr>
        <w:spacing w:after="0" w:line="249" w:lineRule="exact"/>
        <w:rPr>
          <w:sz w:val="20"/>
          <w:szCs w:val="20"/>
          <w:color w:val="auto"/>
        </w:rPr>
      </w:pPr>
    </w:p>
    <w:p>
      <w:pPr>
        <w:ind w:left="340" w:hanging="331"/>
        <w:spacing w:after="0"/>
        <w:tabs>
          <w:tab w:leader="none" w:pos="3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In accordance with generally accepted standards of medical or dental practice;</w:t>
      </w:r>
    </w:p>
    <w:p>
      <w:pPr>
        <w:spacing w:after="0" w:line="15" w:lineRule="exact"/>
        <w:rPr>
          <w:rFonts w:ascii="Arial" w:cs="Arial" w:eastAsia="Arial" w:hAnsi="Arial"/>
          <w:sz w:val="20"/>
          <w:szCs w:val="20"/>
          <w:color w:val="auto"/>
        </w:rPr>
      </w:pPr>
    </w:p>
    <w:p>
      <w:pPr>
        <w:ind w:left="340" w:right="320" w:hanging="331"/>
        <w:spacing w:after="0" w:line="242" w:lineRule="auto"/>
        <w:tabs>
          <w:tab w:leader="none" w:pos="3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 xml:space="preserve">Clinically appropriate, in terms of type, frequency, extent, site and duration, and considered effective for the patient's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disease; and</w:t>
      </w:r>
    </w:p>
    <w:p>
      <w:pPr>
        <w:ind w:left="340" w:hanging="331"/>
        <w:spacing w:after="0"/>
        <w:tabs>
          <w:tab w:leader="none" w:pos="3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 xml:space="preserve">Not mostly for the convenience of the patient,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other health care or </w:t>
      </w:r>
      <w:r>
        <w:rPr>
          <w:rFonts w:ascii="Arial" w:cs="Arial" w:eastAsia="Arial" w:hAnsi="Arial"/>
          <w:sz w:val="20"/>
          <w:szCs w:val="20"/>
          <w:b w:val="1"/>
          <w:bCs w:val="1"/>
          <w:color w:val="auto"/>
        </w:rPr>
        <w:t>dental provider</w:t>
      </w:r>
      <w:r>
        <w:rPr>
          <w:rFonts w:ascii="Arial" w:cs="Arial" w:eastAsia="Arial" w:hAnsi="Arial"/>
          <w:sz w:val="20"/>
          <w:szCs w:val="20"/>
          <w:color w:val="auto"/>
        </w:rPr>
        <w:t>; and</w:t>
      </w:r>
    </w:p>
    <w:p>
      <w:pPr>
        <w:spacing w:after="0" w:line="8" w:lineRule="exact"/>
        <w:rPr>
          <w:rFonts w:ascii="Arial" w:cs="Arial" w:eastAsia="Arial" w:hAnsi="Arial"/>
          <w:sz w:val="20"/>
          <w:szCs w:val="20"/>
          <w:color w:val="auto"/>
        </w:rPr>
      </w:pPr>
    </w:p>
    <w:p>
      <w:pPr>
        <w:ind w:left="340" w:right="300" w:hanging="331"/>
        <w:spacing w:after="0" w:line="244" w:lineRule="auto"/>
        <w:tabs>
          <w:tab w:leader="none" w:pos="34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 xml:space="preserve">And do not cost more than an alternative service or sequence of services at least as likely to produce the same therapeutic or diagnostic results as to the diagnosis or treatment of that patient's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or disease.</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For these purposes “generally accepted standards of medical or dental practice” means standards that are based on credible scientific evidence published in peer-reviewed literature. They must be generally recognized by the relevant medical or dental community. Otherwise, the standards are consistent with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dental specialty society recommendations. They must be consistent with the views of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or </w:t>
      </w:r>
      <w:r>
        <w:rPr>
          <w:rFonts w:ascii="Arial" w:cs="Arial" w:eastAsia="Arial" w:hAnsi="Arial"/>
          <w:sz w:val="20"/>
          <w:szCs w:val="20"/>
          <w:b w:val="1"/>
          <w:bCs w:val="1"/>
          <w:color w:val="auto"/>
        </w:rPr>
        <w:t xml:space="preserve">dentists </w:t>
      </w:r>
      <w:r>
        <w:rPr>
          <w:rFonts w:ascii="Arial" w:cs="Arial" w:eastAsia="Arial" w:hAnsi="Arial"/>
          <w:sz w:val="20"/>
          <w:szCs w:val="20"/>
          <w:color w:val="auto"/>
        </w:rPr>
        <w:t>practicing in relevant clinical areas and any other relevant factors.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Mental Disorder</w:t>
      </w:r>
    </w:p>
    <w:p>
      <w:pPr>
        <w:spacing w:after="0" w:line="32"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commonly understood to be a </w:t>
      </w:r>
      <w:r>
        <w:rPr>
          <w:rFonts w:ascii="Arial" w:cs="Arial" w:eastAsia="Arial" w:hAnsi="Arial"/>
          <w:sz w:val="20"/>
          <w:szCs w:val="20"/>
          <w:b w:val="1"/>
          <w:bCs w:val="1"/>
          <w:color w:val="auto"/>
        </w:rPr>
        <w:t>mental disorder</w:t>
      </w:r>
      <w:r>
        <w:rPr>
          <w:rFonts w:ascii="Arial" w:cs="Arial" w:eastAsia="Arial" w:hAnsi="Arial"/>
          <w:sz w:val="20"/>
          <w:szCs w:val="20"/>
          <w:color w:val="auto"/>
        </w:rPr>
        <w:t xml:space="preserve">, whether or not it has a physiological basis, and for which treatment is generally provided by or under the direction of a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such as a </w:t>
      </w:r>
      <w:r>
        <w:rPr>
          <w:rFonts w:ascii="Arial" w:cs="Arial" w:eastAsia="Arial" w:hAnsi="Arial"/>
          <w:sz w:val="20"/>
          <w:szCs w:val="20"/>
          <w:b w:val="1"/>
          <w:bCs w:val="1"/>
          <w:color w:val="auto"/>
        </w:rPr>
        <w:t>psychiatric physician</w:t>
      </w:r>
      <w:r>
        <w:rPr>
          <w:rFonts w:ascii="Arial" w:cs="Arial" w:eastAsia="Arial" w:hAnsi="Arial"/>
          <w:sz w:val="20"/>
          <w:szCs w:val="20"/>
          <w:color w:val="auto"/>
        </w:rPr>
        <w:t>, a psychologist or a psychiatric social worker.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Any one of the following conditions is a </w:t>
      </w:r>
      <w:r>
        <w:rPr>
          <w:rFonts w:ascii="Arial" w:cs="Arial" w:eastAsia="Arial" w:hAnsi="Arial"/>
          <w:sz w:val="20"/>
          <w:szCs w:val="20"/>
          <w:b w:val="1"/>
          <w:bCs w:val="1"/>
          <w:color w:val="auto"/>
        </w:rPr>
        <w:t>mental disorder</w:t>
      </w:r>
      <w:r>
        <w:rPr>
          <w:rFonts w:ascii="Arial" w:cs="Arial" w:eastAsia="Arial" w:hAnsi="Arial"/>
          <w:sz w:val="20"/>
          <w:szCs w:val="20"/>
          <w:color w:val="auto"/>
        </w:rPr>
        <w:t xml:space="preserve"> under this plan:</w:t>
      </w:r>
    </w:p>
    <w:p>
      <w:pPr>
        <w:spacing w:after="0" w:line="235" w:lineRule="exact"/>
        <w:rPr>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Anorexia/Bulimia Nervosa.</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Bipolar disorder.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Major depressive disorder.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Obsessive compulsive disorder.</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Panic disorder.</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Pervasive developmental disorder (including Autism).</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Psychotic disorders/Delusional disorder.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Schizo-affective disorder.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Schizophrenia.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Also included is any other mental condition which requires </w:t>
      </w:r>
      <w:r>
        <w:rPr>
          <w:rFonts w:ascii="Arial" w:cs="Arial" w:eastAsia="Arial" w:hAnsi="Arial"/>
          <w:sz w:val="20"/>
          <w:szCs w:val="20"/>
          <w:b w:val="1"/>
          <w:bCs w:val="1"/>
          <w:color w:val="auto"/>
        </w:rPr>
        <w:t>Medically Necessary</w:t>
      </w:r>
      <w:r>
        <w:rPr>
          <w:rFonts w:ascii="Arial" w:cs="Arial" w:eastAsia="Arial" w:hAnsi="Arial"/>
          <w:sz w:val="20"/>
          <w:szCs w:val="20"/>
          <w:color w:val="auto"/>
        </w:rPr>
        <w:t xml:space="preserve"> treatment.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Morbid Obesity</w:t>
      </w:r>
    </w:p>
    <w:p>
      <w:pPr>
        <w:spacing w:after="0" w:line="3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This means a weight that is at least 100 pounds over or twice the ideal weight for frame, age, height and gender as specified in the 1983 Metropolitan Life Insurance tables; and a </w:t>
      </w:r>
      <w:r>
        <w:rPr>
          <w:rFonts w:ascii="Arial" w:cs="Arial" w:eastAsia="Arial" w:hAnsi="Arial"/>
          <w:sz w:val="20"/>
          <w:szCs w:val="20"/>
          <w:b w:val="1"/>
          <w:bCs w:val="1"/>
          <w:color w:val="auto"/>
        </w:rPr>
        <w:t>Body Mass Index</w:t>
      </w:r>
      <w:r>
        <w:rPr>
          <w:rFonts w:ascii="Arial" w:cs="Arial" w:eastAsia="Arial" w:hAnsi="Arial"/>
          <w:sz w:val="20"/>
          <w:szCs w:val="20"/>
          <w:color w:val="auto"/>
        </w:rPr>
        <w:t xml:space="preserve"> that is: greater than 40 kilograms per meter squared; or equal to or greater than 35 kilograms per meter squared with a comorbid medical condition, including: hypertension; cardiopulmonary conditions; sleep apnea; or diabetes.</w:t>
      </w:r>
    </w:p>
    <w:p>
      <w:pPr>
        <w:sectPr>
          <w:pgSz w:w="11900" w:h="16838" w:orient="portrait"/>
          <w:cols w:equalWidth="0" w:num="1">
            <w:col w:w="11320"/>
          </w:cols>
          <w:pgMar w:left="320" w:top="427" w:right="259" w:bottom="1440" w:gutter="0" w:footer="0" w:header="0"/>
        </w:sectPr>
      </w:pPr>
    </w:p>
    <w:bookmarkStart w:id="272" w:name="page273"/>
    <w:bookmarkEnd w:id="272"/>
    <w:p>
      <w:pPr>
        <w:ind w:left="320" w:hanging="311"/>
        <w:spacing w:after="0"/>
        <w:tabs>
          <w:tab w:leader="none" w:pos="320" w:val="left"/>
        </w:tabs>
        <w:numPr>
          <w:ilvl w:val="0"/>
          <w:numId w:val="413"/>
        </w:numPr>
        <w:rPr>
          <w:rFonts w:ascii="Arial" w:cs="Arial" w:eastAsia="Arial" w:hAnsi="Arial"/>
          <w:sz w:val="32"/>
          <w:szCs w:val="32"/>
          <w:b w:val="1"/>
          <w:bCs w:val="1"/>
          <w:color w:val="auto"/>
        </w:rPr>
      </w:pPr>
      <w:r>
        <w:rPr>
          <w:rFonts w:ascii="Arial" w:cs="Arial" w:eastAsia="Arial" w:hAnsi="Arial"/>
          <w:sz w:val="14"/>
          <w:szCs w:val="14"/>
          <w:i w:val="1"/>
          <w:iCs w:val="1"/>
          <w:color w:val="auto"/>
        </w:rPr>
        <w:t>(GR-9N-34-070-02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Negotiated Charge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As to health expense coverage, other than Prescription Drug Expense Coverage:</w:t>
      </w:r>
    </w:p>
    <w:p>
      <w:pPr>
        <w:spacing w:after="0" w:line="207"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negotiated charge</w:t>
      </w:r>
      <w:r>
        <w:rPr>
          <w:rFonts w:ascii="Arial" w:cs="Arial" w:eastAsia="Arial" w:hAnsi="Arial"/>
          <w:sz w:val="20"/>
          <w:szCs w:val="20"/>
          <w:color w:val="auto"/>
        </w:rPr>
        <w:t xml:space="preserve"> is the maximum charge a </w:t>
      </w:r>
      <w:r>
        <w:rPr>
          <w:rFonts w:ascii="Arial" w:cs="Arial" w:eastAsia="Arial" w:hAnsi="Arial"/>
          <w:sz w:val="20"/>
          <w:szCs w:val="20"/>
          <w:b w:val="1"/>
          <w:bCs w:val="1"/>
          <w:color w:val="auto"/>
        </w:rPr>
        <w:t>network provider</w:t>
      </w:r>
      <w:r>
        <w:rPr>
          <w:rFonts w:ascii="Arial" w:cs="Arial" w:eastAsia="Arial" w:hAnsi="Arial"/>
          <w:sz w:val="20"/>
          <w:szCs w:val="20"/>
          <w:color w:val="auto"/>
        </w:rPr>
        <w:t xml:space="preserve"> has agreed to make as to any service or supply for the purpose of the benefits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As to Prescription Drug Expense Coverage:</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negotiated charge</w:t>
      </w:r>
      <w:r>
        <w:rPr>
          <w:rFonts w:ascii="Arial" w:cs="Arial" w:eastAsia="Arial" w:hAnsi="Arial"/>
          <w:sz w:val="20"/>
          <w:szCs w:val="20"/>
          <w:color w:val="auto"/>
        </w:rPr>
        <w:t xml:space="preserve"> is the amount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established for each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obtained from a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under this plan. This </w:t>
      </w:r>
      <w:r>
        <w:rPr>
          <w:rFonts w:ascii="Arial" w:cs="Arial" w:eastAsia="Arial" w:hAnsi="Arial"/>
          <w:sz w:val="20"/>
          <w:szCs w:val="20"/>
          <w:b w:val="1"/>
          <w:bCs w:val="1"/>
          <w:color w:val="auto"/>
        </w:rPr>
        <w:t>negotiated charge</w:t>
      </w:r>
      <w:r>
        <w:rPr>
          <w:rFonts w:ascii="Arial" w:cs="Arial" w:eastAsia="Arial" w:hAnsi="Arial"/>
          <w:sz w:val="20"/>
          <w:szCs w:val="20"/>
          <w:color w:val="auto"/>
        </w:rPr>
        <w:t xml:space="preserve"> may reflect amounts </w:t>
      </w:r>
      <w:r>
        <w:rPr>
          <w:rFonts w:ascii="Arial" w:cs="Arial" w:eastAsia="Arial" w:hAnsi="Arial"/>
          <w:sz w:val="20"/>
          <w:szCs w:val="20"/>
          <w:b w:val="1"/>
          <w:bCs w:val="1"/>
          <w:color w:val="auto"/>
        </w:rPr>
        <w:t>Aetna</w:t>
      </w:r>
      <w:r>
        <w:rPr>
          <w:rFonts w:ascii="Arial" w:cs="Arial" w:eastAsia="Arial" w:hAnsi="Arial"/>
          <w:sz w:val="20"/>
          <w:szCs w:val="20"/>
          <w:color w:val="auto"/>
        </w:rPr>
        <w:t xml:space="preserve"> has agreed to pay directly to the </w:t>
      </w:r>
      <w:r>
        <w:rPr>
          <w:rFonts w:ascii="Arial" w:cs="Arial" w:eastAsia="Arial" w:hAnsi="Arial"/>
          <w:sz w:val="20"/>
          <w:szCs w:val="20"/>
          <w:b w:val="1"/>
          <w:bCs w:val="1"/>
          <w:color w:val="auto"/>
        </w:rPr>
        <w:t>network pharmacy</w:t>
      </w:r>
      <w:r>
        <w:rPr>
          <w:rFonts w:ascii="Arial" w:cs="Arial" w:eastAsia="Arial" w:hAnsi="Arial"/>
          <w:sz w:val="20"/>
          <w:szCs w:val="20"/>
          <w:color w:val="auto"/>
        </w:rPr>
        <w:t xml:space="preserve"> or to a third party vendor for the </w:t>
      </w:r>
      <w:r>
        <w:rPr>
          <w:rFonts w:ascii="Arial" w:cs="Arial" w:eastAsia="Arial" w:hAnsi="Arial"/>
          <w:sz w:val="20"/>
          <w:szCs w:val="20"/>
          <w:b w:val="1"/>
          <w:bCs w:val="1"/>
          <w:color w:val="auto"/>
        </w:rPr>
        <w:t>prescription drug</w:t>
      </w:r>
      <w:r>
        <w:rPr>
          <w:rFonts w:ascii="Arial" w:cs="Arial" w:eastAsia="Arial" w:hAnsi="Arial"/>
          <w:sz w:val="20"/>
          <w:szCs w:val="20"/>
          <w:color w:val="auto"/>
        </w:rPr>
        <w:t>, and may include an additional service or risk charge set by</w:t>
      </w:r>
      <w:r>
        <w:rPr>
          <w:rFonts w:ascii="Arial" w:cs="Arial" w:eastAsia="Arial" w:hAnsi="Arial"/>
          <w:sz w:val="20"/>
          <w:szCs w:val="20"/>
          <w:b w:val="1"/>
          <w:bCs w:val="1"/>
          <w:color w:val="auto"/>
        </w:rPr>
        <w:t xml:space="preserve"> Aetna</w:t>
      </w:r>
      <w:r>
        <w:rPr>
          <w:rFonts w:ascii="Arial" w:cs="Arial" w:eastAsia="Arial" w:hAnsi="Arial"/>
          <w:sz w:val="20"/>
          <w:szCs w:val="20"/>
          <w:color w:val="auto"/>
        </w:rPr>
        <w:t>.</w:t>
      </w:r>
    </w:p>
    <w:p>
      <w:pPr>
        <w:spacing w:after="0" w:line="204"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negotiated charge</w:t>
      </w:r>
      <w:r>
        <w:rPr>
          <w:rFonts w:ascii="Arial" w:cs="Arial" w:eastAsia="Arial" w:hAnsi="Arial"/>
          <w:sz w:val="20"/>
          <w:szCs w:val="20"/>
          <w:color w:val="auto"/>
        </w:rPr>
        <w:t xml:space="preserve"> does not include or reflect any amount </w:t>
      </w:r>
      <w:r>
        <w:rPr>
          <w:rFonts w:ascii="Arial" w:cs="Arial" w:eastAsia="Arial" w:hAnsi="Arial"/>
          <w:sz w:val="20"/>
          <w:szCs w:val="20"/>
          <w:b w:val="1"/>
          <w:bCs w:val="1"/>
          <w:color w:val="auto"/>
        </w:rPr>
        <w:t>Aetna</w:t>
      </w:r>
      <w:r>
        <w:rPr>
          <w:rFonts w:ascii="Arial" w:cs="Arial" w:eastAsia="Arial" w:hAnsi="Arial"/>
          <w:sz w:val="20"/>
          <w:szCs w:val="20"/>
          <w:color w:val="auto"/>
        </w:rPr>
        <w:t xml:space="preserve">, an affiliate, or a third party vendor, may receive under a rebate arrangement between </w:t>
      </w:r>
      <w:r>
        <w:rPr>
          <w:rFonts w:ascii="Arial" w:cs="Arial" w:eastAsia="Arial" w:hAnsi="Arial"/>
          <w:sz w:val="20"/>
          <w:szCs w:val="20"/>
          <w:b w:val="1"/>
          <w:bCs w:val="1"/>
          <w:color w:val="auto"/>
        </w:rPr>
        <w:t>Aetna,</w:t>
      </w:r>
      <w:r>
        <w:rPr>
          <w:rFonts w:ascii="Arial" w:cs="Arial" w:eastAsia="Arial" w:hAnsi="Arial"/>
          <w:sz w:val="20"/>
          <w:szCs w:val="20"/>
          <w:color w:val="auto"/>
        </w:rPr>
        <w:t xml:space="preserve"> an affiliate or a third party vendor and a drug manufacturer for any </w:t>
      </w:r>
      <w:r>
        <w:rPr>
          <w:rFonts w:ascii="Arial" w:cs="Arial" w:eastAsia="Arial" w:hAnsi="Arial"/>
          <w:sz w:val="20"/>
          <w:szCs w:val="20"/>
          <w:b w:val="1"/>
          <w:bCs w:val="1"/>
          <w:color w:val="auto"/>
        </w:rPr>
        <w:t>prescription drug</w:t>
      </w:r>
      <w:r>
        <w:rPr>
          <w:rFonts w:ascii="Arial" w:cs="Arial" w:eastAsia="Arial" w:hAnsi="Arial"/>
          <w:sz w:val="20"/>
          <w:szCs w:val="20"/>
          <w:color w:val="auto"/>
        </w:rPr>
        <w:t xml:space="preserve">, including </w:t>
      </w:r>
      <w:r>
        <w:rPr>
          <w:rFonts w:ascii="Arial" w:cs="Arial" w:eastAsia="Arial" w:hAnsi="Arial"/>
          <w:sz w:val="20"/>
          <w:szCs w:val="20"/>
          <w:b w:val="1"/>
          <w:bCs w:val="1"/>
          <w:color w:val="auto"/>
        </w:rPr>
        <w:t>prescription</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drugs </w:t>
      </w:r>
      <w:r>
        <w:rPr>
          <w:rFonts w:ascii="Arial" w:cs="Arial" w:eastAsia="Arial" w:hAnsi="Arial"/>
          <w:sz w:val="20"/>
          <w:szCs w:val="20"/>
          <w:color w:val="auto"/>
        </w:rPr>
        <w:t>on the</w:t>
      </w:r>
      <w:r>
        <w:rPr>
          <w:rFonts w:ascii="Arial" w:cs="Arial" w:eastAsia="Arial" w:hAnsi="Arial"/>
          <w:sz w:val="20"/>
          <w:szCs w:val="20"/>
          <w:b w:val="1"/>
          <w:bCs w:val="1"/>
          <w:color w:val="auto"/>
        </w:rPr>
        <w:t xml:space="preserve"> preferred drug guide</w:t>
      </w:r>
      <w:r>
        <w:rPr>
          <w:rFonts w:ascii="Arial" w:cs="Arial" w:eastAsia="Arial" w:hAnsi="Arial"/>
          <w:sz w:val="20"/>
          <w:szCs w:val="20"/>
          <w:color w:val="auto"/>
        </w:rPr>
        <w:t>.</w:t>
      </w:r>
    </w:p>
    <w:p>
      <w:pPr>
        <w:spacing w:after="0" w:line="191" w:lineRule="exact"/>
        <w:rPr>
          <w:sz w:val="20"/>
          <w:szCs w:val="20"/>
          <w:color w:val="auto"/>
        </w:rPr>
      </w:pPr>
    </w:p>
    <w:p>
      <w:pPr>
        <w:ind w:right="440"/>
        <w:spacing w:after="0" w:line="393" w:lineRule="auto"/>
        <w:rPr>
          <w:sz w:val="20"/>
          <w:szCs w:val="20"/>
          <w:color w:val="auto"/>
        </w:rPr>
      </w:pPr>
      <w:r>
        <w:rPr>
          <w:rFonts w:ascii="Arial" w:cs="Arial" w:eastAsia="Arial" w:hAnsi="Arial"/>
          <w:sz w:val="16"/>
          <w:szCs w:val="16"/>
          <w:color w:val="auto"/>
        </w:rPr>
        <w:t xml:space="preserve">Based on its overall drug purchasing, </w:t>
      </w:r>
      <w:r>
        <w:rPr>
          <w:rFonts w:ascii="Arial" w:cs="Arial" w:eastAsia="Arial" w:hAnsi="Arial"/>
          <w:sz w:val="16"/>
          <w:szCs w:val="16"/>
          <w:b w:val="1"/>
          <w:bCs w:val="1"/>
          <w:color w:val="auto"/>
        </w:rPr>
        <w:t>Aetna</w:t>
      </w:r>
      <w:r>
        <w:rPr>
          <w:rFonts w:ascii="Arial" w:cs="Arial" w:eastAsia="Arial" w:hAnsi="Arial"/>
          <w:sz w:val="16"/>
          <w:szCs w:val="16"/>
          <w:color w:val="auto"/>
        </w:rPr>
        <w:t xml:space="preserve"> may receive rebates from the manufacturers of </w:t>
      </w:r>
      <w:r>
        <w:rPr>
          <w:rFonts w:ascii="Arial" w:cs="Arial" w:eastAsia="Arial" w:hAnsi="Arial"/>
          <w:sz w:val="16"/>
          <w:szCs w:val="16"/>
          <w:b w:val="1"/>
          <w:bCs w:val="1"/>
          <w:color w:val="auto"/>
        </w:rPr>
        <w:t>prescription drugs</w:t>
      </w:r>
      <w:r>
        <w:rPr>
          <w:rFonts w:ascii="Arial" w:cs="Arial" w:eastAsia="Arial" w:hAnsi="Arial"/>
          <w:sz w:val="16"/>
          <w:szCs w:val="16"/>
          <w:color w:val="auto"/>
        </w:rPr>
        <w:t xml:space="preserve"> and may receive or pay additional amounts from or to third parties under price guarantees. These amounts will not change the </w:t>
      </w:r>
      <w:r>
        <w:rPr>
          <w:rFonts w:ascii="Arial" w:cs="Arial" w:eastAsia="Arial" w:hAnsi="Arial"/>
          <w:sz w:val="16"/>
          <w:szCs w:val="16"/>
          <w:b w:val="1"/>
          <w:bCs w:val="1"/>
          <w:color w:val="auto"/>
        </w:rPr>
        <w:t>negotiated charge</w:t>
      </w:r>
      <w:r>
        <w:rPr>
          <w:rFonts w:ascii="Arial" w:cs="Arial" w:eastAsia="Arial" w:hAnsi="Arial"/>
          <w:sz w:val="16"/>
          <w:szCs w:val="16"/>
          <w:color w:val="auto"/>
        </w:rPr>
        <w:t xml:space="preserve"> under this plan.</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Network Advanced Reproductive Technology (ART) Specialist</w:t>
      </w:r>
    </w:p>
    <w:p>
      <w:pPr>
        <w:spacing w:after="0" w:line="41" w:lineRule="exact"/>
        <w:rPr>
          <w:sz w:val="20"/>
          <w:szCs w:val="20"/>
          <w:color w:val="auto"/>
        </w:rPr>
      </w:pPr>
    </w:p>
    <w:p>
      <w:pPr>
        <w:ind w:right="2700"/>
        <w:spacing w:after="0" w:line="248" w:lineRule="auto"/>
        <w:rPr>
          <w:sz w:val="20"/>
          <w:szCs w:val="20"/>
          <w:color w:val="auto"/>
        </w:rPr>
      </w:pPr>
      <w:r>
        <w:rPr>
          <w:rFonts w:ascii="Arial" w:cs="Arial" w:eastAsia="Arial" w:hAnsi="Arial"/>
          <w:sz w:val="20"/>
          <w:szCs w:val="20"/>
          <w:color w:val="auto"/>
        </w:rPr>
        <w:t xml:space="preserve">A specialist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who has entered into a contractual agreement with </w:t>
      </w:r>
      <w:r>
        <w:rPr>
          <w:rFonts w:ascii="Arial" w:cs="Arial" w:eastAsia="Arial" w:hAnsi="Arial"/>
          <w:sz w:val="20"/>
          <w:szCs w:val="20"/>
          <w:b w:val="1"/>
          <w:bCs w:val="1"/>
          <w:color w:val="auto"/>
        </w:rPr>
        <w:t>Aetna</w:t>
      </w:r>
      <w:r>
        <w:rPr>
          <w:rFonts w:ascii="Arial" w:cs="Arial" w:eastAsia="Arial" w:hAnsi="Arial"/>
          <w:sz w:val="20"/>
          <w:szCs w:val="20"/>
          <w:color w:val="auto"/>
        </w:rPr>
        <w:t xml:space="preserve"> for the provision of covered </w:t>
      </w:r>
      <w:r>
        <w:rPr>
          <w:rFonts w:ascii="Arial" w:cs="Arial" w:eastAsia="Arial" w:hAnsi="Arial"/>
          <w:sz w:val="20"/>
          <w:szCs w:val="20"/>
          <w:b w:val="1"/>
          <w:bCs w:val="1"/>
          <w:color w:val="auto"/>
        </w:rPr>
        <w:t xml:space="preserve">Advanced Reproductive Technology </w:t>
      </w:r>
      <w:r>
        <w:rPr>
          <w:rFonts w:ascii="Arial" w:cs="Arial" w:eastAsia="Arial" w:hAnsi="Arial"/>
          <w:sz w:val="20"/>
          <w:szCs w:val="20"/>
          <w:color w:val="auto"/>
        </w:rPr>
        <w:t>(</w:t>
      </w:r>
      <w:r>
        <w:rPr>
          <w:rFonts w:ascii="Arial" w:cs="Arial" w:eastAsia="Arial" w:hAnsi="Arial"/>
          <w:sz w:val="20"/>
          <w:szCs w:val="20"/>
          <w:b w:val="1"/>
          <w:bCs w:val="1"/>
          <w:color w:val="auto"/>
        </w:rPr>
        <w:t>ART</w:t>
      </w:r>
      <w:r>
        <w:rPr>
          <w:rFonts w:ascii="Arial" w:cs="Arial" w:eastAsia="Arial" w:hAnsi="Arial"/>
          <w:sz w:val="20"/>
          <w:szCs w:val="20"/>
          <w:color w:val="auto"/>
        </w:rPr>
        <w:t>) services.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Network Provider</w:t>
      </w:r>
    </w:p>
    <w:p>
      <w:pPr>
        <w:spacing w:after="0" w:line="32" w:lineRule="exact"/>
        <w:rPr>
          <w:sz w:val="20"/>
          <w:szCs w:val="20"/>
          <w:color w:val="auto"/>
        </w:rPr>
      </w:pPr>
    </w:p>
    <w:p>
      <w:pPr>
        <w:ind w:right="2020"/>
        <w:spacing w:after="0" w:line="244"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who has contracted to furnish services or supplies for this plan; but only if the provider is, with </w:t>
      </w:r>
      <w:r>
        <w:rPr>
          <w:rFonts w:ascii="Arial" w:cs="Arial" w:eastAsia="Arial" w:hAnsi="Arial"/>
          <w:sz w:val="20"/>
          <w:szCs w:val="20"/>
          <w:b w:val="1"/>
          <w:bCs w:val="1"/>
          <w:color w:val="auto"/>
        </w:rPr>
        <w:t>Aetna's</w:t>
      </w:r>
      <w:r>
        <w:rPr>
          <w:rFonts w:ascii="Arial" w:cs="Arial" w:eastAsia="Arial" w:hAnsi="Arial"/>
          <w:sz w:val="20"/>
          <w:szCs w:val="20"/>
          <w:color w:val="auto"/>
        </w:rPr>
        <w:t xml:space="preserve"> consent, included in the </w:t>
      </w:r>
      <w:r>
        <w:rPr>
          <w:rFonts w:ascii="Arial" w:cs="Arial" w:eastAsia="Arial" w:hAnsi="Arial"/>
          <w:sz w:val="20"/>
          <w:szCs w:val="20"/>
          <w:b w:val="1"/>
          <w:bCs w:val="1"/>
          <w:color w:val="auto"/>
        </w:rPr>
        <w:t>directory</w:t>
      </w:r>
      <w:r>
        <w:rPr>
          <w:rFonts w:ascii="Arial" w:cs="Arial" w:eastAsia="Arial" w:hAnsi="Arial"/>
          <w:sz w:val="20"/>
          <w:szCs w:val="20"/>
          <w:color w:val="auto"/>
        </w:rPr>
        <w:t xml:space="preserve"> as a </w:t>
      </w:r>
      <w:r>
        <w:rPr>
          <w:rFonts w:ascii="Arial" w:cs="Arial" w:eastAsia="Arial" w:hAnsi="Arial"/>
          <w:sz w:val="20"/>
          <w:szCs w:val="20"/>
          <w:b w:val="1"/>
          <w:bCs w:val="1"/>
          <w:color w:val="auto"/>
        </w:rPr>
        <w:t>network provider</w:t>
      </w:r>
      <w:r>
        <w:rPr>
          <w:rFonts w:ascii="Arial" w:cs="Arial" w:eastAsia="Arial" w:hAnsi="Arial"/>
          <w:sz w:val="20"/>
          <w:szCs w:val="20"/>
          <w:color w:val="auto"/>
        </w:rPr>
        <w:t xml:space="preserve"> for:</w:t>
      </w:r>
    </w:p>
    <w:p>
      <w:pPr>
        <w:spacing w:after="0" w:line="205" w:lineRule="exact"/>
        <w:rPr>
          <w:sz w:val="20"/>
          <w:szCs w:val="20"/>
          <w:color w:val="auto"/>
        </w:rPr>
      </w:pPr>
    </w:p>
    <w:p>
      <w:pPr>
        <w:ind w:left="340" w:hanging="331"/>
        <w:spacing w:after="0"/>
        <w:tabs>
          <w:tab w:leader="none" w:pos="34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The service or supply involved;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The class of employees to which you belong.</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Night Care Treatment</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partial confinement treatment</w:t>
      </w:r>
      <w:r>
        <w:rPr>
          <w:rFonts w:ascii="Arial" w:cs="Arial" w:eastAsia="Arial" w:hAnsi="Arial"/>
          <w:sz w:val="20"/>
          <w:szCs w:val="20"/>
          <w:color w:val="auto"/>
        </w:rPr>
        <w:t xml:space="preserve"> program provided when you need to be confined during the night. A room charge is made by the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psychiatric hospital </w:t>
      </w:r>
      <w:r>
        <w:rPr>
          <w:rFonts w:ascii="Arial" w:cs="Arial" w:eastAsia="Arial" w:hAnsi="Arial"/>
          <w:sz w:val="20"/>
          <w:szCs w:val="20"/>
          <w:color w:val="auto"/>
        </w:rPr>
        <w:t>or</w:t>
      </w:r>
      <w:r>
        <w:rPr>
          <w:rFonts w:ascii="Arial" w:cs="Arial" w:eastAsia="Arial" w:hAnsi="Arial"/>
          <w:sz w:val="20"/>
          <w:szCs w:val="20"/>
          <w:b w:val="1"/>
          <w:bCs w:val="1"/>
          <w:color w:val="auto"/>
        </w:rPr>
        <w:t xml:space="preserve"> residential treatment facility</w:t>
      </w:r>
      <w:r>
        <w:rPr>
          <w:rFonts w:ascii="Arial" w:cs="Arial" w:eastAsia="Arial" w:hAnsi="Arial"/>
          <w:sz w:val="20"/>
          <w:szCs w:val="20"/>
          <w:color w:val="auto"/>
        </w:rPr>
        <w:t>. Such treatment must be available at least:</w:t>
      </w:r>
    </w:p>
    <w:p>
      <w:pPr>
        <w:spacing w:after="0" w:line="219" w:lineRule="exact"/>
        <w:rPr>
          <w:sz w:val="20"/>
          <w:szCs w:val="20"/>
          <w:color w:val="auto"/>
        </w:rPr>
      </w:pPr>
    </w:p>
    <w:p>
      <w:pPr>
        <w:ind w:left="340" w:hanging="331"/>
        <w:spacing w:after="0"/>
        <w:tabs>
          <w:tab w:leader="none" w:pos="34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8 hours in a row a night;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5 nights a week.</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Non-Occupational Illness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non-occupational illness</w:t>
      </w:r>
      <w:r>
        <w:rPr>
          <w:rFonts w:ascii="Arial" w:cs="Arial" w:eastAsia="Arial" w:hAnsi="Arial"/>
          <w:sz w:val="20"/>
          <w:szCs w:val="20"/>
          <w:color w:val="auto"/>
        </w:rPr>
        <w:t xml:space="preserve"> is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that does not:</w:t>
      </w:r>
    </w:p>
    <w:p>
      <w:pPr>
        <w:spacing w:after="0" w:line="200" w:lineRule="exact"/>
        <w:rPr>
          <w:sz w:val="20"/>
          <w:szCs w:val="20"/>
          <w:color w:val="auto"/>
        </w:rPr>
      </w:pPr>
    </w:p>
    <w:p>
      <w:pPr>
        <w:ind w:left="340" w:hanging="331"/>
        <w:spacing w:after="0"/>
        <w:tabs>
          <w:tab w:leader="none" w:pos="34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Arise out of (or in the course of) any work for pay or profit; or</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 xml:space="preserve">Result in any way from 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that does.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will be deemed to be non-occupational regardless of cause if proof is furnished that the person:</w:t>
      </w:r>
    </w:p>
    <w:p>
      <w:pPr>
        <w:spacing w:after="0" w:line="235" w:lineRule="exact"/>
        <w:rPr>
          <w:sz w:val="20"/>
          <w:szCs w:val="20"/>
          <w:color w:val="auto"/>
        </w:rPr>
      </w:pPr>
    </w:p>
    <w:p>
      <w:pPr>
        <w:ind w:left="340" w:hanging="331"/>
        <w:spacing w:after="0"/>
        <w:tabs>
          <w:tab w:leader="none" w:pos="34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Is covered under any type of workers' compensation law; and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 xml:space="preserve">Is not covered for that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under such law.</w:t>
      </w:r>
    </w:p>
    <w:p>
      <w:pPr>
        <w:sectPr>
          <w:pgSz w:w="11900" w:h="16838" w:orient="portrait"/>
          <w:cols w:equalWidth="0" w:num="1">
            <w:col w:w="11340"/>
          </w:cols>
          <w:pgMar w:left="320" w:top="422" w:right="239" w:bottom="1440" w:gutter="0" w:footer="0" w:header="0"/>
        </w:sectPr>
      </w:pPr>
    </w:p>
    <w:bookmarkStart w:id="273" w:name="page274"/>
    <w:bookmarkEnd w:id="273"/>
    <w:p>
      <w:pPr>
        <w:spacing w:after="0"/>
        <w:rPr>
          <w:sz w:val="20"/>
          <w:szCs w:val="20"/>
          <w:color w:val="auto"/>
        </w:rPr>
      </w:pPr>
      <w:r>
        <w:rPr>
          <w:rFonts w:ascii="Arial" w:cs="Arial" w:eastAsia="Arial" w:hAnsi="Arial"/>
          <w:sz w:val="25"/>
          <w:szCs w:val="25"/>
          <w:b w:val="1"/>
          <w:bCs w:val="1"/>
          <w:color w:val="auto"/>
        </w:rPr>
        <w:t>Non-Occupational Injury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non-occupational injury</w:t>
      </w:r>
      <w:r>
        <w:rPr>
          <w:rFonts w:ascii="Arial" w:cs="Arial" w:eastAsia="Arial" w:hAnsi="Arial"/>
          <w:sz w:val="20"/>
          <w:szCs w:val="20"/>
          <w:color w:val="auto"/>
        </w:rPr>
        <w:t xml:space="preserve"> is an accidental bodily </w:t>
      </w:r>
      <w:r>
        <w:rPr>
          <w:rFonts w:ascii="Arial" w:cs="Arial" w:eastAsia="Arial" w:hAnsi="Arial"/>
          <w:sz w:val="20"/>
          <w:szCs w:val="20"/>
          <w:b w:val="1"/>
          <w:bCs w:val="1"/>
          <w:color w:val="auto"/>
        </w:rPr>
        <w:t>injury</w:t>
      </w:r>
      <w:r>
        <w:rPr>
          <w:rFonts w:ascii="Arial" w:cs="Arial" w:eastAsia="Arial" w:hAnsi="Arial"/>
          <w:sz w:val="20"/>
          <w:szCs w:val="20"/>
          <w:color w:val="auto"/>
        </w:rPr>
        <w:t xml:space="preserve"> that does not:</w:t>
      </w:r>
    </w:p>
    <w:p>
      <w:pPr>
        <w:spacing w:after="0" w:line="227" w:lineRule="exact"/>
        <w:rPr>
          <w:sz w:val="20"/>
          <w:szCs w:val="20"/>
          <w:color w:val="auto"/>
        </w:rPr>
      </w:pPr>
    </w:p>
    <w:p>
      <w:pPr>
        <w:ind w:left="340" w:hanging="331"/>
        <w:spacing w:after="0"/>
        <w:tabs>
          <w:tab w:leader="none" w:pos="34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Arise out of (or in the course of) any work for pay or profit;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 xml:space="preserve">Result in any way from an </w:t>
      </w:r>
      <w:r>
        <w:rPr>
          <w:rFonts w:ascii="Arial" w:cs="Arial" w:eastAsia="Arial" w:hAnsi="Arial"/>
          <w:sz w:val="20"/>
          <w:szCs w:val="20"/>
          <w:b w:val="1"/>
          <w:bCs w:val="1"/>
          <w:color w:val="auto"/>
        </w:rPr>
        <w:t>injury</w:t>
      </w:r>
      <w:r>
        <w:rPr>
          <w:rFonts w:ascii="Arial" w:cs="Arial" w:eastAsia="Arial" w:hAnsi="Arial"/>
          <w:sz w:val="20"/>
          <w:szCs w:val="20"/>
          <w:color w:val="auto"/>
        </w:rPr>
        <w:t xml:space="preserve"> which does.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Non-Specialist</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who is not a </w:t>
      </w:r>
      <w:r>
        <w:rPr>
          <w:rFonts w:ascii="Arial" w:cs="Arial" w:eastAsia="Arial" w:hAnsi="Arial"/>
          <w:sz w:val="20"/>
          <w:szCs w:val="20"/>
          <w:b w:val="1"/>
          <w:bCs w:val="1"/>
          <w:color w:val="auto"/>
        </w:rPr>
        <w:t>specialist</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Non-Urgent Admission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 inpatient admission that is not an </w:t>
      </w:r>
      <w:r>
        <w:rPr>
          <w:rFonts w:ascii="Arial" w:cs="Arial" w:eastAsia="Arial" w:hAnsi="Arial"/>
          <w:sz w:val="20"/>
          <w:szCs w:val="20"/>
          <w:b w:val="1"/>
          <w:bCs w:val="1"/>
          <w:color w:val="auto"/>
        </w:rPr>
        <w:t>emergency admission</w:t>
      </w:r>
      <w:r>
        <w:rPr>
          <w:rFonts w:ascii="Arial" w:cs="Arial" w:eastAsia="Arial" w:hAnsi="Arial"/>
          <w:sz w:val="20"/>
          <w:szCs w:val="20"/>
          <w:color w:val="auto"/>
        </w:rPr>
        <w:t xml:space="preserve"> or an </w:t>
      </w:r>
      <w:r>
        <w:rPr>
          <w:rFonts w:ascii="Arial" w:cs="Arial" w:eastAsia="Arial" w:hAnsi="Arial"/>
          <w:sz w:val="20"/>
          <w:szCs w:val="20"/>
          <w:b w:val="1"/>
          <w:bCs w:val="1"/>
          <w:color w:val="auto"/>
        </w:rPr>
        <w:t>urgent admission</w:t>
      </w:r>
      <w:r>
        <w:rPr>
          <w:rFonts w:ascii="Arial" w:cs="Arial" w:eastAsia="Arial" w:hAnsi="Arial"/>
          <w:sz w:val="20"/>
          <w:szCs w:val="20"/>
          <w:color w:val="auto"/>
        </w:rPr>
        <w:t>.</w:t>
      </w:r>
    </w:p>
    <w:p>
      <w:pPr>
        <w:ind w:left="340" w:hanging="331"/>
        <w:spacing w:after="0" w:line="221" w:lineRule="auto"/>
        <w:tabs>
          <w:tab w:leader="none" w:pos="340" w:val="left"/>
        </w:tabs>
        <w:numPr>
          <w:ilvl w:val="0"/>
          <w:numId w:val="419"/>
        </w:numPr>
        <w:rPr>
          <w:rFonts w:ascii="Arial" w:cs="Arial" w:eastAsia="Arial" w:hAnsi="Arial"/>
          <w:sz w:val="32"/>
          <w:szCs w:val="32"/>
          <w:b w:val="1"/>
          <w:bCs w:val="1"/>
          <w:color w:val="auto"/>
        </w:rPr>
      </w:pPr>
      <w:r>
        <w:rPr>
          <w:rFonts w:ascii="Arial" w:cs="Arial" w:eastAsia="Arial" w:hAnsi="Arial"/>
          <w:sz w:val="14"/>
          <w:szCs w:val="14"/>
          <w:i w:val="1"/>
          <w:iCs w:val="1"/>
          <w:color w:val="auto"/>
        </w:rPr>
        <w:t>(GR-9N-34-075-01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Occupational Injury or Occupational Illness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that:</w:t>
      </w:r>
    </w:p>
    <w:p>
      <w:pPr>
        <w:spacing w:after="0" w:line="213" w:lineRule="exact"/>
        <w:rPr>
          <w:sz w:val="20"/>
          <w:szCs w:val="20"/>
          <w:color w:val="auto"/>
        </w:rPr>
      </w:pPr>
    </w:p>
    <w:p>
      <w:pPr>
        <w:ind w:left="340" w:hanging="331"/>
        <w:spacing w:after="0"/>
        <w:tabs>
          <w:tab w:leader="none" w:pos="3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Arises out of (or in the course of) any activity in connection with employment or self-employment whether or not on a full time basis; or</w:t>
      </w:r>
    </w:p>
    <w:p>
      <w:pPr>
        <w:spacing w:after="0" w:line="43" w:lineRule="exact"/>
        <w:rPr>
          <w:rFonts w:ascii="Arial" w:cs="Arial" w:eastAsia="Arial" w:hAnsi="Arial"/>
          <w:sz w:val="18"/>
          <w:szCs w:val="18"/>
          <w:color w:val="auto"/>
        </w:rPr>
      </w:pPr>
    </w:p>
    <w:p>
      <w:pPr>
        <w:ind w:left="340" w:hanging="331"/>
        <w:spacing w:after="0"/>
        <w:tabs>
          <w:tab w:leader="none" w:pos="34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 xml:space="preserve">Results in any way from an </w:t>
      </w:r>
      <w:r>
        <w:rPr>
          <w:rFonts w:ascii="Arial" w:cs="Arial" w:eastAsia="Arial" w:hAnsi="Arial"/>
          <w:sz w:val="20"/>
          <w:szCs w:val="20"/>
          <w:b w:val="1"/>
          <w:bCs w:val="1"/>
          <w:color w:val="auto"/>
        </w:rPr>
        <w:t>injury</w:t>
      </w:r>
      <w:r>
        <w:rPr>
          <w:rFonts w:ascii="Arial" w:cs="Arial" w:eastAsia="Arial" w:hAnsi="Arial"/>
          <w:sz w:val="20"/>
          <w:szCs w:val="20"/>
          <w:color w:val="auto"/>
        </w:rPr>
        <w:t xml:space="preserve"> or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that does.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Occurrence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means a period of disease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An </w:t>
      </w:r>
      <w:r>
        <w:rPr>
          <w:rFonts w:ascii="Arial" w:cs="Arial" w:eastAsia="Arial" w:hAnsi="Arial"/>
          <w:sz w:val="18"/>
          <w:szCs w:val="18"/>
          <w:b w:val="1"/>
          <w:bCs w:val="1"/>
          <w:color w:val="auto"/>
        </w:rPr>
        <w:t>occurrence</w:t>
      </w:r>
      <w:r>
        <w:rPr>
          <w:rFonts w:ascii="Arial" w:cs="Arial" w:eastAsia="Arial" w:hAnsi="Arial"/>
          <w:sz w:val="18"/>
          <w:szCs w:val="18"/>
          <w:color w:val="auto"/>
        </w:rPr>
        <w:t xml:space="preserve"> ends when 60 consecutive days have passed during which the covered person:</w:t>
      </w:r>
    </w:p>
    <w:p>
      <w:pPr>
        <w:spacing w:after="0" w:line="217" w:lineRule="exact"/>
        <w:rPr>
          <w:sz w:val="20"/>
          <w:szCs w:val="20"/>
          <w:color w:val="auto"/>
        </w:rPr>
      </w:pPr>
    </w:p>
    <w:p>
      <w:pPr>
        <w:ind w:left="340" w:hanging="331"/>
        <w:spacing w:after="0"/>
        <w:tabs>
          <w:tab w:leader="none" w:pos="34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 xml:space="preserve">Receives no medical treatment; services; or supplies; for a disease or </w:t>
      </w:r>
      <w:r>
        <w:rPr>
          <w:rFonts w:ascii="Arial" w:cs="Arial" w:eastAsia="Arial" w:hAnsi="Arial"/>
          <w:sz w:val="20"/>
          <w:szCs w:val="20"/>
          <w:b w:val="1"/>
          <w:bCs w:val="1"/>
          <w:color w:val="auto"/>
        </w:rPr>
        <w:t>injury</w:t>
      </w:r>
      <w:r>
        <w:rPr>
          <w:rFonts w:ascii="Arial" w:cs="Arial" w:eastAsia="Arial" w:hAnsi="Arial"/>
          <w:sz w:val="20"/>
          <w:szCs w:val="20"/>
          <w:color w:val="auto"/>
        </w:rPr>
        <w:t>; and</w:t>
      </w:r>
    </w:p>
    <w:p>
      <w:pPr>
        <w:spacing w:after="0" w:line="21" w:lineRule="exact"/>
        <w:rPr>
          <w:rFonts w:ascii="Arial" w:cs="Arial" w:eastAsia="Arial" w:hAnsi="Arial"/>
          <w:sz w:val="20"/>
          <w:szCs w:val="20"/>
          <w:color w:val="auto"/>
        </w:rPr>
      </w:pPr>
    </w:p>
    <w:p>
      <w:pPr>
        <w:ind w:left="340" w:hanging="331"/>
        <w:spacing w:after="0"/>
        <w:tabs>
          <w:tab w:leader="none" w:pos="34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 xml:space="preserve">Neither takes any medication, nor has any medication prescribed, for a disease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Orthodontic Treatment </w:t>
      </w:r>
      <w:r>
        <w:rPr>
          <w:rFonts w:ascii="Arial" w:cs="Arial" w:eastAsia="Arial" w:hAnsi="Arial"/>
          <w:sz w:val="14"/>
          <w:szCs w:val="14"/>
          <w:i w:val="1"/>
          <w:iCs w:val="1"/>
          <w:color w:val="auto"/>
        </w:rPr>
        <w:t>(GR-9N-34-075-01 VA)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This is any:</w:t>
      </w:r>
    </w:p>
    <w:p>
      <w:pPr>
        <w:spacing w:after="0" w:line="243" w:lineRule="exact"/>
        <w:rPr>
          <w:sz w:val="20"/>
          <w:szCs w:val="20"/>
          <w:color w:val="auto"/>
        </w:rPr>
      </w:pPr>
    </w:p>
    <w:p>
      <w:pPr>
        <w:ind w:left="340" w:hanging="331"/>
        <w:spacing w:after="0"/>
        <w:tabs>
          <w:tab w:leader="none" w:pos="34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Medical service or supply;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Dental service or supply;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furnished to prevent or to diagnose or to correct a misalignment:</w:t>
      </w:r>
    </w:p>
    <w:p>
      <w:pPr>
        <w:spacing w:after="0" w:line="216" w:lineRule="exact"/>
        <w:rPr>
          <w:sz w:val="20"/>
          <w:szCs w:val="20"/>
          <w:color w:val="auto"/>
        </w:rPr>
      </w:pPr>
    </w:p>
    <w:p>
      <w:pPr>
        <w:ind w:left="340" w:hanging="331"/>
        <w:spacing w:after="0"/>
        <w:tabs>
          <w:tab w:leader="none" w:pos="3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Of the teeth; or</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Of the bite; or</w:t>
      </w:r>
    </w:p>
    <w:p>
      <w:pPr>
        <w:spacing w:after="0" w:line="140" w:lineRule="exact"/>
        <w:rPr>
          <w:rFonts w:ascii="Arial" w:cs="Arial" w:eastAsia="Arial" w:hAnsi="Arial"/>
          <w:sz w:val="20"/>
          <w:szCs w:val="20"/>
          <w:color w:val="auto"/>
        </w:rPr>
      </w:pPr>
    </w:p>
    <w:p>
      <w:pPr>
        <w:ind w:right="3980" w:firstLine="9"/>
        <w:spacing w:after="0" w:line="401" w:lineRule="auto"/>
        <w:tabs>
          <w:tab w:leader="none" w:pos="394" w:val="left"/>
        </w:tabs>
        <w:numPr>
          <w:ilvl w:val="0"/>
          <w:numId w:val="423"/>
        </w:numPr>
        <w:rPr>
          <w:rFonts w:ascii="Arial" w:cs="Arial" w:eastAsia="Arial" w:hAnsi="Arial"/>
          <w:sz w:val="20"/>
          <w:szCs w:val="20"/>
          <w:color w:val="auto"/>
        </w:rPr>
      </w:pPr>
      <w:r>
        <w:rPr>
          <w:rFonts w:ascii="Arial" w:cs="Arial" w:eastAsia="Arial" w:hAnsi="Arial"/>
          <w:sz w:val="20"/>
          <w:szCs w:val="20"/>
          <w:color w:val="auto"/>
        </w:rPr>
        <w:t xml:space="preserve">Of the jaws or jaw joint relationship; whether or not for the purpose of relieving pain. The following are not considered </w:t>
      </w:r>
      <w:r>
        <w:rPr>
          <w:rFonts w:ascii="Arial" w:cs="Arial" w:eastAsia="Arial" w:hAnsi="Arial"/>
          <w:sz w:val="20"/>
          <w:szCs w:val="20"/>
          <w:b w:val="1"/>
          <w:bCs w:val="1"/>
          <w:color w:val="auto"/>
        </w:rPr>
        <w:t>orthodontic treatment</w:t>
      </w:r>
      <w:r>
        <w:rPr>
          <w:rFonts w:ascii="Arial" w:cs="Arial" w:eastAsia="Arial" w:hAnsi="Arial"/>
          <w:sz w:val="20"/>
          <w:szCs w:val="20"/>
          <w:color w:val="auto"/>
        </w:rPr>
        <w:t>:</w:t>
      </w:r>
    </w:p>
    <w:p>
      <w:pPr>
        <w:spacing w:after="0" w:line="55" w:lineRule="exact"/>
        <w:rPr>
          <w:rFonts w:ascii="Arial" w:cs="Arial" w:eastAsia="Arial" w:hAnsi="Arial"/>
          <w:sz w:val="20"/>
          <w:szCs w:val="20"/>
          <w:color w:val="auto"/>
        </w:rPr>
      </w:pPr>
    </w:p>
    <w:p>
      <w:pPr>
        <w:ind w:left="340" w:hanging="331"/>
        <w:spacing w:after="0"/>
        <w:tabs>
          <w:tab w:leader="none" w:pos="3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The installation of a space maintainer; or</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A surgical procedure to correct malocclusion.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Out-of-Network Provider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pharmacy</w:t>
      </w:r>
      <w:r>
        <w:rPr>
          <w:rFonts w:ascii="Arial" w:cs="Arial" w:eastAsia="Arial" w:hAnsi="Arial"/>
          <w:sz w:val="19"/>
          <w:szCs w:val="19"/>
          <w:color w:val="auto"/>
        </w:rPr>
        <w:t xml:space="preserve"> who has not contracted with </w:t>
      </w:r>
      <w:r>
        <w:rPr>
          <w:rFonts w:ascii="Arial" w:cs="Arial" w:eastAsia="Arial" w:hAnsi="Arial"/>
          <w:sz w:val="19"/>
          <w:szCs w:val="19"/>
          <w:b w:val="1"/>
          <w:bCs w:val="1"/>
          <w:color w:val="auto"/>
        </w:rPr>
        <w:t>Aetna</w:t>
      </w:r>
      <w:r>
        <w:rPr>
          <w:rFonts w:ascii="Arial" w:cs="Arial" w:eastAsia="Arial" w:hAnsi="Arial"/>
          <w:sz w:val="19"/>
          <w:szCs w:val="19"/>
          <w:color w:val="auto"/>
        </w:rPr>
        <w:t>, an affiliate, or a third party vendor, to furnish services or supplies at a for this plan.</w:t>
      </w:r>
    </w:p>
    <w:p>
      <w:pPr>
        <w:sectPr>
          <w:pgSz w:w="11900" w:h="16838" w:orient="portrait"/>
          <w:cols w:equalWidth="0" w:num="1">
            <w:col w:w="11160"/>
          </w:cols>
          <w:pgMar w:left="320" w:top="427" w:right="419" w:bottom="1440" w:gutter="0" w:footer="0" w:header="0"/>
        </w:sectPr>
      </w:pPr>
    </w:p>
    <w:bookmarkStart w:id="274" w:name="page275"/>
    <w:bookmarkEnd w:id="274"/>
    <w:p>
      <w:pPr>
        <w:ind w:left="280" w:hanging="271"/>
        <w:spacing w:after="0"/>
        <w:tabs>
          <w:tab w:leader="none" w:pos="280" w:val="left"/>
        </w:tabs>
        <w:numPr>
          <w:ilvl w:val="0"/>
          <w:numId w:val="424"/>
        </w:numPr>
        <w:rPr>
          <w:rFonts w:ascii="Arial" w:cs="Arial" w:eastAsia="Arial" w:hAnsi="Arial"/>
          <w:sz w:val="32"/>
          <w:szCs w:val="32"/>
          <w:b w:val="1"/>
          <w:bCs w:val="1"/>
          <w:color w:val="auto"/>
        </w:rPr>
      </w:pPr>
      <w:r>
        <w:rPr>
          <w:rFonts w:ascii="Arial" w:cs="Arial" w:eastAsia="Arial" w:hAnsi="Arial"/>
          <w:sz w:val="14"/>
          <w:szCs w:val="14"/>
          <w:i w:val="1"/>
          <w:iCs w:val="1"/>
          <w:color w:val="auto"/>
        </w:rPr>
        <w:t>(GR-9N-34-080-05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Partial Confinement Treatment</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A plan of medical, psychiatric, nursing, counseling, or therapeutic services to treat </w:t>
      </w:r>
      <w:r>
        <w:rPr>
          <w:rFonts w:ascii="Arial" w:cs="Arial" w:eastAsia="Arial" w:hAnsi="Arial"/>
          <w:sz w:val="20"/>
          <w:szCs w:val="20"/>
          <w:b w:val="1"/>
          <w:bCs w:val="1"/>
          <w:color w:val="auto"/>
        </w:rPr>
        <w:t>substance abuse</w:t>
      </w:r>
      <w:r>
        <w:rPr>
          <w:rFonts w:ascii="Arial" w:cs="Arial" w:eastAsia="Arial" w:hAnsi="Arial"/>
          <w:sz w:val="20"/>
          <w:szCs w:val="20"/>
          <w:color w:val="auto"/>
        </w:rPr>
        <w:t xml:space="preserve"> or </w:t>
      </w:r>
      <w:r>
        <w:rPr>
          <w:rFonts w:ascii="Arial" w:cs="Arial" w:eastAsia="Arial" w:hAnsi="Arial"/>
          <w:sz w:val="20"/>
          <w:szCs w:val="20"/>
          <w:b w:val="1"/>
          <w:bCs w:val="1"/>
          <w:color w:val="auto"/>
        </w:rPr>
        <w:t>mental disorders</w:t>
      </w:r>
      <w:r>
        <w:rPr>
          <w:rFonts w:ascii="Arial" w:cs="Arial" w:eastAsia="Arial" w:hAnsi="Arial"/>
          <w:sz w:val="20"/>
          <w:szCs w:val="20"/>
          <w:color w:val="auto"/>
        </w:rPr>
        <w:t>. The plan must meet these tests:</w:t>
      </w:r>
    </w:p>
    <w:p>
      <w:pPr>
        <w:spacing w:after="0" w:line="199" w:lineRule="exact"/>
        <w:rPr>
          <w:sz w:val="20"/>
          <w:szCs w:val="20"/>
          <w:color w:val="auto"/>
        </w:rPr>
      </w:pPr>
    </w:p>
    <w:p>
      <w:pPr>
        <w:ind w:left="340" w:hanging="331"/>
        <w:spacing w:after="0"/>
        <w:tabs>
          <w:tab w:leader="none" w:pos="34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 xml:space="preserve">It is carried out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t>
      </w:r>
      <w:r>
        <w:rPr>
          <w:rFonts w:ascii="Arial" w:cs="Arial" w:eastAsia="Arial" w:hAnsi="Arial"/>
          <w:sz w:val="20"/>
          <w:szCs w:val="20"/>
          <w:b w:val="1"/>
          <w:bCs w:val="1"/>
          <w:color w:val="auto"/>
        </w:rPr>
        <w:t>psychiatric hospital</w:t>
      </w:r>
      <w:r>
        <w:rPr>
          <w:rFonts w:ascii="Arial" w:cs="Arial" w:eastAsia="Arial" w:hAnsi="Arial"/>
          <w:sz w:val="20"/>
          <w:szCs w:val="20"/>
          <w:color w:val="auto"/>
        </w:rPr>
        <w:t xml:space="preserve"> or </w:t>
      </w:r>
      <w:r>
        <w:rPr>
          <w:rFonts w:ascii="Arial" w:cs="Arial" w:eastAsia="Arial" w:hAnsi="Arial"/>
          <w:sz w:val="20"/>
          <w:szCs w:val="20"/>
          <w:b w:val="1"/>
          <w:bCs w:val="1"/>
          <w:color w:val="auto"/>
        </w:rPr>
        <w:t>residential treatment facility</w:t>
      </w:r>
      <w:r>
        <w:rPr>
          <w:rFonts w:ascii="Arial" w:cs="Arial" w:eastAsia="Arial" w:hAnsi="Arial"/>
          <w:sz w:val="20"/>
          <w:szCs w:val="20"/>
          <w:color w:val="auto"/>
        </w:rPr>
        <w:t>; on less than a full-time inpatient basis.</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It is in accord with accepted medical practice for the condition of the person.</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It does not require full-time confinement.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 xml:space="preserve">It is supervised by a </w:t>
      </w:r>
      <w:r>
        <w:rPr>
          <w:rFonts w:ascii="Arial" w:cs="Arial" w:eastAsia="Arial" w:hAnsi="Arial"/>
          <w:sz w:val="20"/>
          <w:szCs w:val="20"/>
          <w:b w:val="1"/>
          <w:bCs w:val="1"/>
          <w:color w:val="auto"/>
        </w:rPr>
        <w:t>psychiatric physician</w:t>
      </w:r>
      <w:r>
        <w:rPr>
          <w:rFonts w:ascii="Arial" w:cs="Arial" w:eastAsia="Arial" w:hAnsi="Arial"/>
          <w:sz w:val="20"/>
          <w:szCs w:val="20"/>
          <w:color w:val="auto"/>
        </w:rPr>
        <w:t xml:space="preserve"> who weekly reviews and evaluates its effect.</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25"/>
        </w:numPr>
        <w:rPr>
          <w:rFonts w:ascii="Arial" w:cs="Arial" w:eastAsia="Arial" w:hAnsi="Arial"/>
          <w:sz w:val="20"/>
          <w:szCs w:val="20"/>
          <w:color w:val="auto"/>
        </w:rPr>
      </w:pPr>
      <w:r>
        <w:rPr>
          <w:rFonts w:ascii="Arial" w:cs="Arial" w:eastAsia="Arial" w:hAnsi="Arial"/>
          <w:sz w:val="20"/>
          <w:szCs w:val="20"/>
          <w:b w:val="1"/>
          <w:bCs w:val="1"/>
          <w:color w:val="auto"/>
        </w:rPr>
        <w:t xml:space="preserve">Day care treatment </w:t>
      </w:r>
      <w:r>
        <w:rPr>
          <w:rFonts w:ascii="Arial" w:cs="Arial" w:eastAsia="Arial" w:hAnsi="Arial"/>
          <w:sz w:val="20"/>
          <w:szCs w:val="20"/>
          <w:color w:val="auto"/>
        </w:rPr>
        <w:t>and</w:t>
      </w:r>
      <w:r>
        <w:rPr>
          <w:rFonts w:ascii="Arial" w:cs="Arial" w:eastAsia="Arial" w:hAnsi="Arial"/>
          <w:sz w:val="20"/>
          <w:szCs w:val="20"/>
          <w:b w:val="1"/>
          <w:bCs w:val="1"/>
          <w:color w:val="auto"/>
        </w:rPr>
        <w:t xml:space="preserve"> night care treatment </w:t>
      </w:r>
      <w:r>
        <w:rPr>
          <w:rFonts w:ascii="Arial" w:cs="Arial" w:eastAsia="Arial" w:hAnsi="Arial"/>
          <w:sz w:val="20"/>
          <w:szCs w:val="20"/>
          <w:color w:val="auto"/>
        </w:rPr>
        <w:t>are considered</w:t>
      </w:r>
      <w:r>
        <w:rPr>
          <w:rFonts w:ascii="Arial" w:cs="Arial" w:eastAsia="Arial" w:hAnsi="Arial"/>
          <w:sz w:val="20"/>
          <w:szCs w:val="20"/>
          <w:b w:val="1"/>
          <w:bCs w:val="1"/>
          <w:color w:val="auto"/>
        </w:rPr>
        <w:t xml:space="preserve"> partial confinement treatment</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Pharmacy</w:t>
      </w:r>
    </w:p>
    <w:p>
      <w:pPr>
        <w:spacing w:after="0" w:line="3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 xml:space="preserve">An establishment where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are legally dispensed.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includes a retail </w:t>
      </w:r>
      <w:r>
        <w:rPr>
          <w:rFonts w:ascii="Arial" w:cs="Arial" w:eastAsia="Arial" w:hAnsi="Arial"/>
          <w:sz w:val="20"/>
          <w:szCs w:val="20"/>
          <w:b w:val="1"/>
          <w:bCs w:val="1"/>
          <w:color w:val="auto"/>
        </w:rPr>
        <w:t>pharmacy</w:t>
      </w:r>
      <w:r>
        <w:rPr>
          <w:rFonts w:ascii="Arial" w:cs="Arial" w:eastAsia="Arial" w:hAnsi="Arial"/>
          <w:sz w:val="20"/>
          <w:szCs w:val="20"/>
          <w:color w:val="auto"/>
        </w:rPr>
        <w:t xml:space="preserve">, </w:t>
      </w:r>
      <w:r>
        <w:rPr>
          <w:rFonts w:ascii="Arial" w:cs="Arial" w:eastAsia="Arial" w:hAnsi="Arial"/>
          <w:sz w:val="20"/>
          <w:szCs w:val="20"/>
          <w:b w:val="1"/>
          <w:bCs w:val="1"/>
          <w:color w:val="auto"/>
        </w:rPr>
        <w:t>mail order pharmacy</w:t>
      </w:r>
      <w:r>
        <w:rPr>
          <w:rFonts w:ascii="Arial" w:cs="Arial" w:eastAsia="Arial" w:hAnsi="Arial"/>
          <w:sz w:val="20"/>
          <w:szCs w:val="20"/>
          <w:color w:val="auto"/>
        </w:rPr>
        <w:t xml:space="preserve"> and </w:t>
      </w:r>
      <w:r>
        <w:rPr>
          <w:rFonts w:ascii="Arial" w:cs="Arial" w:eastAsia="Arial" w:hAnsi="Arial"/>
          <w:sz w:val="20"/>
          <w:szCs w:val="20"/>
          <w:b w:val="1"/>
          <w:bCs w:val="1"/>
          <w:color w:val="auto"/>
        </w:rPr>
        <w:t>specialty pharmacy network pharmacy</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Physician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duly licensed member of a medical profession who:</w:t>
      </w:r>
    </w:p>
    <w:p>
      <w:pPr>
        <w:spacing w:after="0" w:line="227" w:lineRule="exact"/>
        <w:rPr>
          <w:sz w:val="20"/>
          <w:szCs w:val="20"/>
          <w:color w:val="auto"/>
        </w:rPr>
      </w:pPr>
    </w:p>
    <w:p>
      <w:pPr>
        <w:ind w:left="340" w:hanging="331"/>
        <w:spacing w:after="0"/>
        <w:tabs>
          <w:tab w:leader="none" w:pos="34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Has an M.D. or D.O. degree;</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Is properly licensed or certified to provide medical care under the laws of the jurisdiction where the individual practices; and</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Provides medical services which are within the scope of his or her license or certificate.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This also includes a health professional who:</w:t>
      </w:r>
    </w:p>
    <w:p>
      <w:pPr>
        <w:spacing w:after="0" w:line="229" w:lineRule="exact"/>
        <w:rPr>
          <w:sz w:val="20"/>
          <w:szCs w:val="20"/>
          <w:color w:val="auto"/>
        </w:rPr>
      </w:pPr>
    </w:p>
    <w:p>
      <w:pPr>
        <w:ind w:left="340" w:hanging="331"/>
        <w:spacing w:after="0"/>
        <w:tabs>
          <w:tab w:leader="none" w:pos="34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Is properly licensed or certified to provide medical care under the laws of the jurisdiction where he or she practices;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Provides medical services which are within the scope of his or her license or certificate;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Under applicable insurance law is considered a "physician" for purposes of this coverage;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Has the medical training and clinical expertise suitable to treat your condition;</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Specializes in psychiatry, if your </w:t>
      </w:r>
      <w:r>
        <w:rPr>
          <w:rFonts w:ascii="Arial" w:cs="Arial" w:eastAsia="Arial" w:hAnsi="Arial"/>
          <w:sz w:val="18"/>
          <w:szCs w:val="18"/>
          <w:b w:val="1"/>
          <w:bCs w:val="1"/>
          <w:color w:val="auto"/>
        </w:rPr>
        <w:t>illness</w:t>
      </w:r>
      <w:r>
        <w:rPr>
          <w:rFonts w:ascii="Arial" w:cs="Arial" w:eastAsia="Arial" w:hAnsi="Arial"/>
          <w:sz w:val="18"/>
          <w:szCs w:val="18"/>
          <w:color w:val="auto"/>
        </w:rPr>
        <w:t xml:space="preserve"> or </w:t>
      </w:r>
      <w:r>
        <w:rPr>
          <w:rFonts w:ascii="Arial" w:cs="Arial" w:eastAsia="Arial" w:hAnsi="Arial"/>
          <w:sz w:val="18"/>
          <w:szCs w:val="18"/>
          <w:b w:val="1"/>
          <w:bCs w:val="1"/>
          <w:color w:val="auto"/>
        </w:rPr>
        <w:t>injury</w:t>
      </w:r>
      <w:r>
        <w:rPr>
          <w:rFonts w:ascii="Arial" w:cs="Arial" w:eastAsia="Arial" w:hAnsi="Arial"/>
          <w:sz w:val="18"/>
          <w:szCs w:val="18"/>
          <w:color w:val="auto"/>
        </w:rPr>
        <w:t xml:space="preserve"> is caused, to any extent, by alcohol abuse, substance abuse or a mental disorder; and</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427"/>
        </w:numPr>
        <w:rPr>
          <w:rFonts w:ascii="Arial" w:cs="Arial" w:eastAsia="Arial" w:hAnsi="Arial"/>
          <w:sz w:val="20"/>
          <w:szCs w:val="20"/>
          <w:color w:val="auto"/>
        </w:rPr>
      </w:pPr>
      <w:r>
        <w:rPr>
          <w:rFonts w:ascii="Arial" w:cs="Arial" w:eastAsia="Arial" w:hAnsi="Arial"/>
          <w:sz w:val="20"/>
          <w:szCs w:val="20"/>
          <w:color w:val="auto"/>
        </w:rPr>
        <w:t>A physician is not you or related to you.</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Precertification or Precertify</w:t>
      </w:r>
    </w:p>
    <w:p>
      <w:pPr>
        <w:spacing w:after="0" w:line="3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 xml:space="preserve">A process where </w:t>
      </w:r>
      <w:r>
        <w:rPr>
          <w:rFonts w:ascii="Arial" w:cs="Arial" w:eastAsia="Arial" w:hAnsi="Arial"/>
          <w:sz w:val="20"/>
          <w:szCs w:val="20"/>
          <w:b w:val="1"/>
          <w:bCs w:val="1"/>
          <w:color w:val="auto"/>
        </w:rPr>
        <w:t>Aetna</w:t>
      </w:r>
      <w:r>
        <w:rPr>
          <w:rFonts w:ascii="Arial" w:cs="Arial" w:eastAsia="Arial" w:hAnsi="Arial"/>
          <w:sz w:val="20"/>
          <w:szCs w:val="20"/>
          <w:color w:val="auto"/>
        </w:rPr>
        <w:t xml:space="preserve"> is contacted before certain services are provided, such as </w:t>
      </w:r>
      <w:r>
        <w:rPr>
          <w:rFonts w:ascii="Arial" w:cs="Arial" w:eastAsia="Arial" w:hAnsi="Arial"/>
          <w:sz w:val="20"/>
          <w:szCs w:val="20"/>
          <w:b w:val="1"/>
          <w:bCs w:val="1"/>
          <w:color w:val="auto"/>
        </w:rPr>
        <w:t>hospitalization</w:t>
      </w:r>
      <w:r>
        <w:rPr>
          <w:rFonts w:ascii="Arial" w:cs="Arial" w:eastAsia="Arial" w:hAnsi="Arial"/>
          <w:sz w:val="20"/>
          <w:szCs w:val="20"/>
          <w:color w:val="auto"/>
        </w:rPr>
        <w:t xml:space="preserve"> or outpatient surgery, or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are prescribed to determine whether the services being recommended or the drugs prescribed are considered </w:t>
      </w:r>
      <w:r>
        <w:rPr>
          <w:rFonts w:ascii="Arial" w:cs="Arial" w:eastAsia="Arial" w:hAnsi="Arial"/>
          <w:sz w:val="20"/>
          <w:szCs w:val="20"/>
          <w:b w:val="1"/>
          <w:bCs w:val="1"/>
          <w:color w:val="auto"/>
        </w:rPr>
        <w:t>covered expenses</w:t>
      </w:r>
      <w:r>
        <w:rPr>
          <w:rFonts w:ascii="Arial" w:cs="Arial" w:eastAsia="Arial" w:hAnsi="Arial"/>
          <w:sz w:val="20"/>
          <w:szCs w:val="20"/>
          <w:color w:val="auto"/>
        </w:rPr>
        <w:t xml:space="preserve"> under the plan. It is not a guarantee that benefits will be payable.</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Preferred Drug Guide</w:t>
      </w:r>
    </w:p>
    <w:p>
      <w:pPr>
        <w:spacing w:after="0" w:line="3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 xml:space="preserve">A listing of </w:t>
      </w:r>
      <w:r>
        <w:rPr>
          <w:rFonts w:ascii="Arial" w:cs="Arial" w:eastAsia="Arial" w:hAnsi="Arial"/>
          <w:sz w:val="19"/>
          <w:szCs w:val="19"/>
          <w:b w:val="1"/>
          <w:bCs w:val="1"/>
          <w:color w:val="auto"/>
        </w:rPr>
        <w:t>prescription drugs</w:t>
      </w:r>
      <w:r>
        <w:rPr>
          <w:rFonts w:ascii="Arial" w:cs="Arial" w:eastAsia="Arial" w:hAnsi="Arial"/>
          <w:sz w:val="19"/>
          <w:szCs w:val="19"/>
          <w:color w:val="auto"/>
        </w:rPr>
        <w:t xml:space="preserve"> established by </w:t>
      </w:r>
      <w:r>
        <w:rPr>
          <w:rFonts w:ascii="Arial" w:cs="Arial" w:eastAsia="Arial" w:hAnsi="Arial"/>
          <w:sz w:val="19"/>
          <w:szCs w:val="19"/>
          <w:b w:val="1"/>
          <w:bCs w:val="1"/>
          <w:color w:val="auto"/>
        </w:rPr>
        <w:t>Aetna</w:t>
      </w:r>
      <w:r>
        <w:rPr>
          <w:rFonts w:ascii="Arial" w:cs="Arial" w:eastAsia="Arial" w:hAnsi="Arial"/>
          <w:sz w:val="19"/>
          <w:szCs w:val="19"/>
          <w:color w:val="auto"/>
        </w:rPr>
        <w:t xml:space="preserve"> or an affiliate, which includes both </w:t>
      </w:r>
      <w:r>
        <w:rPr>
          <w:rFonts w:ascii="Arial" w:cs="Arial" w:eastAsia="Arial" w:hAnsi="Arial"/>
          <w:sz w:val="19"/>
          <w:szCs w:val="19"/>
          <w:b w:val="1"/>
          <w:bCs w:val="1"/>
          <w:color w:val="auto"/>
        </w:rPr>
        <w:t>brand name prescription drugs</w:t>
      </w:r>
      <w:r>
        <w:rPr>
          <w:rFonts w:ascii="Arial" w:cs="Arial" w:eastAsia="Arial" w:hAnsi="Arial"/>
          <w:sz w:val="19"/>
          <w:szCs w:val="19"/>
          <w:color w:val="auto"/>
        </w:rPr>
        <w:t xml:space="preserve"> and </w:t>
      </w:r>
      <w:r>
        <w:rPr>
          <w:rFonts w:ascii="Arial" w:cs="Arial" w:eastAsia="Arial" w:hAnsi="Arial"/>
          <w:sz w:val="19"/>
          <w:szCs w:val="19"/>
          <w:b w:val="1"/>
          <w:bCs w:val="1"/>
          <w:color w:val="auto"/>
        </w:rPr>
        <w:t>generic</w:t>
      </w:r>
      <w:r>
        <w:rPr>
          <w:rFonts w:ascii="Arial" w:cs="Arial" w:eastAsia="Arial" w:hAnsi="Arial"/>
          <w:sz w:val="19"/>
          <w:szCs w:val="19"/>
          <w:color w:val="auto"/>
        </w:rPr>
        <w:t xml:space="preserve"> </w:t>
      </w:r>
      <w:r>
        <w:rPr>
          <w:rFonts w:ascii="Arial" w:cs="Arial" w:eastAsia="Arial" w:hAnsi="Arial"/>
          <w:sz w:val="19"/>
          <w:szCs w:val="19"/>
          <w:b w:val="1"/>
          <w:bCs w:val="1"/>
          <w:color w:val="auto"/>
        </w:rPr>
        <w:t>prescription drugs</w:t>
      </w:r>
      <w:r>
        <w:rPr>
          <w:rFonts w:ascii="Arial" w:cs="Arial" w:eastAsia="Arial" w:hAnsi="Arial"/>
          <w:sz w:val="19"/>
          <w:szCs w:val="19"/>
          <w:color w:val="auto"/>
        </w:rPr>
        <w:t>. This list is subject to periodic review and modification by</w:t>
      </w:r>
      <w:r>
        <w:rPr>
          <w:rFonts w:ascii="Arial" w:cs="Arial" w:eastAsia="Arial" w:hAnsi="Arial"/>
          <w:sz w:val="19"/>
          <w:szCs w:val="19"/>
          <w:b w:val="1"/>
          <w:bCs w:val="1"/>
          <w:color w:val="auto"/>
        </w:rPr>
        <w:t xml:space="preserve"> Aetna </w:t>
      </w:r>
      <w:r>
        <w:rPr>
          <w:rFonts w:ascii="Arial" w:cs="Arial" w:eastAsia="Arial" w:hAnsi="Arial"/>
          <w:sz w:val="19"/>
          <w:szCs w:val="19"/>
          <w:color w:val="auto"/>
        </w:rPr>
        <w:t>or an affiliate. A copy of the</w:t>
      </w:r>
      <w:r>
        <w:rPr>
          <w:rFonts w:ascii="Arial" w:cs="Arial" w:eastAsia="Arial" w:hAnsi="Arial"/>
          <w:sz w:val="19"/>
          <w:szCs w:val="19"/>
          <w:b w:val="1"/>
          <w:bCs w:val="1"/>
          <w:color w:val="auto"/>
        </w:rPr>
        <w:t xml:space="preserve"> preferred drug guide </w:t>
      </w:r>
      <w:r>
        <w:rPr>
          <w:rFonts w:ascii="Arial" w:cs="Arial" w:eastAsia="Arial" w:hAnsi="Arial"/>
          <w:sz w:val="19"/>
          <w:szCs w:val="19"/>
          <w:color w:val="auto"/>
        </w:rPr>
        <w:t>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available upon your request or may be accessed on the </w:t>
      </w:r>
      <w:r>
        <w:rPr>
          <w:rFonts w:ascii="Arial" w:cs="Arial" w:eastAsia="Arial" w:hAnsi="Arial"/>
          <w:sz w:val="19"/>
          <w:szCs w:val="19"/>
          <w:b w:val="1"/>
          <w:bCs w:val="1"/>
          <w:color w:val="auto"/>
        </w:rPr>
        <w:t>Aetna</w:t>
      </w:r>
      <w:r>
        <w:rPr>
          <w:rFonts w:ascii="Arial" w:cs="Arial" w:eastAsia="Arial" w:hAnsi="Arial"/>
          <w:sz w:val="19"/>
          <w:szCs w:val="19"/>
          <w:color w:val="auto"/>
        </w:rPr>
        <w:t xml:space="preserve"> website at www.</w:t>
      </w:r>
      <w:r>
        <w:rPr>
          <w:rFonts w:ascii="Arial" w:cs="Arial" w:eastAsia="Arial" w:hAnsi="Arial"/>
          <w:sz w:val="19"/>
          <w:szCs w:val="19"/>
          <w:b w:val="1"/>
          <w:bCs w:val="1"/>
          <w:color w:val="auto"/>
        </w:rPr>
        <w:t>Aetna</w:t>
      </w:r>
      <w:r>
        <w:rPr>
          <w:rFonts w:ascii="Arial" w:cs="Arial" w:eastAsia="Arial" w:hAnsi="Arial"/>
          <w:sz w:val="19"/>
          <w:szCs w:val="19"/>
          <w:color w:val="auto"/>
        </w:rPr>
        <w:t>.com/formulary.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Preferred Drug Guide Exclusions List</w:t>
      </w:r>
    </w:p>
    <w:p>
      <w:pPr>
        <w:spacing w:after="0" w:line="3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 xml:space="preserve">A list of </w:t>
      </w:r>
      <w:r>
        <w:rPr>
          <w:rFonts w:ascii="Arial" w:cs="Arial" w:eastAsia="Arial" w:hAnsi="Arial"/>
          <w:sz w:val="20"/>
          <w:szCs w:val="20"/>
          <w:b w:val="1"/>
          <w:bCs w:val="1"/>
          <w:color w:val="auto"/>
        </w:rPr>
        <w:t>prescription drugs</w:t>
      </w:r>
      <w:r>
        <w:rPr>
          <w:rFonts w:ascii="Arial" w:cs="Arial" w:eastAsia="Arial" w:hAnsi="Arial"/>
          <w:sz w:val="20"/>
          <w:szCs w:val="20"/>
          <w:color w:val="auto"/>
        </w:rPr>
        <w:t xml:space="preserve"> in the </w:t>
      </w:r>
      <w:r>
        <w:rPr>
          <w:rFonts w:ascii="Arial" w:cs="Arial" w:eastAsia="Arial" w:hAnsi="Arial"/>
          <w:sz w:val="20"/>
          <w:szCs w:val="20"/>
          <w:b w:val="1"/>
          <w:bCs w:val="1"/>
          <w:color w:val="auto"/>
        </w:rPr>
        <w:t>preferred drug guide</w:t>
      </w:r>
      <w:r>
        <w:rPr>
          <w:rFonts w:ascii="Arial" w:cs="Arial" w:eastAsia="Arial" w:hAnsi="Arial"/>
          <w:sz w:val="20"/>
          <w:szCs w:val="20"/>
          <w:color w:val="auto"/>
        </w:rPr>
        <w:t xml:space="preserve"> that are identified as excluded under the plan. This list is subject to periodic review and modification by </w:t>
      </w:r>
      <w:r>
        <w:rPr>
          <w:rFonts w:ascii="Arial" w:cs="Arial" w:eastAsia="Arial" w:hAnsi="Arial"/>
          <w:sz w:val="20"/>
          <w:szCs w:val="20"/>
          <w:b w:val="1"/>
          <w:bCs w:val="1"/>
          <w:color w:val="auto"/>
        </w:rPr>
        <w:t>Aetna</w:t>
      </w:r>
      <w:r>
        <w:rPr>
          <w:rFonts w:ascii="Arial" w:cs="Arial" w:eastAsia="Arial" w:hAnsi="Arial"/>
          <w:sz w:val="20"/>
          <w:szCs w:val="20"/>
          <w:color w:val="auto"/>
        </w:rPr>
        <w:t>.</w:t>
      </w:r>
    </w:p>
    <w:p>
      <w:pPr>
        <w:sectPr>
          <w:pgSz w:w="11900" w:h="16838" w:orient="portrait"/>
          <w:cols w:equalWidth="0" w:num="1">
            <w:col w:w="11300"/>
          </w:cols>
          <w:pgMar w:left="320" w:top="421" w:right="279" w:bottom="1440" w:gutter="0" w:footer="0" w:header="0"/>
        </w:sectPr>
      </w:pPr>
    </w:p>
    <w:bookmarkStart w:id="275" w:name="page276"/>
    <w:bookmarkEnd w:id="275"/>
    <w:p>
      <w:pPr>
        <w:spacing w:after="0"/>
        <w:rPr>
          <w:sz w:val="20"/>
          <w:szCs w:val="20"/>
          <w:color w:val="auto"/>
        </w:rPr>
      </w:pPr>
      <w:r>
        <w:rPr>
          <w:rFonts w:ascii="Arial" w:cs="Arial" w:eastAsia="Arial" w:hAnsi="Arial"/>
          <w:sz w:val="25"/>
          <w:szCs w:val="25"/>
          <w:b w:val="1"/>
          <w:bCs w:val="1"/>
          <w:color w:val="auto"/>
        </w:rPr>
        <w:t>Prescriber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physician</w:t>
      </w:r>
      <w:r>
        <w:rPr>
          <w:rFonts w:ascii="Arial" w:cs="Arial" w:eastAsia="Arial" w:hAnsi="Arial"/>
          <w:sz w:val="18"/>
          <w:szCs w:val="18"/>
          <w:color w:val="auto"/>
        </w:rPr>
        <w:t xml:space="preserve"> or </w:t>
      </w:r>
      <w:r>
        <w:rPr>
          <w:rFonts w:ascii="Arial" w:cs="Arial" w:eastAsia="Arial" w:hAnsi="Arial"/>
          <w:sz w:val="18"/>
          <w:szCs w:val="18"/>
          <w:b w:val="1"/>
          <w:bCs w:val="1"/>
          <w:color w:val="auto"/>
        </w:rPr>
        <w:t>dentist</w:t>
      </w:r>
      <w:r>
        <w:rPr>
          <w:rFonts w:ascii="Arial" w:cs="Arial" w:eastAsia="Arial" w:hAnsi="Arial"/>
          <w:sz w:val="18"/>
          <w:szCs w:val="18"/>
          <w:color w:val="auto"/>
        </w:rPr>
        <w:t xml:space="preserve">, acting within the scope of his or her license, who has the legal authority to write an order for a </w:t>
      </w:r>
      <w:r>
        <w:rPr>
          <w:rFonts w:ascii="Arial" w:cs="Arial" w:eastAsia="Arial" w:hAnsi="Arial"/>
          <w:sz w:val="18"/>
          <w:szCs w:val="18"/>
          <w:b w:val="1"/>
          <w:bCs w:val="1"/>
          <w:color w:val="auto"/>
        </w:rPr>
        <w:t>prescription drug</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Prescription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order for the dispensing of a </w:t>
      </w:r>
      <w:r>
        <w:rPr>
          <w:rFonts w:ascii="Arial" w:cs="Arial" w:eastAsia="Arial" w:hAnsi="Arial"/>
          <w:sz w:val="18"/>
          <w:szCs w:val="18"/>
          <w:b w:val="1"/>
          <w:bCs w:val="1"/>
          <w:color w:val="auto"/>
        </w:rPr>
        <w:t>prescription drug</w:t>
      </w:r>
      <w:r>
        <w:rPr>
          <w:rFonts w:ascii="Arial" w:cs="Arial" w:eastAsia="Arial" w:hAnsi="Arial"/>
          <w:sz w:val="18"/>
          <w:szCs w:val="18"/>
          <w:color w:val="auto"/>
        </w:rPr>
        <w:t xml:space="preserve"> by a </w:t>
      </w:r>
      <w:r>
        <w:rPr>
          <w:rFonts w:ascii="Arial" w:cs="Arial" w:eastAsia="Arial" w:hAnsi="Arial"/>
          <w:sz w:val="18"/>
          <w:szCs w:val="18"/>
          <w:b w:val="1"/>
          <w:bCs w:val="1"/>
          <w:color w:val="auto"/>
        </w:rPr>
        <w:t>prescriber</w:t>
      </w:r>
      <w:r>
        <w:rPr>
          <w:rFonts w:ascii="Arial" w:cs="Arial" w:eastAsia="Arial" w:hAnsi="Arial"/>
          <w:sz w:val="18"/>
          <w:szCs w:val="18"/>
          <w:color w:val="auto"/>
        </w:rPr>
        <w:t>. If it is an oral order, it must be promptly put in writing by the pharmacy.</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Prescription Drug</w:t>
      </w:r>
    </w:p>
    <w:p>
      <w:pPr>
        <w:spacing w:after="0" w:line="32" w:lineRule="exact"/>
        <w:rPr>
          <w:sz w:val="20"/>
          <w:szCs w:val="20"/>
          <w:color w:val="auto"/>
        </w:rPr>
      </w:pPr>
    </w:p>
    <w:p>
      <w:pPr>
        <w:ind w:right="540"/>
        <w:spacing w:after="0" w:line="269" w:lineRule="auto"/>
        <w:rPr>
          <w:sz w:val="20"/>
          <w:szCs w:val="20"/>
          <w:color w:val="auto"/>
        </w:rPr>
      </w:pPr>
      <w:r>
        <w:rPr>
          <w:rFonts w:ascii="Arial" w:cs="Arial" w:eastAsia="Arial" w:hAnsi="Arial"/>
          <w:sz w:val="19"/>
          <w:szCs w:val="19"/>
          <w:color w:val="auto"/>
        </w:rPr>
        <w:t xml:space="preserve">A drug, biological, or compounded </w:t>
      </w:r>
      <w:r>
        <w:rPr>
          <w:rFonts w:ascii="Arial" w:cs="Arial" w:eastAsia="Arial" w:hAnsi="Arial"/>
          <w:sz w:val="19"/>
          <w:szCs w:val="19"/>
          <w:b w:val="1"/>
          <w:bCs w:val="1"/>
          <w:color w:val="auto"/>
        </w:rPr>
        <w:t>prescription</w:t>
      </w:r>
      <w:r>
        <w:rPr>
          <w:rFonts w:ascii="Arial" w:cs="Arial" w:eastAsia="Arial" w:hAnsi="Arial"/>
          <w:sz w:val="19"/>
          <w:szCs w:val="19"/>
          <w:color w:val="auto"/>
        </w:rPr>
        <w:t xml:space="preserve"> which, by State and Federal Law, may be dispensed only by </w:t>
      </w:r>
      <w:r>
        <w:rPr>
          <w:rFonts w:ascii="Arial" w:cs="Arial" w:eastAsia="Arial" w:hAnsi="Arial"/>
          <w:sz w:val="19"/>
          <w:szCs w:val="19"/>
          <w:b w:val="1"/>
          <w:bCs w:val="1"/>
          <w:color w:val="auto"/>
        </w:rPr>
        <w:t>prescription</w:t>
      </w:r>
      <w:r>
        <w:rPr>
          <w:rFonts w:ascii="Arial" w:cs="Arial" w:eastAsia="Arial" w:hAnsi="Arial"/>
          <w:sz w:val="19"/>
          <w:szCs w:val="19"/>
          <w:color w:val="auto"/>
        </w:rPr>
        <w:t xml:space="preserve"> and which is required to be labeled "Caution: Federal Law prohibits dispensing without prescription." This includes:</w:t>
      </w:r>
    </w:p>
    <w:p>
      <w:pPr>
        <w:spacing w:after="0" w:line="169" w:lineRule="exact"/>
        <w:rPr>
          <w:sz w:val="20"/>
          <w:szCs w:val="20"/>
          <w:color w:val="auto"/>
        </w:rPr>
      </w:pPr>
    </w:p>
    <w:p>
      <w:pPr>
        <w:ind w:left="340" w:hanging="331"/>
        <w:spacing w:after="0" w:line="260" w:lineRule="auto"/>
        <w:tabs>
          <w:tab w:leader="none" w:pos="34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An injectable drug prescribed to be self-administered or administered by any other person except one who is acting within his or her capacity as a paid healthcare professional. Covered injectable drugs include injectable insulin.</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Psychiatric Hospital</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This is an institution that meets all of the following requirements.</w:t>
      </w:r>
    </w:p>
    <w:p>
      <w:pPr>
        <w:spacing w:after="0" w:line="194" w:lineRule="exact"/>
        <w:rPr>
          <w:sz w:val="20"/>
          <w:szCs w:val="20"/>
          <w:color w:val="auto"/>
        </w:rPr>
      </w:pPr>
    </w:p>
    <w:p>
      <w:pPr>
        <w:ind w:left="340" w:hanging="331"/>
        <w:spacing w:after="0"/>
        <w:tabs>
          <w:tab w:leader="none" w:pos="340" w:val="left"/>
        </w:tabs>
        <w:numPr>
          <w:ilvl w:val="0"/>
          <w:numId w:val="429"/>
        </w:numPr>
        <w:rPr>
          <w:rFonts w:ascii="Arial" w:cs="Arial" w:eastAsia="Arial" w:hAnsi="Arial"/>
          <w:sz w:val="19"/>
          <w:szCs w:val="19"/>
          <w:color w:val="auto"/>
        </w:rPr>
      </w:pPr>
      <w:r>
        <w:rPr>
          <w:rFonts w:ascii="Arial" w:cs="Arial" w:eastAsia="Arial" w:hAnsi="Arial"/>
          <w:sz w:val="19"/>
          <w:szCs w:val="19"/>
          <w:color w:val="auto"/>
        </w:rPr>
        <w:t xml:space="preserve">Mainly provides a program for the diagnosis, evaluation, and treatment of alcoholism, substance abuse or </w:t>
      </w:r>
      <w:r>
        <w:rPr>
          <w:rFonts w:ascii="Arial" w:cs="Arial" w:eastAsia="Arial" w:hAnsi="Arial"/>
          <w:sz w:val="19"/>
          <w:szCs w:val="19"/>
          <w:b w:val="1"/>
          <w:bCs w:val="1"/>
          <w:color w:val="auto"/>
        </w:rPr>
        <w:t>mental disorders</w:t>
      </w:r>
      <w:r>
        <w:rPr>
          <w:rFonts w:ascii="Arial" w:cs="Arial" w:eastAsia="Arial" w:hAnsi="Arial"/>
          <w:sz w:val="19"/>
          <w:szCs w:val="19"/>
          <w:color w:val="auto"/>
        </w:rPr>
        <w:t>.</w:t>
      </w:r>
    </w:p>
    <w:p>
      <w:pPr>
        <w:spacing w:after="0" w:line="37" w:lineRule="exact"/>
        <w:rPr>
          <w:rFonts w:ascii="Arial" w:cs="Arial" w:eastAsia="Arial" w:hAnsi="Arial"/>
          <w:sz w:val="19"/>
          <w:szCs w:val="19"/>
          <w:color w:val="auto"/>
        </w:rPr>
      </w:pP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Is not mainly a school or a custodial, recreational or training institution.</w:t>
      </w:r>
    </w:p>
    <w:p>
      <w:pPr>
        <w:spacing w:after="0" w:line="8" w:lineRule="exact"/>
        <w:rPr>
          <w:rFonts w:ascii="Arial" w:cs="Arial" w:eastAsia="Arial" w:hAnsi="Arial"/>
          <w:sz w:val="20"/>
          <w:szCs w:val="20"/>
          <w:color w:val="auto"/>
        </w:rPr>
      </w:pPr>
    </w:p>
    <w:p>
      <w:pPr>
        <w:ind w:left="340" w:right="40" w:hanging="331"/>
        <w:spacing w:after="0" w:line="242" w:lineRule="auto"/>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Provides infirmary-level medical services. Also, it provides, or arranges with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in the area for, any other medical service that may be required.</w:t>
      </w: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Is supervised full-time by a </w:t>
      </w:r>
      <w:r>
        <w:rPr>
          <w:rFonts w:ascii="Arial" w:cs="Arial" w:eastAsia="Arial" w:hAnsi="Arial"/>
          <w:sz w:val="20"/>
          <w:szCs w:val="20"/>
          <w:b w:val="1"/>
          <w:bCs w:val="1"/>
          <w:color w:val="auto"/>
        </w:rPr>
        <w:t>psychiatric physician</w:t>
      </w:r>
      <w:r>
        <w:rPr>
          <w:rFonts w:ascii="Arial" w:cs="Arial" w:eastAsia="Arial" w:hAnsi="Arial"/>
          <w:sz w:val="20"/>
          <w:szCs w:val="20"/>
          <w:color w:val="auto"/>
        </w:rPr>
        <w:t xml:space="preserve"> who is responsible for patient care and is there regularly.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Is staffed by </w:t>
      </w:r>
      <w:r>
        <w:rPr>
          <w:rFonts w:ascii="Arial" w:cs="Arial" w:eastAsia="Arial" w:hAnsi="Arial"/>
          <w:sz w:val="20"/>
          <w:szCs w:val="20"/>
          <w:b w:val="1"/>
          <w:bCs w:val="1"/>
          <w:color w:val="auto"/>
        </w:rPr>
        <w:t>psychiatric physicians</w:t>
      </w:r>
      <w:r>
        <w:rPr>
          <w:rFonts w:ascii="Arial" w:cs="Arial" w:eastAsia="Arial" w:hAnsi="Arial"/>
          <w:sz w:val="20"/>
          <w:szCs w:val="20"/>
          <w:color w:val="auto"/>
        </w:rPr>
        <w:t xml:space="preserve"> involved in care and treatment.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Has a </w:t>
      </w:r>
      <w:r>
        <w:rPr>
          <w:rFonts w:ascii="Arial" w:cs="Arial" w:eastAsia="Arial" w:hAnsi="Arial"/>
          <w:sz w:val="20"/>
          <w:szCs w:val="20"/>
          <w:b w:val="1"/>
          <w:bCs w:val="1"/>
          <w:color w:val="auto"/>
        </w:rPr>
        <w:t>psychiatric physician</w:t>
      </w:r>
      <w:r>
        <w:rPr>
          <w:rFonts w:ascii="Arial" w:cs="Arial" w:eastAsia="Arial" w:hAnsi="Arial"/>
          <w:sz w:val="20"/>
          <w:szCs w:val="20"/>
          <w:color w:val="auto"/>
        </w:rPr>
        <w:t xml:space="preserve"> present during the whole treatment day.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Provides, at all times, </w:t>
      </w:r>
      <w:r>
        <w:rPr>
          <w:rFonts w:ascii="Arial" w:cs="Arial" w:eastAsia="Arial" w:hAnsi="Arial"/>
          <w:sz w:val="20"/>
          <w:szCs w:val="20"/>
          <w:b w:val="1"/>
          <w:bCs w:val="1"/>
          <w:color w:val="auto"/>
        </w:rPr>
        <w:t>psychiatric</w:t>
      </w:r>
      <w:r>
        <w:rPr>
          <w:rFonts w:ascii="Arial" w:cs="Arial" w:eastAsia="Arial" w:hAnsi="Arial"/>
          <w:sz w:val="20"/>
          <w:szCs w:val="20"/>
          <w:color w:val="auto"/>
        </w:rPr>
        <w:t xml:space="preserve"> social work and nursing services.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9"/>
        </w:numPr>
        <w:rPr>
          <w:rFonts w:ascii="Arial" w:cs="Arial" w:eastAsia="Arial" w:hAnsi="Arial"/>
          <w:sz w:val="20"/>
          <w:szCs w:val="20"/>
          <w:b w:val="1"/>
          <w:bCs w:val="1"/>
          <w:color w:val="auto"/>
        </w:rPr>
      </w:pPr>
      <w:r>
        <w:rPr>
          <w:rFonts w:ascii="Arial" w:cs="Arial" w:eastAsia="Arial" w:hAnsi="Arial"/>
          <w:sz w:val="20"/>
          <w:szCs w:val="20"/>
          <w:color w:val="auto"/>
        </w:rPr>
        <w:t xml:space="preserve">Provides, at all times, </w:t>
      </w:r>
      <w:r>
        <w:rPr>
          <w:rFonts w:ascii="Arial" w:cs="Arial" w:eastAsia="Arial" w:hAnsi="Arial"/>
          <w:sz w:val="20"/>
          <w:szCs w:val="20"/>
          <w:b w:val="1"/>
          <w:bCs w:val="1"/>
          <w:color w:val="auto"/>
        </w:rPr>
        <w:t>skilled nursing services</w:t>
      </w:r>
      <w:r>
        <w:rPr>
          <w:rFonts w:ascii="Arial" w:cs="Arial" w:eastAsia="Arial" w:hAnsi="Arial"/>
          <w:sz w:val="20"/>
          <w:szCs w:val="20"/>
          <w:color w:val="auto"/>
        </w:rPr>
        <w:t xml:space="preserve"> by licensed nurses who are supervised by a full-time </w:t>
      </w:r>
      <w:r>
        <w:rPr>
          <w:rFonts w:ascii="Arial" w:cs="Arial" w:eastAsia="Arial" w:hAnsi="Arial"/>
          <w:sz w:val="20"/>
          <w:szCs w:val="20"/>
          <w:b w:val="1"/>
          <w:bCs w:val="1"/>
          <w:color w:val="auto"/>
        </w:rPr>
        <w:t>R.N.</w:t>
      </w:r>
    </w:p>
    <w:p>
      <w:pPr>
        <w:spacing w:after="0" w:line="8" w:lineRule="exact"/>
        <w:rPr>
          <w:rFonts w:ascii="Arial" w:cs="Arial" w:eastAsia="Arial" w:hAnsi="Arial"/>
          <w:sz w:val="20"/>
          <w:szCs w:val="20"/>
          <w:b w:val="1"/>
          <w:bCs w:val="1"/>
          <w:color w:val="auto"/>
        </w:rPr>
      </w:pPr>
    </w:p>
    <w:p>
      <w:pPr>
        <w:ind w:left="340" w:right="300" w:hanging="331"/>
        <w:spacing w:after="0" w:line="242" w:lineRule="auto"/>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 xml:space="preserve">Prepares and maintains a written plan of treatment for each patient based on medical, psychological and social needs. The plan must be supervised by a </w:t>
      </w:r>
      <w:r>
        <w:rPr>
          <w:rFonts w:ascii="Arial" w:cs="Arial" w:eastAsia="Arial" w:hAnsi="Arial"/>
          <w:sz w:val="20"/>
          <w:szCs w:val="20"/>
          <w:b w:val="1"/>
          <w:bCs w:val="1"/>
          <w:color w:val="auto"/>
        </w:rPr>
        <w:t>psychiatric physician</w:t>
      </w:r>
      <w:r>
        <w:rPr>
          <w:rFonts w:ascii="Arial" w:cs="Arial" w:eastAsia="Arial" w:hAnsi="Arial"/>
          <w:sz w:val="20"/>
          <w:szCs w:val="20"/>
          <w:color w:val="auto"/>
        </w:rPr>
        <w:t>.</w:t>
      </w: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Makes charges.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Meets licensing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Psychiatric Physician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is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who:</w:t>
      </w:r>
    </w:p>
    <w:p>
      <w:pPr>
        <w:spacing w:after="0" w:line="200" w:lineRule="exact"/>
        <w:rPr>
          <w:sz w:val="20"/>
          <w:szCs w:val="20"/>
          <w:color w:val="auto"/>
        </w:rPr>
      </w:pPr>
    </w:p>
    <w:p>
      <w:pPr>
        <w:ind w:left="340" w:hanging="331"/>
        <w:spacing w:after="0"/>
        <w:tabs>
          <w:tab w:leader="none" w:pos="34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Specializes in psychiatry; or</w:t>
      </w:r>
    </w:p>
    <w:p>
      <w:pPr>
        <w:spacing w:after="0" w:line="20" w:lineRule="exact"/>
        <w:rPr>
          <w:rFonts w:ascii="Arial" w:cs="Arial" w:eastAsia="Arial" w:hAnsi="Arial"/>
          <w:sz w:val="20"/>
          <w:szCs w:val="20"/>
          <w:color w:val="auto"/>
        </w:rPr>
      </w:pPr>
    </w:p>
    <w:p>
      <w:pPr>
        <w:ind w:left="340" w:right="2440" w:hanging="331"/>
        <w:spacing w:after="0" w:line="253" w:lineRule="auto"/>
        <w:tabs>
          <w:tab w:leader="none" w:pos="34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 xml:space="preserve">Has the training or experience to do the required evaluation and treatment of alcoholism, substance abuse or </w:t>
      </w:r>
      <w:r>
        <w:rPr>
          <w:rFonts w:ascii="Arial" w:cs="Arial" w:eastAsia="Arial" w:hAnsi="Arial"/>
          <w:sz w:val="20"/>
          <w:szCs w:val="20"/>
          <w:b w:val="1"/>
          <w:bCs w:val="1"/>
          <w:color w:val="auto"/>
        </w:rPr>
        <w:t>mental disorders</w:t>
      </w:r>
      <w:r>
        <w:rPr>
          <w:rFonts w:ascii="Arial" w:cs="Arial" w:eastAsia="Arial" w:hAnsi="Arial"/>
          <w:sz w:val="20"/>
          <w:szCs w:val="20"/>
          <w:color w:val="auto"/>
        </w:rPr>
        <w:t>.</w:t>
      </w:r>
    </w:p>
    <w:p>
      <w:pPr>
        <w:spacing w:after="0" w:line="185" w:lineRule="exact"/>
        <w:rPr>
          <w:sz w:val="20"/>
          <w:szCs w:val="20"/>
          <w:color w:val="auto"/>
        </w:rPr>
      </w:pPr>
    </w:p>
    <w:p>
      <w:pPr>
        <w:ind w:left="320" w:hanging="311"/>
        <w:spacing w:after="0"/>
        <w:tabs>
          <w:tab w:leader="none" w:pos="320" w:val="left"/>
        </w:tabs>
        <w:numPr>
          <w:ilvl w:val="0"/>
          <w:numId w:val="431"/>
        </w:numPr>
        <w:rPr>
          <w:rFonts w:ascii="Arial" w:cs="Arial" w:eastAsia="Arial" w:hAnsi="Arial"/>
          <w:sz w:val="32"/>
          <w:szCs w:val="32"/>
          <w:b w:val="1"/>
          <w:bCs w:val="1"/>
          <w:color w:val="auto"/>
        </w:rPr>
      </w:pPr>
      <w:r>
        <w:rPr>
          <w:rFonts w:ascii="Arial" w:cs="Arial" w:eastAsia="Arial" w:hAnsi="Arial"/>
          <w:sz w:val="14"/>
          <w:szCs w:val="14"/>
          <w:i w:val="1"/>
          <w:iCs w:val="1"/>
          <w:color w:val="auto"/>
        </w:rPr>
        <w:t>(GR-9N-34-090-01 VA)</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Recognized Charge</w:t>
      </w:r>
    </w:p>
    <w:p>
      <w:pPr>
        <w:spacing w:after="0" w:line="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Only that part of a charge which is recognized is a </w:t>
      </w:r>
      <w:r>
        <w:rPr>
          <w:rFonts w:ascii="Arial" w:cs="Arial" w:eastAsia="Arial" w:hAnsi="Arial"/>
          <w:sz w:val="20"/>
          <w:szCs w:val="20"/>
          <w:b w:val="1"/>
          <w:bCs w:val="1"/>
          <w:color w:val="auto"/>
        </w:rPr>
        <w:t>covered benefit</w:t>
      </w:r>
      <w:r>
        <w:rPr>
          <w:rFonts w:ascii="Arial" w:cs="Arial" w:eastAsia="Arial" w:hAnsi="Arial"/>
          <w:sz w:val="20"/>
          <w:szCs w:val="20"/>
          <w:color w:val="auto"/>
        </w:rPr>
        <w:t xml:space="preserve">. The </w:t>
      </w:r>
      <w:r>
        <w:rPr>
          <w:rFonts w:ascii="Arial" w:cs="Arial" w:eastAsia="Arial" w:hAnsi="Arial"/>
          <w:sz w:val="20"/>
          <w:szCs w:val="20"/>
          <w:b w:val="1"/>
          <w:bCs w:val="1"/>
          <w:color w:val="auto"/>
        </w:rPr>
        <w:t>recognized charge</w:t>
      </w:r>
      <w:r>
        <w:rPr>
          <w:rFonts w:ascii="Arial" w:cs="Arial" w:eastAsia="Arial" w:hAnsi="Arial"/>
          <w:sz w:val="20"/>
          <w:szCs w:val="20"/>
          <w:color w:val="auto"/>
        </w:rPr>
        <w:t xml:space="preserve"> for a service or supply is the amount billed by the </w:t>
      </w:r>
      <w:r>
        <w:rPr>
          <w:rFonts w:ascii="Arial" w:cs="Arial" w:eastAsia="Arial" w:hAnsi="Arial"/>
          <w:sz w:val="20"/>
          <w:szCs w:val="20"/>
          <w:b w:val="1"/>
          <w:bCs w:val="1"/>
          <w:color w:val="auto"/>
        </w:rPr>
        <w:t>provider</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Rehabilitation Facility</w:t>
      </w:r>
    </w:p>
    <w:p>
      <w:pPr>
        <w:spacing w:after="0" w:line="3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 xml:space="preserve">A facility, or a distinct part of a facility which provides </w:t>
      </w:r>
      <w:r>
        <w:rPr>
          <w:rFonts w:ascii="Arial" w:cs="Arial" w:eastAsia="Arial" w:hAnsi="Arial"/>
          <w:sz w:val="20"/>
          <w:szCs w:val="20"/>
          <w:b w:val="1"/>
          <w:bCs w:val="1"/>
          <w:color w:val="auto"/>
        </w:rPr>
        <w:t>rehabilitative services</w:t>
      </w:r>
      <w:r>
        <w:rPr>
          <w:rFonts w:ascii="Arial" w:cs="Arial" w:eastAsia="Arial" w:hAnsi="Arial"/>
          <w:sz w:val="20"/>
          <w:szCs w:val="20"/>
          <w:color w:val="auto"/>
        </w:rPr>
        <w:t>, meets any licensing or certification standards established by the jurisdiction where it is located, and makes charges for its services.</w:t>
      </w:r>
    </w:p>
    <w:p>
      <w:pPr>
        <w:sectPr>
          <w:pgSz w:w="11900" w:h="16838" w:orient="portrait"/>
          <w:cols w:equalWidth="0" w:num="1">
            <w:col w:w="11340"/>
          </w:cols>
          <w:pgMar w:left="320" w:top="427" w:right="239" w:bottom="1440" w:gutter="0" w:footer="0" w:header="0"/>
        </w:sectPr>
      </w:pPr>
    </w:p>
    <w:bookmarkStart w:id="276" w:name="page277"/>
    <w:bookmarkEnd w:id="276"/>
    <w:p>
      <w:pPr>
        <w:spacing w:after="0"/>
        <w:rPr>
          <w:sz w:val="20"/>
          <w:szCs w:val="20"/>
          <w:color w:val="auto"/>
        </w:rPr>
      </w:pPr>
      <w:r>
        <w:rPr>
          <w:rFonts w:ascii="Arial" w:cs="Arial" w:eastAsia="Arial" w:hAnsi="Arial"/>
          <w:sz w:val="25"/>
          <w:szCs w:val="25"/>
          <w:b w:val="1"/>
          <w:bCs w:val="1"/>
          <w:color w:val="auto"/>
        </w:rPr>
        <w:t>Rehabilitative Services</w:t>
      </w:r>
    </w:p>
    <w:p>
      <w:pPr>
        <w:spacing w:after="0" w:line="32"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 xml:space="preserve">The combined and coordinated use of medical, social, educational and vocational measures for training or retraining if you are disabled by </w:t>
      </w:r>
      <w:r>
        <w:rPr>
          <w:rFonts w:ascii="Arial" w:cs="Arial" w:eastAsia="Arial" w:hAnsi="Arial"/>
          <w:sz w:val="20"/>
          <w:szCs w:val="20"/>
          <w:b w:val="1"/>
          <w:bCs w:val="1"/>
          <w:color w:val="auto"/>
        </w:rPr>
        <w:t xml:space="preserve">illness </w:t>
      </w:r>
      <w:r>
        <w:rPr>
          <w:rFonts w:ascii="Arial" w:cs="Arial" w:eastAsia="Arial" w:hAnsi="Arial"/>
          <w:sz w:val="20"/>
          <w:szCs w:val="20"/>
          <w:color w:val="auto"/>
        </w:rPr>
        <w:t>or</w:t>
      </w:r>
      <w:r>
        <w:rPr>
          <w:rFonts w:ascii="Arial" w:cs="Arial" w:eastAsia="Arial" w:hAnsi="Arial"/>
          <w:sz w:val="20"/>
          <w:szCs w:val="20"/>
          <w:b w:val="1"/>
          <w:bCs w:val="1"/>
          <w:color w:val="auto"/>
        </w:rPr>
        <w:t xml:space="preserve"> injury</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Residential Treatment Facility (Mental Disorders)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This is an institution that meets all of the following requirements:</w:t>
      </w:r>
    </w:p>
    <w:p>
      <w:pPr>
        <w:spacing w:after="0" w:line="194" w:lineRule="exact"/>
        <w:rPr>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 xml:space="preserve">On-site licensed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24 hours per day/7 days a week.</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Provides a comprehensive patient assessment (preferably before admission, but at least upon admission).</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 xml:space="preserve">Is admitted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Has access to necessary medical services 24 hours per day/7 days a week.</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Provides living arrangements that foster community living and peer interaction that are consistent with developmental needs.</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Offers group therapy sessions with at least an RN or Masters-Level Health Professional.</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Has the ability to involve family/support systems in therapy (required for children and adolescents; encouraged for adults).</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 xml:space="preserve">Provides access to at least weekly sessions with a </w:t>
      </w:r>
      <w:r>
        <w:rPr>
          <w:rFonts w:ascii="Arial" w:cs="Arial" w:eastAsia="Arial" w:hAnsi="Arial"/>
          <w:sz w:val="20"/>
          <w:szCs w:val="20"/>
          <w:b w:val="1"/>
          <w:bCs w:val="1"/>
          <w:color w:val="auto"/>
        </w:rPr>
        <w:t>Psychiatrist</w:t>
      </w:r>
      <w:r>
        <w:rPr>
          <w:rFonts w:ascii="Arial" w:cs="Arial" w:eastAsia="Arial" w:hAnsi="Arial"/>
          <w:sz w:val="20"/>
          <w:szCs w:val="20"/>
          <w:color w:val="auto"/>
        </w:rPr>
        <w:t xml:space="preserve"> or psychologist for individual psychotherapy.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Has peer oriented activities.</w:t>
      </w:r>
    </w:p>
    <w:p>
      <w:pPr>
        <w:spacing w:after="0" w:line="8" w:lineRule="exact"/>
        <w:rPr>
          <w:rFonts w:ascii="Arial" w:cs="Arial" w:eastAsia="Arial" w:hAnsi="Arial"/>
          <w:sz w:val="20"/>
          <w:szCs w:val="20"/>
          <w:color w:val="auto"/>
        </w:rPr>
      </w:pPr>
    </w:p>
    <w:p>
      <w:pPr>
        <w:ind w:left="340" w:right="20" w:hanging="331"/>
        <w:spacing w:after="0" w:line="239" w:lineRule="auto"/>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 xml:space="preserve">Services are managed by a licensed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who, while not needing to be individually contracted, needs to (1) meet the </w:t>
      </w:r>
      <w:r>
        <w:rPr>
          <w:rFonts w:ascii="Arial" w:cs="Arial" w:eastAsia="Arial" w:hAnsi="Arial"/>
          <w:sz w:val="20"/>
          <w:szCs w:val="20"/>
          <w:b w:val="1"/>
          <w:bCs w:val="1"/>
          <w:color w:val="auto"/>
        </w:rPr>
        <w:t>Aetna</w:t>
      </w:r>
      <w:r>
        <w:rPr>
          <w:rFonts w:ascii="Arial" w:cs="Arial" w:eastAsia="Arial" w:hAnsi="Arial"/>
          <w:sz w:val="20"/>
          <w:szCs w:val="20"/>
          <w:color w:val="auto"/>
        </w:rPr>
        <w:t xml:space="preserve"> credentialing criteria as an individual practitioner, and (2) function under the direction/supervision of a licensed psychiatrist (Medical Director).</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Has individualized active treatment plan directed toward the alleviation of the impairment that caused the admission.</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Provides a level of skilled intervention consistent with patient risk.</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Meets any and all applicable licensing standards established by the jurisdiction in which it is located.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Is not a Wilderness Treatment Program or any such related or similar program, school and/or education service.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Residential Treatment Facility (Substance Abuse)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This is an institution that meets all of the following requirements:</w:t>
      </w:r>
    </w:p>
    <w:p>
      <w:pPr>
        <w:spacing w:after="0" w:line="221" w:lineRule="exact"/>
        <w:rPr>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On-site licensed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24 hours per day/7 days a week.</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Provides a comprehensive patient assessment (preferably before admission, but at least upon admission).</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Is admitted by a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Has access to necessary medical services 24 hours per day/7 days a week.</w:t>
      </w:r>
    </w:p>
    <w:p>
      <w:pPr>
        <w:spacing w:after="0" w:line="8" w:lineRule="exact"/>
        <w:rPr>
          <w:rFonts w:ascii="Arial" w:cs="Arial" w:eastAsia="Arial" w:hAnsi="Arial"/>
          <w:sz w:val="20"/>
          <w:szCs w:val="20"/>
          <w:color w:val="auto"/>
        </w:rPr>
      </w:pPr>
    </w:p>
    <w:p>
      <w:pPr>
        <w:ind w:left="340" w:right="240" w:hanging="331"/>
        <w:spacing w:after="0" w:line="239" w:lineRule="auto"/>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If the member requires </w:t>
      </w:r>
      <w:r>
        <w:rPr>
          <w:rFonts w:ascii="Arial" w:cs="Arial" w:eastAsia="Arial" w:hAnsi="Arial"/>
          <w:sz w:val="20"/>
          <w:szCs w:val="20"/>
          <w:b w:val="1"/>
          <w:bCs w:val="1"/>
          <w:color w:val="auto"/>
        </w:rPr>
        <w:t>detoxification</w:t>
      </w:r>
      <w:r>
        <w:rPr>
          <w:rFonts w:ascii="Arial" w:cs="Arial" w:eastAsia="Arial" w:hAnsi="Arial"/>
          <w:sz w:val="20"/>
          <w:szCs w:val="20"/>
          <w:color w:val="auto"/>
        </w:rPr>
        <w:t xml:space="preserve"> services, must have the availability of on-site medical treatment 24 hours per day/7days a week, which must be actively supervised by an attending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19"/>
          <w:szCs w:val="19"/>
          <w:color w:val="auto"/>
        </w:rPr>
      </w:pPr>
      <w:r>
        <w:rPr>
          <w:rFonts w:ascii="Arial" w:cs="Arial" w:eastAsia="Arial" w:hAnsi="Arial"/>
          <w:sz w:val="19"/>
          <w:szCs w:val="19"/>
          <w:color w:val="auto"/>
        </w:rPr>
        <w:t>Provides living arrangements that foster community living and peer interaction that are consistent with developmental needs.</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Offers group therapy sessions with at least an RN or Masters-Level Health Professional.</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Has the ability to involve family/support systems in therapy (required for children and adolescents; encouraged for adults).</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Provides access to at least weekly sessions with a </w:t>
      </w:r>
      <w:r>
        <w:rPr>
          <w:rFonts w:ascii="Arial" w:cs="Arial" w:eastAsia="Arial" w:hAnsi="Arial"/>
          <w:sz w:val="20"/>
          <w:szCs w:val="20"/>
          <w:b w:val="1"/>
          <w:bCs w:val="1"/>
          <w:color w:val="auto"/>
        </w:rPr>
        <w:t>Psychiatrist</w:t>
      </w:r>
      <w:r>
        <w:rPr>
          <w:rFonts w:ascii="Arial" w:cs="Arial" w:eastAsia="Arial" w:hAnsi="Arial"/>
          <w:sz w:val="20"/>
          <w:szCs w:val="20"/>
          <w:color w:val="auto"/>
        </w:rPr>
        <w:t xml:space="preserve"> or psychologist for individual psychotherapy.</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Has peer oriented activities.</w:t>
      </w:r>
    </w:p>
    <w:p>
      <w:pPr>
        <w:spacing w:after="0" w:line="8" w:lineRule="exact"/>
        <w:rPr>
          <w:rFonts w:ascii="Arial" w:cs="Arial" w:eastAsia="Arial" w:hAnsi="Arial"/>
          <w:sz w:val="20"/>
          <w:szCs w:val="20"/>
          <w:color w:val="auto"/>
        </w:rPr>
      </w:pPr>
    </w:p>
    <w:p>
      <w:pPr>
        <w:ind w:left="340" w:right="20" w:hanging="331"/>
        <w:spacing w:after="0" w:line="239" w:lineRule="auto"/>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Services are managed by a licensed </w:t>
      </w:r>
      <w:r>
        <w:rPr>
          <w:rFonts w:ascii="Arial" w:cs="Arial" w:eastAsia="Arial" w:hAnsi="Arial"/>
          <w:sz w:val="20"/>
          <w:szCs w:val="20"/>
          <w:b w:val="1"/>
          <w:bCs w:val="1"/>
          <w:color w:val="auto"/>
        </w:rPr>
        <w:t>Behavioral Health Provider</w:t>
      </w:r>
      <w:r>
        <w:rPr>
          <w:rFonts w:ascii="Arial" w:cs="Arial" w:eastAsia="Arial" w:hAnsi="Arial"/>
          <w:sz w:val="20"/>
          <w:szCs w:val="20"/>
          <w:color w:val="auto"/>
        </w:rPr>
        <w:t xml:space="preserve"> who, while not needing to be individually contracted, needs to (1) meet the </w:t>
      </w:r>
      <w:r>
        <w:rPr>
          <w:rFonts w:ascii="Arial" w:cs="Arial" w:eastAsia="Arial" w:hAnsi="Arial"/>
          <w:sz w:val="20"/>
          <w:szCs w:val="20"/>
          <w:b w:val="1"/>
          <w:bCs w:val="1"/>
          <w:color w:val="auto"/>
        </w:rPr>
        <w:t>Aetna</w:t>
      </w:r>
      <w:r>
        <w:rPr>
          <w:rFonts w:ascii="Arial" w:cs="Arial" w:eastAsia="Arial" w:hAnsi="Arial"/>
          <w:sz w:val="20"/>
          <w:szCs w:val="20"/>
          <w:color w:val="auto"/>
        </w:rPr>
        <w:t xml:space="preserve"> credentialing criteria as an individual practitioner, and (2) function under the direction/supervision of a licensed psychiatrist (Medical Director).</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Has individualized active treatment plan directed toward the alleviation of the impairment that caused the admission.</w:t>
      </w:r>
    </w:p>
    <w:p>
      <w:pPr>
        <w:spacing w:after="0" w:line="4"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Provides a level of skilled intervention consistent with patient risk.</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Meets any and all applicable licensing standards established by the jurisdiction in which it is located.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Is not a Wilderness Treatment Program or any such related or similar program, school and/or education service.</w:t>
      </w:r>
    </w:p>
    <w:p>
      <w:pPr>
        <w:spacing w:after="0" w:line="8" w:lineRule="exact"/>
        <w:rPr>
          <w:rFonts w:ascii="Arial" w:cs="Arial" w:eastAsia="Arial" w:hAnsi="Arial"/>
          <w:sz w:val="20"/>
          <w:szCs w:val="20"/>
          <w:color w:val="auto"/>
        </w:rPr>
      </w:pPr>
    </w:p>
    <w:p>
      <w:pPr>
        <w:ind w:left="340" w:hanging="331"/>
        <w:spacing w:after="0" w:line="244" w:lineRule="auto"/>
        <w:tabs>
          <w:tab w:leader="none" w:pos="34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Ability to assess and recognize withdrawal complications that threaten life or bodily functions and to obtain needed services either on site or externally.</w:t>
      </w:r>
    </w:p>
    <w:p>
      <w:pPr>
        <w:sectPr>
          <w:pgSz w:w="11900" w:h="16838" w:orient="portrait"/>
          <w:cols w:equalWidth="0" w:num="1">
            <w:col w:w="11240"/>
          </w:cols>
          <w:pgMar w:left="320" w:top="427" w:right="339" w:bottom="1440" w:gutter="0" w:footer="0" w:header="0"/>
        </w:sectPr>
      </w:pPr>
    </w:p>
    <w:bookmarkStart w:id="277" w:name="page278"/>
    <w:bookmarkEnd w:id="277"/>
    <w:p>
      <w:pPr>
        <w:ind w:left="340" w:hanging="331"/>
        <w:spacing w:after="0"/>
        <w:tabs>
          <w:tab w:leader="none" w:pos="34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 xml:space="preserve">24-hours per day/7 days a week supervision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with evidence of close and frequent observation.</w:t>
      </w:r>
    </w:p>
    <w:p>
      <w:pPr>
        <w:spacing w:after="0" w:line="21" w:lineRule="exact"/>
        <w:rPr>
          <w:rFonts w:ascii="Arial" w:cs="Arial" w:eastAsia="Arial" w:hAnsi="Arial"/>
          <w:sz w:val="20"/>
          <w:szCs w:val="20"/>
          <w:color w:val="auto"/>
        </w:rPr>
      </w:pPr>
    </w:p>
    <w:p>
      <w:pPr>
        <w:ind w:left="340" w:hanging="331"/>
        <w:spacing w:after="0"/>
        <w:tabs>
          <w:tab w:leader="none" w:pos="340" w:val="left"/>
        </w:tabs>
        <w:numPr>
          <w:ilvl w:val="0"/>
          <w:numId w:val="434"/>
        </w:numPr>
        <w:rPr>
          <w:rFonts w:ascii="Arial" w:cs="Arial" w:eastAsia="Arial" w:hAnsi="Arial"/>
          <w:sz w:val="19"/>
          <w:szCs w:val="19"/>
          <w:color w:val="auto"/>
        </w:rPr>
      </w:pPr>
      <w:r>
        <w:rPr>
          <w:rFonts w:ascii="Arial" w:cs="Arial" w:eastAsia="Arial" w:hAnsi="Arial"/>
          <w:sz w:val="19"/>
          <w:szCs w:val="19"/>
          <w:color w:val="auto"/>
        </w:rPr>
        <w:t xml:space="preserve">On-site, licensed </w:t>
      </w:r>
      <w:r>
        <w:rPr>
          <w:rFonts w:ascii="Arial" w:cs="Arial" w:eastAsia="Arial" w:hAnsi="Arial"/>
          <w:sz w:val="19"/>
          <w:szCs w:val="19"/>
          <w:b w:val="1"/>
          <w:bCs w:val="1"/>
          <w:color w:val="auto"/>
        </w:rPr>
        <w:t>Behavioral Health Provider</w:t>
      </w:r>
      <w:r>
        <w:rPr>
          <w:rFonts w:ascii="Arial" w:cs="Arial" w:eastAsia="Arial" w:hAnsi="Arial"/>
          <w:sz w:val="19"/>
          <w:szCs w:val="19"/>
          <w:color w:val="auto"/>
        </w:rPr>
        <w:t xml:space="preserve">, medical or </w:t>
      </w:r>
      <w:r>
        <w:rPr>
          <w:rFonts w:ascii="Arial" w:cs="Arial" w:eastAsia="Arial" w:hAnsi="Arial"/>
          <w:sz w:val="19"/>
          <w:szCs w:val="19"/>
          <w:b w:val="1"/>
          <w:bCs w:val="1"/>
          <w:color w:val="auto"/>
        </w:rPr>
        <w:t>substance abuse</w:t>
      </w:r>
      <w:r>
        <w:rPr>
          <w:rFonts w:ascii="Arial" w:cs="Arial" w:eastAsia="Arial" w:hAnsi="Arial"/>
          <w:sz w:val="19"/>
          <w:szCs w:val="19"/>
          <w:color w:val="auto"/>
        </w:rPr>
        <w:t xml:space="preserve"> professionals 24 hours per day/7 days a week.</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registered nurse.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Room and Board</w:t>
      </w:r>
    </w:p>
    <w:p>
      <w:pPr>
        <w:spacing w:after="0" w:line="3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 xml:space="preserve">Charges made by an institution for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and other </w:t>
      </w:r>
      <w:r>
        <w:rPr>
          <w:rFonts w:ascii="Arial" w:cs="Arial" w:eastAsia="Arial" w:hAnsi="Arial"/>
          <w:sz w:val="20"/>
          <w:szCs w:val="20"/>
          <w:b w:val="1"/>
          <w:bCs w:val="1"/>
          <w:color w:val="auto"/>
        </w:rPr>
        <w:t>medically necessary</w:t>
      </w:r>
      <w:r>
        <w:rPr>
          <w:rFonts w:ascii="Arial" w:cs="Arial" w:eastAsia="Arial" w:hAnsi="Arial"/>
          <w:sz w:val="20"/>
          <w:szCs w:val="20"/>
          <w:color w:val="auto"/>
        </w:rPr>
        <w:t xml:space="preserve"> services and supplies. The charges must be regularly made at a daily or weekly rate.</w:t>
      </w:r>
    </w:p>
    <w:p>
      <w:pPr>
        <w:spacing w:after="0" w:line="193" w:lineRule="exact"/>
        <w:rPr>
          <w:sz w:val="20"/>
          <w:szCs w:val="20"/>
          <w:color w:val="auto"/>
        </w:rPr>
      </w:pPr>
    </w:p>
    <w:p>
      <w:pPr>
        <w:ind w:left="280" w:hanging="271"/>
        <w:spacing w:after="0"/>
        <w:tabs>
          <w:tab w:leader="none" w:pos="280" w:val="left"/>
        </w:tabs>
        <w:numPr>
          <w:ilvl w:val="0"/>
          <w:numId w:val="435"/>
        </w:numPr>
        <w:rPr>
          <w:rFonts w:ascii="Arial" w:cs="Arial" w:eastAsia="Arial" w:hAnsi="Arial"/>
          <w:sz w:val="32"/>
          <w:szCs w:val="32"/>
          <w:b w:val="1"/>
          <w:bCs w:val="1"/>
          <w:color w:val="auto"/>
        </w:rPr>
      </w:pPr>
      <w:r>
        <w:rPr>
          <w:rFonts w:ascii="Arial" w:cs="Arial" w:eastAsia="Arial" w:hAnsi="Arial"/>
          <w:sz w:val="14"/>
          <w:szCs w:val="14"/>
          <w:i w:val="1"/>
          <w:iCs w:val="1"/>
          <w:color w:val="auto"/>
        </w:rPr>
        <w:t>(GR-9N 34-095-05)</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Self-injectable Drug(s)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Prescription drugs </w:t>
      </w:r>
      <w:r>
        <w:rPr>
          <w:rFonts w:ascii="Arial" w:cs="Arial" w:eastAsia="Arial" w:hAnsi="Arial"/>
          <w:sz w:val="19"/>
          <w:szCs w:val="19"/>
          <w:color w:val="auto"/>
        </w:rPr>
        <w:t>that are intended to be self-administered by injection to a specific part of the body to treat medical conditions.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Semi-Private Room Rate</w:t>
      </w:r>
    </w:p>
    <w:p>
      <w:pPr>
        <w:spacing w:after="0" w:line="32"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room and board</w:t>
      </w:r>
      <w:r>
        <w:rPr>
          <w:rFonts w:ascii="Arial" w:cs="Arial" w:eastAsia="Arial" w:hAnsi="Arial"/>
          <w:sz w:val="18"/>
          <w:szCs w:val="18"/>
          <w:color w:val="auto"/>
        </w:rPr>
        <w:t xml:space="preserve"> charge that an institution applies to the most beds in its semi-private rooms with 2 or more beds. If there are no such rooms, </w:t>
      </w:r>
      <w:r>
        <w:rPr>
          <w:rFonts w:ascii="Arial" w:cs="Arial" w:eastAsia="Arial" w:hAnsi="Arial"/>
          <w:sz w:val="18"/>
          <w:szCs w:val="18"/>
          <w:b w:val="1"/>
          <w:bCs w:val="1"/>
          <w:color w:val="auto"/>
        </w:rPr>
        <w:t>Aetna</w:t>
      </w:r>
      <w:r>
        <w:rPr>
          <w:rFonts w:ascii="Arial" w:cs="Arial" w:eastAsia="Arial" w:hAnsi="Arial"/>
          <w:sz w:val="18"/>
          <w:szCs w:val="18"/>
          <w:color w:val="auto"/>
        </w:rPr>
        <w:t xml:space="preserve"> will figure the rate based on the rate most commonly charged by similar institutions in the same geographic area.</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Skilled Nursing Facility</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An institution that meets all of the following requirements:</w:t>
      </w:r>
    </w:p>
    <w:p>
      <w:pPr>
        <w:spacing w:after="0" w:line="200" w:lineRule="exact"/>
        <w:rPr>
          <w:sz w:val="20"/>
          <w:szCs w:val="20"/>
          <w:color w:val="auto"/>
        </w:rPr>
      </w:pPr>
    </w:p>
    <w:p>
      <w:pPr>
        <w:ind w:left="340" w:right="2180" w:hanging="331"/>
        <w:spacing w:after="0" w:line="257" w:lineRule="auto"/>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 xml:space="preserve">It is licensed to provide, and does provide, the following on an inpatient basis for persons convalescing from </w:t>
      </w:r>
      <w:r>
        <w:rPr>
          <w:rFonts w:ascii="Arial" w:cs="Arial" w:eastAsia="Arial" w:hAnsi="Arial"/>
          <w:sz w:val="20"/>
          <w:szCs w:val="20"/>
          <w:b w:val="1"/>
          <w:bCs w:val="1"/>
          <w:color w:val="auto"/>
        </w:rPr>
        <w:t xml:space="preserve">illness </w:t>
      </w:r>
      <w:r>
        <w:rPr>
          <w:rFonts w:ascii="Arial" w:cs="Arial" w:eastAsia="Arial" w:hAnsi="Arial"/>
          <w:sz w:val="20"/>
          <w:szCs w:val="20"/>
          <w:color w:val="auto"/>
        </w:rPr>
        <w:t>or</w:t>
      </w:r>
      <w:r>
        <w:rPr>
          <w:rFonts w:ascii="Arial" w:cs="Arial" w:eastAsia="Arial" w:hAnsi="Arial"/>
          <w:sz w:val="20"/>
          <w:szCs w:val="20"/>
          <w:b w:val="1"/>
          <w:bCs w:val="1"/>
          <w:color w:val="auto"/>
        </w:rPr>
        <w:t xml:space="preserve"> injury</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 xml:space="preserve">Professional nursing care by an </w:t>
      </w:r>
      <w:r>
        <w:rPr>
          <w:rFonts w:ascii="Arial" w:cs="Arial" w:eastAsia="Arial" w:hAnsi="Arial"/>
          <w:sz w:val="20"/>
          <w:szCs w:val="20"/>
          <w:b w:val="1"/>
          <w:bCs w:val="1"/>
          <w:color w:val="auto"/>
        </w:rPr>
        <w:t>R.N.</w:t>
      </w:r>
      <w:r>
        <w:rPr>
          <w:rFonts w:ascii="Arial" w:cs="Arial" w:eastAsia="Arial" w:hAnsi="Arial"/>
          <w:sz w:val="20"/>
          <w:szCs w:val="20"/>
          <w:color w:val="auto"/>
        </w:rPr>
        <w:t xml:space="preserve">, or by a </w:t>
      </w:r>
      <w:r>
        <w:rPr>
          <w:rFonts w:ascii="Arial" w:cs="Arial" w:eastAsia="Arial" w:hAnsi="Arial"/>
          <w:sz w:val="20"/>
          <w:szCs w:val="20"/>
          <w:b w:val="1"/>
          <w:bCs w:val="1"/>
          <w:color w:val="auto"/>
        </w:rPr>
        <w:t>L.P.N.</w:t>
      </w:r>
      <w:r>
        <w:rPr>
          <w:rFonts w:ascii="Arial" w:cs="Arial" w:eastAsia="Arial" w:hAnsi="Arial"/>
          <w:sz w:val="20"/>
          <w:szCs w:val="20"/>
          <w:color w:val="auto"/>
        </w:rPr>
        <w:t xml:space="preserve"> directed by a full-time </w:t>
      </w:r>
      <w:r>
        <w:rPr>
          <w:rFonts w:ascii="Arial" w:cs="Arial" w:eastAsia="Arial" w:hAnsi="Arial"/>
          <w:sz w:val="20"/>
          <w:szCs w:val="20"/>
          <w:b w:val="1"/>
          <w:bCs w:val="1"/>
          <w:color w:val="auto"/>
        </w:rPr>
        <w:t>R.N.</w:t>
      </w:r>
      <w:r>
        <w:rPr>
          <w:rFonts w:ascii="Arial" w:cs="Arial" w:eastAsia="Arial" w:hAnsi="Arial"/>
          <w:sz w:val="20"/>
          <w:szCs w:val="20"/>
          <w:color w:val="auto"/>
        </w:rPr>
        <w:t>; and</w:t>
      </w:r>
    </w:p>
    <w:p>
      <w:pPr>
        <w:spacing w:after="0" w:line="46" w:lineRule="exact"/>
        <w:rPr>
          <w:rFonts w:ascii="Arial" w:cs="Arial" w:eastAsia="Arial" w:hAnsi="Arial"/>
          <w:sz w:val="20"/>
          <w:szCs w:val="20"/>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Physical restoration services to help patients to meet a goal of self-care in daily living activities.</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36"/>
        </w:numPr>
        <w:rPr>
          <w:rFonts w:ascii="Arial" w:cs="Arial" w:eastAsia="Arial" w:hAnsi="Arial"/>
          <w:sz w:val="20"/>
          <w:szCs w:val="20"/>
          <w:b w:val="1"/>
          <w:bCs w:val="1"/>
          <w:color w:val="auto"/>
        </w:rPr>
      </w:pPr>
      <w:r>
        <w:rPr>
          <w:rFonts w:ascii="Arial" w:cs="Arial" w:eastAsia="Arial" w:hAnsi="Arial"/>
          <w:sz w:val="20"/>
          <w:szCs w:val="20"/>
          <w:color w:val="auto"/>
        </w:rPr>
        <w:t xml:space="preserve">Provides 24 hour a day nursing care by licensed nurses directed by a full-time </w:t>
      </w:r>
      <w:r>
        <w:rPr>
          <w:rFonts w:ascii="Arial" w:cs="Arial" w:eastAsia="Arial" w:hAnsi="Arial"/>
          <w:sz w:val="20"/>
          <w:szCs w:val="20"/>
          <w:b w:val="1"/>
          <w:bCs w:val="1"/>
          <w:color w:val="auto"/>
        </w:rPr>
        <w:t>R.N.</w:t>
      </w:r>
    </w:p>
    <w:p>
      <w:pPr>
        <w:spacing w:after="0" w:line="26" w:lineRule="exact"/>
        <w:rPr>
          <w:rFonts w:ascii="Arial" w:cs="Arial" w:eastAsia="Arial" w:hAnsi="Arial"/>
          <w:sz w:val="20"/>
          <w:szCs w:val="20"/>
          <w:b w:val="1"/>
          <w:bCs w:val="1"/>
          <w:color w:val="auto"/>
        </w:rPr>
      </w:pPr>
    </w:p>
    <w:p>
      <w:pPr>
        <w:ind w:left="340" w:hanging="331"/>
        <w:spacing w:after="0"/>
        <w:tabs>
          <w:tab w:leader="none" w:pos="340" w:val="left"/>
        </w:tabs>
        <w:numPr>
          <w:ilvl w:val="0"/>
          <w:numId w:val="436"/>
        </w:numPr>
        <w:rPr>
          <w:rFonts w:ascii="Arial" w:cs="Arial" w:eastAsia="Arial" w:hAnsi="Arial"/>
          <w:sz w:val="20"/>
          <w:szCs w:val="20"/>
          <w:b w:val="1"/>
          <w:bCs w:val="1"/>
          <w:color w:val="auto"/>
        </w:rPr>
      </w:pPr>
      <w:r>
        <w:rPr>
          <w:rFonts w:ascii="Arial" w:cs="Arial" w:eastAsia="Arial" w:hAnsi="Arial"/>
          <w:sz w:val="20"/>
          <w:szCs w:val="20"/>
          <w:color w:val="auto"/>
        </w:rPr>
        <w:t xml:space="preserve">Is supervised full-time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or an </w:t>
      </w:r>
      <w:r>
        <w:rPr>
          <w:rFonts w:ascii="Arial" w:cs="Arial" w:eastAsia="Arial" w:hAnsi="Arial"/>
          <w:sz w:val="20"/>
          <w:szCs w:val="20"/>
          <w:b w:val="1"/>
          <w:bCs w:val="1"/>
          <w:color w:val="auto"/>
        </w:rPr>
        <w:t>R.N.</w:t>
      </w:r>
    </w:p>
    <w:p>
      <w:pPr>
        <w:spacing w:after="0" w:line="13" w:lineRule="exact"/>
        <w:rPr>
          <w:rFonts w:ascii="Arial" w:cs="Arial" w:eastAsia="Arial" w:hAnsi="Arial"/>
          <w:sz w:val="20"/>
          <w:szCs w:val="20"/>
          <w:b w:val="1"/>
          <w:bCs w:val="1"/>
          <w:color w:val="auto"/>
        </w:rPr>
      </w:pPr>
    </w:p>
    <w:p>
      <w:pPr>
        <w:ind w:left="340" w:hanging="331"/>
        <w:spacing w:after="0"/>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Keeps a complete medical record on each patient.</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Has a utilization review plan.</w:t>
      </w:r>
    </w:p>
    <w:p>
      <w:pPr>
        <w:ind w:left="340" w:hanging="331"/>
        <w:spacing w:after="0" w:line="242" w:lineRule="auto"/>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 xml:space="preserve">Is not mainly a place for rest, for the aged, for drug addicts, for alcoholics, for mental retardates, for custodial or educational care, or for care of </w:t>
      </w:r>
      <w:r>
        <w:rPr>
          <w:rFonts w:ascii="Arial" w:cs="Arial" w:eastAsia="Arial" w:hAnsi="Arial"/>
          <w:sz w:val="20"/>
          <w:szCs w:val="20"/>
          <w:b w:val="1"/>
          <w:bCs w:val="1"/>
          <w:color w:val="auto"/>
        </w:rPr>
        <w:t>mental disorder</w:t>
      </w:r>
      <w:r>
        <w:rPr>
          <w:rFonts w:ascii="Arial" w:cs="Arial" w:eastAsia="Arial" w:hAnsi="Arial"/>
          <w:sz w:val="20"/>
          <w:szCs w:val="20"/>
          <w:color w:val="auto"/>
        </w:rPr>
        <w:t>s.</w:t>
      </w:r>
    </w:p>
    <w:p>
      <w:pPr>
        <w:ind w:left="340" w:hanging="331"/>
        <w:spacing w:after="0"/>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Charges patients for its services.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An institution or a distinct part of an institution that meets all of the following requirements:</w:t>
      </w:r>
    </w:p>
    <w:p>
      <w:pPr>
        <w:spacing w:after="0" w:line="19" w:lineRule="exact"/>
        <w:rPr>
          <w:rFonts w:ascii="Arial" w:cs="Arial" w:eastAsia="Arial" w:hAnsi="Arial"/>
          <w:sz w:val="20"/>
          <w:szCs w:val="20"/>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It is licensed or approved under state or local law.</w:t>
      </w:r>
    </w:p>
    <w:p>
      <w:pPr>
        <w:spacing w:after="0" w:line="20" w:lineRule="exact"/>
        <w:rPr>
          <w:rFonts w:ascii="Arial" w:cs="Arial" w:eastAsia="Arial" w:hAnsi="Arial"/>
          <w:sz w:val="20"/>
          <w:szCs w:val="20"/>
          <w:color w:val="auto"/>
        </w:rPr>
      </w:pPr>
    </w:p>
    <w:p>
      <w:pPr>
        <w:ind w:left="660" w:right="360" w:hanging="327"/>
        <w:spacing w:after="0" w:line="246" w:lineRule="auto"/>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Is primarily engaged in providing skilled nursing care and related services for residents who require medical or nursing care, or rehabilitation services for the rehabilitation of injured, disabled, or sick persons.</w:t>
      </w:r>
    </w:p>
    <w:p>
      <w:pPr>
        <w:spacing w:after="0" w:line="1" w:lineRule="exact"/>
        <w:rPr>
          <w:rFonts w:ascii="Arial" w:cs="Arial" w:eastAsia="Arial" w:hAnsi="Arial"/>
          <w:sz w:val="20"/>
          <w:szCs w:val="20"/>
          <w:color w:val="auto"/>
        </w:rPr>
      </w:pPr>
    </w:p>
    <w:p>
      <w:pPr>
        <w:ind w:left="340" w:hanging="331"/>
        <w:spacing w:after="0"/>
        <w:tabs>
          <w:tab w:leader="none" w:pos="340" w:val="left"/>
        </w:tabs>
        <w:numPr>
          <w:ilvl w:val="0"/>
          <w:numId w:val="436"/>
        </w:numPr>
        <w:rPr>
          <w:rFonts w:ascii="Arial" w:cs="Arial" w:eastAsia="Arial" w:hAnsi="Arial"/>
          <w:sz w:val="20"/>
          <w:szCs w:val="20"/>
          <w:b w:val="1"/>
          <w:bCs w:val="1"/>
          <w:color w:val="auto"/>
        </w:rPr>
      </w:pPr>
      <w:r>
        <w:rPr>
          <w:rFonts w:ascii="Arial" w:cs="Arial" w:eastAsia="Arial" w:hAnsi="Arial"/>
          <w:sz w:val="20"/>
          <w:szCs w:val="20"/>
          <w:color w:val="auto"/>
        </w:rPr>
        <w:t xml:space="preserve">Qualifies as a </w:t>
      </w:r>
      <w:r>
        <w:rPr>
          <w:rFonts w:ascii="Arial" w:cs="Arial" w:eastAsia="Arial" w:hAnsi="Arial"/>
          <w:sz w:val="20"/>
          <w:szCs w:val="20"/>
          <w:b w:val="1"/>
          <w:bCs w:val="1"/>
          <w:color w:val="auto"/>
        </w:rPr>
        <w:t>skilled nursing facility</w:t>
      </w:r>
      <w:r>
        <w:rPr>
          <w:rFonts w:ascii="Arial" w:cs="Arial" w:eastAsia="Arial" w:hAnsi="Arial"/>
          <w:sz w:val="20"/>
          <w:szCs w:val="20"/>
          <w:color w:val="auto"/>
        </w:rPr>
        <w:t xml:space="preserve"> under Medicare or as an institution accredited by</w:t>
      </w:r>
      <w:r>
        <w:rPr>
          <w:rFonts w:ascii="Arial" w:cs="Arial" w:eastAsia="Arial" w:hAnsi="Arial"/>
          <w:sz w:val="20"/>
          <w:szCs w:val="20"/>
          <w:b w:val="1"/>
          <w:bCs w:val="1"/>
          <w:color w:val="auto"/>
        </w:rPr>
        <w:t>:</w:t>
      </w:r>
    </w:p>
    <w:p>
      <w:pPr>
        <w:spacing w:after="0" w:line="19" w:lineRule="exact"/>
        <w:rPr>
          <w:rFonts w:ascii="Arial" w:cs="Arial" w:eastAsia="Arial" w:hAnsi="Arial"/>
          <w:sz w:val="20"/>
          <w:szCs w:val="20"/>
          <w:b w:val="1"/>
          <w:bCs w:val="1"/>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The Joint Commission on Accreditation of Health Care Organizations;</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 xml:space="preserve">The Bureau of </w:t>
      </w:r>
      <w:r>
        <w:rPr>
          <w:rFonts w:ascii="Arial" w:cs="Arial" w:eastAsia="Arial" w:hAnsi="Arial"/>
          <w:sz w:val="20"/>
          <w:szCs w:val="20"/>
          <w:b w:val="1"/>
          <w:bCs w:val="1"/>
          <w:color w:val="auto"/>
        </w:rPr>
        <w:t>Hospitals</w:t>
      </w:r>
      <w:r>
        <w:rPr>
          <w:rFonts w:ascii="Arial" w:cs="Arial" w:eastAsia="Arial" w:hAnsi="Arial"/>
          <w:sz w:val="20"/>
          <w:szCs w:val="20"/>
          <w:color w:val="auto"/>
        </w:rPr>
        <w:t xml:space="preserve"> of the American Osteopathic Association; or</w:t>
      </w:r>
    </w:p>
    <w:p>
      <w:pPr>
        <w:spacing w:after="0" w:line="8" w:lineRule="exact"/>
        <w:rPr>
          <w:rFonts w:ascii="Arial" w:cs="Arial" w:eastAsia="Arial" w:hAnsi="Arial"/>
          <w:sz w:val="20"/>
          <w:szCs w:val="20"/>
          <w:color w:val="auto"/>
        </w:rPr>
      </w:pPr>
    </w:p>
    <w:p>
      <w:pPr>
        <w:ind w:left="660" w:hanging="327"/>
        <w:spacing w:after="0"/>
        <w:tabs>
          <w:tab w:leader="none" w:pos="660" w:val="left"/>
        </w:tabs>
        <w:numPr>
          <w:ilvl w:val="1"/>
          <w:numId w:val="436"/>
        </w:numPr>
        <w:rPr>
          <w:rFonts w:ascii="Arial" w:cs="Arial" w:eastAsia="Arial" w:hAnsi="Arial"/>
          <w:sz w:val="20"/>
          <w:szCs w:val="20"/>
          <w:color w:val="auto"/>
        </w:rPr>
      </w:pPr>
      <w:r>
        <w:rPr>
          <w:rFonts w:ascii="Arial" w:cs="Arial" w:eastAsia="Arial" w:hAnsi="Arial"/>
          <w:sz w:val="20"/>
          <w:szCs w:val="20"/>
          <w:color w:val="auto"/>
        </w:rPr>
        <w:t>The Commission on the Accreditation of Rehabilitative Facilities</w:t>
      </w:r>
    </w:p>
    <w:p>
      <w:pPr>
        <w:spacing w:after="0" w:line="194" w:lineRule="exact"/>
        <w:rPr>
          <w:sz w:val="20"/>
          <w:szCs w:val="20"/>
          <w:color w:val="auto"/>
        </w:rPr>
      </w:pPr>
    </w:p>
    <w:p>
      <w:pPr>
        <w:ind w:right="2440"/>
        <w:spacing w:after="0" w:line="267" w:lineRule="auto"/>
        <w:rPr>
          <w:sz w:val="20"/>
          <w:szCs w:val="20"/>
          <w:color w:val="auto"/>
        </w:rPr>
      </w:pPr>
      <w:r>
        <w:rPr>
          <w:rFonts w:ascii="Arial" w:cs="Arial" w:eastAsia="Arial" w:hAnsi="Arial"/>
          <w:sz w:val="20"/>
          <w:szCs w:val="20"/>
          <w:b w:val="1"/>
          <w:bCs w:val="1"/>
          <w:color w:val="auto"/>
        </w:rPr>
        <w:t xml:space="preserve">Skilled nursing facilities </w:t>
      </w:r>
      <w:r>
        <w:rPr>
          <w:rFonts w:ascii="Arial" w:cs="Arial" w:eastAsia="Arial" w:hAnsi="Arial"/>
          <w:sz w:val="20"/>
          <w:szCs w:val="20"/>
          <w:color w:val="auto"/>
        </w:rPr>
        <w:t>also include rehabilitation</w:t>
      </w:r>
      <w:r>
        <w:rPr>
          <w:rFonts w:ascii="Arial" w:cs="Arial" w:eastAsia="Arial" w:hAnsi="Arial"/>
          <w:sz w:val="20"/>
          <w:szCs w:val="20"/>
          <w:b w:val="1"/>
          <w:bCs w:val="1"/>
          <w:color w:val="auto"/>
        </w:rPr>
        <w:t xml:space="preserve"> hospitals </w:t>
      </w:r>
      <w:r>
        <w:rPr>
          <w:rFonts w:ascii="Arial" w:cs="Arial" w:eastAsia="Arial" w:hAnsi="Arial"/>
          <w:sz w:val="20"/>
          <w:szCs w:val="20"/>
          <w:color w:val="auto"/>
        </w:rPr>
        <w:t>(all levels of care, e.g. acute) and portions of a</w:t>
      </w:r>
      <w:r>
        <w:rPr>
          <w:rFonts w:ascii="Arial" w:cs="Arial" w:eastAsia="Arial" w:hAnsi="Arial"/>
          <w:sz w:val="20"/>
          <w:szCs w:val="20"/>
          <w:b w:val="1"/>
          <w:bCs w:val="1"/>
          <w:color w:val="auto"/>
        </w:rPr>
        <w:t xml:space="preserve"> hospital </w:t>
      </w:r>
      <w:r>
        <w:rPr>
          <w:rFonts w:ascii="Arial" w:cs="Arial" w:eastAsia="Arial" w:hAnsi="Arial"/>
          <w:sz w:val="20"/>
          <w:szCs w:val="20"/>
          <w:color w:val="auto"/>
        </w:rPr>
        <w:t>designated for skilled or</w:t>
      </w:r>
      <w:r>
        <w:rPr>
          <w:rFonts w:ascii="Arial" w:cs="Arial" w:eastAsia="Arial" w:hAnsi="Arial"/>
          <w:sz w:val="20"/>
          <w:szCs w:val="20"/>
          <w:b w:val="1"/>
          <w:bCs w:val="1"/>
          <w:color w:val="auto"/>
        </w:rPr>
        <w:t xml:space="preserve"> rehabilitation services</w:t>
      </w:r>
      <w:r>
        <w:rPr>
          <w:rFonts w:ascii="Arial" w:cs="Arial" w:eastAsia="Arial" w:hAnsi="Arial"/>
          <w:sz w:val="20"/>
          <w:szCs w:val="20"/>
          <w:color w:val="auto"/>
        </w:rPr>
        <w:t>.</w:t>
      </w:r>
    </w:p>
    <w:p>
      <w:pPr>
        <w:sectPr>
          <w:pgSz w:w="11900" w:h="16838" w:orient="portrait"/>
          <w:cols w:equalWidth="0" w:num="1">
            <w:col w:w="11100"/>
          </w:cols>
          <w:pgMar w:left="320" w:top="428" w:right="479" w:bottom="1440" w:gutter="0" w:footer="0" w:header="0"/>
        </w:sectPr>
      </w:pPr>
    </w:p>
    <w:bookmarkStart w:id="278" w:name="page279"/>
    <w:bookmarkEnd w:id="278"/>
    <w:p>
      <w:pPr>
        <w:spacing w:after="0"/>
        <w:rPr>
          <w:sz w:val="20"/>
          <w:szCs w:val="20"/>
          <w:color w:val="auto"/>
        </w:rPr>
      </w:pPr>
      <w:r>
        <w:rPr>
          <w:rFonts w:ascii="Arial" w:cs="Arial" w:eastAsia="Arial" w:hAnsi="Arial"/>
          <w:sz w:val="20"/>
          <w:szCs w:val="20"/>
          <w:b w:val="1"/>
          <w:bCs w:val="1"/>
          <w:color w:val="auto"/>
        </w:rPr>
        <w:t xml:space="preserve">Skilled nursing facility </w:t>
      </w:r>
      <w:r>
        <w:rPr>
          <w:rFonts w:ascii="Arial" w:cs="Arial" w:eastAsia="Arial" w:hAnsi="Arial"/>
          <w:sz w:val="20"/>
          <w:szCs w:val="20"/>
          <w:color w:val="auto"/>
        </w:rPr>
        <w:t>does not include:</w:t>
      </w:r>
    </w:p>
    <w:p>
      <w:pPr>
        <w:spacing w:after="0" w:line="222" w:lineRule="exact"/>
        <w:rPr>
          <w:sz w:val="20"/>
          <w:szCs w:val="20"/>
          <w:color w:val="auto"/>
        </w:rPr>
      </w:pPr>
    </w:p>
    <w:p>
      <w:pPr>
        <w:ind w:left="60" w:right="8360" w:firstLine="9"/>
        <w:spacing w:after="0" w:line="274" w:lineRule="auto"/>
        <w:tabs>
          <w:tab w:leader="none" w:pos="384" w:val="left"/>
        </w:tabs>
        <w:numPr>
          <w:ilvl w:val="0"/>
          <w:numId w:val="437"/>
        </w:numPr>
        <w:rPr>
          <w:rFonts w:ascii="Arial" w:cs="Arial" w:eastAsia="Arial" w:hAnsi="Arial"/>
          <w:sz w:val="20"/>
          <w:szCs w:val="20"/>
          <w:color w:val="auto"/>
        </w:rPr>
      </w:pPr>
      <w:r>
        <w:rPr>
          <w:rFonts w:ascii="Arial" w:cs="Arial" w:eastAsia="Arial" w:hAnsi="Arial"/>
          <w:sz w:val="20"/>
          <w:szCs w:val="20"/>
          <w:color w:val="auto"/>
        </w:rPr>
        <w:t>Institutions which provide only: - Minimal care;</w:t>
      </w:r>
    </w:p>
    <w:p>
      <w:pPr>
        <w:spacing w:after="0" w:line="1" w:lineRule="exact"/>
        <w:rPr>
          <w:rFonts w:ascii="Arial" w:cs="Arial" w:eastAsia="Arial" w:hAnsi="Arial"/>
          <w:sz w:val="20"/>
          <w:szCs w:val="20"/>
          <w:color w:val="auto"/>
        </w:rPr>
      </w:pPr>
    </w:p>
    <w:p>
      <w:pPr>
        <w:ind w:left="60" w:right="9000"/>
        <w:spacing w:after="0" w:line="296" w:lineRule="auto"/>
        <w:rPr>
          <w:rFonts w:ascii="Arial" w:cs="Arial" w:eastAsia="Arial" w:hAnsi="Arial"/>
          <w:sz w:val="20"/>
          <w:szCs w:val="20"/>
          <w:color w:val="auto"/>
        </w:rPr>
      </w:pPr>
      <w:r>
        <w:rPr>
          <w:rFonts w:ascii="Arial" w:cs="Arial" w:eastAsia="Arial" w:hAnsi="Arial"/>
          <w:sz w:val="19"/>
          <w:szCs w:val="19"/>
          <w:color w:val="auto"/>
        </w:rPr>
        <w:t>- Custodial care services; - Ambulatory; or</w:t>
      </w:r>
    </w:p>
    <w:p>
      <w:pPr>
        <w:spacing w:after="0" w:line="1" w:lineRule="exact"/>
        <w:rPr>
          <w:rFonts w:ascii="Arial" w:cs="Arial" w:eastAsia="Arial" w:hAnsi="Arial"/>
          <w:sz w:val="20"/>
          <w:szCs w:val="20"/>
          <w:color w:val="auto"/>
        </w:rPr>
      </w:pPr>
    </w:p>
    <w:p>
      <w:pPr>
        <w:ind w:left="60"/>
        <w:spacing w:after="0"/>
        <w:rPr>
          <w:rFonts w:ascii="Arial" w:cs="Arial" w:eastAsia="Arial" w:hAnsi="Arial"/>
          <w:sz w:val="20"/>
          <w:szCs w:val="20"/>
          <w:color w:val="auto"/>
        </w:rPr>
      </w:pPr>
      <w:r>
        <w:rPr>
          <w:rFonts w:ascii="Arial" w:cs="Arial" w:eastAsia="Arial" w:hAnsi="Arial"/>
          <w:sz w:val="20"/>
          <w:szCs w:val="20"/>
          <w:color w:val="auto"/>
        </w:rPr>
        <w:t>-   Part-time care services.</w:t>
      </w:r>
    </w:p>
    <w:p>
      <w:pPr>
        <w:spacing w:after="0" w:line="20" w:lineRule="exact"/>
        <w:rPr>
          <w:rFonts w:ascii="Arial" w:cs="Arial" w:eastAsia="Arial" w:hAnsi="Arial"/>
          <w:sz w:val="20"/>
          <w:szCs w:val="20"/>
          <w:color w:val="auto"/>
        </w:rPr>
      </w:pPr>
    </w:p>
    <w:p>
      <w:pPr>
        <w:ind w:left="400" w:hanging="331"/>
        <w:spacing w:after="0"/>
        <w:tabs>
          <w:tab w:leader="none" w:pos="4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 xml:space="preserve">Institutions which primarily provide for the care and treatment of alcoholism, </w:t>
      </w:r>
      <w:r>
        <w:rPr>
          <w:rFonts w:ascii="Arial" w:cs="Arial" w:eastAsia="Arial" w:hAnsi="Arial"/>
          <w:sz w:val="20"/>
          <w:szCs w:val="20"/>
          <w:b w:val="1"/>
          <w:bCs w:val="1"/>
          <w:color w:val="auto"/>
        </w:rPr>
        <w:t>substance abuse</w:t>
      </w:r>
      <w:r>
        <w:rPr>
          <w:rFonts w:ascii="Arial" w:cs="Arial" w:eastAsia="Arial" w:hAnsi="Arial"/>
          <w:sz w:val="20"/>
          <w:szCs w:val="20"/>
          <w:color w:val="auto"/>
        </w:rPr>
        <w:t xml:space="preserve"> or </w:t>
      </w:r>
      <w:r>
        <w:rPr>
          <w:rFonts w:ascii="Arial" w:cs="Arial" w:eastAsia="Arial" w:hAnsi="Arial"/>
          <w:sz w:val="20"/>
          <w:szCs w:val="20"/>
          <w:b w:val="1"/>
          <w:bCs w:val="1"/>
          <w:color w:val="auto"/>
        </w:rPr>
        <w:t>mental disorders</w:t>
      </w:r>
      <w:r>
        <w:rPr>
          <w:rFonts w:ascii="Arial" w:cs="Arial" w:eastAsia="Arial" w:hAnsi="Arial"/>
          <w:sz w:val="20"/>
          <w:szCs w:val="20"/>
          <w:color w:val="auto"/>
        </w:rPr>
        <w: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Skilled Nursing Services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Services that meet all of the following requirements:</w:t>
      </w:r>
    </w:p>
    <w:p>
      <w:pPr>
        <w:spacing w:after="0" w:line="200" w:lineRule="exact"/>
        <w:rPr>
          <w:sz w:val="20"/>
          <w:szCs w:val="20"/>
          <w:color w:val="auto"/>
        </w:rPr>
      </w:pPr>
    </w:p>
    <w:p>
      <w:pPr>
        <w:ind w:left="440" w:hanging="330"/>
        <w:spacing w:after="0"/>
        <w:tabs>
          <w:tab w:leader="none" w:pos="44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The services require medical or paramedical training.</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 xml:space="preserve">The services are rendered by an </w:t>
      </w:r>
      <w:r>
        <w:rPr>
          <w:rFonts w:ascii="Arial" w:cs="Arial" w:eastAsia="Arial" w:hAnsi="Arial"/>
          <w:sz w:val="20"/>
          <w:szCs w:val="20"/>
          <w:b w:val="1"/>
          <w:bCs w:val="1"/>
          <w:color w:val="auto"/>
        </w:rPr>
        <w:t>R.N.</w:t>
      </w:r>
      <w:r>
        <w:rPr>
          <w:rFonts w:ascii="Arial" w:cs="Arial" w:eastAsia="Arial" w:hAnsi="Arial"/>
          <w:sz w:val="20"/>
          <w:szCs w:val="20"/>
          <w:color w:val="auto"/>
        </w:rPr>
        <w:t xml:space="preserve"> or </w:t>
      </w:r>
      <w:r>
        <w:rPr>
          <w:rFonts w:ascii="Arial" w:cs="Arial" w:eastAsia="Arial" w:hAnsi="Arial"/>
          <w:sz w:val="20"/>
          <w:szCs w:val="20"/>
          <w:b w:val="1"/>
          <w:bCs w:val="1"/>
          <w:color w:val="auto"/>
        </w:rPr>
        <w:t>L.P.N.</w:t>
      </w:r>
      <w:r>
        <w:rPr>
          <w:rFonts w:ascii="Arial" w:cs="Arial" w:eastAsia="Arial" w:hAnsi="Arial"/>
          <w:sz w:val="20"/>
          <w:szCs w:val="20"/>
          <w:color w:val="auto"/>
        </w:rPr>
        <w:t xml:space="preserve"> within the scope of his or her license.</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The services are not custodial.</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Specialist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who practices in any generally accepted medical or surgical sub-specialty.</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Specialty Care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Health care services or supplies that require the services of a </w:t>
      </w:r>
      <w:r>
        <w:rPr>
          <w:rFonts w:ascii="Arial" w:cs="Arial" w:eastAsia="Arial" w:hAnsi="Arial"/>
          <w:sz w:val="20"/>
          <w:szCs w:val="20"/>
          <w:b w:val="1"/>
          <w:bCs w:val="1"/>
          <w:color w:val="auto"/>
        </w:rPr>
        <w:t>specialist</w:t>
      </w:r>
      <w:r>
        <w:rPr>
          <w:rFonts w:ascii="Arial" w:cs="Arial" w:eastAsia="Arial" w:hAnsi="Arial"/>
          <w:sz w:val="20"/>
          <w:szCs w:val="20"/>
          <w:color w:val="auto"/>
        </w:rPr>
        <w: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Specialty Care Drugs</w:t>
      </w:r>
    </w:p>
    <w:p>
      <w:pPr>
        <w:spacing w:after="0" w:line="32" w:lineRule="exact"/>
        <w:rPr>
          <w:sz w:val="20"/>
          <w:szCs w:val="20"/>
          <w:color w:val="auto"/>
        </w:rPr>
      </w:pPr>
    </w:p>
    <w:p>
      <w:pPr>
        <w:ind w:left="100" w:right="760"/>
        <w:spacing w:after="0" w:line="298" w:lineRule="auto"/>
        <w:rPr>
          <w:sz w:val="20"/>
          <w:szCs w:val="20"/>
          <w:color w:val="auto"/>
        </w:rPr>
      </w:pPr>
      <w:r>
        <w:rPr>
          <w:rFonts w:ascii="Arial" w:cs="Arial" w:eastAsia="Arial" w:hAnsi="Arial"/>
          <w:sz w:val="18"/>
          <w:szCs w:val="18"/>
          <w:b w:val="1"/>
          <w:bCs w:val="1"/>
          <w:color w:val="auto"/>
        </w:rPr>
        <w:t xml:space="preserve">Prescription drugs </w:t>
      </w:r>
      <w:r>
        <w:rPr>
          <w:rFonts w:ascii="Arial" w:cs="Arial" w:eastAsia="Arial" w:hAnsi="Arial"/>
          <w:sz w:val="18"/>
          <w:szCs w:val="18"/>
          <w:color w:val="auto"/>
        </w:rPr>
        <w:t>include</w:t>
      </w:r>
      <w:r>
        <w:rPr>
          <w:rFonts w:ascii="Arial" w:cs="Arial" w:eastAsia="Arial" w:hAnsi="Arial"/>
          <w:sz w:val="18"/>
          <w:szCs w:val="18"/>
          <w:b w:val="1"/>
          <w:bCs w:val="1"/>
          <w:color w:val="auto"/>
        </w:rPr>
        <w:t xml:space="preserve"> injectable</w:t>
      </w:r>
      <w:r>
        <w:rPr>
          <w:rFonts w:ascii="Arial" w:cs="Arial" w:eastAsia="Arial" w:hAnsi="Arial"/>
          <w:sz w:val="18"/>
          <w:szCs w:val="18"/>
          <w:color w:val="auto"/>
        </w:rPr>
        <w:t xml:space="preserve">, infusion and oral drugs prescribed to address complex, chronic diseases with associated co-morbidities such as cancer, rheumatoid arthritis, hemophilia, multiple sclerosis which are listed in the </w:t>
      </w:r>
      <w:r>
        <w:rPr>
          <w:rFonts w:ascii="Arial" w:cs="Arial" w:eastAsia="Arial" w:hAnsi="Arial"/>
          <w:sz w:val="18"/>
          <w:szCs w:val="18"/>
          <w:b w:val="1"/>
          <w:bCs w:val="1"/>
          <w:color w:val="auto"/>
        </w:rPr>
        <w:t>specialty care drug list</w:t>
      </w:r>
      <w:r>
        <w:rPr>
          <w:rFonts w:ascii="Arial" w:cs="Arial" w:eastAsia="Arial" w:hAnsi="Arial"/>
          <w:sz w:val="18"/>
          <w:szCs w:val="18"/>
          <w:color w:val="auto"/>
        </w:rPr>
        <w:t>.</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Specialty Pharmacy Network</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 network of pharmacies designated to fill </w:t>
      </w:r>
      <w:r>
        <w:rPr>
          <w:rFonts w:ascii="Arial" w:cs="Arial" w:eastAsia="Arial" w:hAnsi="Arial"/>
          <w:sz w:val="20"/>
          <w:szCs w:val="20"/>
          <w:b w:val="1"/>
          <w:bCs w:val="1"/>
          <w:color w:val="auto"/>
        </w:rPr>
        <w:t>specialty care drugs</w:t>
      </w:r>
      <w:r>
        <w:rPr>
          <w:rFonts w:ascii="Arial" w:cs="Arial" w:eastAsia="Arial" w:hAnsi="Arial"/>
          <w:sz w:val="20"/>
          <w:szCs w:val="20"/>
          <w:color w:val="auto"/>
        </w:rPr>
        <w: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Stay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A full-time inpatient confinement for which a </w:t>
      </w:r>
      <w:r>
        <w:rPr>
          <w:rFonts w:ascii="Arial" w:cs="Arial" w:eastAsia="Arial" w:hAnsi="Arial"/>
          <w:sz w:val="20"/>
          <w:szCs w:val="20"/>
          <w:b w:val="1"/>
          <w:bCs w:val="1"/>
          <w:color w:val="auto"/>
        </w:rPr>
        <w:t>room and board</w:t>
      </w:r>
      <w:r>
        <w:rPr>
          <w:rFonts w:ascii="Arial" w:cs="Arial" w:eastAsia="Arial" w:hAnsi="Arial"/>
          <w:sz w:val="20"/>
          <w:szCs w:val="20"/>
          <w:color w:val="auto"/>
        </w:rPr>
        <w:t xml:space="preserve"> charge is made.</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Step Therapy</w:t>
      </w:r>
    </w:p>
    <w:p>
      <w:pPr>
        <w:spacing w:after="0" w:line="32" w:lineRule="exact"/>
        <w:rPr>
          <w:sz w:val="20"/>
          <w:szCs w:val="20"/>
          <w:color w:val="auto"/>
        </w:rPr>
      </w:pPr>
    </w:p>
    <w:p>
      <w:pPr>
        <w:ind w:left="100" w:right="140"/>
        <w:spacing w:after="0" w:line="282" w:lineRule="auto"/>
        <w:rPr>
          <w:sz w:val="20"/>
          <w:szCs w:val="20"/>
          <w:color w:val="auto"/>
        </w:rPr>
      </w:pPr>
      <w:r>
        <w:rPr>
          <w:rFonts w:ascii="Arial" w:cs="Arial" w:eastAsia="Arial" w:hAnsi="Arial"/>
          <w:sz w:val="18"/>
          <w:szCs w:val="18"/>
          <w:color w:val="auto"/>
        </w:rPr>
        <w:t xml:space="preserve">A form of </w:t>
      </w:r>
      <w:r>
        <w:rPr>
          <w:rFonts w:ascii="Arial" w:cs="Arial" w:eastAsia="Arial" w:hAnsi="Arial"/>
          <w:sz w:val="18"/>
          <w:szCs w:val="18"/>
          <w:b w:val="1"/>
          <w:bCs w:val="1"/>
          <w:color w:val="auto"/>
        </w:rPr>
        <w:t>precertification</w:t>
      </w:r>
      <w:r>
        <w:rPr>
          <w:rFonts w:ascii="Arial" w:cs="Arial" w:eastAsia="Arial" w:hAnsi="Arial"/>
          <w:sz w:val="18"/>
          <w:szCs w:val="18"/>
          <w:color w:val="auto"/>
        </w:rPr>
        <w:t xml:space="preserve"> under which certain </w:t>
      </w:r>
      <w:r>
        <w:rPr>
          <w:rFonts w:ascii="Arial" w:cs="Arial" w:eastAsia="Arial" w:hAnsi="Arial"/>
          <w:sz w:val="18"/>
          <w:szCs w:val="18"/>
          <w:b w:val="1"/>
          <w:bCs w:val="1"/>
          <w:color w:val="auto"/>
        </w:rPr>
        <w:t>prescription drugs</w:t>
      </w:r>
      <w:r>
        <w:rPr>
          <w:rFonts w:ascii="Arial" w:cs="Arial" w:eastAsia="Arial" w:hAnsi="Arial"/>
          <w:sz w:val="18"/>
          <w:szCs w:val="18"/>
          <w:color w:val="auto"/>
        </w:rPr>
        <w:t xml:space="preserve"> will be excluded from coverage, unless a first- line therapy drug(s) is used first by you. The list of step-therapy drugs is subject to change by </w:t>
      </w:r>
      <w:r>
        <w:rPr>
          <w:rFonts w:ascii="Arial" w:cs="Arial" w:eastAsia="Arial" w:hAnsi="Arial"/>
          <w:sz w:val="18"/>
          <w:szCs w:val="18"/>
          <w:b w:val="1"/>
          <w:bCs w:val="1"/>
          <w:color w:val="auto"/>
        </w:rPr>
        <w:t>Aetna</w:t>
      </w:r>
      <w:r>
        <w:rPr>
          <w:rFonts w:ascii="Arial" w:cs="Arial" w:eastAsia="Arial" w:hAnsi="Arial"/>
          <w:sz w:val="18"/>
          <w:szCs w:val="18"/>
          <w:color w:val="auto"/>
        </w:rPr>
        <w:t xml:space="preserve"> or an affiliate. An updated copy of the list of drugs subject to </w:t>
      </w:r>
      <w:r>
        <w:rPr>
          <w:rFonts w:ascii="Arial" w:cs="Arial" w:eastAsia="Arial" w:hAnsi="Arial"/>
          <w:sz w:val="18"/>
          <w:szCs w:val="18"/>
          <w:b w:val="1"/>
          <w:bCs w:val="1"/>
          <w:color w:val="auto"/>
        </w:rPr>
        <w:t xml:space="preserve">step therapy </w:t>
      </w:r>
      <w:r>
        <w:rPr>
          <w:rFonts w:ascii="Arial" w:cs="Arial" w:eastAsia="Arial" w:hAnsi="Arial"/>
          <w:sz w:val="18"/>
          <w:szCs w:val="18"/>
          <w:color w:val="auto"/>
        </w:rPr>
        <w:t>shall be available upon request by you or may be accessed on the</w:t>
      </w:r>
      <w:r>
        <w:rPr>
          <w:rFonts w:ascii="Arial" w:cs="Arial" w:eastAsia="Arial" w:hAnsi="Arial"/>
          <w:sz w:val="18"/>
          <w:szCs w:val="18"/>
          <w:b w:val="1"/>
          <w:bCs w:val="1"/>
          <w:color w:val="auto"/>
        </w:rPr>
        <w:t xml:space="preserve"> Aetna </w:t>
      </w:r>
      <w:r>
        <w:rPr>
          <w:rFonts w:ascii="Arial" w:cs="Arial" w:eastAsia="Arial" w:hAnsi="Arial"/>
          <w:sz w:val="18"/>
          <w:szCs w:val="18"/>
          <w:color w:val="auto"/>
        </w:rPr>
        <w:t>website at www.</w:t>
      </w:r>
      <w:r>
        <w:rPr>
          <w:rFonts w:ascii="Arial" w:cs="Arial" w:eastAsia="Arial" w:hAnsi="Arial"/>
          <w:sz w:val="18"/>
          <w:szCs w:val="18"/>
          <w:b w:val="1"/>
          <w:bCs w:val="1"/>
          <w:color w:val="auto"/>
        </w:rPr>
        <w:t>Aetna</w:t>
      </w:r>
      <w:r>
        <w:rPr>
          <w:rFonts w:ascii="Arial" w:cs="Arial" w:eastAsia="Arial" w:hAnsi="Arial"/>
          <w:sz w:val="18"/>
          <w:szCs w:val="18"/>
          <w:color w:val="auto"/>
        </w:rPr>
        <w:t>.com/formulary.</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Substance Abuse</w:t>
      </w:r>
    </w:p>
    <w:p>
      <w:pPr>
        <w:spacing w:after="0" w:line="32" w:lineRule="exact"/>
        <w:rPr>
          <w:sz w:val="20"/>
          <w:szCs w:val="20"/>
          <w:color w:val="auto"/>
        </w:rPr>
      </w:pPr>
    </w:p>
    <w:p>
      <w:pPr>
        <w:ind w:left="100"/>
        <w:spacing w:after="0" w:line="276" w:lineRule="auto"/>
        <w:rPr>
          <w:sz w:val="20"/>
          <w:szCs w:val="20"/>
          <w:color w:val="auto"/>
        </w:rPr>
      </w:pPr>
      <w:r>
        <w:rPr>
          <w:rFonts w:ascii="Arial" w:cs="Arial" w:eastAsia="Arial" w:hAnsi="Arial"/>
          <w:sz w:val="18"/>
          <w:szCs w:val="18"/>
          <w:color w:val="auto"/>
        </w:rPr>
        <w:t xml:space="preserve">This is a physical or psychological dependency, or both, on a controlled substance or alcohol agent (These are defined on Axis I in the Diagnostic and Statistical Manual of </w:t>
      </w:r>
      <w:r>
        <w:rPr>
          <w:rFonts w:ascii="Arial" w:cs="Arial" w:eastAsia="Arial" w:hAnsi="Arial"/>
          <w:sz w:val="18"/>
          <w:szCs w:val="18"/>
          <w:b w:val="1"/>
          <w:bCs w:val="1"/>
          <w:color w:val="auto"/>
        </w:rPr>
        <w:t>Mental Disorders</w:t>
      </w:r>
      <w:r>
        <w:rPr>
          <w:rFonts w:ascii="Arial" w:cs="Arial" w:eastAsia="Arial" w:hAnsi="Arial"/>
          <w:sz w:val="18"/>
          <w:szCs w:val="18"/>
          <w:color w:val="auto"/>
        </w:rPr>
        <w:t xml:space="preserve"> (DSM) published by the American Psychiatric Association which is current as of the date services are rendered to you or your covered dependents.) This term does not include conditions not attributable to a </w:t>
      </w:r>
      <w:r>
        <w:rPr>
          <w:rFonts w:ascii="Arial" w:cs="Arial" w:eastAsia="Arial" w:hAnsi="Arial"/>
          <w:sz w:val="18"/>
          <w:szCs w:val="18"/>
          <w:b w:val="1"/>
          <w:bCs w:val="1"/>
          <w:color w:val="auto"/>
        </w:rPr>
        <w:t>mental disorder</w:t>
      </w:r>
      <w:r>
        <w:rPr>
          <w:rFonts w:ascii="Arial" w:cs="Arial" w:eastAsia="Arial" w:hAnsi="Arial"/>
          <w:sz w:val="18"/>
          <w:szCs w:val="18"/>
          <w:color w:val="auto"/>
        </w:rPr>
        <w:t xml:space="preserve"> that are a focus of attention or treatment (the V codes on Axis I of DSM); an addiction to nicotine products, food or caffeine intoxication.</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Surgery Center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 freestanding ambulatory surgical facility that meets all of the following requirements:</w:t>
      </w:r>
    </w:p>
    <w:p>
      <w:pPr>
        <w:spacing w:after="0" w:line="200" w:lineRule="exact"/>
        <w:rPr>
          <w:sz w:val="20"/>
          <w:szCs w:val="20"/>
          <w:color w:val="auto"/>
        </w:rPr>
      </w:pPr>
    </w:p>
    <w:p>
      <w:pPr>
        <w:ind w:left="440" w:hanging="330"/>
        <w:spacing w:after="0"/>
        <w:tabs>
          <w:tab w:leader="none" w:pos="44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Meets licensing standards.</w:t>
      </w:r>
    </w:p>
    <w:p>
      <w:pPr>
        <w:spacing w:after="0" w:line="20" w:lineRule="exact"/>
        <w:rPr>
          <w:rFonts w:ascii="Arial" w:cs="Arial" w:eastAsia="Arial" w:hAnsi="Arial"/>
          <w:sz w:val="20"/>
          <w:szCs w:val="20"/>
          <w:color w:val="auto"/>
        </w:rPr>
      </w:pPr>
    </w:p>
    <w:p>
      <w:pPr>
        <w:ind w:left="440" w:hanging="330"/>
        <w:spacing w:after="0"/>
        <w:tabs>
          <w:tab w:leader="none" w:pos="44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Is set up, equipped and run to provide general surgery.</w:t>
      </w:r>
    </w:p>
    <w:p>
      <w:pPr>
        <w:spacing w:after="0" w:line="13" w:lineRule="exact"/>
        <w:rPr>
          <w:rFonts w:ascii="Arial" w:cs="Arial" w:eastAsia="Arial" w:hAnsi="Arial"/>
          <w:sz w:val="20"/>
          <w:szCs w:val="20"/>
          <w:color w:val="auto"/>
        </w:rPr>
      </w:pPr>
    </w:p>
    <w:p>
      <w:pPr>
        <w:ind w:left="440" w:hanging="330"/>
        <w:spacing w:after="0"/>
        <w:tabs>
          <w:tab w:leader="none" w:pos="44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Charges for its services.</w:t>
      </w:r>
    </w:p>
    <w:p>
      <w:pPr>
        <w:sectPr>
          <w:pgSz w:w="11900" w:h="16838" w:orient="portrait"/>
          <w:cols w:equalWidth="0" w:num="1">
            <w:col w:w="11280"/>
          </w:cols>
          <w:pgMar w:left="260" w:top="576" w:right="359" w:bottom="1440" w:gutter="0" w:footer="0" w:header="0"/>
        </w:sectPr>
      </w:pPr>
    </w:p>
    <w:bookmarkStart w:id="279" w:name="page280"/>
    <w:bookmarkEnd w:id="279"/>
    <w:p>
      <w:pPr>
        <w:ind w:left="340" w:right="420" w:hanging="331"/>
        <w:spacing w:after="0" w:line="251" w:lineRule="auto"/>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 xml:space="preserve">Is directed by a staff of </w:t>
      </w:r>
      <w:r>
        <w:rPr>
          <w:rFonts w:ascii="Arial" w:cs="Arial" w:eastAsia="Arial" w:hAnsi="Arial"/>
          <w:sz w:val="20"/>
          <w:szCs w:val="20"/>
          <w:b w:val="1"/>
          <w:bCs w:val="1"/>
          <w:color w:val="auto"/>
        </w:rPr>
        <w:t>physicians</w:t>
      </w:r>
      <w:r>
        <w:rPr>
          <w:rFonts w:ascii="Arial" w:cs="Arial" w:eastAsia="Arial" w:hAnsi="Arial"/>
          <w:sz w:val="20"/>
          <w:szCs w:val="20"/>
          <w:color w:val="auto"/>
        </w:rPr>
        <w:t>. At least one of them must be on the premises when surgery is performed and during the recovery period.</w:t>
      </w:r>
    </w:p>
    <w:p>
      <w:pPr>
        <w:ind w:left="340" w:right="500" w:hanging="331"/>
        <w:spacing w:after="0" w:line="242" w:lineRule="auto"/>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Has at least one certified anesthesiologist at the site when surgery requiring general or spinal anesthesia is performed and during the recovery period.</w:t>
      </w:r>
    </w:p>
    <w:p>
      <w:pPr>
        <w:ind w:left="340" w:hanging="331"/>
        <w:spacing w:after="0"/>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Extends surgical staff privileges to:</w:t>
      </w:r>
    </w:p>
    <w:p>
      <w:pPr>
        <w:spacing w:after="0" w:line="13" w:lineRule="exact"/>
        <w:rPr>
          <w:rFonts w:ascii="Arial" w:cs="Arial" w:eastAsia="Arial" w:hAnsi="Arial"/>
          <w:sz w:val="20"/>
          <w:szCs w:val="20"/>
          <w:color w:val="auto"/>
        </w:rPr>
      </w:pPr>
    </w:p>
    <w:p>
      <w:pPr>
        <w:ind w:left="660" w:hanging="327"/>
        <w:spacing w:after="0"/>
        <w:tabs>
          <w:tab w:leader="none" w:pos="660" w:val="left"/>
        </w:tabs>
        <w:numPr>
          <w:ilvl w:val="1"/>
          <w:numId w:val="440"/>
        </w:numPr>
        <w:rPr>
          <w:rFonts w:ascii="Arial" w:cs="Arial" w:eastAsia="Arial" w:hAnsi="Arial"/>
          <w:sz w:val="20"/>
          <w:szCs w:val="20"/>
          <w:color w:val="auto"/>
        </w:rPr>
      </w:pPr>
      <w:r>
        <w:rPr>
          <w:rFonts w:ascii="Arial" w:cs="Arial" w:eastAsia="Arial" w:hAnsi="Arial"/>
          <w:sz w:val="20"/>
          <w:szCs w:val="20"/>
          <w:b w:val="1"/>
          <w:bCs w:val="1"/>
          <w:color w:val="auto"/>
        </w:rPr>
        <w:t xml:space="preserve">Physicians </w:t>
      </w:r>
      <w:r>
        <w:rPr>
          <w:rFonts w:ascii="Arial" w:cs="Arial" w:eastAsia="Arial" w:hAnsi="Arial"/>
          <w:sz w:val="20"/>
          <w:szCs w:val="20"/>
          <w:color w:val="auto"/>
        </w:rPr>
        <w:t>who practice surgery in an area</w:t>
      </w:r>
      <w:r>
        <w:rPr>
          <w:rFonts w:ascii="Arial" w:cs="Arial" w:eastAsia="Arial" w:hAnsi="Arial"/>
          <w:sz w:val="20"/>
          <w:szCs w:val="20"/>
          <w:b w:val="1"/>
          <w:bCs w:val="1"/>
          <w:color w:val="auto"/>
        </w:rPr>
        <w:t xml:space="preserve"> hospital</w:t>
      </w:r>
      <w:r>
        <w:rPr>
          <w:rFonts w:ascii="Arial" w:cs="Arial" w:eastAsia="Arial" w:hAnsi="Arial"/>
          <w:sz w:val="20"/>
          <w:szCs w:val="20"/>
          <w:color w:val="auto"/>
        </w:rPr>
        <w:t>; and</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40"/>
        </w:numPr>
        <w:rPr>
          <w:rFonts w:ascii="Arial" w:cs="Arial" w:eastAsia="Arial" w:hAnsi="Arial"/>
          <w:sz w:val="20"/>
          <w:szCs w:val="20"/>
          <w:color w:val="auto"/>
        </w:rPr>
      </w:pPr>
      <w:r>
        <w:rPr>
          <w:rFonts w:ascii="Arial" w:cs="Arial" w:eastAsia="Arial" w:hAnsi="Arial"/>
          <w:sz w:val="20"/>
          <w:szCs w:val="20"/>
          <w:b w:val="1"/>
          <w:bCs w:val="1"/>
          <w:color w:val="auto"/>
        </w:rPr>
        <w:t xml:space="preserve">Dentists </w:t>
      </w:r>
      <w:r>
        <w:rPr>
          <w:rFonts w:ascii="Arial" w:cs="Arial" w:eastAsia="Arial" w:hAnsi="Arial"/>
          <w:sz w:val="20"/>
          <w:szCs w:val="20"/>
          <w:color w:val="auto"/>
        </w:rPr>
        <w:t>who perform oral surgery.</w:t>
      </w:r>
    </w:p>
    <w:p>
      <w:pPr>
        <w:spacing w:after="0" w:line="32" w:lineRule="exact"/>
        <w:rPr>
          <w:rFonts w:ascii="Arial" w:cs="Arial" w:eastAsia="Arial" w:hAnsi="Arial"/>
          <w:sz w:val="20"/>
          <w:szCs w:val="20"/>
          <w:color w:val="auto"/>
        </w:rPr>
      </w:pPr>
    </w:p>
    <w:p>
      <w:pPr>
        <w:ind w:left="340" w:hanging="331"/>
        <w:spacing w:after="0"/>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Has at least 2 operating rooms and one recovery room.</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440"/>
        </w:numPr>
        <w:rPr>
          <w:rFonts w:ascii="Arial" w:cs="Arial" w:eastAsia="Arial" w:hAnsi="Arial"/>
          <w:sz w:val="19"/>
          <w:szCs w:val="19"/>
          <w:color w:val="auto"/>
        </w:rPr>
      </w:pPr>
      <w:r>
        <w:rPr>
          <w:rFonts w:ascii="Arial" w:cs="Arial" w:eastAsia="Arial" w:hAnsi="Arial"/>
          <w:sz w:val="19"/>
          <w:szCs w:val="19"/>
          <w:color w:val="auto"/>
        </w:rPr>
        <w:t>Provides, or arranges with a medical facility in the area for, diagnostic x-ray and lab services needed in connection with surgery.</w:t>
      </w:r>
    </w:p>
    <w:p>
      <w:pPr>
        <w:spacing w:after="0" w:line="15" w:lineRule="exact"/>
        <w:rPr>
          <w:rFonts w:ascii="Arial" w:cs="Arial" w:eastAsia="Arial" w:hAnsi="Arial"/>
          <w:sz w:val="19"/>
          <w:szCs w:val="19"/>
          <w:color w:val="auto"/>
        </w:rPr>
      </w:pPr>
    </w:p>
    <w:p>
      <w:pPr>
        <w:ind w:left="340" w:hanging="331"/>
        <w:spacing w:after="0"/>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 xml:space="preserve">Does not have a place for patients to </w:t>
      </w:r>
      <w:r>
        <w:rPr>
          <w:rFonts w:ascii="Arial" w:cs="Arial" w:eastAsia="Arial" w:hAnsi="Arial"/>
          <w:sz w:val="20"/>
          <w:szCs w:val="20"/>
          <w:b w:val="1"/>
          <w:bCs w:val="1"/>
          <w:color w:val="auto"/>
        </w:rPr>
        <w:t>stay</w:t>
      </w:r>
      <w:r>
        <w:rPr>
          <w:rFonts w:ascii="Arial" w:cs="Arial" w:eastAsia="Arial" w:hAnsi="Arial"/>
          <w:sz w:val="20"/>
          <w:szCs w:val="20"/>
          <w:color w:val="auto"/>
        </w:rPr>
        <w:t xml:space="preserve"> overnight.</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0"/>
        </w:numPr>
        <w:rPr>
          <w:rFonts w:ascii="Arial" w:cs="Arial" w:eastAsia="Arial" w:hAnsi="Arial"/>
          <w:sz w:val="20"/>
          <w:szCs w:val="20"/>
          <w:b w:val="1"/>
          <w:bCs w:val="1"/>
          <w:color w:val="auto"/>
        </w:rPr>
      </w:pPr>
      <w:r>
        <w:rPr>
          <w:rFonts w:ascii="Arial" w:cs="Arial" w:eastAsia="Arial" w:hAnsi="Arial"/>
          <w:sz w:val="20"/>
          <w:szCs w:val="20"/>
          <w:color w:val="auto"/>
        </w:rPr>
        <w:t xml:space="preserve">Provides, in the operating and recovery rooms, full-time </w:t>
      </w:r>
      <w:r>
        <w:rPr>
          <w:rFonts w:ascii="Arial" w:cs="Arial" w:eastAsia="Arial" w:hAnsi="Arial"/>
          <w:sz w:val="20"/>
          <w:szCs w:val="20"/>
          <w:b w:val="1"/>
          <w:bCs w:val="1"/>
          <w:color w:val="auto"/>
        </w:rPr>
        <w:t>skilled nursing services</w:t>
      </w:r>
      <w:r>
        <w:rPr>
          <w:rFonts w:ascii="Arial" w:cs="Arial" w:eastAsia="Arial" w:hAnsi="Arial"/>
          <w:sz w:val="20"/>
          <w:szCs w:val="20"/>
          <w:color w:val="auto"/>
        </w:rPr>
        <w:t xml:space="preserve"> directed by an </w:t>
      </w:r>
      <w:r>
        <w:rPr>
          <w:rFonts w:ascii="Arial" w:cs="Arial" w:eastAsia="Arial" w:hAnsi="Arial"/>
          <w:sz w:val="20"/>
          <w:szCs w:val="20"/>
          <w:b w:val="1"/>
          <w:bCs w:val="1"/>
          <w:color w:val="auto"/>
        </w:rPr>
        <w:t>R.N.</w:t>
      </w:r>
    </w:p>
    <w:p>
      <w:pPr>
        <w:spacing w:after="0" w:line="8" w:lineRule="exact"/>
        <w:rPr>
          <w:rFonts w:ascii="Arial" w:cs="Arial" w:eastAsia="Arial" w:hAnsi="Arial"/>
          <w:sz w:val="20"/>
          <w:szCs w:val="20"/>
          <w:b w:val="1"/>
          <w:bCs w:val="1"/>
          <w:color w:val="auto"/>
        </w:rPr>
      </w:pPr>
    </w:p>
    <w:p>
      <w:pPr>
        <w:ind w:left="340" w:hanging="331"/>
        <w:spacing w:after="0"/>
        <w:tabs>
          <w:tab w:leader="none" w:pos="3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 xml:space="preserve">Is equipped and has trained staff to handle </w:t>
      </w:r>
      <w:r>
        <w:rPr>
          <w:rFonts w:ascii="Arial" w:cs="Arial" w:eastAsia="Arial" w:hAnsi="Arial"/>
          <w:sz w:val="20"/>
          <w:szCs w:val="20"/>
          <w:b w:val="1"/>
          <w:bCs w:val="1"/>
          <w:color w:val="auto"/>
        </w:rPr>
        <w:t>emergency medical conditions</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Must have all of the following:</w:t>
      </w:r>
    </w:p>
    <w:p>
      <w:pPr>
        <w:spacing w:after="0" w:line="237" w:lineRule="exact"/>
        <w:rPr>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trained in cardiopulmonary resuscitation; and</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 defibrillator;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 tracheotomy set; and</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A blood volume expander.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 xml:space="preserve">Has a written agreement with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in the area for immediate emergency transfer of patients.</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Written procedures for such a transfer must be displayed and the staff must be aware of them.</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Provides an ongoing quality assurance program. The program must include reviews by </w:t>
      </w:r>
      <w:r>
        <w:rPr>
          <w:rFonts w:ascii="Arial" w:cs="Arial" w:eastAsia="Arial" w:hAnsi="Arial"/>
          <w:sz w:val="18"/>
          <w:szCs w:val="18"/>
          <w:b w:val="1"/>
          <w:bCs w:val="1"/>
          <w:color w:val="auto"/>
        </w:rPr>
        <w:t>physicians</w:t>
      </w:r>
      <w:r>
        <w:rPr>
          <w:rFonts w:ascii="Arial" w:cs="Arial" w:eastAsia="Arial" w:hAnsi="Arial"/>
          <w:sz w:val="18"/>
          <w:szCs w:val="18"/>
          <w:color w:val="auto"/>
        </w:rPr>
        <w:t xml:space="preserve"> who do not own or direct the facility.</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Keeps a medical record on each patient.</w:t>
      </w:r>
    </w:p>
    <w:p>
      <w:pPr>
        <w:spacing w:after="0" w:line="210" w:lineRule="exact"/>
        <w:rPr>
          <w:sz w:val="20"/>
          <w:szCs w:val="20"/>
          <w:color w:val="auto"/>
        </w:rPr>
      </w:pPr>
    </w:p>
    <w:p>
      <w:pPr>
        <w:ind w:left="300" w:hanging="291"/>
        <w:spacing w:after="0"/>
        <w:tabs>
          <w:tab w:leader="none" w:pos="300" w:val="left"/>
        </w:tabs>
        <w:numPr>
          <w:ilvl w:val="0"/>
          <w:numId w:val="442"/>
        </w:numPr>
        <w:rPr>
          <w:rFonts w:ascii="Arial" w:cs="Arial" w:eastAsia="Arial" w:hAnsi="Arial"/>
          <w:sz w:val="32"/>
          <w:szCs w:val="32"/>
          <w:b w:val="1"/>
          <w:bCs w:val="1"/>
          <w:color w:val="auto"/>
        </w:rPr>
      </w:pPr>
      <w:r>
        <w:rPr>
          <w:rFonts w:ascii="Arial" w:cs="Arial" w:eastAsia="Arial" w:hAnsi="Arial"/>
          <w:sz w:val="14"/>
          <w:szCs w:val="14"/>
          <w:i w:val="1"/>
          <w:iCs w:val="1"/>
          <w:color w:val="auto"/>
        </w:rPr>
        <w:t>(GR-9N 34-100-02)</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Terminally Ill (Hospice Care)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Terminally ill </w:t>
      </w:r>
      <w:r>
        <w:rPr>
          <w:rFonts w:ascii="Arial" w:cs="Arial" w:eastAsia="Arial" w:hAnsi="Arial"/>
          <w:sz w:val="20"/>
          <w:szCs w:val="20"/>
          <w:color w:val="auto"/>
        </w:rPr>
        <w:t>means a medical prognosis of 12 months or less to live.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Therapeutic Drug Class</w:t>
      </w:r>
    </w:p>
    <w:p>
      <w:pPr>
        <w:spacing w:after="0" w:line="3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 xml:space="preserve">A group of drugs or medications that have a similar or identical mode of action or exhibit similar or identical outcomes for the treatment of a disease or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180" w:lineRule="exact"/>
        <w:rPr>
          <w:sz w:val="20"/>
          <w:szCs w:val="20"/>
          <w:color w:val="auto"/>
        </w:rPr>
      </w:pPr>
    </w:p>
    <w:p>
      <w:pPr>
        <w:ind w:left="320" w:hanging="311"/>
        <w:spacing w:after="0"/>
        <w:tabs>
          <w:tab w:leader="none" w:pos="320" w:val="left"/>
        </w:tabs>
        <w:numPr>
          <w:ilvl w:val="0"/>
          <w:numId w:val="443"/>
        </w:numPr>
        <w:rPr>
          <w:rFonts w:ascii="Arial" w:cs="Arial" w:eastAsia="Arial" w:hAnsi="Arial"/>
          <w:sz w:val="32"/>
          <w:szCs w:val="32"/>
          <w:b w:val="1"/>
          <w:bCs w:val="1"/>
          <w:color w:val="auto"/>
        </w:rPr>
      </w:pPr>
      <w:r>
        <w:rPr>
          <w:rFonts w:ascii="Arial" w:cs="Arial" w:eastAsia="Arial" w:hAnsi="Arial"/>
          <w:sz w:val="14"/>
          <w:szCs w:val="14"/>
          <w:i w:val="1"/>
          <w:iCs w:val="1"/>
          <w:color w:val="auto"/>
        </w:rPr>
        <w:t>(GR-9N-34-105-01)</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Urgent Admission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admission by 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due to:</w:t>
      </w:r>
    </w:p>
    <w:p>
      <w:pPr>
        <w:spacing w:after="0" w:line="194" w:lineRule="exact"/>
        <w:rPr>
          <w:sz w:val="20"/>
          <w:szCs w:val="20"/>
          <w:color w:val="auto"/>
        </w:rPr>
      </w:pPr>
    </w:p>
    <w:p>
      <w:pPr>
        <w:ind w:left="340" w:hanging="331"/>
        <w:spacing w:after="0"/>
        <w:tabs>
          <w:tab w:leader="none" w:pos="34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 xml:space="preserve">The onset of or change in an </w:t>
      </w:r>
      <w:r>
        <w:rPr>
          <w:rFonts w:ascii="Arial" w:cs="Arial" w:eastAsia="Arial" w:hAnsi="Arial"/>
          <w:sz w:val="20"/>
          <w:szCs w:val="20"/>
          <w:b w:val="1"/>
          <w:bCs w:val="1"/>
          <w:color w:val="auto"/>
        </w:rPr>
        <w:t>illness</w:t>
      </w:r>
      <w:r>
        <w:rPr>
          <w:rFonts w:ascii="Arial" w:cs="Arial" w:eastAsia="Arial" w:hAnsi="Arial"/>
          <w:sz w:val="20"/>
          <w:szCs w:val="20"/>
          <w:color w:val="auto"/>
        </w:rPr>
        <w:t>; or</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 xml:space="preserve">The diagnosis of an </w:t>
      </w:r>
      <w:r>
        <w:rPr>
          <w:rFonts w:ascii="Arial" w:cs="Arial" w:eastAsia="Arial" w:hAnsi="Arial"/>
          <w:sz w:val="20"/>
          <w:szCs w:val="20"/>
          <w:b w:val="1"/>
          <w:bCs w:val="1"/>
          <w:color w:val="auto"/>
        </w:rPr>
        <w:t>illness</w:t>
      </w:r>
      <w:r>
        <w:rPr>
          <w:rFonts w:ascii="Arial" w:cs="Arial" w:eastAsia="Arial" w:hAnsi="Arial"/>
          <w:sz w:val="20"/>
          <w:szCs w:val="20"/>
          <w:color w:val="auto"/>
        </w:rPr>
        <w:t>; or</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injury</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340" w:hanging="331"/>
        <w:spacing w:after="0" w:line="244" w:lineRule="auto"/>
        <w:tabs>
          <w:tab w:leader="none" w:pos="34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 xml:space="preserve">The condition, while not needing an </w:t>
      </w:r>
      <w:r>
        <w:rPr>
          <w:rFonts w:ascii="Arial" w:cs="Arial" w:eastAsia="Arial" w:hAnsi="Arial"/>
          <w:sz w:val="20"/>
          <w:szCs w:val="20"/>
          <w:b w:val="1"/>
          <w:bCs w:val="1"/>
          <w:color w:val="auto"/>
        </w:rPr>
        <w:t>emergency admission</w:t>
      </w:r>
      <w:r>
        <w:rPr>
          <w:rFonts w:ascii="Arial" w:cs="Arial" w:eastAsia="Arial" w:hAnsi="Arial"/>
          <w:sz w:val="20"/>
          <w:szCs w:val="20"/>
          <w:color w:val="auto"/>
        </w:rPr>
        <w:t xml:space="preserve">, is severe enough to require confinement as an inpatient in a </w:t>
      </w:r>
      <w:r>
        <w:rPr>
          <w:rFonts w:ascii="Arial" w:cs="Arial" w:eastAsia="Arial" w:hAnsi="Arial"/>
          <w:sz w:val="20"/>
          <w:szCs w:val="20"/>
          <w:b w:val="1"/>
          <w:bCs w:val="1"/>
          <w:color w:val="auto"/>
        </w:rPr>
        <w:t>hospital</w:t>
      </w:r>
      <w:r>
        <w:rPr>
          <w:rFonts w:ascii="Arial" w:cs="Arial" w:eastAsia="Arial" w:hAnsi="Arial"/>
          <w:sz w:val="20"/>
          <w:szCs w:val="20"/>
          <w:color w:val="auto"/>
        </w:rPr>
        <w:t xml:space="preserve"> within 2 weeks from the date the need for the confinement becomes apparent.</w:t>
      </w:r>
    </w:p>
    <w:p>
      <w:pPr>
        <w:sectPr>
          <w:pgSz w:w="11900" w:h="16838" w:orient="portrait"/>
          <w:cols w:equalWidth="0" w:num="1">
            <w:col w:w="11280"/>
          </w:cols>
          <w:pgMar w:left="320" w:top="428" w:right="299" w:bottom="1440" w:gutter="0" w:footer="0" w:header="0"/>
        </w:sectPr>
      </w:pPr>
    </w:p>
    <w:bookmarkStart w:id="280" w:name="page281"/>
    <w:bookmarkEnd w:id="280"/>
    <w:p>
      <w:pPr>
        <w:spacing w:after="0"/>
        <w:rPr>
          <w:sz w:val="20"/>
          <w:szCs w:val="20"/>
          <w:color w:val="auto"/>
        </w:rPr>
      </w:pPr>
      <w:r>
        <w:rPr>
          <w:rFonts w:ascii="Arial" w:cs="Arial" w:eastAsia="Arial" w:hAnsi="Arial"/>
          <w:sz w:val="25"/>
          <w:szCs w:val="25"/>
          <w:b w:val="1"/>
          <w:bCs w:val="1"/>
          <w:color w:val="auto"/>
        </w:rPr>
        <w:t>Urgent Care Provider</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This is:</w:t>
      </w:r>
    </w:p>
    <w:p>
      <w:pPr>
        <w:spacing w:after="0" w:line="227" w:lineRule="exact"/>
        <w:rPr>
          <w:sz w:val="20"/>
          <w:szCs w:val="20"/>
          <w:color w:val="auto"/>
        </w:rPr>
      </w:pPr>
    </w:p>
    <w:p>
      <w:pPr>
        <w:ind w:left="340" w:hanging="331"/>
        <w:spacing w:after="0"/>
        <w:tabs>
          <w:tab w:leader="none" w:pos="34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A freestanding medical facility that meets all of the following requirements.</w:t>
      </w:r>
    </w:p>
    <w:p>
      <w:pPr>
        <w:spacing w:after="0" w:line="15"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19"/>
          <w:szCs w:val="19"/>
          <w:color w:val="auto"/>
        </w:rPr>
      </w:pPr>
      <w:r>
        <w:rPr>
          <w:rFonts w:ascii="Arial" w:cs="Arial" w:eastAsia="Arial" w:hAnsi="Arial"/>
          <w:sz w:val="19"/>
          <w:szCs w:val="19"/>
          <w:color w:val="auto"/>
        </w:rPr>
        <w:t xml:space="preserve">Provides unscheduled medical services to treat an </w:t>
      </w:r>
      <w:r>
        <w:rPr>
          <w:rFonts w:ascii="Arial" w:cs="Arial" w:eastAsia="Arial" w:hAnsi="Arial"/>
          <w:sz w:val="19"/>
          <w:szCs w:val="19"/>
          <w:b w:val="1"/>
          <w:bCs w:val="1"/>
          <w:color w:val="auto"/>
        </w:rPr>
        <w:t>urgent condition</w:t>
      </w:r>
      <w:r>
        <w:rPr>
          <w:rFonts w:ascii="Arial" w:cs="Arial" w:eastAsia="Arial" w:hAnsi="Arial"/>
          <w:sz w:val="19"/>
          <w:szCs w:val="19"/>
          <w:color w:val="auto"/>
        </w:rPr>
        <w:t xml:space="preserve"> if the person’s </w:t>
      </w:r>
      <w:r>
        <w:rPr>
          <w:rFonts w:ascii="Arial" w:cs="Arial" w:eastAsia="Arial" w:hAnsi="Arial"/>
          <w:sz w:val="19"/>
          <w:szCs w:val="19"/>
          <w:b w:val="1"/>
          <w:bCs w:val="1"/>
          <w:color w:val="auto"/>
        </w:rPr>
        <w:t>physician</w:t>
      </w:r>
      <w:r>
        <w:rPr>
          <w:rFonts w:ascii="Arial" w:cs="Arial" w:eastAsia="Arial" w:hAnsi="Arial"/>
          <w:sz w:val="19"/>
          <w:szCs w:val="19"/>
          <w:color w:val="auto"/>
        </w:rPr>
        <w:t xml:space="preserve"> is not reasonably available.</w:t>
      </w:r>
    </w:p>
    <w:p>
      <w:pPr>
        <w:spacing w:after="0" w:line="22" w:lineRule="exact"/>
        <w:rPr>
          <w:rFonts w:ascii="Arial" w:cs="Arial" w:eastAsia="Arial" w:hAnsi="Arial"/>
          <w:sz w:val="19"/>
          <w:szCs w:val="19"/>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Routinely provides ongoing unscheduled medical services for more than 8 consecutive hours.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Makes charges.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Is licensed and certified as required by any state or federal law or regulation.</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Keeps a medical record on each patient.</w:t>
      </w:r>
    </w:p>
    <w:p>
      <w:pPr>
        <w:spacing w:after="0" w:line="20"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Provides an ongoing quality assurance program. This includes reviews by </w:t>
      </w:r>
      <w:r>
        <w:rPr>
          <w:rFonts w:ascii="Arial" w:cs="Arial" w:eastAsia="Arial" w:hAnsi="Arial"/>
          <w:sz w:val="16"/>
          <w:szCs w:val="16"/>
          <w:b w:val="1"/>
          <w:bCs w:val="1"/>
          <w:color w:val="auto"/>
        </w:rPr>
        <w:t>physicians</w:t>
      </w:r>
      <w:r>
        <w:rPr>
          <w:rFonts w:ascii="Arial" w:cs="Arial" w:eastAsia="Arial" w:hAnsi="Arial"/>
          <w:sz w:val="16"/>
          <w:szCs w:val="16"/>
          <w:color w:val="auto"/>
        </w:rPr>
        <w:t xml:space="preserve"> other than those who own or direct the facility.</w:t>
      </w:r>
    </w:p>
    <w:p>
      <w:pPr>
        <w:spacing w:after="0" w:line="59" w:lineRule="exact"/>
        <w:rPr>
          <w:rFonts w:ascii="Arial" w:cs="Arial" w:eastAsia="Arial" w:hAnsi="Arial"/>
          <w:sz w:val="16"/>
          <w:szCs w:val="16"/>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 xml:space="preserve">Is run by a staff of </w:t>
      </w:r>
      <w:r>
        <w:rPr>
          <w:rFonts w:ascii="Arial" w:cs="Arial" w:eastAsia="Arial" w:hAnsi="Arial"/>
          <w:sz w:val="20"/>
          <w:szCs w:val="20"/>
          <w:b w:val="1"/>
          <w:bCs w:val="1"/>
          <w:color w:val="auto"/>
        </w:rPr>
        <w:t>physicians</w:t>
      </w:r>
      <w:r>
        <w:rPr>
          <w:rFonts w:ascii="Arial" w:cs="Arial" w:eastAsia="Arial" w:hAnsi="Arial"/>
          <w:sz w:val="20"/>
          <w:szCs w:val="20"/>
          <w:color w:val="auto"/>
        </w:rPr>
        <w:t xml:space="preserve">. At least one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 must be on call at all times.</w:t>
      </w:r>
    </w:p>
    <w:p>
      <w:pPr>
        <w:spacing w:after="0" w:line="40" w:lineRule="exact"/>
        <w:rPr>
          <w:rFonts w:ascii="Arial" w:cs="Arial" w:eastAsia="Arial" w:hAnsi="Arial"/>
          <w:sz w:val="20"/>
          <w:szCs w:val="20"/>
          <w:color w:val="auto"/>
        </w:rPr>
      </w:pPr>
    </w:p>
    <w:p>
      <w:pPr>
        <w:ind w:left="660" w:hanging="327"/>
        <w:spacing w:after="0"/>
        <w:tabs>
          <w:tab w:leader="none" w:pos="66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 xml:space="preserve">Has a full-time administrator who is a licensed </w:t>
      </w:r>
      <w:r>
        <w:rPr>
          <w:rFonts w:ascii="Arial" w:cs="Arial" w:eastAsia="Arial" w:hAnsi="Arial"/>
          <w:sz w:val="20"/>
          <w:szCs w:val="20"/>
          <w:b w:val="1"/>
          <w:bCs w:val="1"/>
          <w:color w:val="auto"/>
        </w:rPr>
        <w:t>physician</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340" w:hanging="331"/>
        <w:spacing w:after="0"/>
        <w:tabs>
          <w:tab w:leader="none" w:pos="34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physician</w:t>
      </w:r>
      <w:r>
        <w:rPr>
          <w:rFonts w:ascii="Arial" w:cs="Arial" w:eastAsia="Arial" w:hAnsi="Arial"/>
          <w:sz w:val="20"/>
          <w:szCs w:val="20"/>
          <w:color w:val="auto"/>
        </w:rPr>
        <w:t xml:space="preserve">’s office, but only one that has contracted with </w:t>
      </w:r>
      <w:r>
        <w:rPr>
          <w:rFonts w:ascii="Arial" w:cs="Arial" w:eastAsia="Arial" w:hAnsi="Arial"/>
          <w:sz w:val="20"/>
          <w:szCs w:val="20"/>
          <w:b w:val="1"/>
          <w:bCs w:val="1"/>
          <w:color w:val="auto"/>
        </w:rPr>
        <w:t>Aetna</w:t>
      </w:r>
      <w:r>
        <w:rPr>
          <w:rFonts w:ascii="Arial" w:cs="Arial" w:eastAsia="Arial" w:hAnsi="Arial"/>
          <w:sz w:val="20"/>
          <w:szCs w:val="20"/>
          <w:color w:val="auto"/>
        </w:rPr>
        <w:t xml:space="preserve"> to provide urgent care.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 is not the emergency room or outpatient department of a </w:t>
      </w:r>
      <w:r>
        <w:rPr>
          <w:rFonts w:ascii="Arial" w:cs="Arial" w:eastAsia="Arial" w:hAnsi="Arial"/>
          <w:sz w:val="20"/>
          <w:szCs w:val="20"/>
          <w:b w:val="1"/>
          <w:bCs w:val="1"/>
          <w:color w:val="auto"/>
        </w:rPr>
        <w:t>hospital</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Urgent Condition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means a sudden </w:t>
      </w:r>
      <w:r>
        <w:rPr>
          <w:rFonts w:ascii="Arial" w:cs="Arial" w:eastAsia="Arial" w:hAnsi="Arial"/>
          <w:sz w:val="20"/>
          <w:szCs w:val="20"/>
          <w:b w:val="1"/>
          <w:bCs w:val="1"/>
          <w:color w:val="auto"/>
        </w:rPr>
        <w:t>illness</w:t>
      </w:r>
      <w:r>
        <w:rPr>
          <w:rFonts w:ascii="Arial" w:cs="Arial" w:eastAsia="Arial" w:hAnsi="Arial"/>
          <w:sz w:val="20"/>
          <w:szCs w:val="20"/>
          <w:color w:val="auto"/>
        </w:rPr>
        <w:t xml:space="preserve">; </w:t>
      </w:r>
      <w:r>
        <w:rPr>
          <w:rFonts w:ascii="Arial" w:cs="Arial" w:eastAsia="Arial" w:hAnsi="Arial"/>
          <w:sz w:val="20"/>
          <w:szCs w:val="20"/>
          <w:b w:val="1"/>
          <w:bCs w:val="1"/>
          <w:color w:val="auto"/>
        </w:rPr>
        <w:t>injury</w:t>
      </w:r>
      <w:r>
        <w:rPr>
          <w:rFonts w:ascii="Arial" w:cs="Arial" w:eastAsia="Arial" w:hAnsi="Arial"/>
          <w:sz w:val="20"/>
          <w:szCs w:val="20"/>
          <w:color w:val="auto"/>
        </w:rPr>
        <w:t>; or condition; that:</w:t>
      </w:r>
    </w:p>
    <w:p>
      <w:pPr>
        <w:spacing w:after="0" w:line="213" w:lineRule="exact"/>
        <w:rPr>
          <w:sz w:val="20"/>
          <w:szCs w:val="20"/>
          <w:color w:val="auto"/>
        </w:rPr>
      </w:pPr>
    </w:p>
    <w:p>
      <w:pPr>
        <w:ind w:left="340" w:hanging="331"/>
        <w:spacing w:after="0"/>
        <w:tabs>
          <w:tab w:leader="none" w:pos="340" w:val="left"/>
        </w:tabs>
        <w:numPr>
          <w:ilvl w:val="0"/>
          <w:numId w:val="446"/>
        </w:numPr>
        <w:rPr>
          <w:rFonts w:ascii="Arial" w:cs="Arial" w:eastAsia="Arial" w:hAnsi="Arial"/>
          <w:sz w:val="20"/>
          <w:szCs w:val="20"/>
          <w:color w:val="auto"/>
        </w:rPr>
      </w:pPr>
      <w:r>
        <w:rPr>
          <w:rFonts w:ascii="Arial" w:cs="Arial" w:eastAsia="Arial" w:hAnsi="Arial"/>
          <w:sz w:val="20"/>
          <w:szCs w:val="20"/>
          <w:color w:val="auto"/>
        </w:rPr>
        <w:t>Is severe enough to require prompt medical attention to avoid serious deterioration of your health;</w:t>
      </w:r>
    </w:p>
    <w:p>
      <w:pPr>
        <w:spacing w:after="0" w:line="15" w:lineRule="exact"/>
        <w:rPr>
          <w:rFonts w:ascii="Arial" w:cs="Arial" w:eastAsia="Arial" w:hAnsi="Arial"/>
          <w:sz w:val="20"/>
          <w:szCs w:val="20"/>
          <w:color w:val="auto"/>
        </w:rPr>
      </w:pPr>
    </w:p>
    <w:p>
      <w:pPr>
        <w:ind w:left="340" w:hanging="331"/>
        <w:spacing w:after="0"/>
        <w:tabs>
          <w:tab w:leader="none" w:pos="3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Includes a condition which would subject you to severe pain that could not be adequately managed without urgent care or treatment;</w:t>
      </w:r>
    </w:p>
    <w:p>
      <w:pPr>
        <w:spacing w:after="0" w:line="27" w:lineRule="exact"/>
        <w:rPr>
          <w:rFonts w:ascii="Arial" w:cs="Arial" w:eastAsia="Arial" w:hAnsi="Arial"/>
          <w:sz w:val="18"/>
          <w:szCs w:val="18"/>
          <w:color w:val="auto"/>
        </w:rPr>
      </w:pPr>
    </w:p>
    <w:p>
      <w:pPr>
        <w:ind w:left="340" w:hanging="331"/>
        <w:spacing w:after="0"/>
        <w:tabs>
          <w:tab w:leader="none" w:pos="340" w:val="left"/>
        </w:tabs>
        <w:numPr>
          <w:ilvl w:val="0"/>
          <w:numId w:val="446"/>
        </w:numPr>
        <w:rPr>
          <w:rFonts w:ascii="Arial" w:cs="Arial" w:eastAsia="Arial" w:hAnsi="Arial"/>
          <w:sz w:val="20"/>
          <w:szCs w:val="20"/>
          <w:color w:val="auto"/>
        </w:rPr>
      </w:pPr>
      <w:r>
        <w:rPr>
          <w:rFonts w:ascii="Arial" w:cs="Arial" w:eastAsia="Arial" w:hAnsi="Arial"/>
          <w:sz w:val="20"/>
          <w:szCs w:val="20"/>
          <w:color w:val="auto"/>
        </w:rPr>
        <w:t>Does not require the level of care provided in the emergency room of a hospital;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46"/>
        </w:numPr>
        <w:rPr>
          <w:rFonts w:ascii="Arial" w:cs="Arial" w:eastAsia="Arial" w:hAnsi="Arial"/>
          <w:sz w:val="20"/>
          <w:szCs w:val="20"/>
          <w:color w:val="auto"/>
        </w:rPr>
      </w:pPr>
      <w:r>
        <w:rPr>
          <w:rFonts w:ascii="Arial" w:cs="Arial" w:eastAsia="Arial" w:hAnsi="Arial"/>
          <w:sz w:val="20"/>
          <w:szCs w:val="20"/>
          <w:color w:val="auto"/>
        </w:rPr>
        <w:t>Requires immediate outpatient medical care that cannot be postponed until your physician becomes reasonably available.</w:t>
      </w:r>
    </w:p>
    <w:p>
      <w:pPr>
        <w:sectPr>
          <w:pgSz w:w="11900" w:h="16838" w:orient="portrait"/>
          <w:cols w:equalWidth="0" w:num="1">
            <w:col w:w="11180"/>
          </w:cols>
          <w:pgMar w:left="320" w:top="427" w:right="399" w:bottom="1440" w:gutter="0" w:footer="0" w:header="0"/>
        </w:sectPr>
      </w:pPr>
    </w:p>
    <w:bookmarkStart w:id="281" w:name="page282"/>
    <w:bookmarkEnd w:id="281"/>
    <w:p>
      <w:pPr>
        <w:spacing w:after="0"/>
        <w:rPr>
          <w:sz w:val="20"/>
          <w:szCs w:val="20"/>
          <w:color w:val="auto"/>
        </w:rPr>
      </w:pPr>
      <w:r>
        <w:rPr>
          <w:rFonts w:ascii="Arial" w:cs="Arial" w:eastAsia="Arial" w:hAnsi="Arial"/>
          <w:sz w:val="32"/>
          <w:szCs w:val="32"/>
          <w:b w:val="1"/>
          <w:bCs w:val="1"/>
          <w:color w:val="auto"/>
        </w:rPr>
        <w:t>Additional Information Provided by Booz Allen Hamilton</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information is provided to you in accordance with the Employee Retirement Income Security Act of 1974 (ERISA). It is not a part of your booklet-certificate. Your Plan Administrator has determined that this information together with the information contained in your booklet-certificate is the Summary Plan Description required by ERISA.</w:t>
      </w:r>
    </w:p>
    <w:p>
      <w:pPr>
        <w:spacing w:after="0" w:line="20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furnishing this information, Aetna is acting on behalf of your Plan Administrator who remains responsible for complying with the ERISA reporting rules and regulations on a timely and accurate basis.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Plan: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Booz Allen Hamilton's Welfare Plan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 Identification Number: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Number: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504</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Plan: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Welfare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Administration: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Group Insurance Policy with: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Aetna Life Insurance Company 151 Farmington Avenue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Hartford, CT 06156</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Plan Administrator: </w:t>
      </w:r>
      <w:r>
        <w:rPr>
          <w:rFonts w:ascii="Arial" w:cs="Arial" w:eastAsia="Arial" w:hAnsi="Arial"/>
          <w:sz w:val="19"/>
          <w:szCs w:val="19"/>
          <w:color w:val="auto"/>
        </w:rPr>
        <w:t>Booz Allen Hamilton 8283 Greensboro Dr.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McLean, VA 22102</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 For Service of Legal Process: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Booz Allen Hamilton 8283 Greensboro Dr.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McLean, VA 22102</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Service of legal process may also be made upon the Plan Administrator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End of Plan Year: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 of Contributions: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Employer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 for Amending the Plan: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The Employer may amend the Plan from time to time by a written instrument signed by Plan Administrator.</w:t>
      </w:r>
    </w:p>
    <w:p>
      <w:pPr>
        <w:sectPr>
          <w:pgSz w:w="11900" w:h="16838" w:orient="portrait"/>
          <w:cols w:equalWidth="0" w:num="1">
            <w:col w:w="11220"/>
          </w:cols>
          <w:pgMar w:left="320" w:top="544" w:right="35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b w:val="1"/>
          <w:bCs w:val="1"/>
          <w:color w:val="auto"/>
        </w:rPr>
        <w:t>ERISA Rights</w:t>
      </w:r>
    </w:p>
    <w:p>
      <w:pPr>
        <w:spacing w:after="0" w:line="17"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As a participant in the group insurance plan you are entitled to certain rights and protections under the Employee Retirement Income Security Act of 1974. ERISA provides that all plan participants shall be entitled to: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Receive Information about Your Plan and Benefits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Examine, without charge, at the Plan Administrator’s office and at other specified locations, such as worksites and union halls, all documents governing the Plan, including insurance contracts, collective bargaining agreements, and a copy of the latest annual report (Form 5500 Series) that is filed by the Plan with the U.S. Department of Labor and available at the Public Disclosure Room of the Employee Benefits Security Administration.</w:t>
      </w:r>
    </w:p>
    <w:p>
      <w:pPr>
        <w:spacing w:after="0" w:line="208" w:lineRule="exact"/>
        <w:rPr>
          <w:sz w:val="20"/>
          <w:szCs w:val="20"/>
          <w:color w:val="auto"/>
        </w:rPr>
      </w:pPr>
    </w:p>
    <w:p>
      <w:pPr>
        <w:jc w:val="both"/>
        <w:ind w:right="780"/>
        <w:spacing w:after="0" w:line="250" w:lineRule="auto"/>
        <w:rPr>
          <w:sz w:val="20"/>
          <w:szCs w:val="20"/>
          <w:color w:val="auto"/>
        </w:rPr>
      </w:pPr>
      <w:r>
        <w:rPr>
          <w:rFonts w:ascii="Arial" w:cs="Arial" w:eastAsia="Arial" w:hAnsi="Arial"/>
          <w:sz w:val="20"/>
          <w:szCs w:val="20"/>
          <w:color w:val="auto"/>
        </w:rPr>
        <w:t>Obtain, upon written request to the Plan Administrator, copies of documents governing the operation of the Plan, including insurance contracts, collective bargaining agreements, and copies of the latest annual report (Form 5500 Series), and an updated Summary Plan Description. The Administrator may make a reasonable charge for the copies.</w:t>
      </w:r>
    </w:p>
    <w:p>
      <w:pPr>
        <w:spacing w:after="0" w:line="20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Receive a summary of the Plan’s annual financial report. The Plan Administrator is required by law to furnish each participant with a copy of this summary annual report.</w:t>
      </w:r>
    </w:p>
    <w:p>
      <w:pPr>
        <w:spacing w:after="0" w:line="190"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Receive a copy of the procedures used by the Plan for determining a qualified domestic relations order (QDRO) or a qualified medical child support order (QMCSO).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Continue Group Health Plan Coverage</w:t>
      </w:r>
    </w:p>
    <w:p>
      <w:pPr>
        <w:spacing w:after="0" w:line="22" w:lineRule="exact"/>
        <w:rPr>
          <w:sz w:val="20"/>
          <w:szCs w:val="20"/>
          <w:color w:val="auto"/>
        </w:rPr>
      </w:pPr>
    </w:p>
    <w:p>
      <w:pPr>
        <w:jc w:val="both"/>
        <w:ind w:right="560"/>
        <w:spacing w:after="0" w:line="241" w:lineRule="auto"/>
        <w:rPr>
          <w:sz w:val="20"/>
          <w:szCs w:val="20"/>
          <w:color w:val="auto"/>
        </w:rPr>
      </w:pPr>
      <w:r>
        <w:rPr>
          <w:rFonts w:ascii="Arial" w:cs="Arial" w:eastAsia="Arial" w:hAnsi="Arial"/>
          <w:sz w:val="20"/>
          <w:szCs w:val="20"/>
          <w:color w:val="auto"/>
        </w:rPr>
        <w:t>Continue health care coverage for yourself, your spouse, or your dependents if there is a loss of coverage under the Plan as a result of a qualifying event. You or your dependents may have to pay for such coverage. Review this summary plan description and the documents governing the Plan for the rules governing your COBRA continuation coverage rights.</w:t>
      </w:r>
    </w:p>
    <w:p>
      <w:pPr>
        <w:spacing w:after="0" w:line="21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Reduction or elimination of exclusionary periods of coverage for preexisting conditions under your group health plan, if you have creditable coverage from another plan. You should be provided a certificate of creditable coverage, free of charge, from your group health plan or health insurance issuer when you lose coverage under the Plan, when you become entitled to elect COBRA continuation coverage, when your COBRA continuation coverage ceases, if you request it before losing coverage, or if you request it up to 24 months after losing coverage. Without evidence of creditable coverage, you may be subject to preexisting condition exclusion for 12 months after your enrollment date in your coverage under this Plan. Contact your Plan Administrator for assistance in obtaining a certificate of creditable coverage.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Prudent Actions by Plan Fiduciaries</w:t>
      </w:r>
    </w:p>
    <w:p>
      <w:pPr>
        <w:spacing w:after="0" w:line="2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your interest and that of other plan participants and beneficiaries. No one, including your employer, your union, or any other person, may fire you or otherwise discriminate against you in any way to prevent you from obtaining a welfare benefit or exercising your rights under ERISA.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Enforce Your Rights</w:t>
      </w:r>
    </w:p>
    <w:p>
      <w:pPr>
        <w:spacing w:after="0" w:line="28"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If your claim for a welfare benefit is denied or ignored, in whole or in part, you have a right to know why this was done, to obtain documents relating to the decision without charge, and to appeal any denial, all within certain time schedules.</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Under ERISA there are steps you can take to enforce the above rights. For instance, if you request materials from the Plan and do not receive them within 30 days you may file suit in a federal court. In such a case, the court may require the Plan Administrator to provide the materials and pay up to $ 110 a day until you receive the materials, unless the materials were not sent because of reasons beyond the control of the Administrator.</w:t>
      </w:r>
    </w:p>
    <w:p>
      <w:pPr>
        <w:spacing w:after="0" w:line="205"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If you have a claim for benefits which is denied or ignored, in whole or in part, you may file suit in a state or federal court. In addition, if you disagree with the Plan’s decision or lack thereof concerning the status of a domestic relations order or a medical child support order, you may file suit in a federal court.</w:t>
      </w:r>
    </w:p>
    <w:p>
      <w:pPr>
        <w:sectPr>
          <w:pgSz w:w="11900" w:h="16838" w:orient="portrait"/>
          <w:cols w:equalWidth="0" w:num="1">
            <w:col w:w="11340"/>
          </w:cols>
          <w:pgMar w:left="320" w:top="436" w:right="239" w:bottom="1440" w:gutter="0" w:footer="0" w:header="0"/>
        </w:sectPr>
      </w:pPr>
    </w:p>
    <w:bookmarkStart w:id="283" w:name="page284"/>
    <w:bookmarkEnd w:id="283"/>
    <w:p>
      <w:pPr>
        <w:ind w:right="60"/>
        <w:spacing w:after="0" w:line="246" w:lineRule="auto"/>
        <w:rPr>
          <w:sz w:val="20"/>
          <w:szCs w:val="20"/>
          <w:color w:val="auto"/>
        </w:rPr>
      </w:pPr>
      <w:r>
        <w:rPr>
          <w:rFonts w:ascii="Arial" w:cs="Arial" w:eastAsia="Arial" w:hAnsi="Arial"/>
          <w:sz w:val="20"/>
          <w:szCs w:val="20"/>
          <w:color w:val="auto"/>
        </w:rPr>
        <w:t>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Assistance with Your Questions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about your Plan, you should contact the Plan Administrator.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about this statement or about your rights under ERISA, you should contact:</w:t>
      </w:r>
    </w:p>
    <w:p>
      <w:pPr>
        <w:spacing w:after="0" w:line="216" w:lineRule="exact"/>
        <w:rPr>
          <w:sz w:val="20"/>
          <w:szCs w:val="20"/>
          <w:color w:val="auto"/>
        </w:rPr>
      </w:pPr>
    </w:p>
    <w:p>
      <w:pPr>
        <w:ind w:left="340" w:hanging="331"/>
        <w:spacing w:after="0"/>
        <w:tabs>
          <w:tab w:leader="none" w:pos="3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nearest office of the Employee Benefits Security Administration, U.S. Department of Labor, listed in your telephone directory; or</w:t>
      </w:r>
    </w:p>
    <w:p>
      <w:pPr>
        <w:spacing w:after="0" w:line="38" w:lineRule="exact"/>
        <w:rPr>
          <w:rFonts w:ascii="Arial" w:cs="Arial" w:eastAsia="Arial" w:hAnsi="Arial"/>
          <w:sz w:val="18"/>
          <w:szCs w:val="18"/>
          <w:color w:val="auto"/>
        </w:rPr>
      </w:pPr>
    </w:p>
    <w:p>
      <w:pPr>
        <w:ind w:left="340" w:right="900" w:hanging="331"/>
        <w:spacing w:after="0" w:line="244" w:lineRule="auto"/>
        <w:tabs>
          <w:tab w:leader="none" w:pos="34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the Division of Technical Assistance and Inquiries, Employee Benefits Security Administration, U.S. Department of Labor, 200 Constitution Avenue, N.W., Washington D.C. 20210.</w:t>
      </w:r>
    </w:p>
    <w:p>
      <w:pPr>
        <w:spacing w:after="0" w:line="205"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You may also obtain certain publications about your rights and responsibilities under ERISA by calling the publications hotline of the Employee Benefits Security 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Rights under the Newborns' and Mothers' Health Protection Act</w:t>
      </w:r>
    </w:p>
    <w:p>
      <w:pPr>
        <w:spacing w:after="0" w:line="28" w:lineRule="exact"/>
        <w:rPr>
          <w:sz w:val="20"/>
          <w:szCs w:val="20"/>
          <w:color w:val="auto"/>
        </w:rPr>
      </w:pPr>
    </w:p>
    <w:p>
      <w:pPr>
        <w:jc w:val="both"/>
        <w:ind w:right="40"/>
        <w:spacing w:after="0"/>
        <w:rPr>
          <w:sz w:val="20"/>
          <w:szCs w:val="20"/>
          <w:color w:val="auto"/>
        </w:rPr>
      </w:pPr>
      <w:r>
        <w:rPr>
          <w:rFonts w:ascii="Arial" w:cs="Arial" w:eastAsia="Arial" w:hAnsi="Arial"/>
          <w:sz w:val="20"/>
          <w:szCs w:val="20"/>
          <w:color w:val="auto"/>
        </w:rPr>
        <w:t>Under federal law, group health plans and health insurance issuers offering group health insurance coverage generally may not restrict benefits for any hospital length of stay in connection with childbirth for the mother or newborn child to less than 48 hours following a vaginal delivery, or less than 96 hours following a delivery by cesarean section.</w:t>
      </w:r>
    </w:p>
    <w:p>
      <w:pPr>
        <w:spacing w:after="0" w:line="2"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However, the plan or issuer may pay for a shorter stay if the attending provider (e.g., your physician, nurse midwife, or physician assistant), after consultation with the mother, discharges the mother or newborn earlier.</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Also, under federal law, plans and issuers may not set the level of benefits or out-of-pocket costs so that any later portion of the 48-hour (or 96-hour) stay is treated in a manner less favorable to the mother or newborn than any earlier portion of the stay.</w:t>
      </w:r>
    </w:p>
    <w:p>
      <w:pPr>
        <w:spacing w:after="0" w:line="136"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In addition, a plan or issuer may not, under federal law, require that you, your physician, or other health care provider obtain authorization for prescribing a length of stay of up to 48 hours (or 96 hours). However, you may be required to obtain precertification for any days of confinement that exceed 48 hours (or 96 hours). For information on precertification, contact your plan administrator.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Women's Health and Cancer Rights Act</w:t>
      </w:r>
    </w:p>
    <w:p>
      <w:pPr>
        <w:spacing w:after="0" w:line="28" w:lineRule="exact"/>
        <w:rPr>
          <w:sz w:val="20"/>
          <w:szCs w:val="20"/>
          <w:color w:val="auto"/>
        </w:rPr>
      </w:pPr>
    </w:p>
    <w:p>
      <w:pPr>
        <w:ind w:right="560"/>
        <w:spacing w:after="0" w:line="301" w:lineRule="auto"/>
        <w:rPr>
          <w:sz w:val="20"/>
          <w:szCs w:val="20"/>
          <w:color w:val="auto"/>
        </w:rPr>
      </w:pPr>
      <w:r>
        <w:rPr>
          <w:rFonts w:ascii="Arial" w:cs="Arial" w:eastAsia="Arial" w:hAnsi="Arial"/>
          <w:sz w:val="18"/>
          <w:szCs w:val="18"/>
          <w:color w:val="auto"/>
        </w:rPr>
        <w:t>Under this health plan, as required by the Women's Health and Cancer Rights Act of 1998, coverage will be provided to a person who is receiving benefits in connection with a mastectomy and who elects breast reconstruction in connection with the mastectomy for:</w:t>
      </w:r>
    </w:p>
    <w:p>
      <w:pPr>
        <w:spacing w:after="0" w:line="102" w:lineRule="exact"/>
        <w:rPr>
          <w:sz w:val="20"/>
          <w:szCs w:val="20"/>
          <w:color w:val="auto"/>
        </w:rPr>
      </w:pPr>
    </w:p>
    <w:p>
      <w:pPr>
        <w:ind w:left="340" w:hanging="331"/>
        <w:spacing w:after="0"/>
        <w:tabs>
          <w:tab w:leader="none" w:pos="34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all stages of reconstruction of the breast on which a mastectomy has been performed;</w:t>
      </w:r>
    </w:p>
    <w:p>
      <w:pPr>
        <w:spacing w:after="0" w:line="20" w:lineRule="exact"/>
        <w:rPr>
          <w:rFonts w:ascii="Arial" w:cs="Arial" w:eastAsia="Arial" w:hAnsi="Arial"/>
          <w:sz w:val="20"/>
          <w:szCs w:val="20"/>
          <w:color w:val="auto"/>
        </w:rPr>
      </w:pPr>
    </w:p>
    <w:p>
      <w:pPr>
        <w:ind w:left="340" w:hanging="331"/>
        <w:spacing w:after="0"/>
        <w:tabs>
          <w:tab w:leader="none" w:pos="34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surgery and reconstruction of the other breast to produce a symmetrical appearance;</w:t>
      </w:r>
    </w:p>
    <w:p>
      <w:pPr>
        <w:spacing w:after="0" w:line="13" w:lineRule="exact"/>
        <w:rPr>
          <w:rFonts w:ascii="Arial" w:cs="Arial" w:eastAsia="Arial" w:hAnsi="Arial"/>
          <w:sz w:val="20"/>
          <w:szCs w:val="20"/>
          <w:color w:val="auto"/>
        </w:rPr>
      </w:pPr>
    </w:p>
    <w:p>
      <w:pPr>
        <w:ind w:left="340" w:hanging="331"/>
        <w:spacing w:after="0"/>
        <w:tabs>
          <w:tab w:leader="none" w:pos="34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prostheses; and</w:t>
      </w:r>
    </w:p>
    <w:p>
      <w:pPr>
        <w:spacing w:after="0" w:line="8" w:lineRule="exact"/>
        <w:rPr>
          <w:rFonts w:ascii="Arial" w:cs="Arial" w:eastAsia="Arial" w:hAnsi="Arial"/>
          <w:sz w:val="20"/>
          <w:szCs w:val="20"/>
          <w:color w:val="auto"/>
        </w:rPr>
      </w:pPr>
    </w:p>
    <w:p>
      <w:pPr>
        <w:ind w:left="340" w:hanging="331"/>
        <w:spacing w:after="0"/>
        <w:tabs>
          <w:tab w:leader="none" w:pos="34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treatment of physical complications of all stages of mastectomy, including lymphedemas.</w:t>
      </w:r>
    </w:p>
    <w:p>
      <w:pPr>
        <w:spacing w:after="0" w:line="14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This coverage will be provided in consultation with the attending physician and the patient, and will be provided in accordance with the plan design, limitations, copays, deductibles, and referral requirements, if any, as outlined in your plan documents.</w:t>
      </w:r>
    </w:p>
    <w:p>
      <w:pPr>
        <w:spacing w:after="0" w:line="123"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If you have any questions about our coverage of mastectomies and reconstructive surgery, please contact the Member Services number on your ID card.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you can visit this U.S. Department of Health and Human Services website,</w:t>
      </w:r>
    </w:p>
    <w:p>
      <w:pPr>
        <w:spacing w:after="0" w:line="16" w:lineRule="exact"/>
        <w:rPr>
          <w:sz w:val="20"/>
          <w:szCs w:val="20"/>
          <w:color w:val="auto"/>
        </w:rPr>
      </w:pPr>
    </w:p>
    <w:p>
      <w:pPr>
        <w:ind w:right="4280"/>
        <w:spacing w:after="0" w:line="244" w:lineRule="auto"/>
        <w:rPr>
          <w:sz w:val="20"/>
          <w:szCs w:val="20"/>
          <w:color w:val="auto"/>
        </w:rPr>
      </w:pPr>
      <w:r>
        <w:rPr>
          <w:rFonts w:ascii="Arial" w:cs="Arial" w:eastAsia="Arial" w:hAnsi="Arial"/>
          <w:sz w:val="20"/>
          <w:szCs w:val="20"/>
          <w:u w:val="single" w:color="auto"/>
          <w:color w:val="0000FF"/>
        </w:rPr>
        <w:t>http://www.cms.gov/home/regsguidance.asp</w:t>
      </w:r>
      <w:r>
        <w:rPr>
          <w:rFonts w:ascii="Arial" w:cs="Arial" w:eastAsia="Arial" w:hAnsi="Arial"/>
          <w:sz w:val="20"/>
          <w:szCs w:val="20"/>
          <w:color w:val="000000"/>
        </w:rPr>
        <w:t>, and this U.S. Department of Labor website,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http://www.dol.gov/ebsa/consumer_info_health.html</w:t>
      </w:r>
      <w:r>
        <w:rPr>
          <w:rFonts w:ascii="Arial" w:cs="Arial" w:eastAsia="Arial" w:hAnsi="Arial"/>
          <w:sz w:val="20"/>
          <w:szCs w:val="20"/>
          <w:color w:val="000000"/>
        </w:rPr>
        <w:t>.</w:t>
      </w:r>
    </w:p>
    <w:p>
      <w:pPr>
        <w:sectPr>
          <w:pgSz w:w="11900" w:h="16838" w:orient="portrait"/>
          <w:cols w:equalWidth="0" w:num="1">
            <w:col w:w="11340"/>
          </w:cols>
          <w:pgMar w:left="320" w:top="433" w:right="2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b w:val="1"/>
          <w:bCs w:val="1"/>
          <w:color w:val="auto"/>
        </w:rPr>
        <w:t>Confidentiality Notice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Aetna considers personal information to be confidential and has policies and procedures in place to protect it against unlawful use and disclosure. By "personal information," we mean information that relates to a member's physical or mental health or condition, the provision of health care to the member, or payment for the provision of health care or disability or life benefits to the member. Personal information does not include publicly available information or information that is available or reported in a summarized or aggregate fashion but does not identify the member.</w:t>
      </w:r>
    </w:p>
    <w:p>
      <w:pPr>
        <w:spacing w:after="0" w:line="212"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When necessary or appropriate for your care or treatment, the operation of our health, disability or life insurance plans, or other related activities, we use personal information internally, share it with our affiliates, and disclose it to health care providers (doctors, dentists, pharmacies, hospitals and other caregivers), payors (health care provider organizations, employers who sponsor self-funded health plans or who share responsibility for the payment of benefits, and others who may be financially responsible for payment for the services or benefits you receive under your plan), other insurers, third party administrators, vendors, consultants, government authorities, and their respective agents. These parties are required to keep personal information confidential as provided by applicable law. In our health plans, participating network providers are also required to give you access to your medical records within a reasonable amount of time after you make a request.</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Some of the ways in which personal information is used include claim payment; utilization review and management; medical necessity reviews; coordination of care and benefits; preventive health, early detection, vocational rehabilitation and disease and case management; quality assessment and improvement activities; auditing and anti- fraud activities; performance measurement and outcomes assessment; health, disability and life claims analysis and reporting; health services, disability and life research; data and information systems management; compliance with legal and regulatory requirements; formulary management; litigation proceedings; transfer of policies or contracts to and from other insurers, HMOs and third party administrators; underwriting activities; and due diligence activities in connection with the purchase or sale of some or all of our business. We consider these activities key for the operation of our health, disability and life plans. To the extent permitted by law, we use and disclose personal information as provided above without member consent. However, we recognize that many members do not want to receive unsolicited marketing materials unrelated to their health, disability and life benefits. We do not disclose personal information for these marketing purposes unless the member consents. We also have policies addressing circumstances in which members are unable to give consent.</w:t>
      </w: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 xml:space="preserve">To obtain a copy of our Notice of Privacy Practices, which describes in greater detail our practices concerning use and disclosure of personal information, please call the toll-free Member Services number on your ID card or visit our Internet site at </w:t>
      </w:r>
      <w:r>
        <w:rPr>
          <w:rFonts w:ascii="Arial" w:cs="Arial" w:eastAsia="Arial" w:hAnsi="Arial"/>
          <w:sz w:val="19"/>
          <w:szCs w:val="19"/>
          <w:u w:val="single" w:color="auto"/>
          <w:color w:val="auto"/>
        </w:rPr>
        <w:t>www.aetna.com</w:t>
      </w:r>
      <w:r>
        <w:rPr>
          <w:rFonts w:ascii="Arial" w:cs="Arial" w:eastAsia="Arial" w:hAnsi="Arial"/>
          <w:sz w:val="19"/>
          <w:szCs w:val="19"/>
          <w:color w:val="auto"/>
        </w:rPr>
        <w:t>.</w:t>
      </w:r>
    </w:p>
    <w:p>
      <w:pPr>
        <w:sectPr>
          <w:pgSz w:w="11900" w:h="16838" w:orient="portrait"/>
          <w:cols w:equalWidth="0" w:num="1">
            <w:col w:w="11280"/>
          </w:cols>
          <w:pgMar w:left="320" w:top="436" w:right="299" w:bottom="1440" w:gutter="0" w:footer="0" w:header="0"/>
        </w:sectPr>
      </w:pPr>
    </w:p>
    <w:bookmarkStart w:id="285" w:name="page286"/>
    <w:bookmarkEnd w:id="285"/>
    <w:p>
      <w:pPr>
        <w:jc w:val="right"/>
        <w:ind w:right="340"/>
        <w:spacing w:after="0"/>
        <w:rPr>
          <w:sz w:val="20"/>
          <w:szCs w:val="20"/>
          <w:color w:val="auto"/>
        </w:rPr>
      </w:pPr>
      <w:r>
        <w:rPr>
          <w:rFonts w:ascii="Arial" w:cs="Arial" w:eastAsia="Arial" w:hAnsi="Arial"/>
          <w:sz w:val="18"/>
          <w:szCs w:val="18"/>
          <w:b w:val="1"/>
          <w:bCs w:val="1"/>
          <w:color w:val="auto"/>
        </w:rPr>
        <w:t>Exhibit 10.10</w:t>
      </w:r>
    </w:p>
    <w:p>
      <w:pPr>
        <w:spacing w:after="0" w:line="79" w:lineRule="exact"/>
        <w:rPr>
          <w:sz w:val="20"/>
          <w:szCs w:val="20"/>
          <w:color w:val="auto"/>
        </w:rPr>
      </w:pPr>
    </w:p>
    <w:p>
      <w:pPr>
        <w:ind w:left="5000"/>
        <w:spacing w:after="0"/>
        <w:rPr>
          <w:sz w:val="20"/>
          <w:szCs w:val="20"/>
          <w:color w:val="auto"/>
        </w:rPr>
      </w:pPr>
      <w:r>
        <w:rPr>
          <w:rFonts w:ascii="Arial" w:cs="Arial" w:eastAsia="Arial" w:hAnsi="Arial"/>
          <w:sz w:val="22"/>
          <w:szCs w:val="22"/>
          <w:b w:val="1"/>
          <w:bCs w:val="1"/>
          <w:i w:val="1"/>
          <w:iCs w:val="1"/>
          <w:color w:val="383836"/>
        </w:rPr>
        <w:t xml:space="preserve">Group Personal </w:t>
      </w:r>
      <w:r>
        <w:rPr>
          <w:rFonts w:ascii="Arial" w:cs="Arial" w:eastAsia="Arial" w:hAnsi="Arial"/>
          <w:sz w:val="22"/>
          <w:szCs w:val="22"/>
          <w:b w:val="1"/>
          <w:bCs w:val="1"/>
          <w:color w:val="383836"/>
        </w:rPr>
        <w:t>Excess</w:t>
      </w:r>
      <w:r>
        <w:rPr>
          <w:rFonts w:ascii="Arial" w:cs="Arial" w:eastAsia="Arial" w:hAnsi="Arial"/>
          <w:sz w:val="22"/>
          <w:szCs w:val="22"/>
          <w:b w:val="1"/>
          <w:bCs w:val="1"/>
          <w:i w:val="1"/>
          <w:iCs w:val="1"/>
          <w:color w:val="383836"/>
        </w:rPr>
        <w:t xml:space="preserve">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0807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5">
                      <a:extLst>
                        <a:ext uri="{28A0092B-C50C-407E-A947-70E740481C1C}"/>
                      </a:extLst>
                    </a:blip>
                    <a:srcRect/>
                    <a:stretch>
                      <a:fillRect/>
                    </a:stretch>
                  </pic:blipFill>
                  <pic:spPr bwMode="auto">
                    <a:xfrm>
                      <a:off x="0" y="0"/>
                      <a:ext cx="1080770" cy="137160"/>
                    </a:xfrm>
                    <a:prstGeom prst="rect">
                      <a:avLst/>
                    </a:prstGeom>
                    <a:noFill/>
                  </pic:spPr>
                </pic:pic>
              </a:graphicData>
            </a:graphic>
          </wp:anchor>
        </w:drawing>
      </w:r>
    </w:p>
    <w:p>
      <w:pPr>
        <w:spacing w:after="0" w:line="277"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83836"/>
        </w:rPr>
        <w:t>Coverage Summary</w:t>
      </w:r>
    </w:p>
    <w:p>
      <w:pPr>
        <w:sectPr>
          <w:pgSz w:w="11900" w:h="16838" w:orient="portrait"/>
          <w:cols w:equalWidth="0" w:num="1">
            <w:col w:w="10780"/>
          </w:cols>
          <w:pgMar w:left="240" w:top="459" w:right="8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383836"/>
        </w:rPr>
        <w:t xml:space="preserve">Name </w:t>
      </w:r>
      <w:r>
        <w:rPr>
          <w:rFonts w:ascii="Arial" w:cs="Arial" w:eastAsia="Arial" w:hAnsi="Arial"/>
          <w:sz w:val="17"/>
          <w:szCs w:val="17"/>
          <w:i w:val="1"/>
          <w:iCs w:val="1"/>
          <w:color w:val="4B4B49"/>
        </w:rPr>
        <w:t>and address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4B4B49"/>
        </w:rPr>
        <w:t>of Insured</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7"/>
          <w:szCs w:val="17"/>
          <w:color w:val="383836"/>
        </w:rPr>
        <w:t>BOOZ</w:t>
      </w:r>
    </w:p>
    <w:p>
      <w:pPr>
        <w:ind w:left="40"/>
        <w:spacing w:after="0"/>
        <w:rPr>
          <w:sz w:val="20"/>
          <w:szCs w:val="20"/>
          <w:color w:val="auto"/>
        </w:rPr>
      </w:pPr>
      <w:r>
        <w:rPr>
          <w:rFonts w:ascii="Arial" w:cs="Arial" w:eastAsia="Arial" w:hAnsi="Arial"/>
          <w:sz w:val="17"/>
          <w:szCs w:val="17"/>
          <w:color w:val="383836"/>
        </w:rPr>
        <w:t xml:space="preserve">ALLEN </w:t>
      </w:r>
      <w:r>
        <w:rPr>
          <w:rFonts w:ascii="Arial" w:cs="Arial" w:eastAsia="Arial" w:hAnsi="Arial"/>
          <w:sz w:val="17"/>
          <w:szCs w:val="17"/>
          <w:color w:val="4B4B49"/>
        </w:rPr>
        <w:t>HAMILTON</w:t>
      </w:r>
      <w:r>
        <w:rPr>
          <w:rFonts w:ascii="Arial" w:cs="Arial" w:eastAsia="Arial" w:hAnsi="Arial"/>
          <w:sz w:val="17"/>
          <w:szCs w:val="17"/>
          <w:color w:val="383836"/>
        </w:rPr>
        <w:t xml:space="preserve"> INC</w:t>
      </w:r>
    </w:p>
    <w:p>
      <w:pPr>
        <w:spacing w:after="0" w:line="264" w:lineRule="exact"/>
        <w:rPr>
          <w:sz w:val="20"/>
          <w:szCs w:val="20"/>
          <w:color w:val="auto"/>
        </w:rPr>
      </w:pPr>
    </w:p>
    <w:p>
      <w:pPr>
        <w:ind w:left="40" w:right="540"/>
        <w:spacing w:after="0" w:line="243" w:lineRule="auto"/>
        <w:rPr>
          <w:sz w:val="20"/>
          <w:szCs w:val="20"/>
          <w:color w:val="auto"/>
        </w:rPr>
      </w:pPr>
      <w:r>
        <w:rPr>
          <w:rFonts w:ascii="Arial" w:cs="Arial" w:eastAsia="Arial" w:hAnsi="Arial"/>
          <w:sz w:val="17"/>
          <w:szCs w:val="17"/>
          <w:color w:val="383836"/>
        </w:rPr>
        <w:t xml:space="preserve">Group Personal Excess </w:t>
      </w:r>
      <w:r>
        <w:rPr>
          <w:rFonts w:ascii="Arial" w:cs="Arial" w:eastAsia="Arial" w:hAnsi="Arial"/>
          <w:sz w:val="17"/>
          <w:szCs w:val="17"/>
          <w:color w:val="4B4B49"/>
        </w:rPr>
        <w:t>Program</w:t>
      </w:r>
    </w:p>
    <w:p>
      <w:pPr>
        <w:spacing w:after="0" w:line="36" w:lineRule="exact"/>
        <w:rPr>
          <w:sz w:val="20"/>
          <w:szCs w:val="20"/>
          <w:color w:val="auto"/>
        </w:rPr>
      </w:pPr>
    </w:p>
    <w:p>
      <w:pPr>
        <w:ind w:left="40" w:right="540"/>
        <w:spacing w:after="0" w:line="238" w:lineRule="auto"/>
        <w:rPr>
          <w:sz w:val="20"/>
          <w:szCs w:val="20"/>
          <w:color w:val="auto"/>
        </w:rPr>
      </w:pPr>
      <w:r>
        <w:rPr>
          <w:rFonts w:ascii="Arial" w:cs="Arial" w:eastAsia="Arial" w:hAnsi="Arial"/>
          <w:sz w:val="17"/>
          <w:szCs w:val="17"/>
          <w:color w:val="383836"/>
        </w:rPr>
        <w:t xml:space="preserve">GREENSBORO DRIVE </w:t>
      </w:r>
      <w:r>
        <w:rPr>
          <w:rFonts w:ascii="Arial" w:cs="Arial" w:eastAsia="Arial" w:hAnsi="Arial"/>
          <w:sz w:val="17"/>
          <w:szCs w:val="17"/>
          <w:color w:val="4B4B49"/>
        </w:rPr>
        <w:t>MC</w:t>
      </w:r>
      <w:r>
        <w:rPr>
          <w:rFonts w:ascii="Arial" w:cs="Arial" w:eastAsia="Arial" w:hAnsi="Arial"/>
          <w:sz w:val="17"/>
          <w:szCs w:val="17"/>
          <w:color w:val="383836"/>
        </w:rPr>
        <w:t>LEAN</w:t>
      </w:r>
      <w:r>
        <w:rPr>
          <w:rFonts w:ascii="Arial" w:cs="Arial" w:eastAsia="Arial" w:hAnsi="Arial"/>
          <w:sz w:val="17"/>
          <w:szCs w:val="17"/>
          <w:color w:val="626260"/>
        </w:rPr>
        <w:t>,</w:t>
      </w:r>
      <w:r>
        <w:rPr>
          <w:rFonts w:ascii="Arial" w:cs="Arial" w:eastAsia="Arial" w:hAnsi="Arial"/>
          <w:sz w:val="17"/>
          <w:szCs w:val="17"/>
          <w:color w:val="4B4B49"/>
        </w:rPr>
        <w:t xml:space="preserve"> </w:t>
      </w:r>
      <w:r>
        <w:rPr>
          <w:rFonts w:ascii="Arial" w:cs="Arial" w:eastAsia="Arial" w:hAnsi="Arial"/>
          <w:sz w:val="17"/>
          <w:szCs w:val="17"/>
          <w:color w:val="383836"/>
        </w:rPr>
        <w:t>VIRGINIA</w:t>
      </w:r>
      <w:r>
        <w:rPr>
          <w:rFonts w:ascii="Arial" w:cs="Arial" w:eastAsia="Arial" w:hAnsi="Arial"/>
          <w:sz w:val="17"/>
          <w:szCs w:val="17"/>
          <w:color w:val="4B4B49"/>
        </w:rPr>
        <w:t xml:space="preserve"> 22102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383836"/>
        </w:rPr>
        <w:t xml:space="preserve">Producer No.: </w:t>
      </w:r>
      <w:r>
        <w:rPr>
          <w:rFonts w:ascii="Arial" w:cs="Arial" w:eastAsia="Arial" w:hAnsi="Arial"/>
          <w:sz w:val="17"/>
          <w:szCs w:val="17"/>
          <w:color w:val="4B4B49"/>
        </w:rPr>
        <w:t>0017811</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4B4B49"/>
        </w:rPr>
        <w:t>Sponsoring Organization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383836"/>
        </w:rPr>
        <w:t xml:space="preserve">and </w:t>
      </w:r>
      <w:r>
        <w:rPr>
          <w:rFonts w:ascii="Arial" w:cs="Arial" w:eastAsia="Arial" w:hAnsi="Arial"/>
          <w:sz w:val="17"/>
          <w:szCs w:val="17"/>
          <w:i w:val="1"/>
          <w:iCs w:val="1"/>
          <w:color w:val="4B4B49"/>
        </w:rPr>
        <w:t>Address</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7"/>
          <w:szCs w:val="17"/>
          <w:color w:val="383836"/>
        </w:rPr>
        <w:t>Booz Allen Hamilton Inc.</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383836"/>
        </w:rPr>
        <w:t>8283 Greensboro Dr.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4B4B49"/>
        </w:rPr>
        <w:t xml:space="preserve">McLean, </w:t>
      </w:r>
      <w:r>
        <w:rPr>
          <w:rFonts w:ascii="Arial" w:cs="Arial" w:eastAsia="Arial" w:hAnsi="Arial"/>
          <w:sz w:val="17"/>
          <w:szCs w:val="17"/>
          <w:color w:val="383836"/>
        </w:rPr>
        <w:t>VA</w:t>
      </w:r>
      <w:r>
        <w:rPr>
          <w:rFonts w:ascii="Arial" w:cs="Arial" w:eastAsia="Arial" w:hAnsi="Arial"/>
          <w:sz w:val="17"/>
          <w:szCs w:val="17"/>
          <w:color w:val="4B4B49"/>
        </w:rPr>
        <w:t xml:space="preserve"> 22102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83836"/>
        </w:rPr>
        <w:t>Chubb Group of Insurance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83836"/>
        </w:rPr>
        <w:t>Companies</w:t>
      </w:r>
    </w:p>
    <w:p>
      <w:pPr>
        <w:spacing w:after="0" w:line="228" w:lineRule="auto"/>
        <w:rPr>
          <w:sz w:val="20"/>
          <w:szCs w:val="20"/>
          <w:color w:val="auto"/>
        </w:rPr>
      </w:pPr>
      <w:r>
        <w:rPr>
          <w:rFonts w:ascii="Arial" w:cs="Arial" w:eastAsia="Arial" w:hAnsi="Arial"/>
          <w:sz w:val="18"/>
          <w:szCs w:val="18"/>
          <w:b w:val="1"/>
          <w:bCs w:val="1"/>
          <w:i w:val="1"/>
          <w:iCs w:val="1"/>
          <w:color w:val="383836"/>
        </w:rPr>
        <w:t xml:space="preserve">PO BOX </w:t>
      </w:r>
      <w:r>
        <w:rPr>
          <w:rFonts w:ascii="Arial" w:cs="Arial" w:eastAsia="Arial" w:hAnsi="Arial"/>
          <w:sz w:val="17"/>
          <w:szCs w:val="17"/>
          <w:b w:val="1"/>
          <w:bCs w:val="1"/>
          <w:i w:val="1"/>
          <w:iCs w:val="1"/>
          <w:color w:val="383836"/>
        </w:rPr>
        <w:t>1600,</w:t>
      </w:r>
    </w:p>
    <w:p>
      <w:pPr>
        <w:spacing w:after="0" w:line="232" w:lineRule="auto"/>
        <w:rPr>
          <w:sz w:val="20"/>
          <w:szCs w:val="20"/>
          <w:color w:val="auto"/>
        </w:rPr>
      </w:pPr>
      <w:r>
        <w:rPr>
          <w:rFonts w:ascii="Arial" w:cs="Arial" w:eastAsia="Arial" w:hAnsi="Arial"/>
          <w:sz w:val="17"/>
          <w:szCs w:val="17"/>
          <w:b w:val="1"/>
          <w:bCs w:val="1"/>
          <w:i w:val="1"/>
          <w:iCs w:val="1"/>
          <w:color w:val="383836"/>
        </w:rPr>
        <w:t>Whitehouse Station, NJ</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83836"/>
        </w:rPr>
        <w:t>08889-1600</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383836"/>
        </w:rPr>
        <w:t>Policy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4B4B49"/>
        </w:rPr>
        <w:t xml:space="preserve">Issued by </w:t>
      </w:r>
      <w:r>
        <w:rPr>
          <w:rFonts w:ascii="Arial" w:cs="Arial" w:eastAsia="Arial" w:hAnsi="Arial"/>
          <w:sz w:val="17"/>
          <w:szCs w:val="17"/>
          <w:i w:val="1"/>
          <w:iCs w:val="1"/>
          <w:color w:val="383836"/>
        </w:rPr>
        <w:t>the</w:t>
      </w:r>
      <w:r>
        <w:rPr>
          <w:rFonts w:ascii="Arial" w:cs="Arial" w:eastAsia="Arial" w:hAnsi="Arial"/>
          <w:sz w:val="17"/>
          <w:szCs w:val="17"/>
          <w:i w:val="1"/>
          <w:iCs w:val="1"/>
          <w:color w:val="4B4B49"/>
        </w:rPr>
        <w:t xml:space="preserve"> stock </w:t>
      </w:r>
      <w:r>
        <w:rPr>
          <w:rFonts w:ascii="Arial" w:cs="Arial" w:eastAsia="Arial" w:hAnsi="Arial"/>
          <w:sz w:val="17"/>
          <w:szCs w:val="17"/>
          <w:i w:val="1"/>
          <w:iCs w:val="1"/>
          <w:color w:val="626260"/>
        </w:rPr>
        <w:t>insurance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4B4B49"/>
        </w:rPr>
        <w:t xml:space="preserve">company </w:t>
      </w:r>
      <w:r>
        <w:rPr>
          <w:rFonts w:ascii="Arial" w:cs="Arial" w:eastAsia="Arial" w:hAnsi="Arial"/>
          <w:sz w:val="17"/>
          <w:szCs w:val="17"/>
          <w:i w:val="1"/>
          <w:iCs w:val="1"/>
          <w:color w:val="626260"/>
        </w:rPr>
        <w:t>indicated</w:t>
      </w:r>
      <w:r>
        <w:rPr>
          <w:rFonts w:ascii="Arial" w:cs="Arial" w:eastAsia="Arial" w:hAnsi="Arial"/>
          <w:sz w:val="17"/>
          <w:szCs w:val="17"/>
          <w:i w:val="1"/>
          <w:iCs w:val="1"/>
          <w:color w:val="4B4B49"/>
        </w:rPr>
        <w:t xml:space="preserve"> below</w:t>
      </w:r>
      <w:r>
        <w:rPr>
          <w:rFonts w:ascii="Arial" w:cs="Arial" w:eastAsia="Arial" w:hAnsi="Arial"/>
          <w:sz w:val="17"/>
          <w:szCs w:val="17"/>
          <w:i w:val="1"/>
          <w:iCs w:val="1"/>
          <w:color w:val="777575"/>
        </w:rPr>
        <w:t>,</w:t>
      </w:r>
    </w:p>
    <w:p>
      <w:pPr>
        <w:spacing w:after="0"/>
        <w:rPr>
          <w:sz w:val="20"/>
          <w:szCs w:val="20"/>
          <w:color w:val="auto"/>
        </w:rPr>
      </w:pPr>
      <w:r>
        <w:rPr>
          <w:rFonts w:ascii="Arial" w:cs="Arial" w:eastAsia="Arial" w:hAnsi="Arial"/>
          <w:sz w:val="17"/>
          <w:szCs w:val="17"/>
          <w:i w:val="1"/>
          <w:iCs w:val="1"/>
          <w:color w:val="4B4B49"/>
        </w:rPr>
        <w:t>herein called the company.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383836"/>
        </w:rPr>
        <w:t>FEDERAL INSURANCE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383836"/>
        </w:rPr>
        <w:t>COMPANY</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4B4B49"/>
        </w:rPr>
        <w:t>Incorporated under the laws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4B4B49"/>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1372235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4" w:lineRule="exact"/>
        <w:rPr>
          <w:sz w:val="20"/>
          <w:szCs w:val="20"/>
          <w:color w:val="auto"/>
        </w:rPr>
      </w:pPr>
    </w:p>
    <w:p>
      <w:pPr>
        <w:sectPr>
          <w:pgSz w:w="11900" w:h="16838" w:orient="portrait"/>
          <w:cols w:equalWidth="0" w:num="2">
            <w:col w:w="2380" w:space="720"/>
            <w:col w:w="7680"/>
          </w:cols>
          <w:pgMar w:left="240" w:top="459" w:right="879" w:bottom="0" w:gutter="0" w:footer="0" w:header="0"/>
          <w:type w:val="continuous"/>
        </w:sectPr>
      </w:pPr>
    </w:p>
    <w:p>
      <w:pPr>
        <w:spacing w:after="0" w:line="31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Policy Period</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 xml:space="preserve">From: JANUARY </w:t>
      </w:r>
      <w:r>
        <w:rPr>
          <w:rFonts w:ascii="Arial" w:cs="Arial" w:eastAsia="Arial" w:hAnsi="Arial"/>
          <w:sz w:val="17"/>
          <w:szCs w:val="17"/>
          <w:color w:val="4B4B49"/>
        </w:rPr>
        <w:t>01, 2018</w:t>
      </w:r>
      <w:r>
        <w:rPr>
          <w:rFonts w:ascii="Arial" w:cs="Arial" w:eastAsia="Arial" w:hAnsi="Arial"/>
          <w:sz w:val="17"/>
          <w:szCs w:val="17"/>
          <w:color w:val="383836"/>
        </w:rPr>
        <w:t xml:space="preserve"> To: JANUARY </w:t>
      </w:r>
      <w:r>
        <w:rPr>
          <w:rFonts w:ascii="Arial" w:cs="Arial" w:eastAsia="Arial" w:hAnsi="Arial"/>
          <w:sz w:val="17"/>
          <w:szCs w:val="17"/>
          <w:color w:val="4B4B49"/>
        </w:rPr>
        <w:t>01, 2019</w:t>
      </w:r>
    </w:p>
    <w:p>
      <w:pPr>
        <w:ind w:left="1000"/>
        <w:spacing w:after="0"/>
        <w:rPr>
          <w:sz w:val="20"/>
          <w:szCs w:val="20"/>
          <w:color w:val="auto"/>
        </w:rPr>
      </w:pPr>
      <w:r>
        <w:rPr>
          <w:rFonts w:ascii="Arial" w:cs="Arial" w:eastAsia="Arial" w:hAnsi="Arial"/>
          <w:sz w:val="17"/>
          <w:szCs w:val="17"/>
          <w:color w:val="383836"/>
        </w:rPr>
        <w:t>12:01 A.M</w:t>
      </w:r>
      <w:r>
        <w:rPr>
          <w:rFonts w:ascii="Arial" w:cs="Arial" w:eastAsia="Arial" w:hAnsi="Arial"/>
          <w:sz w:val="17"/>
          <w:szCs w:val="17"/>
          <w:color w:val="1F1F1F"/>
        </w:rPr>
        <w:t>.</w:t>
      </w:r>
      <w:r>
        <w:rPr>
          <w:rFonts w:ascii="Arial" w:cs="Arial" w:eastAsia="Arial" w:hAnsi="Arial"/>
          <w:sz w:val="17"/>
          <w:szCs w:val="17"/>
          <w:color w:val="383836"/>
        </w:rPr>
        <w:t xml:space="preserve"> Standard Time at the Named </w:t>
      </w:r>
      <w:r>
        <w:rPr>
          <w:rFonts w:ascii="Arial" w:cs="Arial" w:eastAsia="Arial" w:hAnsi="Arial"/>
          <w:sz w:val="17"/>
          <w:szCs w:val="17"/>
          <w:color w:val="1F1F1F"/>
        </w:rPr>
        <w:t>l</w:t>
      </w:r>
      <w:r>
        <w:rPr>
          <w:rFonts w:ascii="Arial" w:cs="Arial" w:eastAsia="Arial" w:hAnsi="Arial"/>
          <w:sz w:val="17"/>
          <w:szCs w:val="17"/>
          <w:color w:val="383836"/>
        </w:rPr>
        <w:t>nsured' s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Premium</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Amount</w:t>
      </w:r>
    </w:p>
    <w:p>
      <w:pPr>
        <w:ind w:left="1000"/>
        <w:spacing w:after="0"/>
        <w:rPr>
          <w:sz w:val="20"/>
          <w:szCs w:val="20"/>
          <w:color w:val="auto"/>
        </w:rPr>
      </w:pPr>
      <w:r>
        <w:rPr>
          <w:rFonts w:ascii="Arial" w:cs="Arial" w:eastAsia="Arial" w:hAnsi="Arial"/>
          <w:sz w:val="17"/>
          <w:szCs w:val="17"/>
          <w:color w:val="4B4B49"/>
        </w:rPr>
        <w:t>$156</w:t>
      </w:r>
      <w:r>
        <w:rPr>
          <w:rFonts w:ascii="Arial" w:cs="Arial" w:eastAsia="Arial" w:hAnsi="Arial"/>
          <w:sz w:val="17"/>
          <w:szCs w:val="17"/>
          <w:color w:val="777575"/>
        </w:rPr>
        <w:t>,</w:t>
      </w:r>
      <w:r>
        <w:rPr>
          <w:rFonts w:ascii="Arial" w:cs="Arial" w:eastAsia="Arial" w:hAnsi="Arial"/>
          <w:sz w:val="17"/>
          <w:szCs w:val="17"/>
          <w:color w:val="4B4B49"/>
        </w:rPr>
        <w:t>652.00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Limit Of Liability</w:t>
      </w:r>
    </w:p>
    <w:p>
      <w:pPr>
        <w:spacing w:after="0" w:line="194"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7"/>
          <w:szCs w:val="17"/>
          <w:color w:val="4B4B49"/>
        </w:rPr>
        <w:t xml:space="preserve">SEE </w:t>
      </w:r>
      <w:r>
        <w:rPr>
          <w:rFonts w:ascii="Arial" w:cs="Arial" w:eastAsia="Arial" w:hAnsi="Arial"/>
          <w:sz w:val="17"/>
          <w:szCs w:val="17"/>
          <w:color w:val="383836"/>
        </w:rPr>
        <w:t>ENDT</w:t>
      </w:r>
      <w:r>
        <w:rPr>
          <w:sz w:val="20"/>
          <w:szCs w:val="20"/>
          <w:color w:val="auto"/>
        </w:rPr>
        <w:tab/>
      </w:r>
      <w:r>
        <w:rPr>
          <w:rFonts w:ascii="Arial" w:cs="Arial" w:eastAsia="Arial" w:hAnsi="Arial"/>
          <w:sz w:val="26"/>
          <w:szCs w:val="26"/>
          <w:color w:val="383836"/>
          <w:vertAlign w:val="subscript"/>
        </w:rPr>
        <w:t>Each</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7"/>
          <w:szCs w:val="17"/>
          <w:color w:val="4B4B49"/>
        </w:rPr>
        <w:t>Occurrence</w:t>
      </w:r>
    </w:p>
    <w:p>
      <w:pPr>
        <w:spacing w:after="0" w:line="39"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7"/>
          <w:szCs w:val="17"/>
          <w:color w:val="4B4B49"/>
        </w:rPr>
        <w:t xml:space="preserve">Excess </w:t>
      </w:r>
      <w:r>
        <w:rPr>
          <w:rFonts w:ascii="Arial" w:cs="Arial" w:eastAsia="Arial" w:hAnsi="Arial"/>
          <w:sz w:val="17"/>
          <w:szCs w:val="17"/>
          <w:color w:val="383836"/>
        </w:rPr>
        <w:t>Uninsured</w:t>
      </w:r>
      <w:r>
        <w:rPr>
          <w:rFonts w:ascii="Arial" w:cs="Arial" w:eastAsia="Arial" w:hAnsi="Arial"/>
          <w:sz w:val="17"/>
          <w:szCs w:val="17"/>
          <w:color w:val="4B4B49"/>
        </w:rPr>
        <w:t xml:space="preserve"> </w:t>
      </w:r>
      <w:r>
        <w:rPr>
          <w:rFonts w:ascii="Arial" w:cs="Arial" w:eastAsia="Arial" w:hAnsi="Arial"/>
          <w:sz w:val="17"/>
          <w:szCs w:val="17"/>
          <w:color w:val="898787"/>
        </w:rPr>
        <w:t>/</w:t>
      </w:r>
      <w:r>
        <w:rPr>
          <w:rFonts w:ascii="Arial" w:cs="Arial" w:eastAsia="Arial" w:hAnsi="Arial"/>
          <w:sz w:val="17"/>
          <w:szCs w:val="17"/>
          <w:color w:val="4B4B49"/>
        </w:rPr>
        <w:t xml:space="preserve"> </w:t>
      </w:r>
      <w:r>
        <w:rPr>
          <w:rFonts w:ascii="Arial" w:cs="Arial" w:eastAsia="Arial" w:hAnsi="Arial"/>
          <w:sz w:val="17"/>
          <w:szCs w:val="17"/>
          <w:color w:val="383836"/>
        </w:rPr>
        <w:t>Underin</w:t>
      </w:r>
      <w:r>
        <w:rPr>
          <w:rFonts w:ascii="Arial" w:cs="Arial" w:eastAsia="Arial" w:hAnsi="Arial"/>
          <w:sz w:val="17"/>
          <w:szCs w:val="17"/>
          <w:color w:val="626260"/>
        </w:rPr>
        <w:t>su</w:t>
      </w:r>
      <w:r>
        <w:rPr>
          <w:rFonts w:ascii="Arial" w:cs="Arial" w:eastAsia="Arial" w:hAnsi="Arial"/>
          <w:sz w:val="17"/>
          <w:szCs w:val="17"/>
          <w:color w:val="383836"/>
        </w:rPr>
        <w:t>red</w:t>
      </w:r>
    </w:p>
    <w:p>
      <w:pPr>
        <w:spacing w:after="0" w:line="65" w:lineRule="exact"/>
        <w:rPr>
          <w:sz w:val="20"/>
          <w:szCs w:val="20"/>
          <w:color w:val="auto"/>
        </w:rPr>
      </w:pPr>
    </w:p>
    <w:p>
      <w:pPr>
        <w:ind w:left="1440"/>
        <w:spacing w:after="0"/>
        <w:rPr>
          <w:sz w:val="20"/>
          <w:szCs w:val="20"/>
          <w:color w:val="auto"/>
        </w:rPr>
      </w:pPr>
      <w:r>
        <w:rPr>
          <w:rFonts w:ascii="Arial" w:cs="Arial" w:eastAsia="Arial" w:hAnsi="Arial"/>
          <w:sz w:val="17"/>
          <w:szCs w:val="17"/>
          <w:color w:val="4B4B49"/>
        </w:rPr>
        <w:t xml:space="preserve">Motorists </w:t>
      </w:r>
      <w:r>
        <w:rPr>
          <w:rFonts w:ascii="Arial" w:cs="Arial" w:eastAsia="Arial" w:hAnsi="Arial"/>
          <w:sz w:val="17"/>
          <w:szCs w:val="17"/>
          <w:color w:val="383836"/>
        </w:rPr>
        <w:t>Protection</w:t>
      </w:r>
      <w:r>
        <w:rPr>
          <w:rFonts w:ascii="Arial" w:cs="Arial" w:eastAsia="Arial" w:hAnsi="Arial"/>
          <w:sz w:val="17"/>
          <w:szCs w:val="17"/>
          <w:color w:val="4B4B49"/>
        </w:rPr>
        <w:t xml:space="preserve"> Each</w:t>
      </w:r>
    </w:p>
    <w:p>
      <w:pPr>
        <w:ind w:left="1440"/>
        <w:spacing w:after="0"/>
        <w:rPr>
          <w:sz w:val="20"/>
          <w:szCs w:val="20"/>
          <w:color w:val="auto"/>
        </w:rPr>
      </w:pPr>
      <w:r>
        <w:rPr>
          <w:rFonts w:ascii="Arial" w:cs="Arial" w:eastAsia="Arial" w:hAnsi="Arial"/>
          <w:sz w:val="17"/>
          <w:szCs w:val="17"/>
          <w:color w:val="4B4B49"/>
        </w:rPr>
        <w:t>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83836"/>
        </w:rPr>
        <w:t>Required Primary Underlying Insurance</w:t>
      </w:r>
    </w:p>
    <w:p>
      <w:pPr>
        <w:spacing w:after="0" w:line="251" w:lineRule="exact"/>
        <w:rPr>
          <w:sz w:val="20"/>
          <w:szCs w:val="20"/>
          <w:color w:val="auto"/>
        </w:rPr>
      </w:pPr>
    </w:p>
    <w:p>
      <w:pPr>
        <w:ind w:right="2460"/>
        <w:spacing w:after="0" w:line="271" w:lineRule="auto"/>
        <w:rPr>
          <w:sz w:val="20"/>
          <w:szCs w:val="20"/>
          <w:color w:val="auto"/>
        </w:rPr>
      </w:pPr>
      <w:r>
        <w:rPr>
          <w:rFonts w:ascii="Arial" w:cs="Arial" w:eastAsia="Arial" w:hAnsi="Arial"/>
          <w:sz w:val="17"/>
          <w:szCs w:val="17"/>
          <w:color w:val="383836"/>
        </w:rPr>
        <w:t>Personal Liabi</w:t>
      </w:r>
      <w:r>
        <w:rPr>
          <w:rFonts w:ascii="Arial" w:cs="Arial" w:eastAsia="Arial" w:hAnsi="Arial"/>
          <w:sz w:val="17"/>
          <w:szCs w:val="17"/>
          <w:color w:val="1F1F1F"/>
        </w:rPr>
        <w:t>l</w:t>
      </w:r>
      <w:r>
        <w:rPr>
          <w:rFonts w:ascii="Arial" w:cs="Arial" w:eastAsia="Arial" w:hAnsi="Arial"/>
          <w:sz w:val="17"/>
          <w:szCs w:val="17"/>
          <w:color w:val="383836"/>
        </w:rPr>
        <w:t xml:space="preserve">ity </w:t>
      </w:r>
      <w:r>
        <w:rPr>
          <w:rFonts w:ascii="Arial" w:cs="Arial" w:eastAsia="Arial" w:hAnsi="Arial"/>
          <w:sz w:val="17"/>
          <w:szCs w:val="17"/>
          <w:color w:val="4B4B49"/>
        </w:rPr>
        <w:t>(Homeowners) for</w:t>
      </w:r>
      <w:r>
        <w:rPr>
          <w:rFonts w:ascii="Arial" w:cs="Arial" w:eastAsia="Arial" w:hAnsi="Arial"/>
          <w:sz w:val="17"/>
          <w:szCs w:val="17"/>
          <w:color w:val="383836"/>
        </w:rPr>
        <w:t xml:space="preserve"> personal injury </w:t>
      </w:r>
      <w:r>
        <w:rPr>
          <w:rFonts w:ascii="Arial" w:cs="Arial" w:eastAsia="Arial" w:hAnsi="Arial"/>
          <w:sz w:val="17"/>
          <w:szCs w:val="17"/>
          <w:color w:val="4B4B49"/>
        </w:rPr>
        <w:t>and</w:t>
      </w:r>
      <w:r>
        <w:rPr>
          <w:rFonts w:ascii="Arial" w:cs="Arial" w:eastAsia="Arial" w:hAnsi="Arial"/>
          <w:sz w:val="17"/>
          <w:szCs w:val="17"/>
          <w:color w:val="383836"/>
        </w:rPr>
        <w:t xml:space="preserve"> property </w:t>
      </w:r>
      <w:r>
        <w:rPr>
          <w:rFonts w:ascii="Arial" w:cs="Arial" w:eastAsia="Arial" w:hAnsi="Arial"/>
          <w:sz w:val="17"/>
          <w:szCs w:val="17"/>
          <w:color w:val="4B4B49"/>
        </w:rPr>
        <w:t>damage</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$300,000</w:t>
      </w:r>
      <w:r>
        <w:rPr>
          <w:rFonts w:ascii="Arial" w:cs="Arial" w:eastAsia="Arial" w:hAnsi="Arial"/>
          <w:sz w:val="17"/>
          <w:szCs w:val="17"/>
          <w:color w:val="383836"/>
        </w:rPr>
        <w:t xml:space="preserve"> each </w:t>
      </w:r>
      <w:r>
        <w:rPr>
          <w:rFonts w:ascii="Arial" w:cs="Arial" w:eastAsia="Arial" w:hAnsi="Arial"/>
          <w:sz w:val="17"/>
          <w:szCs w:val="17"/>
          <w:color w:val="4B4B49"/>
        </w:rPr>
        <w:t>occurrence</w:t>
      </w:r>
      <w:r>
        <w:rPr>
          <w:rFonts w:ascii="Arial" w:cs="Arial" w:eastAsia="Arial" w:hAnsi="Arial"/>
          <w:sz w:val="19"/>
          <w:szCs w:val="19"/>
          <w:color w:val="1F1F1F"/>
        </w:rPr>
        <w:t>.</w:t>
      </w:r>
    </w:p>
    <w:p>
      <w:pPr>
        <w:spacing w:after="0" w:line="182" w:lineRule="exact"/>
        <w:rPr>
          <w:sz w:val="20"/>
          <w:szCs w:val="20"/>
          <w:color w:val="auto"/>
        </w:rPr>
      </w:pPr>
    </w:p>
    <w:p>
      <w:pPr>
        <w:spacing w:after="0" w:line="294" w:lineRule="auto"/>
        <w:rPr>
          <w:sz w:val="20"/>
          <w:szCs w:val="20"/>
          <w:color w:val="auto"/>
        </w:rPr>
      </w:pPr>
      <w:r>
        <w:rPr>
          <w:rFonts w:ascii="Arial" w:cs="Arial" w:eastAsia="Arial" w:hAnsi="Arial"/>
          <w:sz w:val="17"/>
          <w:szCs w:val="17"/>
          <w:color w:val="383836"/>
        </w:rPr>
        <w:t xml:space="preserve">Registered </w:t>
      </w:r>
      <w:r>
        <w:rPr>
          <w:rFonts w:ascii="Arial" w:cs="Arial" w:eastAsia="Arial" w:hAnsi="Arial"/>
          <w:sz w:val="17"/>
          <w:szCs w:val="17"/>
          <w:color w:val="4B4B49"/>
        </w:rPr>
        <w:t>vehic</w:t>
      </w:r>
      <w:r>
        <w:rPr>
          <w:rFonts w:ascii="Arial" w:cs="Arial" w:eastAsia="Arial" w:hAnsi="Arial"/>
          <w:sz w:val="17"/>
          <w:szCs w:val="17"/>
          <w:color w:val="1F1F1F"/>
        </w:rPr>
        <w:t>l</w:t>
      </w:r>
      <w:r>
        <w:rPr>
          <w:rFonts w:ascii="Arial" w:cs="Arial" w:eastAsia="Arial" w:hAnsi="Arial"/>
          <w:sz w:val="17"/>
          <w:szCs w:val="17"/>
          <w:color w:val="4B4B49"/>
        </w:rPr>
        <w:t>es</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$250,000</w:t>
      </w:r>
      <w:r>
        <w:rPr>
          <w:rFonts w:ascii="Arial" w:cs="Arial" w:eastAsia="Arial" w:hAnsi="Arial"/>
          <w:sz w:val="17"/>
          <w:szCs w:val="17"/>
          <w:color w:val="383836"/>
        </w:rPr>
        <w:t xml:space="preserve"> </w:t>
      </w:r>
      <w:r>
        <w:rPr>
          <w:rFonts w:ascii="Arial" w:cs="Arial" w:eastAsia="Arial" w:hAnsi="Arial"/>
          <w:sz w:val="18"/>
          <w:szCs w:val="18"/>
          <w:i w:val="1"/>
          <w:iCs w:val="1"/>
          <w:color w:val="898787"/>
        </w:rPr>
        <w:t>I</w:t>
      </w:r>
      <w:r>
        <w:rPr>
          <w:rFonts w:ascii="Arial" w:cs="Arial" w:eastAsia="Arial" w:hAnsi="Arial"/>
          <w:sz w:val="17"/>
          <w:szCs w:val="17"/>
          <w:color w:val="383836"/>
        </w:rPr>
        <w:t xml:space="preserve"> </w:t>
      </w:r>
      <w:r>
        <w:rPr>
          <w:rFonts w:ascii="Arial" w:cs="Arial" w:eastAsia="Arial" w:hAnsi="Arial"/>
          <w:sz w:val="17"/>
          <w:szCs w:val="17"/>
          <w:color w:val="4B4B49"/>
        </w:rPr>
        <w:t>$500,000 bodily injury and</w:t>
      </w:r>
      <w:r>
        <w:rPr>
          <w:rFonts w:ascii="Arial" w:cs="Arial" w:eastAsia="Arial" w:hAnsi="Arial"/>
          <w:sz w:val="17"/>
          <w:szCs w:val="17"/>
          <w:color w:val="383836"/>
        </w:rPr>
        <w:t xml:space="preserve"> </w:t>
      </w:r>
      <w:r>
        <w:rPr>
          <w:rFonts w:ascii="Arial" w:cs="Arial" w:eastAsia="Arial" w:hAnsi="Arial"/>
          <w:sz w:val="17"/>
          <w:szCs w:val="17"/>
          <w:color w:val="626260"/>
        </w:rPr>
        <w:t>$100,</w:t>
      </w:r>
      <w:r>
        <w:rPr>
          <w:rFonts w:ascii="Arial" w:cs="Arial" w:eastAsia="Arial" w:hAnsi="Arial"/>
          <w:sz w:val="17"/>
          <w:szCs w:val="17"/>
          <w:color w:val="383836"/>
        </w:rPr>
        <w:t xml:space="preserve">000 </w:t>
      </w:r>
      <w:r>
        <w:rPr>
          <w:rFonts w:ascii="Arial" w:cs="Arial" w:eastAsia="Arial" w:hAnsi="Arial"/>
          <w:sz w:val="17"/>
          <w:szCs w:val="17"/>
          <w:color w:val="4B4B49"/>
        </w:rPr>
        <w:t>property damage; or $300,000 single</w:t>
      </w:r>
      <w:r>
        <w:rPr>
          <w:rFonts w:ascii="Arial" w:cs="Arial" w:eastAsia="Arial" w:hAnsi="Arial"/>
          <w:sz w:val="17"/>
          <w:szCs w:val="17"/>
          <w:color w:val="383836"/>
        </w:rPr>
        <w:t xml:space="preserve"> limit </w:t>
      </w:r>
      <w:r>
        <w:rPr>
          <w:rFonts w:ascii="Arial" w:cs="Arial" w:eastAsia="Arial" w:hAnsi="Arial"/>
          <w:sz w:val="17"/>
          <w:szCs w:val="17"/>
          <w:color w:val="4B4B49"/>
        </w:rPr>
        <w:t>each</w:t>
      </w:r>
      <w:r>
        <w:rPr>
          <w:rFonts w:ascii="Arial" w:cs="Arial" w:eastAsia="Arial" w:hAnsi="Arial"/>
          <w:sz w:val="17"/>
          <w:szCs w:val="17"/>
          <w:color w:val="383836"/>
        </w:rPr>
        <w:t xml:space="preserve"> occurrence.</w:t>
      </w:r>
    </w:p>
    <w:p>
      <w:pPr>
        <w:spacing w:after="0" w:line="300" w:lineRule="exact"/>
        <w:rPr>
          <w:sz w:val="20"/>
          <w:szCs w:val="20"/>
          <w:color w:val="auto"/>
        </w:rPr>
      </w:pPr>
    </w:p>
    <w:p>
      <w:pPr>
        <w:spacing w:after="0"/>
        <w:tabs>
          <w:tab w:leader="none" w:pos="3920" w:val="left"/>
        </w:tabs>
        <w:rPr>
          <w:sz w:val="20"/>
          <w:szCs w:val="20"/>
          <w:color w:val="auto"/>
        </w:rPr>
      </w:pPr>
      <w:r>
        <w:rPr>
          <w:rFonts w:ascii="Arial" w:cs="Arial" w:eastAsia="Arial" w:hAnsi="Arial"/>
          <w:sz w:val="14"/>
          <w:szCs w:val="14"/>
          <w:i w:val="1"/>
          <w:iCs w:val="1"/>
          <w:u w:val="single" w:color="auto"/>
          <w:color w:val="464644"/>
        </w:rPr>
        <w:t>Group</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u w:val="single" w:color="auto"/>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Liability</w:t>
      </w:r>
      <w:r>
        <w:rPr>
          <w:rFonts w:ascii="Arial" w:cs="Arial" w:eastAsia="Arial" w:hAnsi="Arial"/>
          <w:sz w:val="14"/>
          <w:szCs w:val="14"/>
          <w:i w:val="1"/>
          <w:iCs w:val="1"/>
          <w:color w:val="464644"/>
        </w:rPr>
        <w:t xml:space="preserve"> Policy</w:t>
      </w:r>
      <w:r>
        <w:rPr>
          <w:sz w:val="20"/>
          <w:szCs w:val="20"/>
          <w:color w:val="auto"/>
        </w:rPr>
        <w:tab/>
      </w:r>
      <w:r>
        <w:rPr>
          <w:rFonts w:ascii="Arial" w:cs="Arial" w:eastAsia="Arial" w:hAnsi="Arial"/>
          <w:sz w:val="14"/>
          <w:szCs w:val="14"/>
          <w:i w:val="1"/>
          <w:iCs w:val="1"/>
          <w:color w:val="464644"/>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-8890</wp:posOffset>
            </wp:positionV>
            <wp:extent cx="15538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a:extLst>
                        <a:ext uri="{28A0092B-C50C-407E-A947-70E740481C1C}"/>
                      </a:extLst>
                    </a:blip>
                    <a:srcRect/>
                    <a:stretch>
                      <a:fillRect/>
                    </a:stretch>
                  </pic:blipFill>
                  <pic:spPr bwMode="auto">
                    <a:xfrm>
                      <a:off x="0" y="0"/>
                      <a:ext cx="1553845" cy="8890"/>
                    </a:xfrm>
                    <a:prstGeom prst="rect">
                      <a:avLst/>
                    </a:prstGeom>
                    <a:noFill/>
                  </pic:spPr>
                </pic:pic>
              </a:graphicData>
            </a:graphic>
          </wp:anchor>
        </w:drawing>
      </w:r>
    </w:p>
    <w:p>
      <w:pPr>
        <w:sectPr>
          <w:pgSz w:w="11900" w:h="16838" w:orient="portrait"/>
          <w:cols w:equalWidth="0" w:num="1">
            <w:col w:w="10780"/>
          </w:cols>
          <w:pgMar w:left="240" w:top="459" w:right="879" w:bottom="0" w:gutter="0" w:footer="0" w:header="0"/>
          <w:type w:val="continuous"/>
        </w:sectPr>
      </w:pPr>
    </w:p>
    <w:p>
      <w:pPr>
        <w:spacing w:after="0" w:line="30" w:lineRule="exact"/>
        <w:rPr>
          <w:sz w:val="20"/>
          <w:szCs w:val="20"/>
          <w:color w:val="auto"/>
        </w:rPr>
      </w:pPr>
    </w:p>
    <w:p>
      <w:pPr>
        <w:spacing w:after="0"/>
        <w:tabs>
          <w:tab w:leader="none" w:pos="2000" w:val="left"/>
          <w:tab w:leader="none" w:pos="3840" w:val="left"/>
        </w:tabs>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w:t>
      </w:r>
      <w:r>
        <w:rPr>
          <w:rFonts w:ascii="Arial" w:cs="Arial" w:eastAsia="Arial" w:hAnsi="Arial"/>
          <w:sz w:val="14"/>
          <w:szCs w:val="14"/>
          <w:i w:val="1"/>
          <w:iCs w:val="1"/>
          <w:color w:val="363636"/>
        </w:rPr>
        <w:tab/>
        <w:t>Declarations</w:t>
      </w:r>
      <w:r>
        <w:rPr>
          <w:sz w:val="20"/>
          <w:szCs w:val="20"/>
          <w:color w:val="auto"/>
        </w:rPr>
        <w:tab/>
      </w:r>
      <w:r>
        <w:rPr>
          <w:rFonts w:ascii="Arial" w:cs="Arial" w:eastAsia="Arial" w:hAnsi="Arial"/>
          <w:sz w:val="14"/>
          <w:szCs w:val="14"/>
          <w:i w:val="1"/>
          <w:iCs w:val="1"/>
          <w:color w:val="363636"/>
        </w:rPr>
        <w:t>Page 1</w:t>
      </w:r>
    </w:p>
    <w:p>
      <w:pPr>
        <w:sectPr>
          <w:pgSz w:w="11900" w:h="16838" w:orient="portrait"/>
          <w:cols w:equalWidth="0" w:num="1">
            <w:col w:w="10780"/>
          </w:cols>
          <w:pgMar w:left="240" w:top="459" w:right="879" w:bottom="0" w:gutter="0" w:footer="0" w:header="0"/>
          <w:type w:val="continuous"/>
        </w:sectPr>
      </w:pPr>
    </w:p>
    <w:bookmarkStart w:id="286" w:name="page287"/>
    <w:bookmarkEnd w:id="286"/>
    <w:p>
      <w:pPr>
        <w:ind w:left="120"/>
        <w:spacing w:after="0"/>
        <w:rPr>
          <w:sz w:val="20"/>
          <w:szCs w:val="20"/>
          <w:color w:val="auto"/>
        </w:rPr>
      </w:pPr>
      <w:r>
        <w:rPr>
          <w:rFonts w:ascii="Arial" w:cs="Arial" w:eastAsia="Arial" w:hAnsi="Arial"/>
          <w:sz w:val="21"/>
          <w:szCs w:val="21"/>
          <w:b w:val="1"/>
          <w:bCs w:val="1"/>
          <w:i w:val="1"/>
          <w:iCs w:val="1"/>
          <w:color w:val="363636"/>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Required Primary Underlying Insurance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color w:val="464644"/>
        </w:rPr>
        <w:t xml:space="preserve">Unregistered vehicles in the </w:t>
      </w:r>
      <w:r>
        <w:rPr>
          <w:rFonts w:ascii="Arial" w:cs="Arial" w:eastAsia="Arial" w:hAnsi="Arial"/>
          <w:sz w:val="17"/>
          <w:szCs w:val="17"/>
          <w:color w:val="363636"/>
        </w:rPr>
        <w:t>minimum amount of</w:t>
      </w:r>
      <w:r>
        <w:rPr>
          <w:rFonts w:ascii="Arial" w:cs="Arial" w:eastAsia="Arial" w:hAnsi="Arial"/>
          <w:sz w:val="17"/>
          <w:szCs w:val="17"/>
          <w:color w:val="464644"/>
        </w:rPr>
        <w:t xml:space="preserve"> $300,000 bodily </w:t>
      </w:r>
      <w:r>
        <w:rPr>
          <w:rFonts w:ascii="Arial" w:cs="Arial" w:eastAsia="Arial" w:hAnsi="Arial"/>
          <w:sz w:val="17"/>
          <w:szCs w:val="17"/>
          <w:color w:val="363636"/>
        </w:rPr>
        <w:t>injury and property damage each</w:t>
      </w:r>
      <w:r>
        <w:rPr>
          <w:rFonts w:ascii="Arial" w:cs="Arial" w:eastAsia="Arial" w:hAnsi="Arial"/>
          <w:sz w:val="17"/>
          <w:szCs w:val="17"/>
          <w:color w:val="464644"/>
        </w:rPr>
        <w:t xml:space="preserve"> occurrence.</w:t>
      </w:r>
    </w:p>
    <w:p>
      <w:pPr>
        <w:spacing w:after="0" w:line="223" w:lineRule="exact"/>
        <w:rPr>
          <w:sz w:val="20"/>
          <w:szCs w:val="20"/>
          <w:color w:val="auto"/>
        </w:rPr>
      </w:pPr>
    </w:p>
    <w:p>
      <w:pPr>
        <w:ind w:left="120" w:right="180"/>
        <w:spacing w:after="0" w:line="260" w:lineRule="auto"/>
        <w:rPr>
          <w:sz w:val="20"/>
          <w:szCs w:val="20"/>
          <w:color w:val="auto"/>
        </w:rPr>
      </w:pPr>
      <w:r>
        <w:rPr>
          <w:rFonts w:ascii="Arial" w:cs="Arial" w:eastAsia="Arial" w:hAnsi="Arial"/>
          <w:sz w:val="17"/>
          <w:szCs w:val="17"/>
          <w:color w:val="363636"/>
        </w:rPr>
        <w:t xml:space="preserve">Registered vehicles with less than four wheels and </w:t>
      </w:r>
      <w:r>
        <w:rPr>
          <w:rFonts w:ascii="Arial" w:cs="Arial" w:eastAsia="Arial" w:hAnsi="Arial"/>
          <w:sz w:val="17"/>
          <w:szCs w:val="17"/>
          <w:color w:val="464644"/>
        </w:rPr>
        <w:t>motorhomes</w:t>
      </w:r>
      <w:r>
        <w:rPr>
          <w:rFonts w:ascii="Arial" w:cs="Arial" w:eastAsia="Arial" w:hAnsi="Arial"/>
          <w:sz w:val="17"/>
          <w:szCs w:val="17"/>
          <w:color w:val="363636"/>
        </w:rPr>
        <w:t xml:space="preserve"> in the </w:t>
      </w:r>
      <w:r>
        <w:rPr>
          <w:rFonts w:ascii="Arial" w:cs="Arial" w:eastAsia="Arial" w:hAnsi="Arial"/>
          <w:sz w:val="17"/>
          <w:szCs w:val="17"/>
          <w:color w:val="464644"/>
        </w:rPr>
        <w:t>minimum</w:t>
      </w:r>
      <w:r>
        <w:rPr>
          <w:rFonts w:ascii="Arial" w:cs="Arial" w:eastAsia="Arial" w:hAnsi="Arial"/>
          <w:sz w:val="17"/>
          <w:szCs w:val="17"/>
          <w:color w:val="363636"/>
        </w:rPr>
        <w:t xml:space="preserve"> amount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$500,000 bodily injury and </w:t>
      </w:r>
      <w:r>
        <w:rPr>
          <w:rFonts w:ascii="Arial" w:cs="Arial" w:eastAsia="Arial" w:hAnsi="Arial"/>
          <w:sz w:val="17"/>
          <w:szCs w:val="17"/>
          <w:color w:val="464644"/>
        </w:rPr>
        <w:t>$100,000</w:t>
      </w:r>
      <w:r>
        <w:rPr>
          <w:rFonts w:ascii="Arial" w:cs="Arial" w:eastAsia="Arial" w:hAnsi="Arial"/>
          <w:sz w:val="17"/>
          <w:szCs w:val="17"/>
          <w:color w:val="363636"/>
        </w:rPr>
        <w:t xml:space="preserve"> property damage; or </w:t>
      </w:r>
      <w:r>
        <w:rPr>
          <w:rFonts w:ascii="Arial" w:cs="Arial" w:eastAsia="Arial" w:hAnsi="Arial"/>
          <w:sz w:val="17"/>
          <w:szCs w:val="17"/>
          <w:color w:val="464644"/>
        </w:rPr>
        <w:t>$300,000 single</w:t>
      </w:r>
      <w:r>
        <w:rPr>
          <w:rFonts w:ascii="Arial" w:cs="Arial" w:eastAsia="Arial" w:hAnsi="Arial"/>
          <w:sz w:val="17"/>
          <w:szCs w:val="17"/>
          <w:color w:val="363636"/>
        </w:rPr>
        <w:t xml:space="preserve"> limit </w:t>
      </w:r>
      <w:r>
        <w:rPr>
          <w:rFonts w:ascii="Arial" w:cs="Arial" w:eastAsia="Arial" w:hAnsi="Arial"/>
          <w:sz w:val="17"/>
          <w:szCs w:val="17"/>
          <w:color w:val="464644"/>
        </w:rPr>
        <w:t>each occurrence.</w:t>
      </w:r>
    </w:p>
    <w:p>
      <w:pPr>
        <w:spacing w:after="0" w:line="211" w:lineRule="exact"/>
        <w:rPr>
          <w:sz w:val="20"/>
          <w:szCs w:val="20"/>
          <w:color w:val="auto"/>
        </w:rPr>
      </w:pPr>
    </w:p>
    <w:p>
      <w:pPr>
        <w:ind w:left="120" w:right="420"/>
        <w:spacing w:after="0" w:line="276" w:lineRule="auto"/>
        <w:rPr>
          <w:sz w:val="20"/>
          <w:szCs w:val="20"/>
          <w:color w:val="auto"/>
        </w:rPr>
      </w:pPr>
      <w:r>
        <w:rPr>
          <w:rFonts w:ascii="Arial" w:cs="Arial" w:eastAsia="Arial" w:hAnsi="Arial"/>
          <w:sz w:val="17"/>
          <w:szCs w:val="17"/>
          <w:color w:val="363636"/>
        </w:rPr>
        <w:t xml:space="preserve">Watercraft less than 26 feet and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or less for bodily and property damage in the minimum amount of $</w:t>
      </w:r>
      <w:r>
        <w:rPr>
          <w:rFonts w:ascii="Arial" w:cs="Arial" w:eastAsia="Arial" w:hAnsi="Arial"/>
          <w:sz w:val="17"/>
          <w:szCs w:val="17"/>
          <w:color w:val="464644"/>
        </w:rPr>
        <w:t>300,000 each</w:t>
      </w:r>
      <w:r>
        <w:rPr>
          <w:rFonts w:ascii="Arial" w:cs="Arial" w:eastAsia="Arial" w:hAnsi="Arial"/>
          <w:sz w:val="17"/>
          <w:szCs w:val="17"/>
          <w:color w:val="363636"/>
        </w:rPr>
        <w:t xml:space="preserve"> occurrence.</w:t>
      </w:r>
    </w:p>
    <w:p>
      <w:pPr>
        <w:spacing w:after="0" w:line="158" w:lineRule="exact"/>
        <w:rPr>
          <w:sz w:val="20"/>
          <w:szCs w:val="20"/>
          <w:color w:val="auto"/>
        </w:rPr>
      </w:pPr>
    </w:p>
    <w:p>
      <w:pPr>
        <w:ind w:left="120" w:right="260"/>
        <w:spacing w:after="0" w:line="260" w:lineRule="auto"/>
        <w:rPr>
          <w:sz w:val="20"/>
          <w:szCs w:val="20"/>
          <w:color w:val="auto"/>
        </w:rPr>
      </w:pPr>
      <w:r>
        <w:rPr>
          <w:rFonts w:ascii="Arial" w:cs="Arial" w:eastAsia="Arial" w:hAnsi="Arial"/>
          <w:sz w:val="17"/>
          <w:szCs w:val="17"/>
          <w:color w:val="363636"/>
        </w:rPr>
        <w:t xml:space="preserve">Watercraft 26 feet or longer </w:t>
      </w:r>
      <w:r>
        <w:rPr>
          <w:rFonts w:ascii="Arial" w:cs="Arial" w:eastAsia="Arial" w:hAnsi="Arial"/>
          <w:sz w:val="17"/>
          <w:szCs w:val="17"/>
          <w:color w:val="464644"/>
        </w:rPr>
        <w:t>or</w:t>
      </w:r>
      <w:r>
        <w:rPr>
          <w:rFonts w:ascii="Arial" w:cs="Arial" w:eastAsia="Arial" w:hAnsi="Arial"/>
          <w:sz w:val="17"/>
          <w:szCs w:val="17"/>
          <w:color w:val="363636"/>
        </w:rPr>
        <w:t xml:space="preserve"> more </w:t>
      </w:r>
      <w:r>
        <w:rPr>
          <w:rFonts w:ascii="Arial" w:cs="Arial" w:eastAsia="Arial" w:hAnsi="Arial"/>
          <w:sz w:val="17"/>
          <w:szCs w:val="17"/>
          <w:color w:val="464644"/>
        </w:rPr>
        <w:t>than</w:t>
      </w:r>
      <w:r>
        <w:rPr>
          <w:rFonts w:ascii="Arial" w:cs="Arial" w:eastAsia="Arial" w:hAnsi="Arial"/>
          <w:sz w:val="17"/>
          <w:szCs w:val="17"/>
          <w:color w:val="363636"/>
        </w:rPr>
        <w:t xml:space="preserve">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w:t>
      </w:r>
      <w:r>
        <w:rPr>
          <w:rFonts w:ascii="Arial" w:cs="Arial" w:eastAsia="Arial" w:hAnsi="Arial"/>
          <w:sz w:val="17"/>
          <w:szCs w:val="17"/>
          <w:color w:val="464644"/>
        </w:rPr>
        <w:t>for</w:t>
      </w:r>
      <w:r>
        <w:rPr>
          <w:rFonts w:ascii="Arial" w:cs="Arial" w:eastAsia="Arial" w:hAnsi="Arial"/>
          <w:sz w:val="17"/>
          <w:szCs w:val="17"/>
          <w:color w:val="363636"/>
        </w:rPr>
        <w:t xml:space="preserve"> bodily </w:t>
      </w:r>
      <w:r>
        <w:rPr>
          <w:rFonts w:ascii="Arial" w:cs="Arial" w:eastAsia="Arial" w:hAnsi="Arial"/>
          <w:sz w:val="17"/>
          <w:szCs w:val="17"/>
          <w:color w:val="464644"/>
        </w:rPr>
        <w:t>injury</w:t>
      </w:r>
      <w:r>
        <w:rPr>
          <w:rFonts w:ascii="Arial" w:cs="Arial" w:eastAsia="Arial" w:hAnsi="Arial"/>
          <w:sz w:val="17"/>
          <w:szCs w:val="17"/>
          <w:color w:val="363636"/>
        </w:rPr>
        <w:t xml:space="preserve"> and property </w:t>
      </w:r>
      <w:r>
        <w:rPr>
          <w:rFonts w:ascii="Arial" w:cs="Arial" w:eastAsia="Arial" w:hAnsi="Arial"/>
          <w:sz w:val="17"/>
          <w:szCs w:val="17"/>
          <w:color w:val="464644"/>
        </w:rPr>
        <w:t>damage</w:t>
      </w:r>
      <w:r>
        <w:rPr>
          <w:rFonts w:ascii="Arial" w:cs="Arial" w:eastAsia="Arial" w:hAnsi="Arial"/>
          <w:sz w:val="17"/>
          <w:szCs w:val="17"/>
          <w:color w:val="363636"/>
        </w:rPr>
        <w:t xml:space="preserve"> in the minimum amount of $500</w:t>
      </w:r>
      <w:r>
        <w:rPr>
          <w:rFonts w:ascii="Arial" w:cs="Arial" w:eastAsia="Arial" w:hAnsi="Arial"/>
          <w:sz w:val="17"/>
          <w:szCs w:val="17"/>
          <w:color w:val="777775"/>
        </w:rPr>
        <w:t>,</w:t>
      </w:r>
      <w:r>
        <w:rPr>
          <w:rFonts w:ascii="Arial" w:cs="Arial" w:eastAsia="Arial" w:hAnsi="Arial"/>
          <w:sz w:val="17"/>
          <w:szCs w:val="17"/>
          <w:color w:val="363636"/>
        </w:rPr>
        <w:t xml:space="preserve">000 each </w:t>
      </w:r>
      <w:r>
        <w:rPr>
          <w:rFonts w:ascii="Arial" w:cs="Arial" w:eastAsia="Arial" w:hAnsi="Arial"/>
          <w:sz w:val="17"/>
          <w:szCs w:val="17"/>
          <w:color w:val="464644"/>
        </w:rPr>
        <w:t>occurrence.</w:t>
      </w:r>
    </w:p>
    <w:p>
      <w:pPr>
        <w:spacing w:after="0" w:line="211" w:lineRule="exact"/>
        <w:rPr>
          <w:sz w:val="20"/>
          <w:szCs w:val="20"/>
          <w:color w:val="auto"/>
        </w:rPr>
      </w:pPr>
    </w:p>
    <w:p>
      <w:pPr>
        <w:ind w:left="120"/>
        <w:spacing w:after="0" w:line="276" w:lineRule="auto"/>
        <w:rPr>
          <w:sz w:val="20"/>
          <w:szCs w:val="20"/>
          <w:color w:val="auto"/>
        </w:rPr>
      </w:pPr>
      <w:r>
        <w:rPr>
          <w:rFonts w:ascii="Arial" w:cs="Arial" w:eastAsia="Arial" w:hAnsi="Arial"/>
          <w:sz w:val="17"/>
          <w:szCs w:val="17"/>
          <w:color w:val="363636"/>
        </w:rPr>
        <w:t>Uninsured motorists</w:t>
      </w:r>
      <w:r>
        <w:rPr>
          <w:rFonts w:ascii="Arial" w:cs="Arial" w:eastAsia="Arial" w:hAnsi="Arial"/>
          <w:sz w:val="17"/>
          <w:szCs w:val="17"/>
          <w:color w:val="777775"/>
        </w:rPr>
        <w:t>/</w:t>
      </w:r>
      <w:r>
        <w:rPr>
          <w:rFonts w:ascii="Arial" w:cs="Arial" w:eastAsia="Arial" w:hAnsi="Arial"/>
          <w:sz w:val="17"/>
          <w:szCs w:val="17"/>
          <w:color w:val="363636"/>
        </w:rPr>
        <w:t xml:space="preserve">underinsured motorists </w:t>
      </w:r>
      <w:r>
        <w:rPr>
          <w:rFonts w:ascii="Arial" w:cs="Arial" w:eastAsia="Arial" w:hAnsi="Arial"/>
          <w:sz w:val="17"/>
          <w:szCs w:val="17"/>
          <w:color w:val="464644"/>
        </w:rPr>
        <w:t>protection in the</w:t>
      </w:r>
      <w:r>
        <w:rPr>
          <w:rFonts w:ascii="Arial" w:cs="Arial" w:eastAsia="Arial" w:hAnsi="Arial"/>
          <w:sz w:val="17"/>
          <w:szCs w:val="17"/>
          <w:color w:val="363636"/>
        </w:rPr>
        <w:t xml:space="preserve"> minimum amount of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w:t>
      </w:r>
      <w:r>
        <w:rPr>
          <w:rFonts w:ascii="Arial" w:cs="Arial" w:eastAsia="Arial" w:hAnsi="Arial"/>
          <w:sz w:val="17"/>
          <w:szCs w:val="17"/>
          <w:color w:val="464644"/>
        </w:rPr>
        <w:t>$500,000</w:t>
      </w:r>
      <w:r>
        <w:rPr>
          <w:rFonts w:ascii="Arial" w:cs="Arial" w:eastAsia="Arial" w:hAnsi="Arial"/>
          <w:sz w:val="17"/>
          <w:szCs w:val="17"/>
          <w:color w:val="363636"/>
        </w:rPr>
        <w:t xml:space="preserve"> bodily injury and $100,000 property damage; </w:t>
      </w:r>
      <w:r>
        <w:rPr>
          <w:rFonts w:ascii="Arial" w:cs="Arial" w:eastAsia="Arial" w:hAnsi="Arial"/>
          <w:sz w:val="17"/>
          <w:szCs w:val="17"/>
          <w:color w:val="464644"/>
        </w:rPr>
        <w:t xml:space="preserve">or </w:t>
      </w:r>
      <w:r>
        <w:rPr>
          <w:rFonts w:ascii="Arial" w:cs="Arial" w:eastAsia="Arial" w:hAnsi="Arial"/>
          <w:sz w:val="17"/>
          <w:szCs w:val="17"/>
          <w:color w:val="363636"/>
        </w:rPr>
        <w:t>$300,000 single limit occurrence.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63636"/>
        </w:rPr>
        <w:t xml:space="preserve">FAILURE TO COMPLY WITH THE REQUIRED PRIMARY UNDERLYING </w:t>
      </w:r>
      <w:r>
        <w:rPr>
          <w:rFonts w:ascii="Arial" w:cs="Arial" w:eastAsia="Arial" w:hAnsi="Arial"/>
          <w:sz w:val="16"/>
          <w:szCs w:val="16"/>
          <w:b w:val="1"/>
          <w:bCs w:val="1"/>
          <w:color w:val="464644"/>
        </w:rPr>
        <w:t>INSURANCE</w:t>
      </w:r>
      <w:r>
        <w:rPr>
          <w:rFonts w:ascii="Arial" w:cs="Arial" w:eastAsia="Arial" w:hAnsi="Arial"/>
          <w:sz w:val="16"/>
          <w:szCs w:val="16"/>
          <w:b w:val="1"/>
          <w:bCs w:val="1"/>
          <w:color w:val="363636"/>
        </w:rPr>
        <w:t xml:space="preserve"> WILL RESULT IN A GAP </w:t>
      </w:r>
      <w:r>
        <w:rPr>
          <w:rFonts w:ascii="Arial" w:cs="Arial" w:eastAsia="Arial" w:hAnsi="Arial"/>
          <w:sz w:val="16"/>
          <w:szCs w:val="16"/>
          <w:b w:val="1"/>
          <w:bCs w:val="1"/>
          <w:color w:val="464644"/>
        </w:rPr>
        <w:t>IN</w:t>
      </w:r>
      <w:r>
        <w:rPr>
          <w:rFonts w:ascii="Arial" w:cs="Arial" w:eastAsia="Arial" w:hAnsi="Arial"/>
          <w:sz w:val="16"/>
          <w:szCs w:val="16"/>
          <w:b w:val="1"/>
          <w:bCs w:val="1"/>
          <w:color w:val="363636"/>
        </w:rPr>
        <w:t xml:space="preserv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1380" w:type="dxa"/>
            <w:vAlign w:val="bottom"/>
          </w:tcPr>
          <w:p>
            <w:pPr>
              <w:ind w:left="760"/>
              <w:spacing w:after="0"/>
              <w:rPr>
                <w:sz w:val="20"/>
                <w:szCs w:val="20"/>
                <w:color w:val="auto"/>
              </w:rPr>
            </w:pPr>
            <w:r>
              <w:rPr>
                <w:rFonts w:ascii="Arial" w:cs="Arial" w:eastAsia="Arial" w:hAnsi="Arial"/>
                <w:sz w:val="14"/>
                <w:szCs w:val="14"/>
                <w:i w:val="1"/>
                <w:iCs w:val="1"/>
                <w:color w:val="464644"/>
                <w:w w:val="98"/>
              </w:rPr>
              <w:t>continued</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1220" w:type="dxa"/>
            <w:vAlign w:val="bottom"/>
            <w:shd w:val="clear" w:color="auto" w:fill="464644"/>
          </w:tcPr>
          <w:p>
            <w:pPr>
              <w:spacing w:after="0" w:line="20" w:lineRule="exact"/>
              <w:rPr>
                <w:sz w:val="1"/>
                <w:szCs w:val="1"/>
                <w:color w:val="auto"/>
              </w:rPr>
            </w:pPr>
          </w:p>
        </w:tc>
        <w:tc>
          <w:tcPr>
            <w:tcW w:w="1380" w:type="dxa"/>
            <w:vAlign w:val="bottom"/>
            <w:shd w:val="clear" w:color="auto" w:fill="464644"/>
          </w:tcPr>
          <w:p>
            <w:pPr>
              <w:spacing w:after="0" w:line="20" w:lineRule="exact"/>
              <w:rPr>
                <w:sz w:val="1"/>
                <w:szCs w:val="1"/>
                <w:color w:val="auto"/>
              </w:rPr>
            </w:pPr>
          </w:p>
        </w:tc>
      </w:tr>
      <w:tr>
        <w:trPr>
          <w:trHeight w:val="211"/>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  </w:t>
            </w:r>
            <w:r>
              <w:rPr>
                <w:rFonts w:ascii="Arial" w:cs="Arial" w:eastAsia="Arial" w:hAnsi="Arial"/>
                <w:sz w:val="14"/>
                <w:szCs w:val="14"/>
                <w:i w:val="1"/>
                <w:iCs w:val="1"/>
                <w:color w:val="363636"/>
              </w:rPr>
              <w:t>Declarations</w:t>
            </w:r>
          </w:p>
        </w:tc>
        <w:tc>
          <w:tcPr>
            <w:tcW w:w="1380" w:type="dxa"/>
            <w:vAlign w:val="bottom"/>
          </w:tcPr>
          <w:p>
            <w:pPr>
              <w:ind w:left="520"/>
              <w:spacing w:after="0"/>
              <w:rPr>
                <w:sz w:val="20"/>
                <w:szCs w:val="20"/>
                <w:color w:val="auto"/>
              </w:rPr>
            </w:pPr>
            <w:r>
              <w:rPr>
                <w:rFonts w:ascii="Arial" w:cs="Arial" w:eastAsia="Arial" w:hAnsi="Arial"/>
                <w:sz w:val="14"/>
                <w:szCs w:val="14"/>
                <w:i w:val="1"/>
                <w:iCs w:val="1"/>
                <w:color w:val="363636"/>
              </w:rPr>
              <w:t>Page 2</w:t>
            </w:r>
          </w:p>
        </w:tc>
      </w:tr>
    </w:tbl>
    <w:p>
      <w:pPr>
        <w:sectPr>
          <w:pgSz w:w="11900" w:h="16838" w:orient="portrait"/>
          <w:cols w:equalWidth="0" w:num="1">
            <w:col w:w="11280"/>
          </w:cols>
          <w:pgMar w:left="240" w:top="698" w:right="37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10.10</w:t>
      </w:r>
    </w:p>
    <w:p>
      <w:pPr>
        <w:spacing w:after="0" w:line="296" w:lineRule="exact"/>
        <w:rPr>
          <w:sz w:val="20"/>
          <w:szCs w:val="20"/>
          <w:color w:val="auto"/>
        </w:rPr>
      </w:pPr>
    </w:p>
    <w:p>
      <w:pPr>
        <w:ind w:left="1160"/>
        <w:spacing w:after="0"/>
        <w:rPr>
          <w:sz w:val="20"/>
          <w:szCs w:val="20"/>
          <w:color w:val="auto"/>
        </w:rPr>
      </w:pPr>
      <w:r>
        <w:rPr>
          <w:rFonts w:ascii="Arial" w:cs="Arial" w:eastAsia="Arial" w:hAnsi="Arial"/>
          <w:sz w:val="22"/>
          <w:szCs w:val="22"/>
          <w:b w:val="1"/>
          <w:bCs w:val="1"/>
          <w:i w:val="1"/>
          <w:iCs w:val="1"/>
          <w:color w:val="3F3F3D"/>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120078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4">
                      <a:extLst>
                        <a:ext uri="{28A0092B-C50C-407E-A947-70E740481C1C}"/>
                      </a:extLst>
                    </a:blip>
                    <a:srcRect/>
                    <a:stretch>
                      <a:fillRect/>
                    </a:stretch>
                  </pic:blipFill>
                  <pic:spPr bwMode="auto">
                    <a:xfrm>
                      <a:off x="0" y="0"/>
                      <a:ext cx="1200785" cy="154305"/>
                    </a:xfrm>
                    <a:prstGeom prst="rect">
                      <a:avLst/>
                    </a:prstGeom>
                    <a:noFill/>
                  </pic:spPr>
                </pic:pic>
              </a:graphicData>
            </a:graphic>
          </wp:anchor>
        </w:drawing>
      </w:r>
    </w:p>
    <w:p>
      <w:pPr>
        <w:spacing w:after="0" w:line="308"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F3F3D"/>
        </w:rPr>
        <w:t>Coverage Summary</w:t>
      </w:r>
    </w:p>
    <w:p>
      <w:pPr>
        <w:spacing w:after="0" w:line="293" w:lineRule="exact"/>
        <w:rPr>
          <w:sz w:val="20"/>
          <w:szCs w:val="20"/>
          <w:color w:val="auto"/>
        </w:rPr>
      </w:pPr>
    </w:p>
    <w:p>
      <w:pPr>
        <w:ind w:left="2600"/>
        <w:spacing w:after="0"/>
        <w:tabs>
          <w:tab w:leader="none" w:pos="4040" w:val="left"/>
        </w:tabs>
        <w:rPr>
          <w:sz w:val="20"/>
          <w:szCs w:val="20"/>
          <w:color w:val="auto"/>
        </w:rPr>
      </w:pPr>
      <w:r>
        <w:rPr>
          <w:rFonts w:ascii="Arial" w:cs="Arial" w:eastAsia="Arial" w:hAnsi="Arial"/>
          <w:sz w:val="20"/>
          <w:szCs w:val="20"/>
          <w:i w:val="1"/>
          <w:iCs w:val="1"/>
          <w:color w:val="3F3F3D"/>
        </w:rPr>
        <w:t>Effective Date</w:t>
      </w:r>
      <w:r>
        <w:rPr>
          <w:sz w:val="20"/>
          <w:szCs w:val="20"/>
          <w:color w:val="auto"/>
        </w:rPr>
        <w:tab/>
      </w:r>
      <w:r>
        <w:rPr>
          <w:rFonts w:ascii="Arial" w:cs="Arial" w:eastAsia="Arial" w:hAnsi="Arial"/>
          <w:sz w:val="17"/>
          <w:szCs w:val="17"/>
          <w:color w:val="3F3F3D"/>
        </w:rPr>
        <w:t>JANUARY 01</w:t>
      </w:r>
      <w:r>
        <w:rPr>
          <w:rFonts w:ascii="Arial" w:cs="Arial" w:eastAsia="Arial" w:hAnsi="Arial"/>
          <w:sz w:val="17"/>
          <w:szCs w:val="17"/>
          <w:color w:val="5D5D5B"/>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5D5D5B"/>
        </w:rPr>
        <w:t>2018</w:t>
      </w:r>
    </w:p>
    <w:p>
      <w:pPr>
        <w:spacing w:after="0" w:line="268" w:lineRule="exact"/>
        <w:rPr>
          <w:sz w:val="20"/>
          <w:szCs w:val="20"/>
          <w:color w:val="auto"/>
        </w:rPr>
      </w:pPr>
    </w:p>
    <w:p>
      <w:pPr>
        <w:ind w:left="2600"/>
        <w:spacing w:after="0"/>
        <w:rPr>
          <w:sz w:val="20"/>
          <w:szCs w:val="20"/>
          <w:color w:val="auto"/>
        </w:rPr>
      </w:pPr>
      <w:r>
        <w:rPr>
          <w:rFonts w:ascii="Arial" w:cs="Arial" w:eastAsia="Arial" w:hAnsi="Arial"/>
          <w:sz w:val="19"/>
          <w:szCs w:val="19"/>
          <w:i w:val="1"/>
          <w:iCs w:val="1"/>
          <w:color w:val="3F3F3D"/>
        </w:rPr>
        <w:t>Policy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F3F3D"/>
        </w:rPr>
        <w:t>Authorization</w:t>
      </w:r>
    </w:p>
    <w:p>
      <w:pPr>
        <w:spacing w:after="0" w:line="183"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2D2D2B"/>
        </w:rPr>
        <w:t xml:space="preserve">In </w:t>
      </w:r>
      <w:r>
        <w:rPr>
          <w:rFonts w:ascii="Arial" w:cs="Arial" w:eastAsia="Arial" w:hAnsi="Arial"/>
          <w:sz w:val="17"/>
          <w:szCs w:val="17"/>
          <w:color w:val="3F3F3D"/>
        </w:rPr>
        <w:t>Witness Whereof, the</w:t>
      </w:r>
      <w:r>
        <w:rPr>
          <w:rFonts w:ascii="Arial" w:cs="Arial" w:eastAsia="Arial" w:hAnsi="Arial"/>
          <w:sz w:val="17"/>
          <w:szCs w:val="17"/>
          <w:color w:val="2D2D2B"/>
        </w:rPr>
        <w:t xml:space="preserve"> </w:t>
      </w:r>
      <w:r>
        <w:rPr>
          <w:rFonts w:ascii="Arial" w:cs="Arial" w:eastAsia="Arial" w:hAnsi="Arial"/>
          <w:sz w:val="17"/>
          <w:szCs w:val="17"/>
          <w:color w:val="5D5D5B"/>
        </w:rPr>
        <w:t>c</w:t>
      </w:r>
      <w:r>
        <w:rPr>
          <w:rFonts w:ascii="Arial" w:cs="Arial" w:eastAsia="Arial" w:hAnsi="Arial"/>
          <w:sz w:val="17"/>
          <w:szCs w:val="17"/>
          <w:color w:val="3F3F3D"/>
        </w:rPr>
        <w:t>ompany</w:t>
      </w:r>
      <w:r>
        <w:rPr>
          <w:rFonts w:ascii="Arial" w:cs="Arial" w:eastAsia="Arial" w:hAnsi="Arial"/>
          <w:sz w:val="17"/>
          <w:szCs w:val="17"/>
          <w:color w:val="2D2D2B"/>
        </w:rPr>
        <w:t xml:space="preserve"> </w:t>
      </w:r>
      <w:r>
        <w:rPr>
          <w:rFonts w:ascii="Arial" w:cs="Arial" w:eastAsia="Arial" w:hAnsi="Arial"/>
          <w:sz w:val="17"/>
          <w:szCs w:val="17"/>
          <w:color w:val="5D5D5B"/>
        </w:rPr>
        <w:t>i</w:t>
      </w:r>
      <w:r>
        <w:rPr>
          <w:rFonts w:ascii="Arial" w:cs="Arial" w:eastAsia="Arial" w:hAnsi="Arial"/>
          <w:sz w:val="17"/>
          <w:szCs w:val="17"/>
          <w:color w:val="3F3F3D"/>
        </w:rPr>
        <w:t>ssu</w:t>
      </w:r>
      <w:r>
        <w:rPr>
          <w:rFonts w:ascii="Arial" w:cs="Arial" w:eastAsia="Arial" w:hAnsi="Arial"/>
          <w:sz w:val="17"/>
          <w:szCs w:val="17"/>
          <w:color w:val="5D5D5B"/>
        </w:rPr>
        <w:t>i</w:t>
      </w:r>
      <w:r>
        <w:rPr>
          <w:rFonts w:ascii="Arial" w:cs="Arial" w:eastAsia="Arial" w:hAnsi="Arial"/>
          <w:sz w:val="17"/>
          <w:szCs w:val="17"/>
          <w:color w:val="3F3F3D"/>
        </w:rPr>
        <w:t>ng this policy has caused this policy to be signed by its</w:t>
      </w:r>
      <w:r>
        <w:rPr>
          <w:rFonts w:ascii="Arial" w:cs="Arial" w:eastAsia="Arial" w:hAnsi="Arial"/>
          <w:sz w:val="17"/>
          <w:szCs w:val="17"/>
          <w:color w:val="2D2D2B"/>
        </w:rPr>
        <w:t xml:space="preserve"> </w:t>
      </w:r>
      <w:r>
        <w:rPr>
          <w:rFonts w:ascii="Arial" w:cs="Arial" w:eastAsia="Arial" w:hAnsi="Arial"/>
          <w:sz w:val="17"/>
          <w:szCs w:val="17"/>
          <w:color w:val="5D5D5B"/>
        </w:rPr>
        <w:t>au</w:t>
      </w:r>
      <w:r>
        <w:rPr>
          <w:rFonts w:ascii="Arial" w:cs="Arial" w:eastAsia="Arial" w:hAnsi="Arial"/>
          <w:sz w:val="17"/>
          <w:szCs w:val="17"/>
          <w:color w:val="3F3F3D"/>
        </w:rPr>
        <w:t>thorized officer</w:t>
      </w:r>
      <w:r>
        <w:rPr>
          <w:rFonts w:ascii="Arial" w:cs="Arial" w:eastAsia="Arial" w:hAnsi="Arial"/>
          <w:sz w:val="17"/>
          <w:szCs w:val="17"/>
          <w:color w:val="5D5D5B"/>
        </w:rPr>
        <w:t>s</w:t>
      </w:r>
      <w:r>
        <w:rPr>
          <w:rFonts w:ascii="Arial" w:cs="Arial" w:eastAsia="Arial" w:hAnsi="Arial"/>
          <w:sz w:val="17"/>
          <w:szCs w:val="17"/>
          <w:color w:val="2D2D2B"/>
        </w:rPr>
        <w:t xml:space="preserve"> </w:t>
      </w:r>
      <w:r>
        <w:rPr>
          <w:rFonts w:ascii="Arial" w:cs="Arial" w:eastAsia="Arial" w:hAnsi="Arial"/>
          <w:sz w:val="17"/>
          <w:szCs w:val="17"/>
          <w:color w:val="3F3F3D"/>
        </w:rPr>
        <w:t>and</w:t>
      </w:r>
      <w:r>
        <w:rPr>
          <w:rFonts w:ascii="Arial" w:cs="Arial" w:eastAsia="Arial" w:hAnsi="Arial"/>
          <w:sz w:val="17"/>
          <w:szCs w:val="17"/>
          <w:color w:val="2D2D2B"/>
        </w:rPr>
        <w:t xml:space="preserve"> </w:t>
      </w:r>
      <w:r>
        <w:rPr>
          <w:rFonts w:ascii="Arial" w:cs="Arial" w:eastAsia="Arial" w:hAnsi="Arial"/>
          <w:sz w:val="17"/>
          <w:szCs w:val="17"/>
          <w:color w:val="5D5D5B"/>
        </w:rPr>
        <w:t>s</w:t>
      </w:r>
      <w:r>
        <w:rPr>
          <w:rFonts w:ascii="Arial" w:cs="Arial" w:eastAsia="Arial" w:hAnsi="Arial"/>
          <w:sz w:val="17"/>
          <w:szCs w:val="17"/>
          <w:color w:val="3F3F3D"/>
        </w:rPr>
        <w:t>igned by a duly authorized</w:t>
      </w:r>
      <w:r>
        <w:rPr>
          <w:rFonts w:ascii="Arial" w:cs="Arial" w:eastAsia="Arial" w:hAnsi="Arial"/>
          <w:sz w:val="17"/>
          <w:szCs w:val="17"/>
          <w:color w:val="2D2D2B"/>
        </w:rPr>
        <w:t xml:space="preserve"> </w:t>
      </w:r>
      <w:r>
        <w:rPr>
          <w:rFonts w:ascii="Arial" w:cs="Arial" w:eastAsia="Arial" w:hAnsi="Arial"/>
          <w:sz w:val="17"/>
          <w:szCs w:val="17"/>
          <w:color w:val="3F3F3D"/>
        </w:rPr>
        <w:t>representative of the compan</w:t>
      </w:r>
      <w:r>
        <w:rPr>
          <w:rFonts w:ascii="Arial" w:cs="Arial" w:eastAsia="Arial" w:hAnsi="Arial"/>
          <w:sz w:val="17"/>
          <w:szCs w:val="17"/>
          <w:color w:val="5D5D5B"/>
        </w:rPr>
        <w: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F3F3D"/>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50800</wp:posOffset>
            </wp:positionV>
            <wp:extent cx="4699635"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6">
                      <a:extLst>
                        <a:ext uri="{28A0092B-C50C-407E-A947-70E740481C1C}"/>
                      </a:extLst>
                    </a:blip>
                    <a:srcRect/>
                    <a:stretch>
                      <a:fillRect/>
                    </a:stretch>
                  </pic:blipFill>
                  <pic:spPr bwMode="auto">
                    <a:xfrm>
                      <a:off x="0" y="0"/>
                      <a:ext cx="4699635" cy="42037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80"/>
        <w:spacing w:after="0"/>
        <w:rPr>
          <w:sz w:val="20"/>
          <w:szCs w:val="20"/>
          <w:color w:val="auto"/>
        </w:rPr>
      </w:pPr>
      <w:r>
        <w:rPr>
          <w:rFonts w:ascii="Arial" w:cs="Arial" w:eastAsia="Arial" w:hAnsi="Arial"/>
          <w:sz w:val="14"/>
          <w:szCs w:val="14"/>
          <w:color w:val="3F3F3D"/>
        </w:rPr>
        <w:t>Pr</w:t>
      </w:r>
      <w:r>
        <w:rPr>
          <w:rFonts w:ascii="Arial" w:cs="Arial" w:eastAsia="Arial" w:hAnsi="Arial"/>
          <w:sz w:val="14"/>
          <w:szCs w:val="14"/>
          <w:color w:val="5D5D5B"/>
        </w:rPr>
        <w:t>es</w:t>
      </w:r>
      <w:r>
        <w:rPr>
          <w:rFonts w:ascii="Arial" w:cs="Arial" w:eastAsia="Arial" w:hAnsi="Arial"/>
          <w:sz w:val="14"/>
          <w:szCs w:val="14"/>
          <w:color w:val="3F3F3D"/>
        </w:rPr>
        <w:t>id</w:t>
      </w:r>
      <w:r>
        <w:rPr>
          <w:rFonts w:ascii="Arial" w:cs="Arial" w:eastAsia="Arial" w:hAnsi="Arial"/>
          <w:sz w:val="14"/>
          <w:szCs w:val="14"/>
          <w:color w:val="5D5D5B"/>
        </w:rPr>
        <w:t>e</w:t>
      </w:r>
      <w:r>
        <w:rPr>
          <w:rFonts w:ascii="Arial" w:cs="Arial" w:eastAsia="Arial" w:hAnsi="Arial"/>
          <w:sz w:val="14"/>
          <w:szCs w:val="14"/>
          <w:color w:val="3F3F3D"/>
        </w:rPr>
        <w:t>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4"/>
          <w:szCs w:val="14"/>
          <w:color w:val="3F3F3D"/>
        </w:rPr>
        <w:t>D</w:t>
      </w:r>
      <w:r>
        <w:rPr>
          <w:rFonts w:ascii="Arial" w:cs="Arial" w:eastAsia="Arial" w:hAnsi="Arial"/>
          <w:sz w:val="14"/>
          <w:szCs w:val="14"/>
          <w:color w:val="5D5D5B"/>
        </w:rPr>
        <w:t>ate</w:t>
      </w:r>
    </w:p>
    <w:p>
      <w:pPr>
        <w:spacing w:after="0" w:line="44" w:lineRule="exact"/>
        <w:rPr>
          <w:sz w:val="20"/>
          <w:szCs w:val="20"/>
          <w:color w:val="auto"/>
        </w:rPr>
      </w:pPr>
    </w:p>
    <w:p>
      <w:pPr>
        <w:jc w:val="right"/>
        <w:ind w:right="2120"/>
        <w:spacing w:after="0"/>
        <w:rPr>
          <w:sz w:val="20"/>
          <w:szCs w:val="20"/>
          <w:color w:val="auto"/>
        </w:rPr>
      </w:pPr>
      <w:r>
        <w:rPr>
          <w:rFonts w:ascii="Arial" w:cs="Arial" w:eastAsia="Arial" w:hAnsi="Arial"/>
          <w:sz w:val="16"/>
          <w:szCs w:val="16"/>
          <w:color w:val="auto"/>
        </w:rPr>
        <w:t>December 29,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3F3F3D"/>
        </w:rPr>
        <w:t>Producer</w:t>
      </w:r>
      <w:r>
        <w:rPr>
          <w:rFonts w:ascii="Arial" w:cs="Arial" w:eastAsia="Arial" w:hAnsi="Arial"/>
          <w:sz w:val="17"/>
          <w:szCs w:val="17"/>
          <w:color w:val="5D5D5B"/>
        </w:rPr>
        <w:t>'</w:t>
      </w:r>
      <w:r>
        <w:rPr>
          <w:rFonts w:ascii="Arial" w:cs="Arial" w:eastAsia="Arial" w:hAnsi="Arial"/>
          <w:sz w:val="17"/>
          <w:szCs w:val="17"/>
          <w:color w:val="3F3F3D"/>
        </w:rPr>
        <w:t xml:space="preserve">s Name </w:t>
      </w:r>
      <w:r>
        <w:rPr>
          <w:rFonts w:ascii="Arial" w:cs="Arial" w:eastAsia="Arial" w:hAnsi="Arial"/>
          <w:sz w:val="16"/>
          <w:szCs w:val="16"/>
          <w:color w:val="3F3F3D"/>
        </w:rPr>
        <w:t>&amp;</w:t>
      </w:r>
      <w:r>
        <w:rPr>
          <w:rFonts w:ascii="Arial" w:cs="Arial" w:eastAsia="Arial" w:hAnsi="Arial"/>
          <w:sz w:val="17"/>
          <w:szCs w:val="17"/>
          <w:color w:val="3F3F3D"/>
        </w:rPr>
        <w:t xml:space="preserve"> Add</w:t>
      </w:r>
      <w:r>
        <w:rPr>
          <w:rFonts w:ascii="Arial" w:cs="Arial" w:eastAsia="Arial" w:hAnsi="Arial"/>
          <w:sz w:val="17"/>
          <w:szCs w:val="17"/>
          <w:color w:val="5D5D5B"/>
        </w:rPr>
        <w:t>res</w:t>
      </w:r>
      <w:r>
        <w:rPr>
          <w:rFonts w:ascii="Arial" w:cs="Arial" w:eastAsia="Arial" w:hAnsi="Arial"/>
          <w:sz w:val="17"/>
          <w:szCs w:val="17"/>
          <w:color w:val="3F3F3D"/>
        </w:rPr>
        <w: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MARSH </w:t>
      </w:r>
      <w:r>
        <w:rPr>
          <w:rFonts w:ascii="Arial" w:cs="Arial" w:eastAsia="Arial" w:hAnsi="Arial"/>
          <w:sz w:val="17"/>
          <w:szCs w:val="17"/>
          <w:color w:val="2D2D2B"/>
        </w:rPr>
        <w:t>USA</w:t>
      </w:r>
      <w:r>
        <w:rPr>
          <w:rFonts w:ascii="Arial" w:cs="Arial" w:eastAsia="Arial" w:hAnsi="Arial"/>
          <w:sz w:val="17"/>
          <w:szCs w:val="17"/>
          <w:color w:val="5D5D5B"/>
        </w:rPr>
        <w:t>,</w:t>
      </w:r>
      <w:r>
        <w:rPr>
          <w:rFonts w:ascii="Arial" w:cs="Arial" w:eastAsia="Arial" w:hAnsi="Arial"/>
          <w:sz w:val="17"/>
          <w:szCs w:val="17"/>
          <w:color w:val="3F3F3D"/>
        </w:rPr>
        <w:t xml:space="preserve"> INC</w:t>
      </w:r>
      <w:r>
        <w:rPr>
          <w:rFonts w:ascii="Arial" w:cs="Arial" w:eastAsia="Arial" w:hAnsi="Arial"/>
          <w:sz w:val="17"/>
          <w:szCs w:val="17"/>
          <w:color w:val="5D5D5B"/>
        </w:rPr>
        <w:t>.</w:t>
      </w:r>
      <w:r>
        <w:rPr>
          <w:rFonts w:ascii="Arial" w:cs="Arial" w:eastAsia="Arial" w:hAnsi="Arial"/>
          <w:sz w:val="17"/>
          <w:szCs w:val="17"/>
          <w:color w:val="3F3F3D"/>
        </w:rPr>
        <w:t xml:space="preserve"> (SOUTHWEST</w:t>
      </w:r>
      <w:r>
        <w:rPr>
          <w:rFonts w:ascii="Arial" w:cs="Arial" w:eastAsia="Arial" w:hAnsi="Arial"/>
          <w:sz w:val="17"/>
          <w:szCs w:val="17"/>
          <w:color w:val="5D5D5B"/>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7201 </w:t>
      </w:r>
      <w:r>
        <w:rPr>
          <w:rFonts w:ascii="Arial" w:cs="Arial" w:eastAsia="Arial" w:hAnsi="Arial"/>
          <w:sz w:val="17"/>
          <w:szCs w:val="17"/>
          <w:color w:val="2D2D2B"/>
        </w:rPr>
        <w:t>W</w:t>
      </w:r>
      <w:r>
        <w:rPr>
          <w:rFonts w:ascii="Arial" w:cs="Arial" w:eastAsia="Arial" w:hAnsi="Arial"/>
          <w:sz w:val="17"/>
          <w:szCs w:val="17"/>
          <w:color w:val="3F3F3D"/>
        </w:rPr>
        <w:t xml:space="preserve"> LK MEAD BLVD #400</w:t>
      </w:r>
    </w:p>
    <w:p>
      <w:pPr>
        <w:spacing w:after="0"/>
        <w:rPr>
          <w:sz w:val="20"/>
          <w:szCs w:val="20"/>
          <w:color w:val="auto"/>
        </w:rPr>
      </w:pPr>
      <w:r>
        <w:rPr>
          <w:rFonts w:ascii="Arial" w:cs="Arial" w:eastAsia="Arial" w:hAnsi="Arial"/>
          <w:sz w:val="17"/>
          <w:szCs w:val="17"/>
          <w:color w:val="3F3F3D"/>
        </w:rPr>
        <w:t>LAS VEGAS</w:t>
      </w:r>
      <w:r>
        <w:rPr>
          <w:rFonts w:ascii="Arial" w:cs="Arial" w:eastAsia="Arial" w:hAnsi="Arial"/>
          <w:sz w:val="17"/>
          <w:szCs w:val="17"/>
          <w:color w:val="5D5D5B"/>
        </w:rPr>
        <w:t>,</w:t>
      </w:r>
      <w:r>
        <w:rPr>
          <w:rFonts w:ascii="Arial" w:cs="Arial" w:eastAsia="Arial" w:hAnsi="Arial"/>
          <w:sz w:val="17"/>
          <w:szCs w:val="17"/>
          <w:color w:val="3F3F3D"/>
        </w:rPr>
        <w:t xml:space="preserve"> NV 89128</w:t>
      </w:r>
      <w:r>
        <w:rPr>
          <w:rFonts w:ascii="Arial" w:cs="Arial" w:eastAsia="Arial" w:hAnsi="Arial"/>
          <w:sz w:val="17"/>
          <w:szCs w:val="17"/>
          <w:color w:val="5D5D5B"/>
        </w:rPr>
        <w:t>-</w:t>
      </w:r>
      <w:r>
        <w:rPr>
          <w:rFonts w:ascii="Arial" w:cs="Arial" w:eastAsia="Arial" w:hAnsi="Arial"/>
          <w:sz w:val="17"/>
          <w:szCs w:val="17"/>
          <w:color w:val="3F3F3D"/>
        </w:rPr>
        <w:t>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4"/>
          <w:szCs w:val="14"/>
          <w:color w:val="5D5D5B"/>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10617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11061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5D5D5B"/>
        </w:rPr>
        <w:t>A</w:t>
      </w:r>
      <w:r>
        <w:rPr>
          <w:rFonts w:ascii="Arial" w:cs="Arial" w:eastAsia="Arial" w:hAnsi="Arial"/>
          <w:sz w:val="12"/>
          <w:szCs w:val="12"/>
          <w:color w:val="3F3F3D"/>
        </w:rPr>
        <w:t>ut</w:t>
      </w:r>
      <w:r>
        <w:rPr>
          <w:rFonts w:ascii="Arial" w:cs="Arial" w:eastAsia="Arial" w:hAnsi="Arial"/>
          <w:sz w:val="12"/>
          <w:szCs w:val="12"/>
          <w:color w:val="5D5D5B"/>
        </w:rPr>
        <w:t>ho</w:t>
      </w:r>
      <w:r>
        <w:rPr>
          <w:rFonts w:ascii="Arial" w:cs="Arial" w:eastAsia="Arial" w:hAnsi="Arial"/>
          <w:sz w:val="12"/>
          <w:szCs w:val="12"/>
          <w:color w:val="3F3F3D"/>
        </w:rPr>
        <w:t>r</w:t>
      </w:r>
      <w:r>
        <w:rPr>
          <w:rFonts w:ascii="Arial" w:cs="Arial" w:eastAsia="Arial" w:hAnsi="Arial"/>
          <w:sz w:val="12"/>
          <w:szCs w:val="12"/>
          <w:color w:val="5D5D5B"/>
        </w:rPr>
        <w:t>ize</w:t>
      </w:r>
      <w:r>
        <w:rPr>
          <w:rFonts w:ascii="Arial" w:cs="Arial" w:eastAsia="Arial" w:hAnsi="Arial"/>
          <w:sz w:val="12"/>
          <w:szCs w:val="12"/>
          <w:color w:val="3F3F3D"/>
        </w:rPr>
        <w:t>d R</w:t>
      </w:r>
      <w:r>
        <w:rPr>
          <w:rFonts w:ascii="Arial" w:cs="Arial" w:eastAsia="Arial" w:hAnsi="Arial"/>
          <w:sz w:val="12"/>
          <w:szCs w:val="12"/>
          <w:color w:val="5D5D5B"/>
        </w:rPr>
        <w:t>ep</w:t>
      </w:r>
      <w:r>
        <w:rPr>
          <w:rFonts w:ascii="Arial" w:cs="Arial" w:eastAsia="Arial" w:hAnsi="Arial"/>
          <w:sz w:val="12"/>
          <w:szCs w:val="12"/>
          <w:color w:val="3F3F3D"/>
        </w:rPr>
        <w:t>r</w:t>
      </w:r>
      <w:r>
        <w:rPr>
          <w:rFonts w:ascii="Arial" w:cs="Arial" w:eastAsia="Arial" w:hAnsi="Arial"/>
          <w:sz w:val="12"/>
          <w:szCs w:val="12"/>
          <w:color w:val="5D5D5B"/>
        </w:rPr>
        <w:t>ese</w:t>
      </w:r>
      <w:r>
        <w:rPr>
          <w:rFonts w:ascii="Arial" w:cs="Arial" w:eastAsia="Arial" w:hAnsi="Arial"/>
          <w:sz w:val="12"/>
          <w:szCs w:val="12"/>
          <w:color w:val="3F3F3D"/>
        </w:rPr>
        <w:t>nt</w:t>
      </w:r>
      <w:r>
        <w:rPr>
          <w:rFonts w:ascii="Arial" w:cs="Arial" w:eastAsia="Arial" w:hAnsi="Arial"/>
          <w:sz w:val="12"/>
          <w:szCs w:val="12"/>
          <w:color w:val="5D5D5B"/>
        </w:rPr>
        <w:t>a</w:t>
      </w:r>
      <w:r>
        <w:rPr>
          <w:rFonts w:ascii="Arial" w:cs="Arial" w:eastAsia="Arial" w:hAnsi="Arial"/>
          <w:sz w:val="12"/>
          <w:szCs w:val="12"/>
          <w:color w:val="2D2D2B"/>
        </w:rPr>
        <w:t>ti</w:t>
      </w:r>
      <w:r>
        <w:rPr>
          <w:rFonts w:ascii="Arial" w:cs="Arial" w:eastAsia="Arial" w:hAnsi="Arial"/>
          <w:sz w:val="12"/>
          <w:szCs w:val="12"/>
          <w:color w:val="5D5D5B"/>
        </w:rPr>
        <w:t>ve</w:t>
      </w:r>
    </w:p>
    <w:p>
      <w:pPr>
        <w:spacing w:after="0" w:line="2885" w:lineRule="exact"/>
        <w:rPr>
          <w:sz w:val="20"/>
          <w:szCs w:val="20"/>
          <w:color w:val="auto"/>
        </w:rPr>
      </w:pPr>
    </w:p>
    <w:p>
      <w:pPr>
        <w:sectPr>
          <w:pgSz w:w="11900" w:h="16838" w:orient="portrait"/>
          <w:cols w:equalWidth="0" w:num="2">
            <w:col w:w="5020" w:space="720"/>
            <w:col w:w="5680"/>
          </w:cols>
          <w:pgMar w:left="240" w:top="135"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34"/>
          <w:szCs w:val="34"/>
          <w:b w:val="1"/>
          <w:bCs w:val="1"/>
          <w:color w:val="3F3F3D"/>
        </w:rPr>
        <w:t>Chubb. Insured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1340" w:type="dxa"/>
            <w:vAlign w:val="bottom"/>
          </w:tcPr>
          <w:p>
            <w:pPr>
              <w:ind w:left="760"/>
              <w:spacing w:after="0"/>
              <w:rPr>
                <w:sz w:val="20"/>
                <w:szCs w:val="20"/>
                <w:color w:val="auto"/>
              </w:rPr>
            </w:pPr>
            <w:r>
              <w:rPr>
                <w:rFonts w:ascii="Arial" w:cs="Arial" w:eastAsia="Arial" w:hAnsi="Arial"/>
                <w:sz w:val="14"/>
                <w:szCs w:val="14"/>
                <w:i w:val="1"/>
                <w:iCs w:val="1"/>
                <w:color w:val="464644"/>
                <w:w w:val="98"/>
              </w:rPr>
              <w:t>last page</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1220" w:type="dxa"/>
            <w:vAlign w:val="bottom"/>
            <w:shd w:val="clear" w:color="auto" w:fill="464644"/>
          </w:tcPr>
          <w:p>
            <w:pPr>
              <w:spacing w:after="0" w:line="20" w:lineRule="exact"/>
              <w:rPr>
                <w:sz w:val="1"/>
                <w:szCs w:val="1"/>
                <w:color w:val="auto"/>
              </w:rPr>
            </w:pPr>
          </w:p>
        </w:tc>
        <w:tc>
          <w:tcPr>
            <w:tcW w:w="1340" w:type="dxa"/>
            <w:vAlign w:val="bottom"/>
            <w:shd w:val="clear" w:color="auto" w:fill="464644"/>
          </w:tcPr>
          <w:p>
            <w:pPr>
              <w:spacing w:after="0" w:line="20" w:lineRule="exact"/>
              <w:rPr>
                <w:sz w:val="1"/>
                <w:szCs w:val="1"/>
                <w:color w:val="auto"/>
              </w:rPr>
            </w:pPr>
          </w:p>
        </w:tc>
      </w:tr>
      <w:tr>
        <w:trPr>
          <w:trHeight w:val="211"/>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  </w:t>
            </w:r>
            <w:r>
              <w:rPr>
                <w:rFonts w:ascii="Arial" w:cs="Arial" w:eastAsia="Arial" w:hAnsi="Arial"/>
                <w:sz w:val="14"/>
                <w:szCs w:val="14"/>
                <w:i w:val="1"/>
                <w:iCs w:val="1"/>
                <w:color w:val="363636"/>
              </w:rPr>
              <w:t>Declarations</w:t>
            </w:r>
          </w:p>
        </w:tc>
        <w:tc>
          <w:tcPr>
            <w:tcW w:w="1340" w:type="dxa"/>
            <w:vAlign w:val="bottom"/>
          </w:tcPr>
          <w:p>
            <w:pPr>
              <w:ind w:left="520"/>
              <w:spacing w:after="0"/>
              <w:rPr>
                <w:sz w:val="20"/>
                <w:szCs w:val="20"/>
                <w:color w:val="auto"/>
              </w:rPr>
            </w:pPr>
            <w:r>
              <w:rPr>
                <w:rFonts w:ascii="Arial" w:cs="Arial" w:eastAsia="Arial" w:hAnsi="Arial"/>
                <w:sz w:val="14"/>
                <w:szCs w:val="14"/>
                <w:i w:val="1"/>
                <w:iCs w:val="1"/>
                <w:color w:val="363636"/>
              </w:rPr>
              <w:t>Page 3</w:t>
            </w:r>
          </w:p>
        </w:tc>
      </w:tr>
    </w:tbl>
    <w:p>
      <w:pPr>
        <w:sectPr>
          <w:pgSz w:w="11900" w:h="16838" w:orient="portrait"/>
          <w:cols w:equalWidth="0" w:num="1">
            <w:col w:w="11420"/>
          </w:cols>
          <w:pgMar w:left="240" w:top="135" w:right="239" w:bottom="1440" w:gutter="0" w:footer="0" w:header="0"/>
          <w:type w:val="continuous"/>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60" w:type="dxa"/>
            <w:vAlign w:val="bottom"/>
          </w:tcPr>
          <w:p>
            <w:pPr>
              <w:ind w:left="2700"/>
              <w:spacing w:after="0"/>
              <w:rPr>
                <w:sz w:val="20"/>
                <w:szCs w:val="20"/>
                <w:color w:val="auto"/>
              </w:rPr>
            </w:pPr>
            <w:r>
              <w:rPr>
                <w:rFonts w:ascii="Arial" w:cs="Arial" w:eastAsia="Arial" w:hAnsi="Arial"/>
                <w:sz w:val="23"/>
                <w:szCs w:val="23"/>
                <w:b w:val="1"/>
                <w:bCs w:val="1"/>
                <w:i w:val="1"/>
                <w:iCs w:val="1"/>
                <w:color w:val="42423F"/>
              </w:rPr>
              <w:t>Schedule of Forms</w:t>
            </w:r>
          </w:p>
        </w:tc>
        <w:tc>
          <w:tcPr>
            <w:tcW w:w="3380" w:type="dxa"/>
            <w:vAlign w:val="bottom"/>
          </w:tcPr>
          <w:p>
            <w:pPr>
              <w:spacing w:after="0"/>
              <w:rPr>
                <w:sz w:val="24"/>
                <w:szCs w:val="24"/>
                <w:color w:val="auto"/>
              </w:rPr>
            </w:pPr>
          </w:p>
        </w:tc>
      </w:tr>
      <w:tr>
        <w:trPr>
          <w:trHeight w:val="829"/>
        </w:trPr>
        <w:tc>
          <w:tcPr>
            <w:tcW w:w="1520" w:type="dxa"/>
            <w:vAlign w:val="bottom"/>
            <w:gridSpan w:val="2"/>
          </w:tcPr>
          <w:p>
            <w:pPr>
              <w:spacing w:after="0"/>
              <w:rPr>
                <w:sz w:val="20"/>
                <w:szCs w:val="20"/>
                <w:color w:val="auto"/>
              </w:rPr>
            </w:pPr>
            <w:r>
              <w:rPr>
                <w:rFonts w:ascii="Arial" w:cs="Arial" w:eastAsia="Arial" w:hAnsi="Arial"/>
                <w:sz w:val="17"/>
                <w:szCs w:val="17"/>
                <w:color w:val="42423F"/>
              </w:rPr>
              <w:t>Policy</w:t>
            </w:r>
          </w:p>
        </w:tc>
        <w:tc>
          <w:tcPr>
            <w:tcW w:w="53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5"/>
        </w:trPr>
        <w:tc>
          <w:tcPr>
            <w:tcW w:w="1520" w:type="dxa"/>
            <w:vAlign w:val="bottom"/>
            <w:gridSpan w:val="2"/>
          </w:tcPr>
          <w:p>
            <w:pPr>
              <w:spacing w:after="0"/>
              <w:rPr>
                <w:sz w:val="20"/>
                <w:szCs w:val="20"/>
                <w:color w:val="auto"/>
              </w:rPr>
            </w:pPr>
            <w:r>
              <w:rPr>
                <w:rFonts w:ascii="Arial" w:cs="Arial" w:eastAsia="Arial" w:hAnsi="Arial"/>
                <w:sz w:val="17"/>
                <w:szCs w:val="17"/>
                <w:color w:val="42423F"/>
              </w:rPr>
              <w:t>Number</w:t>
            </w:r>
            <w:r>
              <w:rPr>
                <w:rFonts w:ascii="Arial" w:cs="Arial" w:eastAsia="Arial" w:hAnsi="Arial"/>
                <w:sz w:val="17"/>
                <w:szCs w:val="17"/>
                <w:color w:val="1F1F1D"/>
              </w:rPr>
              <w:t>:</w:t>
            </w:r>
          </w:p>
        </w:tc>
        <w:tc>
          <w:tcPr>
            <w:tcW w:w="53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70"/>
        </w:trPr>
        <w:tc>
          <w:tcPr>
            <w:tcW w:w="1520" w:type="dxa"/>
            <w:vAlign w:val="bottom"/>
            <w:gridSpan w:val="2"/>
          </w:tcPr>
          <w:p>
            <w:pPr>
              <w:spacing w:after="0"/>
              <w:rPr>
                <w:sz w:val="20"/>
                <w:szCs w:val="20"/>
                <w:color w:val="auto"/>
              </w:rPr>
            </w:pPr>
            <w:r>
              <w:rPr>
                <w:rFonts w:ascii="Arial" w:cs="Arial" w:eastAsia="Arial" w:hAnsi="Arial"/>
                <w:sz w:val="17"/>
                <w:szCs w:val="17"/>
                <w:color w:val="42423F"/>
              </w:rPr>
              <w:t>Insured:</w:t>
            </w:r>
          </w:p>
        </w:tc>
        <w:tc>
          <w:tcPr>
            <w:tcW w:w="5360" w:type="dxa"/>
            <w:vAlign w:val="bottom"/>
          </w:tcPr>
          <w:p>
            <w:pPr>
              <w:ind w:left="60"/>
              <w:spacing w:after="0"/>
              <w:rPr>
                <w:sz w:val="20"/>
                <w:szCs w:val="20"/>
                <w:color w:val="auto"/>
              </w:rPr>
            </w:pPr>
            <w:r>
              <w:rPr>
                <w:rFonts w:ascii="Arial" w:cs="Arial" w:eastAsia="Arial" w:hAnsi="Arial"/>
                <w:sz w:val="19"/>
                <w:szCs w:val="19"/>
                <w:color w:val="42423F"/>
              </w:rPr>
              <w:t>BOOZ ALLEN HAMILTON INC</w:t>
            </w:r>
          </w:p>
        </w:tc>
        <w:tc>
          <w:tcPr>
            <w:tcW w:w="3380" w:type="dxa"/>
            <w:vAlign w:val="bottom"/>
          </w:tcPr>
          <w:p>
            <w:pPr>
              <w:spacing w:after="0"/>
              <w:rPr>
                <w:sz w:val="23"/>
                <w:szCs w:val="23"/>
                <w:color w:val="auto"/>
              </w:rPr>
            </w:pPr>
          </w:p>
        </w:tc>
      </w:tr>
      <w:tr>
        <w:trPr>
          <w:trHeight w:val="459"/>
        </w:trPr>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60" w:type="dxa"/>
            <w:vAlign w:val="bottom"/>
          </w:tcPr>
          <w:p>
            <w:pPr>
              <w:ind w:left="60"/>
              <w:spacing w:after="0"/>
              <w:rPr>
                <w:sz w:val="20"/>
                <w:szCs w:val="20"/>
                <w:color w:val="auto"/>
              </w:rPr>
            </w:pPr>
            <w:r>
              <w:rPr>
                <w:rFonts w:ascii="Arial" w:cs="Arial" w:eastAsia="Arial" w:hAnsi="Arial"/>
                <w:sz w:val="17"/>
                <w:szCs w:val="17"/>
                <w:color w:val="42423F"/>
              </w:rPr>
              <w:t>Group Personal Excess Program</w:t>
            </w:r>
          </w:p>
        </w:tc>
        <w:tc>
          <w:tcPr>
            <w:tcW w:w="3380" w:type="dxa"/>
            <w:vAlign w:val="bottom"/>
          </w:tcPr>
          <w:p>
            <w:pPr>
              <w:spacing w:after="0"/>
              <w:rPr>
                <w:sz w:val="24"/>
                <w:szCs w:val="24"/>
                <w:color w:val="auto"/>
              </w:rPr>
            </w:pPr>
          </w:p>
        </w:tc>
      </w:tr>
      <w:tr>
        <w:trPr>
          <w:trHeight w:val="484"/>
        </w:trPr>
        <w:tc>
          <w:tcPr>
            <w:tcW w:w="1520" w:type="dxa"/>
            <w:vAlign w:val="bottom"/>
            <w:gridSpan w:val="2"/>
          </w:tcPr>
          <w:p>
            <w:pPr>
              <w:spacing w:after="0"/>
              <w:rPr>
                <w:sz w:val="20"/>
                <w:szCs w:val="20"/>
                <w:color w:val="auto"/>
              </w:rPr>
            </w:pPr>
            <w:r>
              <w:rPr>
                <w:rFonts w:ascii="Arial" w:cs="Arial" w:eastAsia="Arial" w:hAnsi="Arial"/>
                <w:sz w:val="17"/>
                <w:szCs w:val="17"/>
                <w:color w:val="2F2F2D"/>
              </w:rPr>
              <w:t>Policy</w:t>
            </w:r>
          </w:p>
        </w:tc>
        <w:tc>
          <w:tcPr>
            <w:tcW w:w="5360" w:type="dxa"/>
            <w:vAlign w:val="bottom"/>
          </w:tcPr>
          <w:p>
            <w:pPr>
              <w:ind w:left="60"/>
              <w:spacing w:after="0"/>
              <w:rPr>
                <w:sz w:val="20"/>
                <w:szCs w:val="20"/>
                <w:color w:val="auto"/>
              </w:rPr>
            </w:pPr>
            <w:r>
              <w:rPr>
                <w:rFonts w:ascii="Arial" w:cs="Arial" w:eastAsia="Arial" w:hAnsi="Arial"/>
                <w:sz w:val="19"/>
                <w:szCs w:val="19"/>
                <w:color w:val="565654"/>
              </w:rPr>
              <w:t xml:space="preserve">JANUARY </w:t>
            </w:r>
            <w:r>
              <w:rPr>
                <w:rFonts w:ascii="Arial" w:cs="Arial" w:eastAsia="Arial" w:hAnsi="Arial"/>
                <w:sz w:val="17"/>
                <w:szCs w:val="17"/>
                <w:color w:val="42423F"/>
              </w:rPr>
              <w:t>01, 2018 to</w:t>
            </w:r>
            <w:r>
              <w:rPr>
                <w:rFonts w:ascii="Arial" w:cs="Arial" w:eastAsia="Arial" w:hAnsi="Arial"/>
                <w:sz w:val="19"/>
                <w:szCs w:val="19"/>
                <w:color w:val="565654"/>
              </w:rPr>
              <w:t xml:space="preserve"> </w:t>
            </w:r>
            <w:r>
              <w:rPr>
                <w:rFonts w:ascii="Arial" w:cs="Arial" w:eastAsia="Arial" w:hAnsi="Arial"/>
                <w:sz w:val="19"/>
                <w:szCs w:val="19"/>
                <w:color w:val="42423F"/>
              </w:rPr>
              <w:t>JANUARY</w:t>
            </w:r>
          </w:p>
        </w:tc>
        <w:tc>
          <w:tcPr>
            <w:tcW w:w="3380" w:type="dxa"/>
            <w:vAlign w:val="bottom"/>
          </w:tcPr>
          <w:p>
            <w:pPr>
              <w:spacing w:after="0"/>
              <w:rPr>
                <w:sz w:val="24"/>
                <w:szCs w:val="24"/>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7"/>
                <w:szCs w:val="17"/>
                <w:color w:val="42423F"/>
              </w:rPr>
              <w:t>Period</w:t>
            </w:r>
          </w:p>
        </w:tc>
        <w:tc>
          <w:tcPr>
            <w:tcW w:w="5360" w:type="dxa"/>
            <w:vAlign w:val="bottom"/>
          </w:tcPr>
          <w:p>
            <w:pPr>
              <w:ind w:left="60"/>
              <w:spacing w:after="0"/>
              <w:rPr>
                <w:sz w:val="20"/>
                <w:szCs w:val="20"/>
                <w:color w:val="auto"/>
              </w:rPr>
            </w:pPr>
            <w:r>
              <w:rPr>
                <w:rFonts w:ascii="Arial" w:cs="Arial" w:eastAsia="Arial" w:hAnsi="Arial"/>
                <w:sz w:val="17"/>
                <w:szCs w:val="17"/>
                <w:color w:val="42423F"/>
              </w:rPr>
              <w:t>01, 2019</w:t>
            </w:r>
          </w:p>
        </w:tc>
        <w:tc>
          <w:tcPr>
            <w:tcW w:w="3380" w:type="dxa"/>
            <w:vAlign w:val="bottom"/>
          </w:tcPr>
          <w:p>
            <w:pPr>
              <w:spacing w:after="0"/>
              <w:rPr>
                <w:sz w:val="18"/>
                <w:szCs w:val="18"/>
                <w:color w:val="auto"/>
              </w:rPr>
            </w:pPr>
          </w:p>
        </w:tc>
      </w:tr>
      <w:tr>
        <w:trPr>
          <w:trHeight w:val="205"/>
        </w:trPr>
        <w:tc>
          <w:tcPr>
            <w:tcW w:w="1520" w:type="dxa"/>
            <w:vAlign w:val="bottom"/>
            <w:gridSpan w:val="2"/>
          </w:tcPr>
          <w:p>
            <w:pPr>
              <w:spacing w:after="0"/>
              <w:rPr>
                <w:sz w:val="20"/>
                <w:szCs w:val="20"/>
                <w:color w:val="auto"/>
              </w:rPr>
            </w:pPr>
            <w:r>
              <w:rPr>
                <w:rFonts w:ascii="Arial" w:cs="Arial" w:eastAsia="Arial" w:hAnsi="Arial"/>
                <w:sz w:val="17"/>
                <w:szCs w:val="17"/>
                <w:color w:val="42423F"/>
              </w:rPr>
              <w:t>From:</w:t>
            </w:r>
          </w:p>
        </w:tc>
        <w:tc>
          <w:tcPr>
            <w:tcW w:w="53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876"/>
        </w:trPr>
        <w:tc>
          <w:tcPr>
            <w:tcW w:w="6880" w:type="dxa"/>
            <w:vAlign w:val="bottom"/>
            <w:gridSpan w:val="3"/>
          </w:tcPr>
          <w:p>
            <w:pPr>
              <w:spacing w:after="0"/>
              <w:rPr>
                <w:sz w:val="20"/>
                <w:szCs w:val="20"/>
                <w:color w:val="auto"/>
              </w:rPr>
            </w:pPr>
            <w:r>
              <w:rPr>
                <w:rFonts w:ascii="Arial" w:cs="Arial" w:eastAsia="Arial" w:hAnsi="Arial"/>
                <w:sz w:val="17"/>
                <w:szCs w:val="17"/>
                <w:color w:val="2F2F2D"/>
              </w:rPr>
              <w:t xml:space="preserve">The following </w:t>
            </w:r>
            <w:r>
              <w:rPr>
                <w:rFonts w:ascii="Arial" w:cs="Arial" w:eastAsia="Arial" w:hAnsi="Arial"/>
                <w:sz w:val="17"/>
                <w:szCs w:val="17"/>
                <w:color w:val="42423F"/>
              </w:rPr>
              <w:t>is a</w:t>
            </w:r>
            <w:r>
              <w:rPr>
                <w:rFonts w:ascii="Arial" w:cs="Arial" w:eastAsia="Arial" w:hAnsi="Arial"/>
                <w:sz w:val="17"/>
                <w:szCs w:val="17"/>
                <w:color w:val="2F2F2D"/>
              </w:rPr>
              <w:t xml:space="preserve"> </w:t>
            </w:r>
            <w:r>
              <w:rPr>
                <w:rFonts w:ascii="Arial" w:cs="Arial" w:eastAsia="Arial" w:hAnsi="Arial"/>
                <w:sz w:val="17"/>
                <w:szCs w:val="17"/>
                <w:color w:val="565654"/>
              </w:rPr>
              <w:t>schedule</w:t>
            </w:r>
            <w:r>
              <w:rPr>
                <w:rFonts w:ascii="Arial" w:cs="Arial" w:eastAsia="Arial" w:hAnsi="Arial"/>
                <w:sz w:val="17"/>
                <w:szCs w:val="17"/>
                <w:color w:val="2F2F2D"/>
              </w:rPr>
              <w:t xml:space="preserve"> </w:t>
            </w:r>
            <w:r>
              <w:rPr>
                <w:rFonts w:ascii="Arial" w:cs="Arial" w:eastAsia="Arial" w:hAnsi="Arial"/>
                <w:sz w:val="17"/>
                <w:szCs w:val="17"/>
                <w:color w:val="42423F"/>
              </w:rPr>
              <w:t>of forms issued with the policy at</w:t>
            </w:r>
          </w:p>
        </w:tc>
        <w:tc>
          <w:tcPr>
            <w:tcW w:w="3380" w:type="dxa"/>
            <w:vAlign w:val="bottom"/>
          </w:tcPr>
          <w:p>
            <w:pPr>
              <w:spacing w:after="0"/>
              <w:rPr>
                <w:sz w:val="24"/>
                <w:szCs w:val="24"/>
                <w:color w:val="auto"/>
              </w:rPr>
            </w:pPr>
          </w:p>
        </w:tc>
      </w:tr>
      <w:tr>
        <w:trPr>
          <w:trHeight w:val="205"/>
        </w:trPr>
        <w:tc>
          <w:tcPr>
            <w:tcW w:w="1520" w:type="dxa"/>
            <w:vAlign w:val="bottom"/>
            <w:gridSpan w:val="2"/>
          </w:tcPr>
          <w:p>
            <w:pPr>
              <w:spacing w:after="0"/>
              <w:rPr>
                <w:sz w:val="20"/>
                <w:szCs w:val="20"/>
                <w:color w:val="auto"/>
              </w:rPr>
            </w:pPr>
            <w:r>
              <w:rPr>
                <w:rFonts w:ascii="Arial" w:cs="Arial" w:eastAsia="Arial" w:hAnsi="Arial"/>
                <w:sz w:val="17"/>
                <w:szCs w:val="17"/>
                <w:color w:val="42423F"/>
              </w:rPr>
              <w:t>inception:</w:t>
            </w:r>
          </w:p>
        </w:tc>
        <w:tc>
          <w:tcPr>
            <w:tcW w:w="53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971"/>
        </w:trPr>
        <w:tc>
          <w:tcPr>
            <w:tcW w:w="3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21"/>
                <w:szCs w:val="21"/>
                <w:b w:val="1"/>
                <w:bCs w:val="1"/>
                <w:color w:val="42423F"/>
              </w:rPr>
              <w:t>Form Name</w:t>
            </w:r>
          </w:p>
        </w:tc>
        <w:tc>
          <w:tcPr>
            <w:tcW w:w="5360" w:type="dxa"/>
            <w:vAlign w:val="bottom"/>
          </w:tcPr>
          <w:p>
            <w:pPr>
              <w:spacing w:after="0"/>
              <w:rPr>
                <w:sz w:val="24"/>
                <w:szCs w:val="24"/>
                <w:color w:val="auto"/>
              </w:rPr>
            </w:pPr>
          </w:p>
        </w:tc>
        <w:tc>
          <w:tcPr>
            <w:tcW w:w="3380" w:type="dxa"/>
            <w:vAlign w:val="bottom"/>
          </w:tcPr>
          <w:p>
            <w:pPr>
              <w:ind w:left="560"/>
              <w:spacing w:after="0"/>
              <w:rPr>
                <w:sz w:val="20"/>
                <w:szCs w:val="20"/>
                <w:color w:val="auto"/>
              </w:rPr>
            </w:pPr>
            <w:r>
              <w:rPr>
                <w:rFonts w:ascii="Arial" w:cs="Arial" w:eastAsia="Arial" w:hAnsi="Arial"/>
                <w:sz w:val="21"/>
                <w:szCs w:val="21"/>
                <w:b w:val="1"/>
                <w:bCs w:val="1"/>
                <w:color w:val="42423F"/>
              </w:rPr>
              <w:t>Form Number</w:t>
            </w:r>
          </w:p>
        </w:tc>
      </w:tr>
      <w:tr>
        <w:trPr>
          <w:trHeight w:val="235"/>
        </w:trPr>
        <w:tc>
          <w:tcPr>
            <w:tcW w:w="300" w:type="dxa"/>
            <w:vAlign w:val="bottom"/>
          </w:tcPr>
          <w:p>
            <w:pPr>
              <w:spacing w:after="0"/>
              <w:rPr>
                <w:sz w:val="20"/>
                <w:szCs w:val="20"/>
                <w:color w:val="auto"/>
              </w:rPr>
            </w:pPr>
          </w:p>
        </w:tc>
        <w:tc>
          <w:tcPr>
            <w:tcW w:w="6580" w:type="dxa"/>
            <w:vAlign w:val="bottom"/>
            <w:tcBorders>
              <w:bottom w:val="single" w:sz="8" w:color="484844"/>
            </w:tcBorders>
            <w:gridSpan w:val="2"/>
          </w:tcPr>
          <w:p>
            <w:pPr>
              <w:spacing w:after="0"/>
              <w:rPr>
                <w:sz w:val="20"/>
                <w:szCs w:val="20"/>
                <w:color w:val="auto"/>
              </w:rPr>
            </w:pPr>
          </w:p>
        </w:tc>
        <w:tc>
          <w:tcPr>
            <w:tcW w:w="3380" w:type="dxa"/>
            <w:vAlign w:val="bottom"/>
            <w:tcBorders>
              <w:bottom w:val="single" w:sz="8" w:color="484844"/>
            </w:tcBorders>
          </w:tcPr>
          <w:p>
            <w:pPr>
              <w:spacing w:after="0"/>
              <w:rPr>
                <w:sz w:val="20"/>
                <w:szCs w:val="20"/>
                <w:color w:val="auto"/>
              </w:rPr>
            </w:pPr>
          </w:p>
        </w:tc>
      </w:tr>
      <w:tr>
        <w:trPr>
          <w:trHeight w:val="252"/>
        </w:trPr>
        <w:tc>
          <w:tcPr>
            <w:tcW w:w="300" w:type="dxa"/>
            <w:vAlign w:val="bottom"/>
          </w:tcPr>
          <w:p>
            <w:pPr>
              <w:spacing w:after="0"/>
              <w:rPr>
                <w:sz w:val="21"/>
                <w:szCs w:val="21"/>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PRIVACY NOTICE - GROUP MASTER POLICY</w:t>
            </w:r>
          </w:p>
        </w:tc>
        <w:tc>
          <w:tcPr>
            <w:tcW w:w="3380" w:type="dxa"/>
            <w:vAlign w:val="bottom"/>
          </w:tcPr>
          <w:p>
            <w:pPr>
              <w:ind w:left="580"/>
              <w:spacing w:after="0"/>
              <w:rPr>
                <w:sz w:val="20"/>
                <w:szCs w:val="20"/>
                <w:color w:val="auto"/>
              </w:rPr>
            </w:pPr>
            <w:r>
              <w:rPr>
                <w:rFonts w:ascii="Arial" w:cs="Arial" w:eastAsia="Arial" w:hAnsi="Arial"/>
                <w:sz w:val="17"/>
                <w:szCs w:val="17"/>
                <w:color w:val="auto"/>
              </w:rPr>
              <w:t>10-02-1058 (10/16)</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IMPORTANT NOTICE - OFAC</w:t>
            </w:r>
          </w:p>
        </w:tc>
        <w:tc>
          <w:tcPr>
            <w:tcW w:w="3380" w:type="dxa"/>
            <w:vAlign w:val="bottom"/>
          </w:tcPr>
          <w:p>
            <w:pPr>
              <w:ind w:left="580"/>
              <w:spacing w:after="0"/>
              <w:rPr>
                <w:sz w:val="20"/>
                <w:szCs w:val="20"/>
                <w:color w:val="auto"/>
              </w:rPr>
            </w:pPr>
            <w:r>
              <w:rPr>
                <w:rFonts w:ascii="Arial" w:cs="Arial" w:eastAsia="Arial" w:hAnsi="Arial"/>
                <w:sz w:val="17"/>
                <w:szCs w:val="17"/>
                <w:color w:val="auto"/>
              </w:rPr>
              <w:t>99-10-0796 (09/04)</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AOD POLICYHOLDER NOTICE</w:t>
            </w:r>
          </w:p>
        </w:tc>
        <w:tc>
          <w:tcPr>
            <w:tcW w:w="3380" w:type="dxa"/>
            <w:vAlign w:val="bottom"/>
          </w:tcPr>
          <w:p>
            <w:pPr>
              <w:ind w:left="580"/>
              <w:spacing w:after="0"/>
              <w:rPr>
                <w:sz w:val="20"/>
                <w:szCs w:val="20"/>
                <w:color w:val="auto"/>
              </w:rPr>
            </w:pPr>
            <w:r>
              <w:rPr>
                <w:rFonts w:ascii="Arial" w:cs="Arial" w:eastAsia="Arial" w:hAnsi="Arial"/>
                <w:sz w:val="17"/>
                <w:szCs w:val="17"/>
                <w:color w:val="auto"/>
              </w:rPr>
              <w:t>99-10-0872 (06/07)</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COVERAGE SUMMARY/DECLARATIONS</w:t>
            </w:r>
          </w:p>
        </w:tc>
        <w:tc>
          <w:tcPr>
            <w:tcW w:w="3380" w:type="dxa"/>
            <w:vAlign w:val="bottom"/>
          </w:tcPr>
          <w:p>
            <w:pPr>
              <w:ind w:left="580"/>
              <w:spacing w:after="0"/>
              <w:rPr>
                <w:sz w:val="20"/>
                <w:szCs w:val="20"/>
                <w:color w:val="auto"/>
              </w:rPr>
            </w:pPr>
            <w:r>
              <w:rPr>
                <w:rFonts w:ascii="Arial" w:cs="Arial" w:eastAsia="Arial" w:hAnsi="Arial"/>
                <w:sz w:val="17"/>
                <w:szCs w:val="17"/>
                <w:color w:val="auto"/>
              </w:rPr>
              <w:t>10-02-0690 (08/07)</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GROUP PERSONAL EXCESS - CONTRACT/POLICY TERMS</w:t>
            </w:r>
          </w:p>
        </w:tc>
        <w:tc>
          <w:tcPr>
            <w:tcW w:w="3380" w:type="dxa"/>
            <w:vAlign w:val="bottom"/>
          </w:tcPr>
          <w:p>
            <w:pPr>
              <w:ind w:left="580"/>
              <w:spacing w:after="0"/>
              <w:rPr>
                <w:sz w:val="20"/>
                <w:szCs w:val="20"/>
                <w:color w:val="auto"/>
              </w:rPr>
            </w:pPr>
            <w:r>
              <w:rPr>
                <w:rFonts w:ascii="Arial" w:cs="Arial" w:eastAsia="Arial" w:hAnsi="Arial"/>
                <w:sz w:val="17"/>
                <w:szCs w:val="17"/>
                <w:color w:val="auto"/>
              </w:rPr>
              <w:t>10-02-0691 (07/16)</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ANNUAL PREMIUM ADJUSTMENT CLAUSE</w:t>
            </w:r>
          </w:p>
        </w:tc>
        <w:tc>
          <w:tcPr>
            <w:tcW w:w="3380" w:type="dxa"/>
            <w:vAlign w:val="bottom"/>
          </w:tcPr>
          <w:p>
            <w:pPr>
              <w:ind w:left="580"/>
              <w:spacing w:after="0"/>
              <w:rPr>
                <w:sz w:val="20"/>
                <w:szCs w:val="20"/>
                <w:color w:val="auto"/>
              </w:rPr>
            </w:pPr>
            <w:r>
              <w:rPr>
                <w:rFonts w:ascii="Arial" w:cs="Arial" w:eastAsia="Arial" w:hAnsi="Arial"/>
                <w:sz w:val="17"/>
                <w:szCs w:val="17"/>
                <w:color w:val="auto"/>
              </w:rPr>
              <w:t>10-02-0692 (08/96)</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NAMED INSURED ENDORSEMENT</w:t>
            </w:r>
          </w:p>
        </w:tc>
        <w:tc>
          <w:tcPr>
            <w:tcW w:w="3380" w:type="dxa"/>
            <w:vAlign w:val="bottom"/>
          </w:tcPr>
          <w:p>
            <w:pPr>
              <w:ind w:left="580"/>
              <w:spacing w:after="0"/>
              <w:rPr>
                <w:sz w:val="20"/>
                <w:szCs w:val="20"/>
                <w:color w:val="auto"/>
              </w:rPr>
            </w:pPr>
            <w:r>
              <w:rPr>
                <w:rFonts w:ascii="Arial" w:cs="Arial" w:eastAsia="Arial" w:hAnsi="Arial"/>
                <w:sz w:val="17"/>
                <w:szCs w:val="17"/>
                <w:color w:val="auto"/>
              </w:rPr>
              <w:t>10-02-0692 (08/96)</w:t>
            </w:r>
          </w:p>
        </w:tc>
      </w:tr>
      <w:tr>
        <w:trPr>
          <w:trHeight w:val="270"/>
        </w:trPr>
        <w:tc>
          <w:tcPr>
            <w:tcW w:w="300" w:type="dxa"/>
            <w:vAlign w:val="bottom"/>
          </w:tcPr>
          <w:p>
            <w:pPr>
              <w:spacing w:after="0"/>
              <w:rPr>
                <w:sz w:val="23"/>
                <w:szCs w:val="23"/>
                <w:color w:val="auto"/>
              </w:rPr>
            </w:pPr>
          </w:p>
        </w:tc>
        <w:tc>
          <w:tcPr>
            <w:tcW w:w="6580" w:type="dxa"/>
            <w:vAlign w:val="bottom"/>
            <w:gridSpan w:val="2"/>
          </w:tcPr>
          <w:p>
            <w:pPr>
              <w:ind w:left="80"/>
              <w:spacing w:after="0"/>
              <w:rPr>
                <w:sz w:val="20"/>
                <w:szCs w:val="20"/>
                <w:color w:val="auto"/>
              </w:rPr>
            </w:pPr>
            <w:r>
              <w:rPr>
                <w:rFonts w:ascii="Arial" w:cs="Arial" w:eastAsia="Arial" w:hAnsi="Arial"/>
                <w:sz w:val="19"/>
                <w:szCs w:val="19"/>
                <w:color w:val="auto"/>
              </w:rPr>
              <w:t>UNDERLYING LIMITS ENDORSEMENT</w:t>
            </w:r>
          </w:p>
        </w:tc>
        <w:tc>
          <w:tcPr>
            <w:tcW w:w="3380" w:type="dxa"/>
            <w:vAlign w:val="bottom"/>
          </w:tcPr>
          <w:p>
            <w:pPr>
              <w:ind w:left="580"/>
              <w:spacing w:after="0"/>
              <w:rPr>
                <w:sz w:val="20"/>
                <w:szCs w:val="20"/>
                <w:color w:val="auto"/>
              </w:rPr>
            </w:pPr>
            <w:r>
              <w:rPr>
                <w:rFonts w:ascii="Arial" w:cs="Arial" w:eastAsia="Arial" w:hAnsi="Arial"/>
                <w:sz w:val="17"/>
                <w:szCs w:val="17"/>
                <w:color w:val="auto"/>
              </w:rPr>
              <w:t>10-02-0692 (08/96)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-4665980</wp:posOffset>
            </wp:positionV>
            <wp:extent cx="110617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8">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42423F"/>
        </w:rPr>
        <w:t xml:space="preserve">Last </w:t>
      </w:r>
      <w:r>
        <w:rPr>
          <w:rFonts w:ascii="Arial" w:cs="Arial" w:eastAsia="Arial" w:hAnsi="Arial"/>
          <w:sz w:val="14"/>
          <w:szCs w:val="14"/>
          <w:color w:val="565654"/>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160655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4"/>
          <w:szCs w:val="14"/>
          <w:color w:val="42423F"/>
        </w:rPr>
        <w:t>Page 1</w:t>
      </w:r>
    </w:p>
    <w:p>
      <w:pPr>
        <w:ind w:left="340"/>
        <w:spacing w:after="0"/>
        <w:rPr>
          <w:sz w:val="20"/>
          <w:szCs w:val="20"/>
          <w:color w:val="auto"/>
        </w:rPr>
      </w:pPr>
      <w:r>
        <w:rPr>
          <w:rFonts w:ascii="Arial" w:cs="Arial" w:eastAsia="Arial" w:hAnsi="Arial"/>
          <w:sz w:val="10"/>
          <w:szCs w:val="10"/>
          <w:color w:val="6B6B69"/>
        </w:rPr>
        <w:t>Form 10-02-041</w:t>
      </w:r>
      <w:r>
        <w:rPr>
          <w:rFonts w:ascii="Arial" w:cs="Arial" w:eastAsia="Arial" w:hAnsi="Arial"/>
          <w:sz w:val="10"/>
          <w:szCs w:val="10"/>
          <w:color w:val="42423F"/>
        </w:rPr>
        <w:t>4</w:t>
      </w:r>
      <w:r>
        <w:rPr>
          <w:rFonts w:ascii="Arial" w:cs="Arial" w:eastAsia="Arial" w:hAnsi="Arial"/>
          <w:sz w:val="10"/>
          <w:szCs w:val="10"/>
          <w:color w:val="6B6B69"/>
        </w:rPr>
        <w:t xml:space="preserve"> </w:t>
      </w:r>
      <w:r>
        <w:rPr>
          <w:rFonts w:ascii="Arial" w:cs="Arial" w:eastAsia="Arial" w:hAnsi="Arial"/>
          <w:sz w:val="10"/>
          <w:szCs w:val="10"/>
          <w:color w:val="565654"/>
        </w:rPr>
        <w:t>(Ed</w:t>
      </w:r>
      <w:r>
        <w:rPr>
          <w:rFonts w:ascii="Arial" w:cs="Arial" w:eastAsia="Arial" w:hAnsi="Arial"/>
          <w:sz w:val="10"/>
          <w:szCs w:val="10"/>
          <w:color w:val="ACACAA"/>
        </w:rPr>
        <w:t>.</w:t>
      </w:r>
      <w:r>
        <w:rPr>
          <w:rFonts w:ascii="Arial" w:cs="Arial" w:eastAsia="Arial" w:hAnsi="Arial"/>
          <w:sz w:val="10"/>
          <w:szCs w:val="10"/>
          <w:color w:val="6B6B69"/>
        </w:rPr>
        <w:t xml:space="preserve"> </w:t>
      </w:r>
      <w:r>
        <w:rPr>
          <w:rFonts w:ascii="Arial" w:cs="Arial" w:eastAsia="Arial" w:hAnsi="Arial"/>
          <w:sz w:val="10"/>
          <w:szCs w:val="10"/>
          <w:color w:val="565654"/>
        </w:rPr>
        <w:t>9/93)</w:t>
      </w:r>
    </w:p>
    <w:p>
      <w:pPr>
        <w:sectPr>
          <w:pgSz w:w="11900" w:h="16838" w:orient="portrait"/>
          <w:cols w:equalWidth="0" w:num="1">
            <w:col w:w="11380"/>
          </w:cols>
          <w:pgMar w:left="280" w:top="575" w:right="239" w:bottom="881"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277495</wp:posOffset>
            </wp:positionV>
            <wp:extent cx="120078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GROUP PERSONAL</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EXCESS LIABILITY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 of 15</w:t>
      </w:r>
    </w:p>
    <w:p>
      <w:pPr>
        <w:sectPr>
          <w:pgSz w:w="11900" w:h="16838" w:orient="portrait"/>
          <w:cols w:equalWidth="0" w:num="1">
            <w:col w:w="11420"/>
          </w:cols>
          <w:pgMar w:left="240" w:top="1440" w:right="239" w:bottom="1440" w:gutter="0" w:footer="0" w:header="0"/>
        </w:sectPr>
      </w:pPr>
    </w:p>
    <w:bookmarkStart w:id="290" w:name="page291"/>
    <w:bookmarkEnd w:id="290"/>
    <w:p>
      <w:pPr>
        <w:ind w:left="880"/>
        <w:spacing w:after="0"/>
        <w:rPr>
          <w:sz w:val="20"/>
          <w:szCs w:val="20"/>
          <w:color w:val="auto"/>
        </w:rPr>
      </w:pPr>
      <w:r>
        <w:rPr>
          <w:rFonts w:ascii="Arial" w:cs="Arial" w:eastAsia="Arial" w:hAnsi="Arial"/>
          <w:sz w:val="19"/>
          <w:szCs w:val="19"/>
          <w:i w:val="1"/>
          <w:iCs w:val="1"/>
          <w:color w:val="363634"/>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THIS PAGE INTENTIONALLY LEFT BLANK</w:t>
      </w:r>
    </w:p>
    <w:p>
      <w:pPr>
        <w:sectPr>
          <w:pgSz w:w="11900" w:h="16838" w:orient="portrait"/>
          <w:cols w:equalWidth="0" w:num="1">
            <w:col w:w="9019"/>
          </w:cols>
          <w:pgMar w:left="1440" w:top="697" w:right="1440" w:bottom="1440" w:gutter="0" w:footer="0" w:header="0"/>
        </w:sectPr>
      </w:pPr>
    </w:p>
    <w:bookmarkStart w:id="291" w:name="page292"/>
    <w:bookmarkEnd w:id="291"/>
    <w:p>
      <w:pPr>
        <w:ind w:left="3620"/>
        <w:spacing w:after="0"/>
        <w:rPr>
          <w:sz w:val="20"/>
          <w:szCs w:val="20"/>
          <w:color w:val="auto"/>
        </w:rPr>
      </w:pPr>
      <w:r>
        <w:rPr>
          <w:rFonts w:ascii="Arial" w:cs="Arial" w:eastAsia="Arial" w:hAnsi="Arial"/>
          <w:sz w:val="25"/>
          <w:szCs w:val="25"/>
          <w:b w:val="1"/>
          <w:bCs w:val="1"/>
          <w:color w:val="42423F"/>
        </w:rPr>
        <w:drawing>
          <wp:anchor simplePos="0" relativeHeight="251657728" behindDoc="1" locked="0" layoutInCell="0" allowOverlap="1">
            <wp:simplePos x="0" y="0"/>
            <wp:positionH relativeFrom="page">
              <wp:posOffset>226060</wp:posOffset>
            </wp:positionH>
            <wp:positionV relativeFrom="page">
              <wp:posOffset>243205</wp:posOffset>
            </wp:positionV>
            <wp:extent cx="107188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37160"/>
                    </a:xfrm>
                    <a:prstGeom prst="rect">
                      <a:avLst/>
                    </a:prstGeom>
                    <a:noFill/>
                  </pic:spPr>
                </pic:pic>
              </a:graphicData>
            </a:graphic>
          </wp:anchor>
        </w:drawing>
        <w:t>GROUP PERSONAL EXCESS LIABILITY POLICY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42423F"/>
        </w:rPr>
        <w:t>INTRODUCTION</w:t>
      </w:r>
    </w:p>
    <w:p>
      <w:pPr>
        <w:spacing w:after="0" w:line="80" w:lineRule="exact"/>
        <w:rPr>
          <w:sz w:val="20"/>
          <w:szCs w:val="20"/>
          <w:color w:val="auto"/>
        </w:rPr>
      </w:pPr>
    </w:p>
    <w:p>
      <w:pPr>
        <w:ind w:left="520" w:right="80"/>
        <w:spacing w:after="0" w:line="271" w:lineRule="auto"/>
        <w:rPr>
          <w:sz w:val="20"/>
          <w:szCs w:val="20"/>
          <w:color w:val="auto"/>
        </w:rPr>
      </w:pPr>
      <w:r>
        <w:rPr>
          <w:rFonts w:ascii="Arial" w:cs="Arial" w:eastAsia="Arial" w:hAnsi="Arial"/>
          <w:sz w:val="17"/>
          <w:szCs w:val="17"/>
          <w:color w:val="42423F"/>
        </w:rPr>
        <w:t xml:space="preserve">This </w:t>
      </w:r>
      <w:r>
        <w:rPr>
          <w:rFonts w:ascii="Arial" w:cs="Arial" w:eastAsia="Arial" w:hAnsi="Arial"/>
          <w:sz w:val="16"/>
          <w:szCs w:val="16"/>
          <w:color w:val="42423F"/>
        </w:rPr>
        <w:t>is your Chubb Group Personal Excess Liability Policy</w:t>
      </w:r>
      <w:r>
        <w:rPr>
          <w:rFonts w:ascii="Arial" w:cs="Arial" w:eastAsia="Arial" w:hAnsi="Arial"/>
          <w:sz w:val="16"/>
          <w:szCs w:val="16"/>
          <w:color w:val="5D5D5B"/>
        </w:rPr>
        <w:t>.</w:t>
      </w:r>
      <w:r>
        <w:rPr>
          <w:rFonts w:ascii="Arial" w:cs="Arial" w:eastAsia="Arial" w:hAnsi="Arial"/>
          <w:sz w:val="17"/>
          <w:szCs w:val="17"/>
          <w:color w:val="42423F"/>
        </w:rPr>
        <w:t xml:space="preserve"> </w:t>
      </w:r>
      <w:r>
        <w:rPr>
          <w:rFonts w:ascii="Arial" w:cs="Arial" w:eastAsia="Arial" w:hAnsi="Arial"/>
          <w:sz w:val="16"/>
          <w:szCs w:val="16"/>
          <w:color w:val="42423F"/>
        </w:rPr>
        <w:t>Together with your Coverage Summary, it explains your coverages and other conditions of your insurance</w:t>
      </w:r>
      <w:r>
        <w:rPr>
          <w:rFonts w:ascii="Arial" w:cs="Arial" w:eastAsia="Arial" w:hAnsi="Arial"/>
          <w:sz w:val="17"/>
          <w:szCs w:val="17"/>
          <w:color w:val="42423F"/>
        </w:rPr>
        <w:t xml:space="preserve"> </w:t>
      </w:r>
      <w:r>
        <w:rPr>
          <w:rFonts w:ascii="Arial" w:cs="Arial" w:eastAsia="Arial" w:hAnsi="Arial"/>
          <w:sz w:val="16"/>
          <w:szCs w:val="16"/>
          <w:color w:val="42423F"/>
        </w:rPr>
        <w:t>in detail.</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42423F"/>
        </w:rPr>
        <w:t xml:space="preserve">This policy is a contract between you and </w:t>
      </w:r>
      <w:r>
        <w:rPr>
          <w:rFonts w:ascii="Arial" w:cs="Arial" w:eastAsia="Arial" w:hAnsi="Arial"/>
          <w:sz w:val="16"/>
          <w:szCs w:val="16"/>
          <w:color w:val="31312F"/>
        </w:rPr>
        <w:t>us.</w:t>
      </w:r>
      <w:r>
        <w:rPr>
          <w:rFonts w:ascii="Arial" w:cs="Arial" w:eastAsia="Arial" w:hAnsi="Arial"/>
          <w:sz w:val="16"/>
          <w:szCs w:val="16"/>
          <w:color w:val="42423F"/>
        </w:rPr>
        <w:t xml:space="preserve"> READ YOUR POLICY CAREFULLY and keep it in a safe place.</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Agreement</w:t>
      </w:r>
    </w:p>
    <w:p>
      <w:pPr>
        <w:spacing w:after="0" w:line="31" w:lineRule="exact"/>
        <w:rPr>
          <w:sz w:val="20"/>
          <w:szCs w:val="20"/>
          <w:color w:val="auto"/>
        </w:rPr>
      </w:pPr>
    </w:p>
    <w:p>
      <w:pPr>
        <w:ind w:left="520" w:right="200" w:hanging="26"/>
        <w:spacing w:after="0" w:line="231" w:lineRule="auto"/>
        <w:rPr>
          <w:sz w:val="20"/>
          <w:szCs w:val="20"/>
          <w:color w:val="auto"/>
        </w:rPr>
      </w:pPr>
      <w:r>
        <w:rPr>
          <w:rFonts w:ascii="Arial" w:cs="Arial" w:eastAsia="Arial" w:hAnsi="Arial"/>
          <w:sz w:val="16"/>
          <w:szCs w:val="16"/>
          <w:color w:val="42423F"/>
        </w:rPr>
        <w:t xml:space="preserve">We agree </w:t>
      </w:r>
      <w:r>
        <w:rPr>
          <w:rFonts w:ascii="Arial" w:cs="Arial" w:eastAsia="Arial" w:hAnsi="Arial"/>
          <w:sz w:val="14"/>
          <w:szCs w:val="14"/>
          <w:color w:val="42423F"/>
        </w:rPr>
        <w:t>to</w:t>
      </w:r>
      <w:r>
        <w:rPr>
          <w:rFonts w:ascii="Arial" w:cs="Arial" w:eastAsia="Arial" w:hAnsi="Arial"/>
          <w:sz w:val="16"/>
          <w:szCs w:val="16"/>
          <w:color w:val="42423F"/>
        </w:rPr>
        <w:t xml:space="preserve"> provide the insurance described in this policy in return for the premium paid by you or the Sponsoring Organization and your compliance with the policy conditions.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Definitions</w:t>
      </w:r>
    </w:p>
    <w:p>
      <w:pPr>
        <w:spacing w:after="0" w:line="31" w:lineRule="exact"/>
        <w:rPr>
          <w:sz w:val="20"/>
          <w:szCs w:val="20"/>
          <w:color w:val="auto"/>
        </w:rPr>
      </w:pPr>
    </w:p>
    <w:p>
      <w:pPr>
        <w:ind w:left="520" w:right="320"/>
        <w:spacing w:after="0" w:line="257" w:lineRule="auto"/>
        <w:rPr>
          <w:sz w:val="20"/>
          <w:szCs w:val="20"/>
          <w:color w:val="auto"/>
        </w:rPr>
      </w:pPr>
      <w:r>
        <w:rPr>
          <w:rFonts w:ascii="Arial" w:cs="Arial" w:eastAsia="Arial" w:hAnsi="Arial"/>
          <w:sz w:val="16"/>
          <w:szCs w:val="16"/>
          <w:color w:val="42423F"/>
        </w:rPr>
        <w:t xml:space="preserve">In this policy, we </w:t>
      </w:r>
      <w:r>
        <w:rPr>
          <w:rFonts w:ascii="Arial" w:cs="Arial" w:eastAsia="Arial" w:hAnsi="Arial"/>
          <w:sz w:val="16"/>
          <w:szCs w:val="16"/>
          <w:color w:val="31312F"/>
        </w:rPr>
        <w:t>use</w:t>
      </w:r>
      <w:r>
        <w:rPr>
          <w:rFonts w:ascii="Arial" w:cs="Arial" w:eastAsia="Arial" w:hAnsi="Arial"/>
          <w:sz w:val="16"/>
          <w:szCs w:val="16"/>
          <w:color w:val="42423F"/>
        </w:rPr>
        <w:t xml:space="preserve"> words in their plain English meaning. Words with special meanings are </w:t>
      </w:r>
      <w:r>
        <w:rPr>
          <w:rFonts w:ascii="Arial" w:cs="Arial" w:eastAsia="Arial" w:hAnsi="Arial"/>
          <w:sz w:val="16"/>
          <w:szCs w:val="16"/>
          <w:color w:val="31312F"/>
        </w:rPr>
        <w:t>defined</w:t>
      </w:r>
      <w:r>
        <w:rPr>
          <w:rFonts w:ascii="Arial" w:cs="Arial" w:eastAsia="Arial" w:hAnsi="Arial"/>
          <w:sz w:val="16"/>
          <w:szCs w:val="16"/>
          <w:color w:val="42423F"/>
        </w:rPr>
        <w:t xml:space="preserve"> in the part of the policy where they are used. The few defined terms </w:t>
      </w:r>
      <w:r>
        <w:rPr>
          <w:rFonts w:ascii="Arial" w:cs="Arial" w:eastAsia="Arial" w:hAnsi="Arial"/>
          <w:sz w:val="16"/>
          <w:szCs w:val="16"/>
          <w:color w:val="31312F"/>
        </w:rPr>
        <w:t>used</w:t>
      </w:r>
      <w:r>
        <w:rPr>
          <w:rFonts w:ascii="Arial" w:cs="Arial" w:eastAsia="Arial" w:hAnsi="Arial"/>
          <w:sz w:val="16"/>
          <w:szCs w:val="16"/>
          <w:color w:val="42423F"/>
        </w:rPr>
        <w:t xml:space="preserve"> throughout the policy are defined here: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You </w:t>
      </w:r>
      <w:r>
        <w:rPr>
          <w:rFonts w:ascii="Arial" w:cs="Arial" w:eastAsia="Arial" w:hAnsi="Arial"/>
          <w:sz w:val="16"/>
          <w:szCs w:val="16"/>
          <w:color w:val="42423F"/>
        </w:rPr>
        <w:t>means the individual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a member of the Defined Group shown as the Insured named in the Coverage Summary.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Spouse </w:t>
      </w:r>
      <w:r>
        <w:rPr>
          <w:rFonts w:ascii="Arial" w:cs="Arial" w:eastAsia="Arial" w:hAnsi="Arial"/>
          <w:sz w:val="16"/>
          <w:szCs w:val="16"/>
          <w:color w:val="42423F"/>
        </w:rPr>
        <w:t>means a partner in marriage or a partner in a civil</w:t>
      </w:r>
      <w:r>
        <w:rPr>
          <w:rFonts w:ascii="Arial" w:cs="Arial" w:eastAsia="Arial" w:hAnsi="Arial"/>
          <w:sz w:val="16"/>
          <w:szCs w:val="16"/>
          <w:b w:val="1"/>
          <w:bCs w:val="1"/>
          <w:color w:val="42423F"/>
        </w:rPr>
        <w:t xml:space="preserve"> </w:t>
      </w:r>
      <w:r>
        <w:rPr>
          <w:rFonts w:ascii="Arial" w:cs="Arial" w:eastAsia="Arial" w:hAnsi="Arial"/>
          <w:sz w:val="16"/>
          <w:szCs w:val="16"/>
          <w:color w:val="31312F"/>
        </w:rPr>
        <w:t>union</w:t>
      </w:r>
      <w:r>
        <w:rPr>
          <w:rFonts w:ascii="Arial" w:cs="Arial" w:eastAsia="Arial" w:hAnsi="Arial"/>
          <w:sz w:val="16"/>
          <w:szCs w:val="16"/>
          <w:b w:val="1"/>
          <w:bCs w:val="1"/>
          <w:color w:val="42423F"/>
        </w:rPr>
        <w:t xml:space="preserve"> </w:t>
      </w:r>
      <w:r>
        <w:rPr>
          <w:rFonts w:ascii="Arial" w:cs="Arial" w:eastAsia="Arial" w:hAnsi="Arial"/>
          <w:sz w:val="16"/>
          <w:szCs w:val="16"/>
          <w:color w:val="42423F"/>
        </w:rPr>
        <w:t>recognized under state law and who lives with you.</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We </w:t>
      </w:r>
      <w:r>
        <w:rPr>
          <w:rFonts w:ascii="Arial" w:cs="Arial" w:eastAsia="Arial" w:hAnsi="Arial"/>
          <w:sz w:val="16"/>
          <w:szCs w:val="16"/>
          <w:color w:val="42423F"/>
        </w:rPr>
        <w:t>and</w:t>
      </w:r>
      <w:r>
        <w:rPr>
          <w:rFonts w:ascii="Arial" w:cs="Arial" w:eastAsia="Arial" w:hAnsi="Arial"/>
          <w:sz w:val="16"/>
          <w:szCs w:val="16"/>
          <w:b w:val="1"/>
          <w:bCs w:val="1"/>
          <w:color w:val="42423F"/>
        </w:rPr>
        <w:t xml:space="preserve"> us </w:t>
      </w:r>
      <w:r>
        <w:rPr>
          <w:rFonts w:ascii="Arial" w:cs="Arial" w:eastAsia="Arial" w:hAnsi="Arial"/>
          <w:sz w:val="16"/>
          <w:szCs w:val="16"/>
          <w:color w:val="42423F"/>
        </w:rPr>
        <w:t>mean the insurance company named in the</w:t>
      </w:r>
      <w:r>
        <w:rPr>
          <w:rFonts w:ascii="Arial" w:cs="Arial" w:eastAsia="Arial" w:hAnsi="Arial"/>
          <w:sz w:val="16"/>
          <w:szCs w:val="16"/>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r>
        <w:rPr>
          <w:rFonts w:ascii="Arial" w:cs="Arial" w:eastAsia="Arial" w:hAnsi="Arial"/>
          <w:sz w:val="16"/>
          <w:szCs w:val="16"/>
          <w:color w:val="5D5D5B"/>
        </w:rPr>
        <w:t>.</w:t>
      </w:r>
    </w:p>
    <w:p>
      <w:pPr>
        <w:spacing w:after="0" w:line="82" w:lineRule="exact"/>
        <w:rPr>
          <w:sz w:val="20"/>
          <w:szCs w:val="20"/>
          <w:color w:val="auto"/>
        </w:rPr>
      </w:pPr>
    </w:p>
    <w:p>
      <w:pPr>
        <w:ind w:left="520" w:right="240"/>
        <w:spacing w:after="0" w:line="275" w:lineRule="auto"/>
        <w:rPr>
          <w:sz w:val="20"/>
          <w:szCs w:val="20"/>
          <w:color w:val="auto"/>
        </w:rPr>
      </w:pPr>
      <w:r>
        <w:rPr>
          <w:rFonts w:ascii="Arial" w:cs="Arial" w:eastAsia="Arial" w:hAnsi="Arial"/>
          <w:sz w:val="18"/>
          <w:szCs w:val="18"/>
          <w:b w:val="1"/>
          <w:bCs w:val="1"/>
          <w:color w:val="42423F"/>
        </w:rPr>
        <w:t xml:space="preserve">Family </w:t>
      </w:r>
      <w:r>
        <w:rPr>
          <w:rFonts w:ascii="Arial" w:cs="Arial" w:eastAsia="Arial" w:hAnsi="Arial"/>
          <w:sz w:val="16"/>
          <w:szCs w:val="16"/>
          <w:b w:val="1"/>
          <w:bCs w:val="1"/>
          <w:color w:val="42423F"/>
        </w:rPr>
        <w:t>member</w:t>
      </w:r>
      <w:r>
        <w:rPr>
          <w:rFonts w:ascii="Arial" w:cs="Arial" w:eastAsia="Arial" w:hAnsi="Arial"/>
          <w:sz w:val="18"/>
          <w:szCs w:val="18"/>
          <w:b w:val="1"/>
          <w:bCs w:val="1"/>
          <w:color w:val="42423F"/>
        </w:rPr>
        <w:t xml:space="preserve"> </w:t>
      </w:r>
      <w:r>
        <w:rPr>
          <w:rFonts w:ascii="Arial" w:cs="Arial" w:eastAsia="Arial" w:hAnsi="Arial"/>
          <w:sz w:val="16"/>
          <w:szCs w:val="16"/>
          <w:color w:val="42423F"/>
        </w:rPr>
        <w:t>means your spouse or domestic partner or other relative who lives with you, or any other person</w:t>
      </w:r>
      <w:r>
        <w:rPr>
          <w:rFonts w:ascii="Arial" w:cs="Arial" w:eastAsia="Arial" w:hAnsi="Arial"/>
          <w:sz w:val="18"/>
          <w:szCs w:val="18"/>
          <w:b w:val="1"/>
          <w:bCs w:val="1"/>
          <w:color w:val="42423F"/>
        </w:rPr>
        <w:t xml:space="preserve"> </w:t>
      </w:r>
      <w:r>
        <w:rPr>
          <w:rFonts w:ascii="Arial" w:cs="Arial" w:eastAsia="Arial" w:hAnsi="Arial"/>
          <w:sz w:val="16"/>
          <w:szCs w:val="16"/>
          <w:color w:val="31312F"/>
        </w:rPr>
        <w:t>under</w:t>
      </w:r>
      <w:r>
        <w:rPr>
          <w:rFonts w:ascii="Arial" w:cs="Arial" w:eastAsia="Arial" w:hAnsi="Arial"/>
          <w:sz w:val="18"/>
          <w:szCs w:val="18"/>
          <w:b w:val="1"/>
          <w:bCs w:val="1"/>
          <w:color w:val="42423F"/>
        </w:rPr>
        <w:t xml:space="preserve"> </w:t>
      </w:r>
      <w:r>
        <w:rPr>
          <w:rFonts w:ascii="Arial" w:cs="Arial" w:eastAsia="Arial" w:hAnsi="Arial"/>
          <w:sz w:val="16"/>
          <w:szCs w:val="16"/>
          <w:color w:val="42423F"/>
        </w:rPr>
        <w:t>25 in your care or your relative</w:t>
      </w:r>
      <w:r>
        <w:rPr>
          <w:rFonts w:ascii="Arial" w:cs="Arial" w:eastAsia="Arial" w:hAnsi="Arial"/>
          <w:sz w:val="16"/>
          <w:szCs w:val="16"/>
          <w:color w:val="747572"/>
        </w:rPr>
        <w:t>'</w:t>
      </w:r>
      <w:r>
        <w:rPr>
          <w:rFonts w:ascii="Arial" w:cs="Arial" w:eastAsia="Arial" w:hAnsi="Arial"/>
          <w:sz w:val="18"/>
          <w:szCs w:val="18"/>
          <w:b w:val="1"/>
          <w:bCs w:val="1"/>
          <w:color w:val="42423F"/>
        </w:rPr>
        <w:t xml:space="preserve"> </w:t>
      </w:r>
      <w:r>
        <w:rPr>
          <w:rFonts w:ascii="Arial" w:cs="Arial" w:eastAsia="Arial" w:hAnsi="Arial"/>
          <w:sz w:val="16"/>
          <w:szCs w:val="16"/>
          <w:color w:val="42423F"/>
        </w:rPr>
        <w:t>s care who</w:t>
      </w:r>
      <w:r>
        <w:rPr>
          <w:rFonts w:ascii="Arial" w:cs="Arial" w:eastAsia="Arial" w:hAnsi="Arial"/>
          <w:sz w:val="18"/>
          <w:szCs w:val="18"/>
          <w:b w:val="1"/>
          <w:bCs w:val="1"/>
          <w:color w:val="42423F"/>
        </w:rPr>
        <w:t xml:space="preserve"> </w:t>
      </w:r>
      <w:r>
        <w:rPr>
          <w:rFonts w:ascii="Arial" w:cs="Arial" w:eastAsia="Arial" w:hAnsi="Arial"/>
          <w:sz w:val="16"/>
          <w:szCs w:val="16"/>
          <w:color w:val="42423F"/>
        </w:rPr>
        <w:t>lives with you.</w:t>
      </w:r>
    </w:p>
    <w:p>
      <w:pPr>
        <w:spacing w:after="0" w:line="97" w:lineRule="exact"/>
        <w:rPr>
          <w:sz w:val="20"/>
          <w:szCs w:val="20"/>
          <w:color w:val="auto"/>
        </w:rPr>
      </w:pPr>
    </w:p>
    <w:p>
      <w:pPr>
        <w:ind w:left="520" w:right="80"/>
        <w:spacing w:after="0" w:line="281" w:lineRule="auto"/>
        <w:rPr>
          <w:sz w:val="20"/>
          <w:szCs w:val="20"/>
          <w:color w:val="auto"/>
        </w:rPr>
      </w:pPr>
      <w:r>
        <w:rPr>
          <w:rFonts w:ascii="Arial" w:cs="Arial" w:eastAsia="Arial" w:hAnsi="Arial"/>
          <w:sz w:val="16"/>
          <w:szCs w:val="16"/>
          <w:b w:val="1"/>
          <w:bCs w:val="1"/>
          <w:color w:val="42423F"/>
        </w:rPr>
        <w:t xml:space="preserve">Domestic partner </w:t>
      </w:r>
      <w:r>
        <w:rPr>
          <w:rFonts w:ascii="Arial" w:cs="Arial" w:eastAsia="Arial" w:hAnsi="Arial"/>
          <w:sz w:val="16"/>
          <w:szCs w:val="16"/>
          <w:color w:val="42423F"/>
        </w:rPr>
        <w:t>means a person in a legal or personal relationship with you, who lives with you and shares a common domestic life with you, and meeting all of the</w:t>
      </w:r>
      <w:r>
        <w:rPr>
          <w:rFonts w:ascii="Arial" w:cs="Arial" w:eastAsia="Arial" w:hAnsi="Arial"/>
          <w:sz w:val="16"/>
          <w:szCs w:val="16"/>
          <w:b w:val="1"/>
          <w:bCs w:val="1"/>
          <w:color w:val="42423F"/>
        </w:rPr>
        <w:t xml:space="preserve"> </w:t>
      </w:r>
      <w:r>
        <w:rPr>
          <w:rFonts w:ascii="Arial" w:cs="Arial" w:eastAsia="Arial" w:hAnsi="Arial"/>
          <w:sz w:val="16"/>
          <w:szCs w:val="16"/>
          <w:color w:val="42423F"/>
        </w:rPr>
        <w:t>benefits eligibility criteria as defined by the Sponsoring Organization.</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Sponsoring Organization </w:t>
      </w:r>
      <w:r>
        <w:rPr>
          <w:rFonts w:ascii="Arial" w:cs="Arial" w:eastAsia="Arial" w:hAnsi="Arial"/>
          <w:sz w:val="15"/>
          <w:szCs w:val="15"/>
          <w:color w:val="42423F"/>
        </w:rPr>
        <w:t>means the entity, corporation, partnership or sole proprietorship sponsoring and defining the criteria for qualification as an Insured.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42423F"/>
        </w:rPr>
        <w:t xml:space="preserve">Policy </w:t>
      </w:r>
      <w:r>
        <w:rPr>
          <w:rFonts w:ascii="Arial" w:cs="Arial" w:eastAsia="Arial" w:hAnsi="Arial"/>
          <w:sz w:val="16"/>
          <w:szCs w:val="16"/>
          <w:color w:val="42423F"/>
        </w:rPr>
        <w:t>means your entire Group Personal Excess Liability Policy, including the</w:t>
      </w:r>
      <w:r>
        <w:rPr>
          <w:rFonts w:ascii="Arial" w:cs="Arial" w:eastAsia="Arial" w:hAnsi="Arial"/>
          <w:sz w:val="18"/>
          <w:szCs w:val="18"/>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Coverage Summary </w:t>
      </w:r>
      <w:r>
        <w:rPr>
          <w:rFonts w:ascii="Arial" w:cs="Arial" w:eastAsia="Arial" w:hAnsi="Arial"/>
          <w:sz w:val="16"/>
          <w:szCs w:val="16"/>
          <w:color w:val="42423F"/>
        </w:rPr>
        <w:t>means the most recent Coverage Summary we</w:t>
      </w:r>
      <w:r>
        <w:rPr>
          <w:rFonts w:ascii="Arial" w:cs="Arial" w:eastAsia="Arial" w:hAnsi="Arial"/>
          <w:sz w:val="16"/>
          <w:szCs w:val="16"/>
          <w:b w:val="1"/>
          <w:bCs w:val="1"/>
          <w:color w:val="42423F"/>
        </w:rPr>
        <w:t xml:space="preserve"> </w:t>
      </w:r>
      <w:r>
        <w:rPr>
          <w:rFonts w:ascii="Arial" w:cs="Arial" w:eastAsia="Arial" w:hAnsi="Arial"/>
          <w:sz w:val="16"/>
          <w:szCs w:val="16"/>
          <w:color w:val="31312F"/>
        </w:rPr>
        <w:t>issued</w:t>
      </w:r>
      <w:r>
        <w:rPr>
          <w:rFonts w:ascii="Arial" w:cs="Arial" w:eastAsia="Arial" w:hAnsi="Arial"/>
          <w:sz w:val="16"/>
          <w:szCs w:val="16"/>
          <w:b w:val="1"/>
          <w:bCs w:val="1"/>
          <w:color w:val="42423F"/>
        </w:rPr>
        <w:t xml:space="preserve"> </w:t>
      </w:r>
      <w:r>
        <w:rPr>
          <w:rFonts w:ascii="Arial" w:cs="Arial" w:eastAsia="Arial" w:hAnsi="Arial"/>
          <w:sz w:val="15"/>
          <w:szCs w:val="15"/>
          <w:color w:val="42423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including any endorsements.</w:t>
      </w:r>
    </w:p>
    <w:p>
      <w:pPr>
        <w:spacing w:after="0" w:line="140" w:lineRule="exact"/>
        <w:rPr>
          <w:sz w:val="20"/>
          <w:szCs w:val="20"/>
          <w:color w:val="auto"/>
        </w:rPr>
      </w:pPr>
    </w:p>
    <w:p>
      <w:pPr>
        <w:ind w:left="520" w:right="120"/>
        <w:spacing w:after="0" w:line="298" w:lineRule="auto"/>
        <w:rPr>
          <w:sz w:val="20"/>
          <w:szCs w:val="20"/>
          <w:color w:val="auto"/>
        </w:rPr>
      </w:pPr>
      <w:r>
        <w:rPr>
          <w:rFonts w:ascii="Arial" w:cs="Arial" w:eastAsia="Arial" w:hAnsi="Arial"/>
          <w:sz w:val="16"/>
          <w:szCs w:val="16"/>
          <w:b w:val="1"/>
          <w:bCs w:val="1"/>
          <w:color w:val="42423F"/>
        </w:rPr>
        <w:t xml:space="preserve">Occurrence </w:t>
      </w:r>
      <w:r>
        <w:rPr>
          <w:rFonts w:ascii="Arial" w:cs="Arial" w:eastAsia="Arial" w:hAnsi="Arial"/>
          <w:sz w:val="16"/>
          <w:szCs w:val="16"/>
          <w:color w:val="42423F"/>
        </w:rPr>
        <w:t>means an</w:t>
      </w:r>
      <w:r>
        <w:rPr>
          <w:rFonts w:ascii="Arial" w:cs="Arial" w:eastAsia="Arial" w:hAnsi="Arial"/>
          <w:sz w:val="16"/>
          <w:szCs w:val="16"/>
          <w:b w:val="1"/>
          <w:bCs w:val="1"/>
          <w:color w:val="42423F"/>
        </w:rPr>
        <w:t xml:space="preserve"> </w:t>
      </w:r>
      <w:r>
        <w:rPr>
          <w:rFonts w:ascii="Arial" w:cs="Arial" w:eastAsia="Arial" w:hAnsi="Arial"/>
          <w:sz w:val="16"/>
          <w:szCs w:val="16"/>
          <w:color w:val="5D5D5B"/>
        </w:rPr>
        <w:t>a</w:t>
      </w:r>
      <w:r>
        <w:rPr>
          <w:rFonts w:ascii="Arial" w:cs="Arial" w:eastAsia="Arial" w:hAnsi="Arial"/>
          <w:sz w:val="16"/>
          <w:szCs w:val="16"/>
          <w:color w:val="42423F"/>
        </w:rPr>
        <w:t>ccident or offense to which this insurance applies and which begins within the policy period. Continuous or repeated exposure</w:t>
      </w:r>
      <w:r>
        <w:rPr>
          <w:rFonts w:ascii="Arial" w:cs="Arial" w:eastAsia="Arial" w:hAnsi="Arial"/>
          <w:sz w:val="16"/>
          <w:szCs w:val="16"/>
          <w:b w:val="1"/>
          <w:bCs w:val="1"/>
          <w:color w:val="42423F"/>
        </w:rPr>
        <w:t xml:space="preserve"> </w:t>
      </w:r>
      <w:r>
        <w:rPr>
          <w:rFonts w:ascii="Arial" w:cs="Arial" w:eastAsia="Arial" w:hAnsi="Arial"/>
          <w:sz w:val="16"/>
          <w:szCs w:val="16"/>
          <w:color w:val="31312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substantially</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the same general conditions unless excluded is considered to </w:t>
      </w:r>
      <w:r>
        <w:rPr>
          <w:rFonts w:ascii="Arial" w:cs="Arial" w:eastAsia="Arial" w:hAnsi="Arial"/>
          <w:sz w:val="16"/>
          <w:szCs w:val="16"/>
          <w:color w:val="31312F"/>
        </w:rPr>
        <w:t>be</w:t>
      </w:r>
      <w:r>
        <w:rPr>
          <w:rFonts w:ascii="Arial" w:cs="Arial" w:eastAsia="Arial" w:hAnsi="Arial"/>
          <w:sz w:val="16"/>
          <w:szCs w:val="16"/>
          <w:color w:val="42423F"/>
        </w:rPr>
        <w:t xml:space="preserve"> one occurrence</w:t>
      </w:r>
      <w:r>
        <w:rPr>
          <w:rFonts w:ascii="Arial" w:cs="Arial" w:eastAsia="Arial" w:hAnsi="Arial"/>
          <w:sz w:val="16"/>
          <w:szCs w:val="16"/>
          <w:color w:val="5D5D5B"/>
        </w:rPr>
        <w:t>.</w:t>
      </w:r>
    </w:p>
    <w:p>
      <w:pPr>
        <w:spacing w:after="0" w:line="97" w:lineRule="exact"/>
        <w:rPr>
          <w:sz w:val="20"/>
          <w:szCs w:val="20"/>
          <w:color w:val="auto"/>
        </w:rPr>
      </w:pPr>
    </w:p>
    <w:p>
      <w:pPr>
        <w:ind w:left="520" w:right="60"/>
        <w:spacing w:after="0" w:line="245" w:lineRule="auto"/>
        <w:rPr>
          <w:sz w:val="20"/>
          <w:szCs w:val="20"/>
          <w:color w:val="auto"/>
        </w:rPr>
      </w:pPr>
      <w:r>
        <w:rPr>
          <w:rFonts w:ascii="Arial" w:cs="Arial" w:eastAsia="Arial" w:hAnsi="Arial"/>
          <w:sz w:val="16"/>
          <w:szCs w:val="16"/>
          <w:b w:val="1"/>
          <w:bCs w:val="1"/>
          <w:color w:val="42423F"/>
        </w:rPr>
        <w:t xml:space="preserve">Business </w:t>
      </w:r>
      <w:r>
        <w:rPr>
          <w:rFonts w:ascii="Arial" w:cs="Arial" w:eastAsia="Arial" w:hAnsi="Arial"/>
          <w:sz w:val="16"/>
          <w:szCs w:val="16"/>
          <w:color w:val="42423F"/>
        </w:rPr>
        <w:t>means any employment, trade, occupation, profession, or farm operation including the raising or care of animals or any activities</w:t>
      </w:r>
      <w:r>
        <w:rPr>
          <w:rFonts w:ascii="Arial" w:cs="Arial" w:eastAsia="Arial" w:hAnsi="Arial"/>
          <w:sz w:val="16"/>
          <w:szCs w:val="16"/>
          <w:b w:val="1"/>
          <w:bCs w:val="1"/>
          <w:color w:val="42423F"/>
        </w:rPr>
        <w:t xml:space="preserve"> </w:t>
      </w:r>
      <w:r>
        <w:rPr>
          <w:rFonts w:ascii="Arial" w:cs="Arial" w:eastAsia="Arial" w:hAnsi="Arial"/>
          <w:sz w:val="16"/>
          <w:szCs w:val="16"/>
          <w:color w:val="31312F"/>
        </w:rPr>
        <w:t>intended to</w:t>
      </w:r>
      <w:r>
        <w:rPr>
          <w:rFonts w:ascii="Arial" w:cs="Arial" w:eastAsia="Arial" w:hAnsi="Arial"/>
          <w:sz w:val="16"/>
          <w:szCs w:val="16"/>
          <w:b w:val="1"/>
          <w:bCs w:val="1"/>
          <w:color w:val="42423F"/>
        </w:rPr>
        <w:t xml:space="preserve"> </w:t>
      </w:r>
      <w:r>
        <w:rPr>
          <w:rFonts w:ascii="Arial" w:cs="Arial" w:eastAsia="Arial" w:hAnsi="Arial"/>
          <w:sz w:val="16"/>
          <w:szCs w:val="16"/>
          <w:color w:val="42423F"/>
        </w:rPr>
        <w:t>realize a benefit</w:t>
      </w:r>
      <w:r>
        <w:rPr>
          <w:rFonts w:ascii="Arial" w:cs="Arial" w:eastAsia="Arial" w:hAnsi="Arial"/>
          <w:sz w:val="16"/>
          <w:szCs w:val="16"/>
          <w:b w:val="1"/>
          <w:bCs w:val="1"/>
          <w:color w:val="42423F"/>
        </w:rPr>
        <w:t xml:space="preserve"> </w:t>
      </w:r>
      <w:r>
        <w:rPr>
          <w:rFonts w:ascii="Arial" w:cs="Arial" w:eastAsia="Arial" w:hAnsi="Arial"/>
          <w:sz w:val="16"/>
          <w:szCs w:val="16"/>
          <w:color w:val="42423F"/>
        </w:rPr>
        <w:t>or financial gain engaged in on a full</w:t>
      </w:r>
      <w:r>
        <w:rPr>
          <w:rFonts w:ascii="Arial" w:cs="Arial" w:eastAsia="Arial" w:hAnsi="Arial"/>
          <w:sz w:val="16"/>
          <w:szCs w:val="16"/>
          <w:color w:val="5D5D5B"/>
        </w:rPr>
        <w:t>-</w:t>
      </w:r>
      <w:r>
        <w:rPr>
          <w:rFonts w:ascii="Arial" w:cs="Arial" w:eastAsia="Arial" w:hAnsi="Arial"/>
          <w:sz w:val="16"/>
          <w:szCs w:val="16"/>
          <w:color w:val="42423F"/>
        </w:rPr>
        <w:t>time, part-time or occasional basis.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Defined Group </w:t>
      </w:r>
      <w:r>
        <w:rPr>
          <w:rFonts w:ascii="Arial" w:cs="Arial" w:eastAsia="Arial" w:hAnsi="Arial"/>
          <w:sz w:val="15"/>
          <w:szCs w:val="15"/>
          <w:color w:val="42423F"/>
        </w:rPr>
        <w:t>means those individuals meeting the criteria for</w:t>
      </w:r>
      <w:r>
        <w:rPr>
          <w:rFonts w:ascii="Arial" w:cs="Arial" w:eastAsia="Arial" w:hAnsi="Arial"/>
          <w:sz w:val="15"/>
          <w:szCs w:val="15"/>
          <w:b w:val="1"/>
          <w:bCs w:val="1"/>
          <w:color w:val="42423F"/>
        </w:rPr>
        <w:t xml:space="preserve"> </w:t>
      </w:r>
      <w:r>
        <w:rPr>
          <w:rFonts w:ascii="Arial" w:cs="Arial" w:eastAsia="Arial" w:hAnsi="Arial"/>
          <w:sz w:val="15"/>
          <w:szCs w:val="15"/>
          <w:color w:val="31312F"/>
        </w:rPr>
        <w:t>qualification</w:t>
      </w:r>
      <w:r>
        <w:rPr>
          <w:rFonts w:ascii="Arial" w:cs="Arial" w:eastAsia="Arial" w:hAnsi="Arial"/>
          <w:sz w:val="15"/>
          <w:szCs w:val="15"/>
          <w:b w:val="1"/>
          <w:bCs w:val="1"/>
          <w:color w:val="42423F"/>
        </w:rPr>
        <w:t xml:space="preserve"> </w:t>
      </w:r>
      <w:r>
        <w:rPr>
          <w:rFonts w:ascii="Arial" w:cs="Arial" w:eastAsia="Arial" w:hAnsi="Arial"/>
          <w:sz w:val="15"/>
          <w:szCs w:val="15"/>
          <w:color w:val="42423F"/>
        </w:rPr>
        <w:t>as an Insured as defined by the Sponsoring Organization and accepted</w:t>
      </w:r>
      <w:r>
        <w:rPr>
          <w:rFonts w:ascii="Arial" w:cs="Arial" w:eastAsia="Arial" w:hAnsi="Arial"/>
          <w:sz w:val="15"/>
          <w:szCs w:val="15"/>
          <w:b w:val="1"/>
          <w:bCs w:val="1"/>
          <w:color w:val="42423F"/>
        </w:rPr>
        <w:t xml:space="preserve"> </w:t>
      </w:r>
      <w:r>
        <w:rPr>
          <w:rFonts w:ascii="Arial" w:cs="Arial" w:eastAsia="Arial" w:hAnsi="Arial"/>
          <w:sz w:val="15"/>
          <w:szCs w:val="15"/>
          <w:color w:val="31312F"/>
        </w:rPr>
        <w:t>by</w:t>
      </w:r>
      <w:r>
        <w:rPr>
          <w:rFonts w:ascii="Arial" w:cs="Arial" w:eastAsia="Arial" w:hAnsi="Arial"/>
          <w:sz w:val="15"/>
          <w:szCs w:val="15"/>
          <w:b w:val="1"/>
          <w:bCs w:val="1"/>
          <w:color w:val="42423F"/>
        </w:rPr>
        <w:t xml:space="preserve"> </w:t>
      </w:r>
      <w:r>
        <w:rPr>
          <w:rFonts w:ascii="Arial" w:cs="Arial" w:eastAsia="Arial" w:hAnsi="Arial"/>
          <w:sz w:val="15"/>
          <w:szCs w:val="15"/>
          <w:color w:val="42423F"/>
        </w:rPr>
        <w:t>us.</w:t>
      </w:r>
    </w:p>
    <w:p>
      <w:pPr>
        <w:spacing w:after="0" w:line="152" w:lineRule="exact"/>
        <w:rPr>
          <w:sz w:val="20"/>
          <w:szCs w:val="20"/>
          <w:color w:val="auto"/>
        </w:rPr>
      </w:pPr>
    </w:p>
    <w:p>
      <w:pPr>
        <w:jc w:val="both"/>
        <w:ind w:left="520"/>
        <w:spacing w:after="0" w:line="255" w:lineRule="auto"/>
        <w:rPr>
          <w:sz w:val="20"/>
          <w:szCs w:val="20"/>
          <w:color w:val="auto"/>
        </w:rPr>
      </w:pPr>
      <w:r>
        <w:rPr>
          <w:rFonts w:ascii="Arial" w:cs="Arial" w:eastAsia="Arial" w:hAnsi="Arial"/>
          <w:sz w:val="16"/>
          <w:szCs w:val="16"/>
          <w:b w:val="1"/>
          <w:bCs w:val="1"/>
          <w:color w:val="42423F"/>
        </w:rPr>
        <w:t xml:space="preserve">Follow form </w:t>
      </w:r>
      <w:r>
        <w:rPr>
          <w:rFonts w:ascii="Arial" w:cs="Arial" w:eastAsia="Arial" w:hAnsi="Arial"/>
          <w:sz w:val="16"/>
          <w:szCs w:val="16"/>
          <w:color w:val="42423F"/>
        </w:rPr>
        <w:t>means we cover damages to the</w:t>
      </w:r>
      <w:r>
        <w:rPr>
          <w:rFonts w:ascii="Arial" w:cs="Arial" w:eastAsia="Arial" w:hAnsi="Arial"/>
          <w:sz w:val="16"/>
          <w:szCs w:val="16"/>
          <w:b w:val="1"/>
          <w:bCs w:val="1"/>
          <w:color w:val="42423F"/>
        </w:rPr>
        <w:t xml:space="preserve"> </w:t>
      </w:r>
      <w:r>
        <w:rPr>
          <w:rFonts w:ascii="Arial" w:cs="Arial" w:eastAsia="Arial" w:hAnsi="Arial"/>
          <w:sz w:val="16"/>
          <w:szCs w:val="16"/>
          <w:color w:val="31312F"/>
        </w:rPr>
        <w:t>extent</w:t>
      </w:r>
      <w:r>
        <w:rPr>
          <w:rFonts w:ascii="Arial" w:cs="Arial" w:eastAsia="Arial" w:hAnsi="Arial"/>
          <w:sz w:val="16"/>
          <w:szCs w:val="16"/>
          <w:b w:val="1"/>
          <w:bCs w:val="1"/>
          <w:color w:val="42423F"/>
        </w:rPr>
        <w:t xml:space="preserve"> </w:t>
      </w:r>
      <w:r>
        <w:rPr>
          <w:rFonts w:ascii="Arial" w:cs="Arial" w:eastAsia="Arial" w:hAnsi="Arial"/>
          <w:sz w:val="16"/>
          <w:szCs w:val="16"/>
          <w:color w:val="42423F"/>
        </w:rPr>
        <w:t>they are both covered under the Required Primary Underlying Insurance and, not excluded under this policy. Also,</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the amount of coverage, defense coverages, cancellation </w:t>
      </w:r>
      <w:r>
        <w:rPr>
          <w:rFonts w:ascii="Arial" w:cs="Arial" w:eastAsia="Arial" w:hAnsi="Arial"/>
          <w:sz w:val="16"/>
          <w:szCs w:val="16"/>
          <w:color w:val="31312F"/>
        </w:rPr>
        <w:t>and</w:t>
      </w:r>
      <w:r>
        <w:rPr>
          <w:rFonts w:ascii="Arial" w:cs="Arial" w:eastAsia="Arial" w:hAnsi="Arial"/>
          <w:sz w:val="16"/>
          <w:szCs w:val="16"/>
          <w:color w:val="42423F"/>
        </w:rPr>
        <w:t xml:space="preserve"> </w:t>
      </w:r>
      <w:r>
        <w:rPr>
          <w:rFonts w:ascii="Arial" w:cs="Arial" w:eastAsia="Arial" w:hAnsi="Arial"/>
          <w:sz w:val="16"/>
          <w:szCs w:val="16"/>
          <w:color w:val="5D5D5B"/>
        </w:rPr>
        <w:t>"</w:t>
      </w:r>
      <w:r>
        <w:rPr>
          <w:rFonts w:ascii="Arial" w:cs="Arial" w:eastAsia="Arial" w:hAnsi="Arial"/>
          <w:sz w:val="16"/>
          <w:szCs w:val="16"/>
          <w:color w:val="42423F"/>
        </w:rPr>
        <w:t xml:space="preserve">other insurance" provisions of this policy supersede and replace the similar provisions contained in such other policies. When this policy is called </w:t>
      </w:r>
      <w:r>
        <w:rPr>
          <w:rFonts w:ascii="Arial" w:cs="Arial" w:eastAsia="Arial" w:hAnsi="Arial"/>
          <w:sz w:val="16"/>
          <w:szCs w:val="16"/>
          <w:color w:val="31312F"/>
        </w:rPr>
        <w:t>upon</w:t>
      </w:r>
      <w:r>
        <w:rPr>
          <w:rFonts w:ascii="Arial" w:cs="Arial" w:eastAsia="Arial" w:hAnsi="Arial"/>
          <w:sz w:val="16"/>
          <w:szCs w:val="16"/>
          <w:color w:val="42423F"/>
        </w:rPr>
        <w:t xml:space="preserve"> to pay losses in excess of required primary underlying policies exhausted by payment of claims, we do not provide broader coverage </w:t>
      </w:r>
      <w:r>
        <w:rPr>
          <w:rFonts w:ascii="Arial" w:cs="Arial" w:eastAsia="Arial" w:hAnsi="Arial"/>
          <w:sz w:val="16"/>
          <w:szCs w:val="16"/>
          <w:color w:val="31312F"/>
        </w:rPr>
        <w:t>than</w:t>
      </w:r>
      <w:r>
        <w:rPr>
          <w:rFonts w:ascii="Arial" w:cs="Arial" w:eastAsia="Arial" w:hAnsi="Arial"/>
          <w:sz w:val="16"/>
          <w:szCs w:val="16"/>
          <w:color w:val="42423F"/>
        </w:rPr>
        <w:t xml:space="preserve"> provided by such policies</w:t>
      </w:r>
      <w:r>
        <w:rPr>
          <w:rFonts w:ascii="Arial" w:cs="Arial" w:eastAsia="Arial" w:hAnsi="Arial"/>
          <w:sz w:val="16"/>
          <w:szCs w:val="16"/>
          <w:color w:val="5D5D5B"/>
        </w:rPr>
        <w:t>.</w:t>
      </w:r>
      <w:r>
        <w:rPr>
          <w:rFonts w:ascii="Arial" w:cs="Arial" w:eastAsia="Arial" w:hAnsi="Arial"/>
          <w:sz w:val="16"/>
          <w:szCs w:val="16"/>
          <w:color w:val="42423F"/>
        </w:rPr>
        <w:t xml:space="preserve"> When no primary underlying coverage exists, the extent of coverage provided on a follow form </w:t>
      </w:r>
      <w:r>
        <w:rPr>
          <w:rFonts w:ascii="Arial" w:cs="Arial" w:eastAsia="Arial" w:hAnsi="Arial"/>
          <w:sz w:val="16"/>
          <w:szCs w:val="16"/>
          <w:color w:val="31312F"/>
        </w:rPr>
        <w:t>basis</w:t>
      </w:r>
      <w:r>
        <w:rPr>
          <w:rFonts w:ascii="Arial" w:cs="Arial" w:eastAsia="Arial" w:hAnsi="Arial"/>
          <w:sz w:val="16"/>
          <w:szCs w:val="16"/>
          <w:color w:val="42423F"/>
        </w:rPr>
        <w:t xml:space="preserve"> will </w:t>
      </w:r>
      <w:r>
        <w:rPr>
          <w:rFonts w:ascii="Arial" w:cs="Arial" w:eastAsia="Arial" w:hAnsi="Arial"/>
          <w:sz w:val="15"/>
          <w:szCs w:val="15"/>
          <w:color w:val="42423F"/>
        </w:rPr>
        <w:t>be</w:t>
      </w:r>
      <w:r>
        <w:rPr>
          <w:rFonts w:ascii="Arial" w:cs="Arial" w:eastAsia="Arial" w:hAnsi="Arial"/>
          <w:sz w:val="16"/>
          <w:szCs w:val="16"/>
          <w:color w:val="42423F"/>
        </w:rPr>
        <w:t xml:space="preserve"> determined as </w:t>
      </w:r>
      <w:r>
        <w:rPr>
          <w:rFonts w:ascii="Arial" w:cs="Arial" w:eastAsia="Arial" w:hAnsi="Arial"/>
          <w:sz w:val="15"/>
          <w:szCs w:val="15"/>
          <w:color w:val="42423F"/>
        </w:rPr>
        <w:t>if</w:t>
      </w:r>
      <w:r>
        <w:rPr>
          <w:rFonts w:ascii="Arial" w:cs="Arial" w:eastAsia="Arial" w:hAnsi="Arial"/>
          <w:sz w:val="16"/>
          <w:szCs w:val="16"/>
          <w:color w:val="42423F"/>
        </w:rPr>
        <w:t xml:space="preserve"> the required primary underlying insurance had been purchased from us.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Covered person </w:t>
      </w:r>
      <w:r>
        <w:rPr>
          <w:rFonts w:ascii="Arial" w:cs="Arial" w:eastAsia="Arial" w:hAnsi="Arial"/>
          <w:sz w:val="16"/>
          <w:szCs w:val="16"/>
          <w:color w:val="42423F"/>
        </w:rPr>
        <w:t>means</w:t>
      </w:r>
      <w:r>
        <w:rPr>
          <w:rFonts w:ascii="Arial" w:cs="Arial" w:eastAsia="Arial" w:hAnsi="Arial"/>
          <w:sz w:val="16"/>
          <w:szCs w:val="16"/>
          <w:color w:val="5D5D5B"/>
        </w:rPr>
        <w:t>:</w:t>
      </w:r>
    </w:p>
    <w:p>
      <w:pPr>
        <w:spacing w:after="0" w:line="26" w:lineRule="exact"/>
        <w:rPr>
          <w:sz w:val="20"/>
          <w:szCs w:val="20"/>
          <w:color w:val="auto"/>
        </w:rPr>
      </w:pPr>
    </w:p>
    <w:p>
      <w:pPr>
        <w:ind w:left="820" w:hanging="245"/>
        <w:spacing w:after="0"/>
        <w:tabs>
          <w:tab w:leader="none" w:pos="820" w:val="left"/>
        </w:tabs>
        <w:numPr>
          <w:ilvl w:val="0"/>
          <w:numId w:val="449"/>
        </w:numPr>
        <w:rPr>
          <w:rFonts w:ascii="Arial" w:cs="Arial" w:eastAsia="Arial" w:hAnsi="Arial"/>
          <w:sz w:val="16"/>
          <w:szCs w:val="16"/>
          <w:color w:val="42423F"/>
        </w:rPr>
      </w:pPr>
      <w:r>
        <w:rPr>
          <w:rFonts w:ascii="Arial" w:cs="Arial" w:eastAsia="Arial" w:hAnsi="Arial"/>
          <w:sz w:val="16"/>
          <w:szCs w:val="16"/>
          <w:color w:val="42423F"/>
        </w:rPr>
        <w:t>you or a family member;</w:t>
      </w:r>
    </w:p>
    <w:p>
      <w:pPr>
        <w:spacing w:after="0" w:line="28" w:lineRule="exact"/>
        <w:rPr>
          <w:rFonts w:ascii="Arial" w:cs="Arial" w:eastAsia="Arial" w:hAnsi="Arial"/>
          <w:sz w:val="16"/>
          <w:szCs w:val="16"/>
          <w:color w:val="42423F"/>
        </w:rPr>
      </w:pPr>
    </w:p>
    <w:p>
      <w:pPr>
        <w:ind w:left="820" w:right="200" w:hanging="245"/>
        <w:spacing w:after="0" w:line="268" w:lineRule="auto"/>
        <w:tabs>
          <w:tab w:leader="none" w:pos="820" w:val="left"/>
        </w:tabs>
        <w:numPr>
          <w:ilvl w:val="0"/>
          <w:numId w:val="449"/>
        </w:numPr>
        <w:rPr>
          <w:rFonts w:ascii="Arial" w:cs="Arial" w:eastAsia="Arial" w:hAnsi="Arial"/>
          <w:sz w:val="16"/>
          <w:szCs w:val="16"/>
          <w:color w:val="42423F"/>
        </w:rPr>
      </w:pPr>
      <w:r>
        <w:rPr>
          <w:rFonts w:ascii="Arial" w:cs="Arial" w:eastAsia="Arial" w:hAnsi="Arial"/>
          <w:sz w:val="16"/>
          <w:szCs w:val="16"/>
          <w:color w:val="42423F"/>
        </w:rPr>
        <w:t xml:space="preserve">any person using a vehicle or watercraft covered under this policy with permission from you or a family member with </w:t>
      </w:r>
      <w:r>
        <w:rPr>
          <w:rFonts w:ascii="Arial" w:cs="Arial" w:eastAsia="Arial" w:hAnsi="Arial"/>
          <w:sz w:val="16"/>
          <w:szCs w:val="16"/>
          <w:color w:val="31312F"/>
        </w:rPr>
        <w:t>respect</w:t>
      </w:r>
      <w:r>
        <w:rPr>
          <w:rFonts w:ascii="Arial" w:cs="Arial" w:eastAsia="Arial" w:hAnsi="Arial"/>
          <w:sz w:val="16"/>
          <w:szCs w:val="16"/>
          <w:color w:val="42423F"/>
        </w:rPr>
        <w:t xml:space="preserve"> to their legal responsibility arising out of its </w:t>
      </w:r>
      <w:r>
        <w:rPr>
          <w:rFonts w:ascii="Arial" w:cs="Arial" w:eastAsia="Arial" w:hAnsi="Arial"/>
          <w:sz w:val="16"/>
          <w:szCs w:val="16"/>
          <w:color w:val="31312F"/>
        </w:rPr>
        <w:t>use;</w:t>
      </w:r>
    </w:p>
    <w:p>
      <w:pPr>
        <w:ind w:left="820" w:hanging="245"/>
        <w:spacing w:after="0"/>
        <w:tabs>
          <w:tab w:leader="none" w:pos="820" w:val="left"/>
        </w:tabs>
        <w:numPr>
          <w:ilvl w:val="0"/>
          <w:numId w:val="449"/>
        </w:numPr>
        <w:rPr>
          <w:rFonts w:ascii="Arial" w:cs="Arial" w:eastAsia="Arial" w:hAnsi="Arial"/>
          <w:sz w:val="16"/>
          <w:szCs w:val="16"/>
          <w:color w:val="42423F"/>
        </w:rPr>
      </w:pPr>
      <w:r>
        <w:rPr>
          <w:rFonts w:ascii="Arial" w:cs="Arial" w:eastAsia="Arial" w:hAnsi="Arial"/>
          <w:sz w:val="16"/>
          <w:szCs w:val="16"/>
          <w:color w:val="42423F"/>
        </w:rPr>
        <w:t xml:space="preserve">any other person who is a covered person under your Required </w:t>
      </w:r>
      <w:r>
        <w:rPr>
          <w:rFonts w:ascii="Arial" w:cs="Arial" w:eastAsia="Arial" w:hAnsi="Arial"/>
          <w:sz w:val="17"/>
          <w:szCs w:val="17"/>
          <w:color w:val="42423F"/>
        </w:rPr>
        <w:t>Primary</w:t>
      </w:r>
      <w:r>
        <w:rPr>
          <w:rFonts w:ascii="Arial" w:cs="Arial" w:eastAsia="Arial" w:hAnsi="Arial"/>
          <w:sz w:val="16"/>
          <w:szCs w:val="16"/>
          <w:color w:val="42423F"/>
        </w:rPr>
        <w:t xml:space="preserve"> Underlying Insurance;</w:t>
      </w:r>
    </w:p>
    <w:p>
      <w:pPr>
        <w:spacing w:after="0" w:line="1" w:lineRule="exact"/>
        <w:rPr>
          <w:rFonts w:ascii="Arial" w:cs="Arial" w:eastAsia="Arial" w:hAnsi="Arial"/>
          <w:sz w:val="16"/>
          <w:szCs w:val="16"/>
          <w:color w:val="42423F"/>
        </w:rPr>
      </w:pPr>
    </w:p>
    <w:p>
      <w:pPr>
        <w:ind w:left="820" w:hanging="245"/>
        <w:spacing w:after="0"/>
        <w:tabs>
          <w:tab w:leader="none" w:pos="820" w:val="left"/>
        </w:tabs>
        <w:numPr>
          <w:ilvl w:val="0"/>
          <w:numId w:val="449"/>
        </w:numPr>
        <w:rPr>
          <w:rFonts w:ascii="Arial" w:cs="Arial" w:eastAsia="Arial" w:hAnsi="Arial"/>
          <w:sz w:val="16"/>
          <w:szCs w:val="16"/>
          <w:color w:val="42423F"/>
        </w:rPr>
      </w:pPr>
      <w:r>
        <w:rPr>
          <w:rFonts w:ascii="Arial" w:cs="Arial" w:eastAsia="Arial" w:hAnsi="Arial"/>
          <w:sz w:val="16"/>
          <w:szCs w:val="16"/>
          <w:color w:val="42423F"/>
        </w:rPr>
        <w:t xml:space="preserve">any person or organization with respect </w:t>
      </w:r>
      <w:r>
        <w:rPr>
          <w:rFonts w:ascii="Arial" w:cs="Arial" w:eastAsia="Arial" w:hAnsi="Arial"/>
          <w:sz w:val="16"/>
          <w:szCs w:val="16"/>
          <w:color w:val="31312F"/>
        </w:rPr>
        <w:t>to</w:t>
      </w:r>
      <w:r>
        <w:rPr>
          <w:rFonts w:ascii="Arial" w:cs="Arial" w:eastAsia="Arial" w:hAnsi="Arial"/>
          <w:sz w:val="16"/>
          <w:szCs w:val="16"/>
          <w:color w:val="42423F"/>
        </w:rPr>
        <w:t xml:space="preserve"> their legal responsibility for covered acts or omissions of you or a family member; or</w:t>
      </w:r>
    </w:p>
    <w:p>
      <w:pPr>
        <w:spacing w:after="0" w:line="8" w:lineRule="exact"/>
        <w:rPr>
          <w:rFonts w:ascii="Arial" w:cs="Arial" w:eastAsia="Arial" w:hAnsi="Arial"/>
          <w:sz w:val="16"/>
          <w:szCs w:val="16"/>
          <w:color w:val="42423F"/>
        </w:rPr>
      </w:pPr>
    </w:p>
    <w:p>
      <w:pPr>
        <w:ind w:left="820" w:hanging="245"/>
        <w:spacing w:after="0"/>
        <w:tabs>
          <w:tab w:leader="none" w:pos="820" w:val="left"/>
        </w:tabs>
        <w:numPr>
          <w:ilvl w:val="0"/>
          <w:numId w:val="449"/>
        </w:numPr>
        <w:rPr>
          <w:rFonts w:ascii="Arial" w:cs="Arial" w:eastAsia="Arial" w:hAnsi="Arial"/>
          <w:sz w:val="16"/>
          <w:szCs w:val="16"/>
          <w:color w:val="42423F"/>
        </w:rPr>
      </w:pPr>
      <w:r>
        <w:rPr>
          <w:rFonts w:ascii="Arial" w:cs="Arial" w:eastAsia="Arial" w:hAnsi="Arial"/>
          <w:sz w:val="16"/>
          <w:szCs w:val="16"/>
          <w:color w:val="42423F"/>
        </w:rPr>
        <w:t>any combination of the above.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2 of 15</w:t>
      </w:r>
    </w:p>
    <w:p>
      <w:pPr>
        <w:sectPr>
          <w:pgSz w:w="11900" w:h="16838" w:orient="portrait"/>
          <w:cols w:equalWidth="0" w:num="1">
            <w:col w:w="11420"/>
          </w:cols>
          <w:pgMar w:left="240" w:top="596" w:right="239" w:bottom="1440" w:gutter="0" w:footer="0" w:header="0"/>
        </w:sectPr>
      </w:pPr>
    </w:p>
    <w:bookmarkStart w:id="292" w:name="page293"/>
    <w:bookmarkEnd w:id="292"/>
    <w:p>
      <w:pPr>
        <w:ind w:left="120"/>
        <w:spacing w:after="0"/>
        <w:rPr>
          <w:sz w:val="20"/>
          <w:szCs w:val="20"/>
          <w:color w:val="auto"/>
        </w:rPr>
      </w:pPr>
      <w:r>
        <w:rPr>
          <w:rFonts w:ascii="Arial" w:cs="Arial" w:eastAsia="Arial" w:hAnsi="Arial"/>
          <w:sz w:val="22"/>
          <w:szCs w:val="22"/>
          <w:b w:val="1"/>
          <w:bCs w:val="1"/>
          <w:i w:val="1"/>
          <w:iCs w:val="1"/>
          <w:color w:val="42423F"/>
        </w:rPr>
        <w:t>Definitions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423F"/>
        </w:rPr>
        <w:t>(continued)</w:t>
      </w:r>
    </w:p>
    <w:p>
      <w:pPr>
        <w:spacing w:after="0" w:line="26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42423F"/>
        </w:rPr>
        <w:t xml:space="preserve">Damages </w:t>
      </w:r>
      <w:r>
        <w:rPr>
          <w:rFonts w:ascii="Arial" w:cs="Arial" w:eastAsia="Arial" w:hAnsi="Arial"/>
          <w:sz w:val="16"/>
          <w:szCs w:val="16"/>
          <w:color w:val="42423F"/>
        </w:rPr>
        <w:t>mean the sum that is paid or is payable to satisfy a claim settled by us or resolved by judicial procedure or by a compromise we agree to in writing.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Personal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the following in</w:t>
      </w:r>
      <w:r>
        <w:rPr>
          <w:rFonts w:ascii="Arial" w:cs="Arial" w:eastAsia="Arial" w:hAnsi="Arial"/>
          <w:sz w:val="16"/>
          <w:szCs w:val="16"/>
          <w:color w:val="5E5E5D"/>
        </w:rPr>
        <w:t>j</w:t>
      </w:r>
      <w:r>
        <w:rPr>
          <w:rFonts w:ascii="Arial" w:cs="Arial" w:eastAsia="Arial" w:hAnsi="Arial"/>
          <w:sz w:val="16"/>
          <w:szCs w:val="16"/>
          <w:color w:val="42423F"/>
        </w:rPr>
        <w:t>uries, and resulting death:</w:t>
      </w:r>
    </w:p>
    <w:p>
      <w:pPr>
        <w:spacing w:after="0" w:line="27" w:lineRule="exact"/>
        <w:rPr>
          <w:sz w:val="20"/>
          <w:szCs w:val="20"/>
          <w:color w:val="auto"/>
        </w:rPr>
      </w:pPr>
    </w:p>
    <w:p>
      <w:pPr>
        <w:ind w:left="500" w:hanging="330"/>
        <w:spacing w:after="0"/>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bodily injury;</w:t>
      </w:r>
    </w:p>
    <w:p>
      <w:pPr>
        <w:spacing w:after="0" w:line="13" w:lineRule="exact"/>
        <w:rPr>
          <w:rFonts w:ascii="Arial" w:cs="Arial" w:eastAsia="Arial" w:hAnsi="Arial"/>
          <w:sz w:val="16"/>
          <w:szCs w:val="16"/>
          <w:color w:val="auto"/>
        </w:rPr>
      </w:pPr>
    </w:p>
    <w:p>
      <w:pPr>
        <w:ind w:left="500" w:hanging="330"/>
        <w:spacing w:after="0"/>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shock, mental anguish, or mental injury;</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false arrest, false imprisonment, or wrongful detention</w:t>
      </w:r>
      <w:r>
        <w:rPr>
          <w:rFonts w:ascii="Arial" w:cs="Arial" w:eastAsia="Arial" w:hAnsi="Arial"/>
          <w:sz w:val="16"/>
          <w:szCs w:val="16"/>
          <w:color w:val="5E5E5D"/>
        </w:rPr>
        <w:t>;</w:t>
      </w:r>
    </w:p>
    <w:p>
      <w:pPr>
        <w:spacing w:after="0" w:line="5" w:lineRule="exact"/>
        <w:rPr>
          <w:rFonts w:ascii="Arial" w:cs="Arial" w:eastAsia="Arial" w:hAnsi="Arial"/>
          <w:sz w:val="16"/>
          <w:szCs w:val="16"/>
          <w:color w:val="auto"/>
        </w:rPr>
      </w:pPr>
    </w:p>
    <w:p>
      <w:pPr>
        <w:ind w:left="500" w:hanging="330"/>
        <w:spacing w:after="0" w:line="211" w:lineRule="auto"/>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wrongful entry or eviction;</w:t>
      </w:r>
    </w:p>
    <w:p>
      <w:pPr>
        <w:ind w:left="500" w:hanging="330"/>
        <w:spacing w:after="0"/>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malicious prosecution or humiliation; and</w:t>
      </w:r>
    </w:p>
    <w:p>
      <w:pPr>
        <w:spacing w:after="0" w:line="8" w:lineRule="exact"/>
        <w:rPr>
          <w:rFonts w:ascii="Arial" w:cs="Arial" w:eastAsia="Arial" w:hAnsi="Arial"/>
          <w:sz w:val="16"/>
          <w:szCs w:val="16"/>
          <w:color w:val="auto"/>
        </w:rPr>
      </w:pPr>
    </w:p>
    <w:p>
      <w:pPr>
        <w:ind w:left="500" w:hanging="330"/>
        <w:spacing w:after="0"/>
        <w:tabs>
          <w:tab w:leader="none" w:pos="500" w:val="left"/>
        </w:tabs>
        <w:numPr>
          <w:ilvl w:val="0"/>
          <w:numId w:val="450"/>
        </w:numPr>
        <w:rPr>
          <w:rFonts w:ascii="Arial" w:cs="Arial" w:eastAsia="Arial" w:hAnsi="Arial"/>
          <w:sz w:val="16"/>
          <w:szCs w:val="16"/>
          <w:color w:val="auto"/>
        </w:rPr>
      </w:pPr>
      <w:r>
        <w:rPr>
          <w:rFonts w:ascii="Arial" w:cs="Arial" w:eastAsia="Arial" w:hAnsi="Arial"/>
          <w:sz w:val="16"/>
          <w:szCs w:val="16"/>
          <w:color w:val="42423F"/>
        </w:rPr>
        <w:t>libel, slander, defamation of character, or invasion of privacy.</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Bodily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physical bodily harm, including sickne</w:t>
      </w:r>
      <w:r>
        <w:rPr>
          <w:rFonts w:ascii="Arial" w:cs="Arial" w:eastAsia="Arial" w:hAnsi="Arial"/>
          <w:sz w:val="16"/>
          <w:szCs w:val="16"/>
          <w:color w:val="5E5E5D"/>
        </w:rPr>
        <w:t>s</w:t>
      </w:r>
      <w:r>
        <w:rPr>
          <w:rFonts w:ascii="Arial" w:cs="Arial" w:eastAsia="Arial" w:hAnsi="Arial"/>
          <w:sz w:val="16"/>
          <w:szCs w:val="16"/>
          <w:color w:val="42423F"/>
        </w:rPr>
        <w:t>s or disease that results from it, and required care, loss of services and resulting death.</w:t>
      </w:r>
    </w:p>
    <w:p>
      <w:pPr>
        <w:spacing w:after="0" w:line="88"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color w:val="42423F"/>
        </w:rPr>
        <w:t xml:space="preserve">Property damage </w:t>
      </w:r>
      <w:r>
        <w:rPr>
          <w:rFonts w:ascii="Arial" w:cs="Arial" w:eastAsia="Arial" w:hAnsi="Arial"/>
          <w:sz w:val="16"/>
          <w:szCs w:val="16"/>
          <w:color w:val="42423F"/>
        </w:rPr>
        <w:t>means physical injury to or destruction of tangible property and the resulting loss of</w:t>
      </w:r>
      <w:r>
        <w:rPr>
          <w:rFonts w:ascii="Arial" w:cs="Arial" w:eastAsia="Arial" w:hAnsi="Arial"/>
          <w:sz w:val="17"/>
          <w:szCs w:val="17"/>
          <w:b w:val="1"/>
          <w:bCs w:val="1"/>
          <w:color w:val="42423F"/>
        </w:rPr>
        <w:t xml:space="preserve"> </w:t>
      </w:r>
      <w:r>
        <w:rPr>
          <w:rFonts w:ascii="Arial" w:cs="Arial" w:eastAsia="Arial" w:hAnsi="Arial"/>
          <w:sz w:val="16"/>
          <w:szCs w:val="16"/>
          <w:color w:val="2F2F2F"/>
        </w:rPr>
        <w:t>its</w:t>
      </w:r>
      <w:r>
        <w:rPr>
          <w:rFonts w:ascii="Arial" w:cs="Arial" w:eastAsia="Arial" w:hAnsi="Arial"/>
          <w:sz w:val="17"/>
          <w:szCs w:val="17"/>
          <w:b w:val="1"/>
          <w:bCs w:val="1"/>
          <w:color w:val="42423F"/>
        </w:rPr>
        <w:t xml:space="preserve"> </w:t>
      </w:r>
      <w:r>
        <w:rPr>
          <w:rFonts w:ascii="Arial" w:cs="Arial" w:eastAsia="Arial" w:hAnsi="Arial"/>
          <w:sz w:val="16"/>
          <w:szCs w:val="16"/>
          <w:color w:val="42423F"/>
        </w:rPr>
        <w:t>use. Tangible property includes the cost of recreating or replacing</w:t>
      </w:r>
      <w:r>
        <w:rPr>
          <w:rFonts w:ascii="Arial" w:cs="Arial" w:eastAsia="Arial" w:hAnsi="Arial"/>
          <w:sz w:val="17"/>
          <w:szCs w:val="17"/>
          <w:b w:val="1"/>
          <w:bCs w:val="1"/>
          <w:color w:val="42423F"/>
        </w:rPr>
        <w:t xml:space="preserve"> </w:t>
      </w:r>
      <w:r>
        <w:rPr>
          <w:rFonts w:ascii="Arial" w:cs="Arial" w:eastAsia="Arial" w:hAnsi="Arial"/>
          <w:sz w:val="16"/>
          <w:szCs w:val="16"/>
          <w:color w:val="42423F"/>
        </w:rPr>
        <w:t>stocks, bonds</w:t>
      </w:r>
      <w:r>
        <w:rPr>
          <w:rFonts w:ascii="Arial" w:cs="Arial" w:eastAsia="Arial" w:hAnsi="Arial"/>
          <w:sz w:val="16"/>
          <w:szCs w:val="16"/>
          <w:color w:val="5E5E5D"/>
        </w:rPr>
        <w:t>,</w:t>
      </w:r>
      <w:r>
        <w:rPr>
          <w:rFonts w:ascii="Arial" w:cs="Arial" w:eastAsia="Arial" w:hAnsi="Arial"/>
          <w:sz w:val="16"/>
          <w:szCs w:val="16"/>
          <w:color w:val="42423F"/>
        </w:rPr>
        <w:t xml:space="preserve"> deeds</w:t>
      </w:r>
      <w:r>
        <w:rPr>
          <w:rFonts w:ascii="Arial" w:cs="Arial" w:eastAsia="Arial" w:hAnsi="Arial"/>
          <w:sz w:val="16"/>
          <w:szCs w:val="16"/>
          <w:color w:val="5E5E5D"/>
        </w:rPr>
        <w:t>,</w:t>
      </w:r>
      <w:r>
        <w:rPr>
          <w:rFonts w:ascii="Arial" w:cs="Arial" w:eastAsia="Arial" w:hAnsi="Arial"/>
          <w:sz w:val="16"/>
          <w:szCs w:val="16"/>
          <w:color w:val="42423F"/>
        </w:rPr>
        <w:t xml:space="preserve"> mortgages, bank deposits, and similar instruments, but does not include the value represented by such instruments</w:t>
      </w:r>
      <w:r>
        <w:rPr>
          <w:rFonts w:ascii="Arial" w:cs="Arial" w:eastAsia="Arial" w:hAnsi="Arial"/>
          <w:sz w:val="16"/>
          <w:szCs w:val="16"/>
          <w:color w:val="1C1C1A"/>
        </w:rPr>
        <w:t>.</w:t>
      </w:r>
      <w:r>
        <w:rPr>
          <w:rFonts w:ascii="Arial" w:cs="Arial" w:eastAsia="Arial" w:hAnsi="Arial"/>
          <w:sz w:val="16"/>
          <w:szCs w:val="16"/>
          <w:color w:val="42423F"/>
        </w:rPr>
        <w:t xml:space="preserve"> Tangible property does not include the cost of recreating </w:t>
      </w:r>
      <w:r>
        <w:rPr>
          <w:rFonts w:ascii="Arial" w:cs="Arial" w:eastAsia="Arial" w:hAnsi="Arial"/>
          <w:sz w:val="16"/>
          <w:szCs w:val="16"/>
          <w:color w:val="5E5E5D"/>
        </w:rPr>
        <w:t>o</w:t>
      </w:r>
      <w:r>
        <w:rPr>
          <w:rFonts w:ascii="Arial" w:cs="Arial" w:eastAsia="Arial" w:hAnsi="Arial"/>
          <w:sz w:val="16"/>
          <w:szCs w:val="16"/>
          <w:color w:val="42423F"/>
        </w:rPr>
        <w:t>r replacing any software, data or other information that is in electronic form.</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 any motorized land vehicle not described in</w:t>
      </w:r>
      <w:r>
        <w:rPr>
          <w:rFonts w:ascii="Arial" w:cs="Arial" w:eastAsia="Arial" w:hAnsi="Arial"/>
          <w:sz w:val="16"/>
          <w:szCs w:val="16"/>
          <w:b w:val="1"/>
          <w:bCs w:val="1"/>
          <w:color w:val="42423F"/>
        </w:rPr>
        <w:t xml:space="preserve"> </w:t>
      </w:r>
      <w:r>
        <w:rPr>
          <w:rFonts w:ascii="Arial" w:cs="Arial" w:eastAsia="Arial" w:hAnsi="Arial"/>
          <w:sz w:val="16"/>
          <w:szCs w:val="16"/>
          <w:color w:val="5E5E5D"/>
        </w:rPr>
        <w:t>"</w:t>
      </w:r>
      <w:r>
        <w:rPr>
          <w:rFonts w:ascii="Arial" w:cs="Arial" w:eastAsia="Arial" w:hAnsi="Arial"/>
          <w:sz w:val="16"/>
          <w:szCs w:val="16"/>
          <w:color w:val="42423F"/>
        </w:rPr>
        <w:t>unregistered vehicle.</w:t>
      </w:r>
      <w:r>
        <w:rPr>
          <w:rFonts w:ascii="Arial" w:cs="Arial" w:eastAsia="Arial" w:hAnsi="Arial"/>
          <w:sz w:val="16"/>
          <w:szCs w:val="16"/>
          <w:color w:val="5E5E5D"/>
        </w:rPr>
        <w: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Unregistered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w:t>
      </w:r>
    </w:p>
    <w:p>
      <w:pPr>
        <w:ind w:left="500" w:hanging="330"/>
        <w:spacing w:after="0"/>
        <w:tabs>
          <w:tab w:leader="none" w:pos="500" w:val="left"/>
        </w:tabs>
        <w:numPr>
          <w:ilvl w:val="0"/>
          <w:numId w:val="451"/>
        </w:numPr>
        <w:rPr>
          <w:rFonts w:ascii="Arial" w:cs="Arial" w:eastAsia="Arial" w:hAnsi="Arial"/>
          <w:sz w:val="16"/>
          <w:szCs w:val="16"/>
          <w:color w:val="auto"/>
        </w:rPr>
      </w:pPr>
      <w:r>
        <w:rPr>
          <w:rFonts w:ascii="Arial" w:cs="Arial" w:eastAsia="Arial" w:hAnsi="Arial"/>
          <w:sz w:val="16"/>
          <w:szCs w:val="16"/>
          <w:color w:val="42423F"/>
        </w:rPr>
        <w:t xml:space="preserve">any motorized </w:t>
      </w:r>
      <w:r>
        <w:rPr>
          <w:rFonts w:ascii="Arial" w:cs="Arial" w:eastAsia="Arial" w:hAnsi="Arial"/>
          <w:sz w:val="16"/>
          <w:szCs w:val="16"/>
          <w:color w:val="2F2F2F"/>
        </w:rPr>
        <w:t>land</w:t>
      </w:r>
      <w:r>
        <w:rPr>
          <w:rFonts w:ascii="Arial" w:cs="Arial" w:eastAsia="Arial" w:hAnsi="Arial"/>
          <w:sz w:val="16"/>
          <w:szCs w:val="16"/>
          <w:color w:val="42423F"/>
        </w:rPr>
        <w:t xml:space="preserve"> vehicle </w:t>
      </w:r>
      <w:r>
        <w:rPr>
          <w:rFonts w:ascii="Arial" w:cs="Arial" w:eastAsia="Arial" w:hAnsi="Arial"/>
          <w:sz w:val="16"/>
          <w:szCs w:val="16"/>
          <w:color w:val="2F2F2F"/>
        </w:rPr>
        <w:t>not</w:t>
      </w:r>
      <w:r>
        <w:rPr>
          <w:rFonts w:ascii="Arial" w:cs="Arial" w:eastAsia="Arial" w:hAnsi="Arial"/>
          <w:sz w:val="16"/>
          <w:szCs w:val="16"/>
          <w:color w:val="42423F"/>
        </w:rPr>
        <w:t xml:space="preserve"> designed for or required to be registered for use on public roads;</w:t>
      </w:r>
    </w:p>
    <w:p>
      <w:pPr>
        <w:ind w:left="500" w:hanging="330"/>
        <w:spacing w:after="0"/>
        <w:tabs>
          <w:tab w:leader="none" w:pos="500" w:val="left"/>
        </w:tabs>
        <w:numPr>
          <w:ilvl w:val="0"/>
          <w:numId w:val="451"/>
        </w:numPr>
        <w:rPr>
          <w:rFonts w:ascii="Arial" w:cs="Arial" w:eastAsia="Arial" w:hAnsi="Arial"/>
          <w:sz w:val="16"/>
          <w:szCs w:val="16"/>
          <w:color w:val="auto"/>
        </w:rPr>
      </w:pPr>
      <w:r>
        <w:rPr>
          <w:rFonts w:ascii="Arial" w:cs="Arial" w:eastAsia="Arial" w:hAnsi="Arial"/>
          <w:sz w:val="16"/>
          <w:szCs w:val="16"/>
          <w:color w:val="42423F"/>
        </w:rPr>
        <w:t>any motorized land vehicle which is in dead storage at your residence;</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51"/>
        </w:numPr>
        <w:rPr>
          <w:rFonts w:ascii="Arial" w:cs="Arial" w:eastAsia="Arial" w:hAnsi="Arial"/>
          <w:sz w:val="16"/>
          <w:szCs w:val="16"/>
          <w:color w:val="auto"/>
        </w:rPr>
      </w:pPr>
      <w:r>
        <w:rPr>
          <w:rFonts w:ascii="Arial" w:cs="Arial" w:eastAsia="Arial" w:hAnsi="Arial"/>
          <w:sz w:val="16"/>
          <w:szCs w:val="16"/>
          <w:color w:val="42423F"/>
        </w:rPr>
        <w:t>any motorized land vehicle used solely on and to service your residence premises;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51"/>
        </w:numPr>
        <w:rPr>
          <w:rFonts w:ascii="Arial" w:cs="Arial" w:eastAsia="Arial" w:hAnsi="Arial"/>
          <w:sz w:val="16"/>
          <w:szCs w:val="16"/>
          <w:color w:val="auto"/>
        </w:rPr>
      </w:pPr>
      <w:r>
        <w:rPr>
          <w:rFonts w:ascii="Arial" w:cs="Arial" w:eastAsia="Arial" w:hAnsi="Arial"/>
          <w:sz w:val="16"/>
          <w:szCs w:val="16"/>
          <w:color w:val="42423F"/>
        </w:rPr>
        <w:t xml:space="preserve">any motorized land vehicle used to assist the </w:t>
      </w:r>
      <w:r>
        <w:rPr>
          <w:rFonts w:ascii="Arial" w:cs="Arial" w:eastAsia="Arial" w:hAnsi="Arial"/>
          <w:sz w:val="16"/>
          <w:szCs w:val="16"/>
          <w:color w:val="2F2F2F"/>
        </w:rPr>
        <w:t>disabled</w:t>
      </w:r>
      <w:r>
        <w:rPr>
          <w:rFonts w:ascii="Arial" w:cs="Arial" w:eastAsia="Arial" w:hAnsi="Arial"/>
          <w:sz w:val="16"/>
          <w:szCs w:val="16"/>
          <w:color w:val="42423F"/>
        </w:rPr>
        <w:t xml:space="preserve"> that is not designed for or required to be registered for </w:t>
      </w:r>
      <w:r>
        <w:rPr>
          <w:rFonts w:ascii="Arial" w:cs="Arial" w:eastAsia="Arial" w:hAnsi="Arial"/>
          <w:sz w:val="16"/>
          <w:szCs w:val="16"/>
          <w:color w:val="2F2F2F"/>
        </w:rPr>
        <w:t>use</w:t>
      </w:r>
      <w:r>
        <w:rPr>
          <w:rFonts w:ascii="Arial" w:cs="Arial" w:eastAsia="Arial" w:hAnsi="Arial"/>
          <w:sz w:val="16"/>
          <w:szCs w:val="16"/>
          <w:color w:val="42423F"/>
        </w:rPr>
        <w:t xml:space="preserve"> on public roads; or</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51"/>
        </w:numPr>
        <w:rPr>
          <w:rFonts w:ascii="Arial" w:cs="Arial" w:eastAsia="Arial" w:hAnsi="Arial"/>
          <w:sz w:val="16"/>
          <w:szCs w:val="16"/>
          <w:color w:val="auto"/>
        </w:rPr>
      </w:pPr>
      <w:r>
        <w:rPr>
          <w:rFonts w:ascii="Arial" w:cs="Arial" w:eastAsia="Arial" w:hAnsi="Arial"/>
          <w:sz w:val="16"/>
          <w:szCs w:val="16"/>
          <w:color w:val="42423F"/>
        </w:rPr>
        <w:t>golf carts</w:t>
      </w:r>
      <w:r>
        <w:rPr>
          <w:rFonts w:ascii="Arial" w:cs="Arial" w:eastAsia="Arial" w:hAnsi="Arial"/>
          <w:sz w:val="16"/>
          <w:szCs w:val="16"/>
          <w:color w:val="5E5E5D"/>
        </w:rPr>
        <w:t>.</w:t>
      </w:r>
    </w:p>
    <w:p>
      <w:pPr>
        <w:spacing w:after="0" w:line="200" w:lineRule="exact"/>
        <w:rPr>
          <w:sz w:val="20"/>
          <w:szCs w:val="20"/>
          <w:color w:val="auto"/>
        </w:rPr>
      </w:pPr>
    </w:p>
    <w:p>
      <w:pPr>
        <w:spacing w:after="0" w:line="310"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42423F"/>
        </w:rPr>
        <w:t>GROUP PERSONAL EXCESS COVERAGE</w:t>
      </w:r>
    </w:p>
    <w:p>
      <w:pPr>
        <w:spacing w:after="0" w:line="229" w:lineRule="exact"/>
        <w:rPr>
          <w:sz w:val="20"/>
          <w:szCs w:val="20"/>
          <w:color w:val="auto"/>
        </w:rPr>
      </w:pPr>
    </w:p>
    <w:p>
      <w:pPr>
        <w:ind w:left="180" w:right="220"/>
        <w:spacing w:after="0" w:line="275" w:lineRule="auto"/>
        <w:rPr>
          <w:sz w:val="20"/>
          <w:szCs w:val="20"/>
          <w:color w:val="auto"/>
        </w:rPr>
      </w:pPr>
      <w:r>
        <w:rPr>
          <w:rFonts w:ascii="Arial" w:cs="Arial" w:eastAsia="Arial" w:hAnsi="Arial"/>
          <w:sz w:val="16"/>
          <w:szCs w:val="16"/>
          <w:color w:val="42423F"/>
        </w:rPr>
        <w:t>This part of your Group Personal Excess Liability Policy provides you or a family member with liability coverage in excess of your underlying insurance anywhere in the world unless stated otherwise or an exclusion applies</w:t>
      </w:r>
      <w:r>
        <w:rPr>
          <w:rFonts w:ascii="Arial" w:cs="Arial" w:eastAsia="Arial" w:hAnsi="Arial"/>
          <w:sz w:val="16"/>
          <w:szCs w:val="16"/>
          <w:color w:val="1C1C1A"/>
        </w:rPr>
        <w: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42423F"/>
        </w:rPr>
        <w:t>Payment for a Loss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Amount of coverage</w:t>
      </w:r>
    </w:p>
    <w:p>
      <w:pPr>
        <w:spacing w:after="0" w:line="22"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color w:val="42423F"/>
        </w:rPr>
        <w:t>The amount of coverage for liability is shown in the Coverage Summary</w:t>
      </w:r>
      <w:r>
        <w:rPr>
          <w:rFonts w:ascii="Arial" w:cs="Arial" w:eastAsia="Arial" w:hAnsi="Arial"/>
          <w:sz w:val="16"/>
          <w:szCs w:val="16"/>
          <w:color w:val="5E5E5D"/>
        </w:rPr>
        <w:t>.</w:t>
      </w:r>
      <w:r>
        <w:rPr>
          <w:rFonts w:ascii="Arial" w:cs="Arial" w:eastAsia="Arial" w:hAnsi="Arial"/>
          <w:sz w:val="16"/>
          <w:szCs w:val="16"/>
          <w:color w:val="42423F"/>
        </w:rPr>
        <w:t xml:space="preserve"> We will pay on your behalf up to that amount for covered damages from any one occurrence, regardless of how many claims, homes, vehicles, watercraft, or people are </w:t>
      </w:r>
      <w:r>
        <w:rPr>
          <w:rFonts w:ascii="Arial" w:cs="Arial" w:eastAsia="Arial" w:hAnsi="Arial"/>
          <w:sz w:val="16"/>
          <w:szCs w:val="16"/>
          <w:color w:val="2F2F2F"/>
        </w:rPr>
        <w:t>involved</w:t>
      </w:r>
      <w:r>
        <w:rPr>
          <w:rFonts w:ascii="Arial" w:cs="Arial" w:eastAsia="Arial" w:hAnsi="Arial"/>
          <w:sz w:val="16"/>
          <w:szCs w:val="16"/>
          <w:color w:val="42423F"/>
        </w:rPr>
        <w:t xml:space="preserve"> in the occurrence.</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Any costs we pay for legal expenses (see </w:t>
      </w:r>
      <w:r>
        <w:rPr>
          <w:rFonts w:ascii="Arial" w:cs="Arial" w:eastAsia="Arial" w:hAnsi="Arial"/>
          <w:sz w:val="17"/>
          <w:szCs w:val="17"/>
          <w:b w:val="1"/>
          <w:bCs w:val="1"/>
          <w:color w:val="42423F"/>
        </w:rPr>
        <w:t>Defense coverages)</w:t>
      </w:r>
      <w:r>
        <w:rPr>
          <w:rFonts w:ascii="Arial" w:cs="Arial" w:eastAsia="Arial" w:hAnsi="Arial"/>
          <w:sz w:val="16"/>
          <w:szCs w:val="16"/>
          <w:color w:val="42423F"/>
        </w:rPr>
        <w:t xml:space="preserve"> are in addition to the amount of coverage.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42423F"/>
        </w:rPr>
        <w:t>Underlying Insurance</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4"/>
          <w:szCs w:val="14"/>
          <w:color w:val="42423F"/>
        </w:rPr>
        <w:t>We will pay only for co</w:t>
      </w:r>
      <w:r>
        <w:rPr>
          <w:rFonts w:ascii="Arial" w:cs="Arial" w:eastAsia="Arial" w:hAnsi="Arial"/>
          <w:sz w:val="14"/>
          <w:szCs w:val="14"/>
          <w:color w:val="5E5E5D"/>
        </w:rPr>
        <w:t>v</w:t>
      </w:r>
      <w:r>
        <w:rPr>
          <w:rFonts w:ascii="Arial" w:cs="Arial" w:eastAsia="Arial" w:hAnsi="Arial"/>
          <w:sz w:val="14"/>
          <w:szCs w:val="14"/>
          <w:color w:val="42423F"/>
        </w:rPr>
        <w:t xml:space="preserve">ered damages in excess of all underlying insurance covering those damages, even </w:t>
      </w:r>
      <w:r>
        <w:rPr>
          <w:rFonts w:ascii="Arial" w:cs="Arial" w:eastAsia="Arial" w:hAnsi="Arial"/>
          <w:sz w:val="15"/>
          <w:szCs w:val="15"/>
          <w:color w:val="42423F"/>
        </w:rPr>
        <w:t>if</w:t>
      </w:r>
      <w:r>
        <w:rPr>
          <w:rFonts w:ascii="Arial" w:cs="Arial" w:eastAsia="Arial" w:hAnsi="Arial"/>
          <w:sz w:val="14"/>
          <w:szCs w:val="14"/>
          <w:color w:val="42423F"/>
        </w:rPr>
        <w:t xml:space="preserve"> the underlying coverage is for more than the minimum amount.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"Underlying insurance" includes all liability coverage that applies to the covered damages, except for other insurance purchased in excess of </w:t>
      </w:r>
      <w:r>
        <w:rPr>
          <w:rFonts w:ascii="Arial" w:cs="Arial" w:eastAsia="Arial" w:hAnsi="Arial"/>
          <w:sz w:val="15"/>
          <w:szCs w:val="15"/>
          <w:color w:val="42423F"/>
        </w:rPr>
        <w:t>this</w:t>
      </w:r>
      <w:r>
        <w:rPr>
          <w:rFonts w:ascii="Arial" w:cs="Arial" w:eastAsia="Arial" w:hAnsi="Arial"/>
          <w:sz w:val="16"/>
          <w:szCs w:val="16"/>
          <w:color w:val="42423F"/>
        </w:rPr>
        <w:t xml:space="preserve"> policy.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Required </w:t>
      </w:r>
      <w:r>
        <w:rPr>
          <w:rFonts w:ascii="Arial" w:cs="Arial" w:eastAsia="Arial" w:hAnsi="Arial"/>
          <w:sz w:val="16"/>
          <w:szCs w:val="16"/>
          <w:b w:val="1"/>
          <w:bCs w:val="1"/>
          <w:color w:val="42423F"/>
        </w:rPr>
        <w:t>primary</w:t>
      </w:r>
      <w:r>
        <w:rPr>
          <w:rFonts w:ascii="Arial" w:cs="Arial" w:eastAsia="Arial" w:hAnsi="Arial"/>
          <w:sz w:val="17"/>
          <w:szCs w:val="17"/>
          <w:b w:val="1"/>
          <w:bCs w:val="1"/>
          <w:color w:val="42423F"/>
        </w:rPr>
        <w:t xml:space="preserve"> underlying insurance</w:t>
      </w:r>
    </w:p>
    <w:p>
      <w:pPr>
        <w:spacing w:after="0" w:line="35" w:lineRule="exact"/>
        <w:rPr>
          <w:sz w:val="20"/>
          <w:szCs w:val="20"/>
          <w:color w:val="auto"/>
        </w:rPr>
      </w:pPr>
    </w:p>
    <w:p>
      <w:pPr>
        <w:jc w:val="both"/>
        <w:ind w:left="140"/>
        <w:spacing w:after="0" w:line="256" w:lineRule="auto"/>
        <w:rPr>
          <w:sz w:val="20"/>
          <w:szCs w:val="20"/>
          <w:color w:val="auto"/>
        </w:rPr>
      </w:pPr>
      <w:r>
        <w:rPr>
          <w:rFonts w:ascii="Arial" w:cs="Arial" w:eastAsia="Arial" w:hAnsi="Arial"/>
          <w:sz w:val="16"/>
          <w:szCs w:val="16"/>
          <w:color w:val="42423F"/>
        </w:rPr>
        <w:t xml:space="preserve">Regardless of whatever other primary underlying insurance may be available in the event of a claim or loss, </w:t>
      </w:r>
      <w:r>
        <w:rPr>
          <w:rFonts w:ascii="Arial" w:cs="Arial" w:eastAsia="Arial" w:hAnsi="Arial"/>
          <w:sz w:val="16"/>
          <w:szCs w:val="16"/>
          <w:color w:val="2F2F2F"/>
        </w:rPr>
        <w:t>it</w:t>
      </w:r>
      <w:r>
        <w:rPr>
          <w:rFonts w:ascii="Arial" w:cs="Arial" w:eastAsia="Arial" w:hAnsi="Arial"/>
          <w:sz w:val="16"/>
          <w:szCs w:val="16"/>
          <w:color w:val="42423F"/>
        </w:rPr>
        <w:t xml:space="preserve"> is a condition of your policy </w:t>
      </w:r>
      <w:r>
        <w:rPr>
          <w:rFonts w:ascii="Arial" w:cs="Arial" w:eastAsia="Arial" w:hAnsi="Arial"/>
          <w:sz w:val="16"/>
          <w:szCs w:val="16"/>
          <w:color w:val="2F2F2F"/>
        </w:rPr>
        <w:t>that</w:t>
      </w:r>
      <w:r>
        <w:rPr>
          <w:rFonts w:ascii="Arial" w:cs="Arial" w:eastAsia="Arial" w:hAnsi="Arial"/>
          <w:sz w:val="16"/>
          <w:szCs w:val="16"/>
          <w:color w:val="42423F"/>
        </w:rPr>
        <w:t xml:space="preserve"> you and your family members must maintain in full effect primary </w:t>
      </w:r>
      <w:r>
        <w:rPr>
          <w:rFonts w:ascii="Arial" w:cs="Arial" w:eastAsia="Arial" w:hAnsi="Arial"/>
          <w:sz w:val="16"/>
          <w:szCs w:val="16"/>
          <w:color w:val="2F2F2F"/>
        </w:rPr>
        <w:t>underlying</w:t>
      </w:r>
      <w:r>
        <w:rPr>
          <w:rFonts w:ascii="Arial" w:cs="Arial" w:eastAsia="Arial" w:hAnsi="Arial"/>
          <w:sz w:val="16"/>
          <w:szCs w:val="16"/>
          <w:color w:val="42423F"/>
        </w:rPr>
        <w:t xml:space="preserve"> liability insurance of </w:t>
      </w:r>
      <w:r>
        <w:rPr>
          <w:rFonts w:ascii="Arial" w:cs="Arial" w:eastAsia="Arial" w:hAnsi="Arial"/>
          <w:sz w:val="16"/>
          <w:szCs w:val="16"/>
          <w:color w:val="2F2F2F"/>
        </w:rPr>
        <w:t>the</w:t>
      </w:r>
      <w:r>
        <w:rPr>
          <w:rFonts w:ascii="Arial" w:cs="Arial" w:eastAsia="Arial" w:hAnsi="Arial"/>
          <w:sz w:val="16"/>
          <w:szCs w:val="16"/>
          <w:color w:val="42423F"/>
        </w:rPr>
        <w:t xml:space="preserve"> types and in at least the amounts set forth below unless a different amount is shown in your Coverage Summary, covering your personal liability and to the </w:t>
      </w:r>
      <w:r>
        <w:rPr>
          <w:rFonts w:ascii="Arial" w:cs="Arial" w:eastAsia="Arial" w:hAnsi="Arial"/>
          <w:sz w:val="16"/>
          <w:szCs w:val="16"/>
          <w:color w:val="2F2F2F"/>
        </w:rPr>
        <w:t>extent</w:t>
      </w:r>
      <w:r>
        <w:rPr>
          <w:rFonts w:ascii="Arial" w:cs="Arial" w:eastAsia="Arial" w:hAnsi="Arial"/>
          <w:sz w:val="16"/>
          <w:szCs w:val="16"/>
          <w:color w:val="42423F"/>
        </w:rPr>
        <w:t xml:space="preserve"> you or a family member h</w:t>
      </w:r>
      <w:r>
        <w:rPr>
          <w:rFonts w:ascii="Arial" w:cs="Arial" w:eastAsia="Arial" w:hAnsi="Arial"/>
          <w:sz w:val="16"/>
          <w:szCs w:val="16"/>
          <w:color w:val="5E5E5D"/>
        </w:rPr>
        <w:t>a</w:t>
      </w:r>
      <w:r>
        <w:rPr>
          <w:rFonts w:ascii="Arial" w:cs="Arial" w:eastAsia="Arial" w:hAnsi="Arial"/>
          <w:sz w:val="16"/>
          <w:szCs w:val="16"/>
          <w:color w:val="42423F"/>
        </w:rPr>
        <w:t>v</w:t>
      </w:r>
      <w:r>
        <w:rPr>
          <w:rFonts w:ascii="Arial" w:cs="Arial" w:eastAsia="Arial" w:hAnsi="Arial"/>
          <w:sz w:val="16"/>
          <w:szCs w:val="16"/>
          <w:color w:val="5E5E5D"/>
        </w:rPr>
        <w:t>e</w:t>
      </w:r>
      <w:r>
        <w:rPr>
          <w:rFonts w:ascii="Arial" w:cs="Arial" w:eastAsia="Arial" w:hAnsi="Arial"/>
          <w:sz w:val="16"/>
          <w:szCs w:val="16"/>
          <w:color w:val="42423F"/>
        </w:rPr>
        <w:t xml:space="preserve"> such liability exposures, all vehicles and watercraft you or your family members own, or rent for longer than 60 days, or </w:t>
      </w:r>
      <w:r>
        <w:rPr>
          <w:rFonts w:ascii="Arial" w:cs="Arial" w:eastAsia="Arial" w:hAnsi="Arial"/>
          <w:sz w:val="16"/>
          <w:szCs w:val="16"/>
          <w:color w:val="2F2F2F"/>
        </w:rPr>
        <w:t>have</w:t>
      </w:r>
      <w:r>
        <w:rPr>
          <w:rFonts w:ascii="Arial" w:cs="Arial" w:eastAsia="Arial" w:hAnsi="Arial"/>
          <w:sz w:val="16"/>
          <w:szCs w:val="16"/>
          <w:color w:val="42423F"/>
        </w:rPr>
        <w:t xml:space="preserve"> furnished for longer than 60 days, as follows:</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Personal liability(homeowners) for personal injury and property damage in the minimum amount of $300,000 each occurrence</w:t>
      </w:r>
      <w:r>
        <w:rPr>
          <w:rFonts w:ascii="Arial" w:cs="Arial" w:eastAsia="Arial" w:hAnsi="Arial"/>
          <w:sz w:val="16"/>
          <w:szCs w:val="16"/>
          <w:color w:val="5E5E5D"/>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3 of 15</w:t>
      </w:r>
    </w:p>
    <w:p>
      <w:pPr>
        <w:sectPr>
          <w:pgSz w:w="11900" w:h="16838" w:orient="portrait"/>
          <w:cols w:equalWidth="0" w:num="1">
            <w:col w:w="11420"/>
          </w:cols>
          <w:pgMar w:left="240" w:top="421" w:right="239" w:bottom="1440" w:gutter="0" w:footer="0" w:header="0"/>
        </w:sectPr>
      </w:pPr>
    </w:p>
    <w:bookmarkStart w:id="293" w:name="page294"/>
    <w:bookmarkEnd w:id="293"/>
    <w:p>
      <w:pPr>
        <w:ind w:left="428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174625</wp:posOffset>
            </wp:positionH>
            <wp:positionV relativeFrom="page">
              <wp:posOffset>389255</wp:posOffset>
            </wp:positionV>
            <wp:extent cx="110617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41423F"/>
        </w:rPr>
        <w:t>Payment for a Loss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41423F"/>
        </w:rPr>
        <w:t>(continued)</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in the minimum amount of:</w:t>
      </w:r>
    </w:p>
    <w:p>
      <w:pPr>
        <w:ind w:left="840" w:hanging="319"/>
        <w:spacing w:after="0" w:line="234" w:lineRule="auto"/>
        <w:tabs>
          <w:tab w:leader="none" w:pos="840" w:val="left"/>
        </w:tabs>
        <w:numPr>
          <w:ilvl w:val="0"/>
          <w:numId w:val="452"/>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24" w:lineRule="exact"/>
        <w:rPr>
          <w:rFonts w:ascii="Arial" w:cs="Arial" w:eastAsia="Arial" w:hAnsi="Arial"/>
          <w:sz w:val="20"/>
          <w:szCs w:val="20"/>
          <w:color w:val="auto"/>
        </w:rPr>
      </w:pPr>
    </w:p>
    <w:p>
      <w:pPr>
        <w:ind w:left="840" w:hanging="319"/>
        <w:spacing w:after="0" w:line="215" w:lineRule="auto"/>
        <w:tabs>
          <w:tab w:leader="none" w:pos="840" w:val="left"/>
        </w:tabs>
        <w:numPr>
          <w:ilvl w:val="0"/>
          <w:numId w:val="452"/>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23" w:lineRule="exact"/>
        <w:rPr>
          <w:rFonts w:ascii="Arial" w:cs="Arial" w:eastAsia="Arial" w:hAnsi="Arial"/>
          <w:sz w:val="20"/>
          <w:szCs w:val="20"/>
          <w:color w:val="auto"/>
        </w:rPr>
      </w:pPr>
    </w:p>
    <w:p>
      <w:pPr>
        <w:ind w:left="840" w:hanging="319"/>
        <w:spacing w:after="0" w:line="215" w:lineRule="auto"/>
        <w:tabs>
          <w:tab w:leader="none" w:pos="840" w:val="left"/>
        </w:tabs>
        <w:numPr>
          <w:ilvl w:val="0"/>
          <w:numId w:val="452"/>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Unregistered vehicles in the minimum amount of $300,000 bodily injury and property damage each occurrence.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with less than four wheels and motorhomes in the minimum amount of:</w:t>
      </w:r>
    </w:p>
    <w:p>
      <w:pPr>
        <w:spacing w:after="0" w:line="63" w:lineRule="exact"/>
        <w:rPr>
          <w:sz w:val="20"/>
          <w:szCs w:val="20"/>
          <w:color w:val="auto"/>
        </w:rPr>
      </w:pPr>
    </w:p>
    <w:p>
      <w:pPr>
        <w:ind w:left="840" w:hanging="292"/>
        <w:spacing w:after="0"/>
        <w:tabs>
          <w:tab w:leader="none" w:pos="840" w:val="left"/>
        </w:tabs>
        <w:numPr>
          <w:ilvl w:val="0"/>
          <w:numId w:val="453"/>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23" w:lineRule="exact"/>
        <w:rPr>
          <w:rFonts w:ascii="Arial" w:cs="Arial" w:eastAsia="Arial" w:hAnsi="Arial"/>
          <w:sz w:val="20"/>
          <w:szCs w:val="20"/>
          <w:color w:val="auto"/>
        </w:rPr>
      </w:pPr>
    </w:p>
    <w:p>
      <w:pPr>
        <w:ind w:left="840" w:hanging="292"/>
        <w:spacing w:after="0" w:line="215" w:lineRule="auto"/>
        <w:tabs>
          <w:tab w:leader="none" w:pos="840" w:val="left"/>
        </w:tabs>
        <w:numPr>
          <w:ilvl w:val="0"/>
          <w:numId w:val="453"/>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23" w:lineRule="exact"/>
        <w:rPr>
          <w:rFonts w:ascii="Arial" w:cs="Arial" w:eastAsia="Arial" w:hAnsi="Arial"/>
          <w:sz w:val="20"/>
          <w:szCs w:val="20"/>
          <w:color w:val="auto"/>
        </w:rPr>
      </w:pPr>
    </w:p>
    <w:p>
      <w:pPr>
        <w:ind w:left="840" w:hanging="292"/>
        <w:spacing w:after="0" w:line="215" w:lineRule="auto"/>
        <w:tabs>
          <w:tab w:leader="none" w:pos="840" w:val="left"/>
        </w:tabs>
        <w:numPr>
          <w:ilvl w:val="0"/>
          <w:numId w:val="453"/>
        </w:numPr>
        <w:rPr>
          <w:rFonts w:ascii="Arial" w:cs="Arial" w:eastAsia="Arial" w:hAnsi="Arial"/>
          <w:sz w:val="20"/>
          <w:szCs w:val="20"/>
          <w:color w:val="auto"/>
        </w:rPr>
      </w:pPr>
      <w:r>
        <w:rPr>
          <w:rFonts w:ascii="Arial" w:cs="Arial" w:eastAsia="Arial" w:hAnsi="Arial"/>
          <w:sz w:val="16"/>
          <w:szCs w:val="16"/>
          <w:color w:val="41423F"/>
        </w:rPr>
        <w:t>$300,000 single limit each occurrence.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41423F"/>
        </w:rPr>
        <w:t>Watercraft less than 26 feet and 50 engine rated horsepower or less for bodily injury and property damage in the minimum amount of $300,000 each occurrence.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5"/>
          <w:szCs w:val="15"/>
          <w:color w:val="41423F"/>
        </w:rPr>
        <w:t>Watercraft 26 feet or longer or more than 50 engine rated horsepower for bodily injury and property damage in the minimum amount of $500,000 each occurrence.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Uninsured motorists/underinsured motorist protection in the minimum amounts of:</w:t>
      </w:r>
    </w:p>
    <w:p>
      <w:pPr>
        <w:ind w:left="840" w:hanging="292"/>
        <w:spacing w:after="0" w:line="217" w:lineRule="auto"/>
        <w:tabs>
          <w:tab w:leader="none" w:pos="840" w:val="left"/>
        </w:tabs>
        <w:numPr>
          <w:ilvl w:val="0"/>
          <w:numId w:val="454"/>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ind w:left="840" w:hanging="292"/>
        <w:spacing w:after="0" w:line="200" w:lineRule="auto"/>
        <w:tabs>
          <w:tab w:leader="none" w:pos="840" w:val="left"/>
        </w:tabs>
        <w:numPr>
          <w:ilvl w:val="0"/>
          <w:numId w:val="454"/>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10" w:lineRule="exact"/>
        <w:rPr>
          <w:rFonts w:ascii="Arial" w:cs="Arial" w:eastAsia="Arial" w:hAnsi="Arial"/>
          <w:sz w:val="20"/>
          <w:szCs w:val="20"/>
          <w:color w:val="auto"/>
        </w:rPr>
      </w:pPr>
    </w:p>
    <w:p>
      <w:pPr>
        <w:ind w:left="840" w:hanging="292"/>
        <w:spacing w:after="0" w:line="200" w:lineRule="auto"/>
        <w:tabs>
          <w:tab w:leader="none" w:pos="840" w:val="left"/>
        </w:tabs>
        <w:numPr>
          <w:ilvl w:val="0"/>
          <w:numId w:val="454"/>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145" w:lineRule="exact"/>
        <w:rPr>
          <w:sz w:val="20"/>
          <w:szCs w:val="20"/>
          <w:color w:val="auto"/>
        </w:rPr>
      </w:pPr>
    </w:p>
    <w:p>
      <w:pPr>
        <w:jc w:val="both"/>
        <w:ind w:left="540"/>
        <w:spacing w:after="0" w:line="253" w:lineRule="auto"/>
        <w:rPr>
          <w:sz w:val="20"/>
          <w:szCs w:val="20"/>
          <w:color w:val="auto"/>
        </w:rPr>
      </w:pPr>
      <w:r>
        <w:rPr>
          <w:rFonts w:ascii="Arial" w:cs="Arial" w:eastAsia="Arial" w:hAnsi="Arial"/>
          <w:sz w:val="16"/>
          <w:szCs w:val="16"/>
          <w:color w:val="41423F"/>
        </w:rPr>
        <w:t xml:space="preserve">With respect to you and your family members residing outside of the </w:t>
      </w:r>
      <w:r>
        <w:rPr>
          <w:rFonts w:ascii="Arial" w:cs="Arial" w:eastAsia="Arial" w:hAnsi="Arial"/>
          <w:sz w:val="16"/>
          <w:szCs w:val="16"/>
          <w:color w:val="60605D"/>
        </w:rPr>
        <w:t>U</w:t>
      </w:r>
      <w:r>
        <w:rPr>
          <w:rFonts w:ascii="Arial" w:cs="Arial" w:eastAsia="Arial" w:hAnsi="Arial"/>
          <w:sz w:val="16"/>
          <w:szCs w:val="16"/>
          <w:color w:val="41423F"/>
        </w:rPr>
        <w:t xml:space="preserve">nited States, the required primary underlying insurance limits of liability shall </w:t>
      </w:r>
      <w:r>
        <w:rPr>
          <w:rFonts w:ascii="Arial" w:cs="Arial" w:eastAsia="Arial" w:hAnsi="Arial"/>
          <w:sz w:val="16"/>
          <w:szCs w:val="16"/>
          <w:color w:val="2F2F2F"/>
        </w:rPr>
        <w:t>be</w:t>
      </w:r>
      <w:r>
        <w:rPr>
          <w:rFonts w:ascii="Arial" w:cs="Arial" w:eastAsia="Arial" w:hAnsi="Arial"/>
          <w:sz w:val="16"/>
          <w:szCs w:val="16"/>
          <w:color w:val="41423F"/>
        </w:rPr>
        <w:t xml:space="preserve"> the same limits of liability as shown above, unless you and your family members </w:t>
      </w:r>
      <w:r>
        <w:rPr>
          <w:rFonts w:ascii="Arial" w:cs="Arial" w:eastAsia="Arial" w:hAnsi="Arial"/>
          <w:sz w:val="16"/>
          <w:szCs w:val="16"/>
          <w:color w:val="2F2F2F"/>
        </w:rPr>
        <w:t>reside</w:t>
      </w:r>
      <w:r>
        <w:rPr>
          <w:rFonts w:ascii="Arial" w:cs="Arial" w:eastAsia="Arial" w:hAnsi="Arial"/>
          <w:sz w:val="16"/>
          <w:szCs w:val="16"/>
          <w:color w:val="41423F"/>
        </w:rPr>
        <w:t xml:space="preserve"> in a country where the minimum required primary underlying insurance limits of liability are not </w:t>
      </w:r>
      <w:r>
        <w:rPr>
          <w:rFonts w:ascii="Arial" w:cs="Arial" w:eastAsia="Arial" w:hAnsi="Arial"/>
          <w:sz w:val="16"/>
          <w:szCs w:val="16"/>
          <w:color w:val="2F2F2F"/>
        </w:rPr>
        <w:t>available.</w:t>
      </w:r>
      <w:r>
        <w:rPr>
          <w:rFonts w:ascii="Arial" w:cs="Arial" w:eastAsia="Arial" w:hAnsi="Arial"/>
          <w:sz w:val="16"/>
          <w:szCs w:val="16"/>
          <w:color w:val="41423F"/>
        </w:rPr>
        <w:t xml:space="preserve"> In these countries, you and your family members must maintain in full effect primary underlying liability insurance limits equal to </w:t>
      </w:r>
      <w:r>
        <w:rPr>
          <w:rFonts w:ascii="Arial" w:cs="Arial" w:eastAsia="Arial" w:hAnsi="Arial"/>
          <w:sz w:val="16"/>
          <w:szCs w:val="16"/>
          <w:color w:val="2F2F2F"/>
        </w:rPr>
        <w:t>the</w:t>
      </w:r>
      <w:r>
        <w:rPr>
          <w:rFonts w:ascii="Arial" w:cs="Arial" w:eastAsia="Arial" w:hAnsi="Arial"/>
          <w:sz w:val="16"/>
          <w:szCs w:val="16"/>
          <w:color w:val="41423F"/>
        </w:rPr>
        <w:t xml:space="preserve"> maximum limits of liability available in that country for all coverages up to the minimum required primary </w:t>
      </w:r>
      <w:r>
        <w:rPr>
          <w:rFonts w:ascii="Arial" w:cs="Arial" w:eastAsia="Arial" w:hAnsi="Arial"/>
          <w:sz w:val="16"/>
          <w:szCs w:val="16"/>
          <w:color w:val="2F2F2F"/>
        </w:rPr>
        <w:t>underlying</w:t>
      </w:r>
      <w:r>
        <w:rPr>
          <w:rFonts w:ascii="Arial" w:cs="Arial" w:eastAsia="Arial" w:hAnsi="Arial"/>
          <w:sz w:val="16"/>
          <w:szCs w:val="16"/>
          <w:color w:val="41423F"/>
        </w:rPr>
        <w:t xml:space="preserve"> limits shown in </w:t>
      </w:r>
      <w:r>
        <w:rPr>
          <w:rFonts w:ascii="Arial" w:cs="Arial" w:eastAsia="Arial" w:hAnsi="Arial"/>
          <w:sz w:val="16"/>
          <w:szCs w:val="16"/>
          <w:color w:val="2F2F2F"/>
        </w:rPr>
        <w:t>the</w:t>
      </w:r>
      <w:r>
        <w:rPr>
          <w:rFonts w:ascii="Arial" w:cs="Arial" w:eastAsia="Arial" w:hAnsi="Arial"/>
          <w:sz w:val="16"/>
          <w:szCs w:val="16"/>
          <w:color w:val="41423F"/>
        </w:rPr>
        <w:t xml:space="preserve"> Coverage Summary under Required Primary Underlying Insurance.</w:t>
      </w:r>
    </w:p>
    <w:p>
      <w:pPr>
        <w:spacing w:after="0" w:line="151" w:lineRule="exact"/>
        <w:rPr>
          <w:sz w:val="20"/>
          <w:szCs w:val="20"/>
          <w:color w:val="auto"/>
        </w:rPr>
      </w:pPr>
    </w:p>
    <w:p>
      <w:pPr>
        <w:jc w:val="both"/>
        <w:ind w:left="540"/>
        <w:spacing w:after="0" w:line="261" w:lineRule="auto"/>
        <w:rPr>
          <w:sz w:val="20"/>
          <w:szCs w:val="20"/>
          <w:color w:val="auto"/>
        </w:rPr>
      </w:pPr>
      <w:r>
        <w:rPr>
          <w:rFonts w:ascii="Arial" w:cs="Arial" w:eastAsia="Arial" w:hAnsi="Arial"/>
          <w:sz w:val="16"/>
          <w:szCs w:val="16"/>
          <w:color w:val="41423F"/>
        </w:rPr>
        <w:t xml:space="preserve">Failure by you or your family members to comply with this condition, or failure of any of your primary underlying </w:t>
      </w:r>
      <w:r>
        <w:rPr>
          <w:rFonts w:ascii="Arial" w:cs="Arial" w:eastAsia="Arial" w:hAnsi="Arial"/>
          <w:sz w:val="16"/>
          <w:szCs w:val="16"/>
          <w:color w:val="2F2F2F"/>
        </w:rPr>
        <w:t>insurers</w:t>
      </w:r>
      <w:r>
        <w:rPr>
          <w:rFonts w:ascii="Arial" w:cs="Arial" w:eastAsia="Arial" w:hAnsi="Arial"/>
          <w:sz w:val="16"/>
          <w:szCs w:val="16"/>
          <w:color w:val="41423F"/>
        </w:rPr>
        <w:t xml:space="preserve"> due to insolvency or bankruptcy, shall not invalidate this policy. In the event of any such failure, we shall only be liable in excess of </w:t>
      </w:r>
      <w:r>
        <w:rPr>
          <w:rFonts w:ascii="Arial" w:cs="Arial" w:eastAsia="Arial" w:hAnsi="Arial"/>
          <w:sz w:val="16"/>
          <w:szCs w:val="16"/>
          <w:color w:val="2F2F2F"/>
        </w:rPr>
        <w:t>the</w:t>
      </w:r>
      <w:r>
        <w:rPr>
          <w:rFonts w:ascii="Arial" w:cs="Arial" w:eastAsia="Arial" w:hAnsi="Arial"/>
          <w:sz w:val="16"/>
          <w:szCs w:val="16"/>
          <w:color w:val="41423F"/>
        </w:rPr>
        <w:t xml:space="preserve"> foregoing minimum amounts and to </w:t>
      </w:r>
      <w:r>
        <w:rPr>
          <w:rFonts w:ascii="Arial" w:cs="Arial" w:eastAsia="Arial" w:hAnsi="Arial"/>
          <w:sz w:val="16"/>
          <w:szCs w:val="16"/>
          <w:color w:val="2F2F2F"/>
        </w:rPr>
        <w:t>no</w:t>
      </w:r>
      <w:r>
        <w:rPr>
          <w:rFonts w:ascii="Arial" w:cs="Arial" w:eastAsia="Arial" w:hAnsi="Arial"/>
          <w:sz w:val="16"/>
          <w:szCs w:val="16"/>
          <w:color w:val="41423F"/>
        </w:rPr>
        <w:t xml:space="preserve"> greater extent with respect to coverages, amounts and defense costs than we would have been had this failure not occurred.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 xml:space="preserve">You must also give notice of losses and otherwise cooperate and comply with the terms and conditions of such primary </w:t>
      </w:r>
      <w:r>
        <w:rPr>
          <w:rFonts w:ascii="Arial" w:cs="Arial" w:eastAsia="Arial" w:hAnsi="Arial"/>
          <w:sz w:val="16"/>
          <w:szCs w:val="16"/>
          <w:color w:val="2F2F2F"/>
        </w:rPr>
        <w:t>underlying</w:t>
      </w:r>
      <w:r>
        <w:rPr>
          <w:rFonts w:ascii="Arial" w:cs="Arial" w:eastAsia="Arial" w:hAnsi="Arial"/>
          <w:sz w:val="16"/>
          <w:szCs w:val="16"/>
          <w:color w:val="41423F"/>
        </w:rPr>
        <w:t xml:space="preserve"> insurance.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22"/>
          <w:szCs w:val="22"/>
          <w:b w:val="1"/>
          <w:bCs w:val="1"/>
          <w:i w:val="1"/>
          <w:iCs w:val="1"/>
          <w:color w:val="41423F"/>
        </w:rPr>
        <w:t>Group Personal Excess Liability Coverage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color w:val="41423F"/>
        </w:rPr>
        <w:t xml:space="preserve">We </w:t>
      </w:r>
      <w:r>
        <w:rPr>
          <w:rFonts w:ascii="Arial" w:cs="Arial" w:eastAsia="Arial" w:hAnsi="Arial"/>
          <w:sz w:val="16"/>
          <w:szCs w:val="16"/>
          <w:color w:val="41423F"/>
        </w:rPr>
        <w:t>cover damages a covered person</w:t>
      </w:r>
      <w:r>
        <w:rPr>
          <w:rFonts w:ascii="Arial" w:cs="Arial" w:eastAsia="Arial" w:hAnsi="Arial"/>
          <w:sz w:val="14"/>
          <w:szCs w:val="14"/>
          <w:color w:val="41423F"/>
        </w:rPr>
        <w:t xml:space="preserve"> </w:t>
      </w:r>
      <w:r>
        <w:rPr>
          <w:rFonts w:ascii="Arial" w:cs="Arial" w:eastAsia="Arial" w:hAnsi="Arial"/>
          <w:sz w:val="16"/>
          <w:szCs w:val="16"/>
          <w:color w:val="2F2F2F"/>
        </w:rPr>
        <w:t>is legally</w:t>
      </w:r>
      <w:r>
        <w:rPr>
          <w:rFonts w:ascii="Arial" w:cs="Arial" w:eastAsia="Arial" w:hAnsi="Arial"/>
          <w:sz w:val="14"/>
          <w:szCs w:val="14"/>
          <w:color w:val="41423F"/>
        </w:rPr>
        <w:t xml:space="preserve"> </w:t>
      </w:r>
      <w:r>
        <w:rPr>
          <w:rFonts w:ascii="Arial" w:cs="Arial" w:eastAsia="Arial" w:hAnsi="Arial"/>
          <w:sz w:val="16"/>
          <w:szCs w:val="16"/>
          <w:color w:val="41423F"/>
        </w:rPr>
        <w:t>obligated to pay for personal injury or property damage, caused by an occurrence:</w:t>
      </w:r>
    </w:p>
    <w:p>
      <w:pPr>
        <w:ind w:left="880" w:hanging="318"/>
        <w:spacing w:after="0" w:line="234" w:lineRule="auto"/>
        <w:tabs>
          <w:tab w:leader="none" w:pos="880" w:val="left"/>
        </w:tabs>
        <w:numPr>
          <w:ilvl w:val="0"/>
          <w:numId w:val="455"/>
        </w:numPr>
        <w:rPr>
          <w:rFonts w:ascii="Arial" w:cs="Arial" w:eastAsia="Arial" w:hAnsi="Arial"/>
          <w:sz w:val="20"/>
          <w:szCs w:val="20"/>
          <w:color w:val="auto"/>
        </w:rPr>
      </w:pPr>
      <w:r>
        <w:rPr>
          <w:rFonts w:ascii="Arial" w:cs="Arial" w:eastAsia="Arial" w:hAnsi="Arial"/>
          <w:sz w:val="16"/>
          <w:szCs w:val="16"/>
          <w:color w:val="41423F"/>
        </w:rPr>
        <w:t xml:space="preserve">in excess of damages covered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or</w:t>
      </w:r>
    </w:p>
    <w:p>
      <w:pPr>
        <w:spacing w:after="0" w:line="24" w:lineRule="exact"/>
        <w:rPr>
          <w:rFonts w:ascii="Arial" w:cs="Arial" w:eastAsia="Arial" w:hAnsi="Arial"/>
          <w:sz w:val="20"/>
          <w:szCs w:val="20"/>
          <w:color w:val="auto"/>
        </w:rPr>
      </w:pPr>
    </w:p>
    <w:p>
      <w:pPr>
        <w:ind w:left="880" w:hanging="318"/>
        <w:spacing w:after="0" w:line="215" w:lineRule="auto"/>
        <w:tabs>
          <w:tab w:leader="none" w:pos="880" w:val="left"/>
        </w:tabs>
        <w:numPr>
          <w:ilvl w:val="0"/>
          <w:numId w:val="455"/>
        </w:numPr>
        <w:rPr>
          <w:rFonts w:ascii="Arial" w:cs="Arial" w:eastAsia="Arial" w:hAnsi="Arial"/>
          <w:sz w:val="20"/>
          <w:szCs w:val="20"/>
          <w:color w:val="auto"/>
        </w:rPr>
      </w:pPr>
      <w:r>
        <w:rPr>
          <w:rFonts w:ascii="Arial" w:cs="Arial" w:eastAsia="Arial" w:hAnsi="Arial"/>
          <w:sz w:val="16"/>
          <w:szCs w:val="16"/>
          <w:color w:val="41423F"/>
        </w:rPr>
        <w:t>from the first dollar of damage where no underlying insurance is required under this policy and no underlying insurance exists; or</w:t>
      </w:r>
    </w:p>
    <w:p>
      <w:pPr>
        <w:spacing w:after="0" w:line="10" w:lineRule="exact"/>
        <w:rPr>
          <w:rFonts w:ascii="Arial" w:cs="Arial" w:eastAsia="Arial" w:hAnsi="Arial"/>
          <w:sz w:val="20"/>
          <w:szCs w:val="20"/>
          <w:color w:val="auto"/>
        </w:rPr>
      </w:pPr>
    </w:p>
    <w:p>
      <w:pPr>
        <w:ind w:left="900" w:right="160" w:hanging="338"/>
        <w:spacing w:after="0" w:line="221" w:lineRule="auto"/>
        <w:tabs>
          <w:tab w:leader="none" w:pos="882" w:val="left"/>
        </w:tabs>
        <w:numPr>
          <w:ilvl w:val="0"/>
          <w:numId w:val="455"/>
        </w:numPr>
        <w:rPr>
          <w:rFonts w:ascii="Arial" w:cs="Arial" w:eastAsia="Arial" w:hAnsi="Arial"/>
          <w:sz w:val="20"/>
          <w:szCs w:val="20"/>
          <w:color w:val="auto"/>
        </w:rPr>
      </w:pPr>
      <w:r>
        <w:rPr>
          <w:rFonts w:ascii="Arial" w:cs="Arial" w:eastAsia="Arial" w:hAnsi="Arial"/>
          <w:sz w:val="16"/>
          <w:szCs w:val="16"/>
          <w:color w:val="41423F"/>
        </w:rPr>
        <w:t xml:space="preserve">from the first dollar of damage where underlying insurance </w:t>
      </w:r>
      <w:r>
        <w:rPr>
          <w:rFonts w:ascii="Arial" w:cs="Arial" w:eastAsia="Arial" w:hAnsi="Arial"/>
          <w:sz w:val="16"/>
          <w:szCs w:val="16"/>
          <w:color w:val="2F2F2F"/>
        </w:rPr>
        <w:t>is</w:t>
      </w:r>
      <w:r>
        <w:rPr>
          <w:rFonts w:ascii="Arial" w:cs="Arial" w:eastAsia="Arial" w:hAnsi="Arial"/>
          <w:sz w:val="16"/>
          <w:szCs w:val="16"/>
          <w:color w:val="41423F"/>
        </w:rPr>
        <w:t xml:space="preserve"> required </w:t>
      </w:r>
      <w:r>
        <w:rPr>
          <w:rFonts w:ascii="Arial" w:cs="Arial" w:eastAsia="Arial" w:hAnsi="Arial"/>
          <w:sz w:val="16"/>
          <w:szCs w:val="16"/>
          <w:color w:val="2F2F2F"/>
        </w:rPr>
        <w:t>under this</w:t>
      </w:r>
      <w:r>
        <w:rPr>
          <w:rFonts w:ascii="Arial" w:cs="Arial" w:eastAsia="Arial" w:hAnsi="Arial"/>
          <w:sz w:val="16"/>
          <w:szCs w:val="16"/>
          <w:color w:val="41423F"/>
        </w:rPr>
        <w:t xml:space="preserve"> policy but no coverage is provided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for a particular occurrence;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color w:val="41423F"/>
        </w:rPr>
        <w:t>unless stated otherwise or an exclusion applies.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color w:val="41423F"/>
        </w:rPr>
        <w:t xml:space="preserve">Exclusions to this coverage are described in </w:t>
      </w:r>
      <w:r>
        <w:rPr>
          <w:rFonts w:ascii="Arial" w:cs="Arial" w:eastAsia="Arial" w:hAnsi="Arial"/>
          <w:sz w:val="18"/>
          <w:szCs w:val="18"/>
          <w:b w:val="1"/>
          <w:bCs w:val="1"/>
          <w:color w:val="41423F"/>
        </w:rPr>
        <w:t>Exclusions.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41423F"/>
        </w:rPr>
        <w:t>Excess uninsured motorists/underinsured motorist protection</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 xml:space="preserve">This coverage is in </w:t>
      </w:r>
      <w:r>
        <w:rPr>
          <w:rFonts w:ascii="Arial" w:cs="Arial" w:eastAsia="Arial" w:hAnsi="Arial"/>
          <w:sz w:val="16"/>
          <w:szCs w:val="16"/>
          <w:color w:val="2F2F2F"/>
        </w:rPr>
        <w:t>effect</w:t>
      </w:r>
      <w:r>
        <w:rPr>
          <w:rFonts w:ascii="Arial" w:cs="Arial" w:eastAsia="Arial" w:hAnsi="Arial"/>
          <w:sz w:val="16"/>
          <w:szCs w:val="16"/>
          <w:color w:val="41423F"/>
        </w:rPr>
        <w:t xml:space="preserve"> only if excess uninsured motorists/underinsured motorists protection is shown in the Coverage Summary</w:t>
      </w:r>
      <w:r>
        <w:rPr>
          <w:rFonts w:ascii="Arial" w:cs="Arial" w:eastAsia="Arial" w:hAnsi="Arial"/>
          <w:sz w:val="16"/>
          <w:szCs w:val="16"/>
          <w:color w:val="60605D"/>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4 of 15</w:t>
      </w:r>
    </w:p>
    <w:p>
      <w:pPr>
        <w:sectPr>
          <w:pgSz w:w="11900" w:h="16838" w:orient="portrait"/>
          <w:cols w:equalWidth="0" w:num="1">
            <w:col w:w="11420"/>
          </w:cols>
          <w:pgMar w:left="240" w:top="650" w:right="239" w:bottom="1440" w:gutter="0" w:footer="0" w:header="0"/>
        </w:sectPr>
      </w:pPr>
    </w:p>
    <w:bookmarkStart w:id="294" w:name="page295"/>
    <w:bookmarkEnd w:id="294"/>
    <w:p>
      <w:pPr>
        <w:ind w:left="120"/>
        <w:spacing w:after="0"/>
        <w:rPr>
          <w:sz w:val="20"/>
          <w:szCs w:val="20"/>
          <w:color w:val="auto"/>
        </w:rPr>
      </w:pPr>
      <w:r>
        <w:rPr>
          <w:rFonts w:ascii="Arial" w:cs="Arial" w:eastAsia="Arial" w:hAnsi="Arial"/>
          <w:sz w:val="22"/>
          <w:szCs w:val="22"/>
          <w:b w:val="1"/>
          <w:bCs w:val="1"/>
          <w:i w:val="1"/>
          <w:iCs w:val="1"/>
          <w:color w:val="464644"/>
        </w:rPr>
        <w:t>Group Personal Excess Liability Coverage</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464644"/>
        </w:rPr>
        <w:t>(continued)</w:t>
      </w:r>
    </w:p>
    <w:p>
      <w:pPr>
        <w:spacing w:after="0" w:line="199" w:lineRule="exact"/>
        <w:rPr>
          <w:sz w:val="20"/>
          <w:szCs w:val="20"/>
          <w:color w:val="auto"/>
        </w:rPr>
      </w:pPr>
    </w:p>
    <w:p>
      <w:pPr>
        <w:jc w:val="both"/>
        <w:ind w:left="180"/>
        <w:spacing w:after="0" w:line="261" w:lineRule="auto"/>
        <w:rPr>
          <w:sz w:val="20"/>
          <w:szCs w:val="20"/>
          <w:color w:val="auto"/>
        </w:rPr>
      </w:pPr>
      <w:r>
        <w:rPr>
          <w:rFonts w:ascii="Arial" w:cs="Arial" w:eastAsia="Arial" w:hAnsi="Arial"/>
          <w:sz w:val="16"/>
          <w:szCs w:val="16"/>
          <w:color w:val="464644"/>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52"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64644"/>
        </w:rPr>
        <w:t xml:space="preserve">Amount of coverage. </w:t>
      </w:r>
      <w:r>
        <w:rPr>
          <w:rFonts w:ascii="Arial" w:cs="Arial" w:eastAsia="Arial" w:hAnsi="Arial"/>
          <w:sz w:val="16"/>
          <w:szCs w:val="16"/>
          <w:color w:val="464644"/>
        </w:rPr>
        <w:t>The maximum amount of excess uninsured motorists/underinsured motorists protection available for any one occurrence is the excess uninsured</w:t>
      </w:r>
      <w:r>
        <w:rPr>
          <w:rFonts w:ascii="Arial" w:cs="Arial" w:eastAsia="Arial" w:hAnsi="Arial"/>
          <w:sz w:val="16"/>
          <w:szCs w:val="16"/>
          <w:b w:val="1"/>
          <w:bCs w:val="1"/>
          <w:color w:val="464644"/>
        </w:rPr>
        <w:t xml:space="preserve"> </w:t>
      </w:r>
      <w:r>
        <w:rPr>
          <w:rFonts w:ascii="Arial" w:cs="Arial" w:eastAsia="Arial" w:hAnsi="Arial"/>
          <w:sz w:val="16"/>
          <w:szCs w:val="16"/>
          <w:color w:val="464644"/>
        </w:rPr>
        <w:t xml:space="preserve">motorists/underinsured motorists protection amount shown in the Coverage Summary regardless of the number of vehicles covered by the Required </w:t>
      </w:r>
      <w:r>
        <w:rPr>
          <w:rFonts w:ascii="Arial" w:cs="Arial" w:eastAsia="Arial" w:hAnsi="Arial"/>
          <w:sz w:val="15"/>
          <w:szCs w:val="15"/>
          <w:color w:val="464644"/>
        </w:rPr>
        <w:t>Primary</w:t>
      </w:r>
      <w:r>
        <w:rPr>
          <w:rFonts w:ascii="Arial" w:cs="Arial" w:eastAsia="Arial" w:hAnsi="Arial"/>
          <w:sz w:val="16"/>
          <w:szCs w:val="16"/>
          <w:color w:val="464644"/>
        </w:rPr>
        <w:t xml:space="preserve"> Underlying Insurance. We will not pay more than this amount in any one occurrence for covered damages regardless of how many claims, vehicles or people are involved in the occurrence. This coverage will follow form.</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64644"/>
        </w:rPr>
        <w:t>Uninsured motorists/underinsured motorists protection arbitration</w:t>
      </w:r>
    </w:p>
    <w:p>
      <w:pPr>
        <w:spacing w:after="0" w:line="26" w:lineRule="exact"/>
        <w:rPr>
          <w:sz w:val="20"/>
          <w:szCs w:val="20"/>
          <w:color w:val="auto"/>
        </w:rPr>
      </w:pPr>
    </w:p>
    <w:p>
      <w:pPr>
        <w:jc w:val="both"/>
        <w:ind w:left="140"/>
        <w:spacing w:after="0" w:line="273" w:lineRule="auto"/>
        <w:rPr>
          <w:sz w:val="20"/>
          <w:szCs w:val="20"/>
          <w:color w:val="auto"/>
        </w:rPr>
      </w:pPr>
      <w:r>
        <w:rPr>
          <w:rFonts w:ascii="Arial" w:cs="Arial" w:eastAsia="Arial" w:hAnsi="Arial"/>
          <w:sz w:val="15"/>
          <w:szCs w:val="15"/>
          <w:color w:val="464644"/>
        </w:rPr>
        <w:t xml:space="preserve">If we and a covered person disagree whether that person is legally entitled to recover damages from the owner or operator of an uninsured motor vehicle/underinsured motor vehicle, or do not agree as to the amount of damages, either party may make </w:t>
      </w:r>
      <w:r>
        <w:rPr>
          <w:rFonts w:ascii="Arial" w:cs="Arial" w:eastAsia="Arial" w:hAnsi="Arial"/>
          <w:sz w:val="15"/>
          <w:szCs w:val="15"/>
          <w:color w:val="5D5D5B"/>
        </w:rPr>
        <w:t>a</w:t>
      </w:r>
      <w:r>
        <w:rPr>
          <w:rFonts w:ascii="Arial" w:cs="Arial" w:eastAsia="Arial" w:hAnsi="Arial"/>
          <w:sz w:val="15"/>
          <w:szCs w:val="15"/>
          <w:color w:val="464644"/>
        </w:rPr>
        <w:t xml:space="preserve">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w:t>
      </w:r>
      <w:r>
        <w:rPr>
          <w:rFonts w:ascii="Arial" w:cs="Arial" w:eastAsia="Arial" w:hAnsi="Arial"/>
          <w:sz w:val="15"/>
          <w:szCs w:val="15"/>
          <w:color w:val="5D5D5B"/>
        </w:rPr>
        <w:t>jurisdiction's</w:t>
      </w:r>
      <w:r>
        <w:rPr>
          <w:rFonts w:ascii="Arial" w:cs="Arial" w:eastAsia="Arial" w:hAnsi="Arial"/>
          <w:sz w:val="15"/>
          <w:szCs w:val="15"/>
          <w:color w:val="464644"/>
        </w:rPr>
        <w:t xml:space="preserve"> financial responsibility law, each party will pay the expenses it incurs, and bear the expenses of the third arbitrator equally. Otherwise, we will bear all the expenses of the arbitration.</w:t>
      </w:r>
    </w:p>
    <w:p>
      <w:pPr>
        <w:spacing w:after="0" w:line="123" w:lineRule="exact"/>
        <w:rPr>
          <w:sz w:val="20"/>
          <w:szCs w:val="20"/>
          <w:color w:val="auto"/>
        </w:rPr>
      </w:pPr>
    </w:p>
    <w:p>
      <w:pPr>
        <w:jc w:val="both"/>
        <w:ind w:left="140"/>
        <w:spacing w:after="0" w:line="256" w:lineRule="auto"/>
        <w:rPr>
          <w:sz w:val="20"/>
          <w:szCs w:val="20"/>
          <w:color w:val="auto"/>
        </w:rPr>
      </w:pPr>
      <w:r>
        <w:rPr>
          <w:rFonts w:ascii="Arial" w:cs="Arial" w:eastAsia="Arial" w:hAnsi="Arial"/>
          <w:sz w:val="16"/>
          <w:szCs w:val="16"/>
          <w:color w:val="5D5D5B"/>
        </w:rPr>
        <w:t xml:space="preserve">Unless </w:t>
      </w:r>
      <w:r>
        <w:rPr>
          <w:rFonts w:ascii="Arial" w:cs="Arial" w:eastAsia="Arial" w:hAnsi="Arial"/>
          <w:sz w:val="16"/>
          <w:szCs w:val="16"/>
          <w:color w:val="464644"/>
        </w:rPr>
        <w:t>both parties agree otherwise, arbitration will take place in the county and state in which the covered person lives. Local rules of law as to procedure and evidence will</w:t>
      </w:r>
      <w:r>
        <w:rPr>
          <w:rFonts w:ascii="Arial" w:cs="Arial" w:eastAsia="Arial" w:hAnsi="Arial"/>
          <w:sz w:val="16"/>
          <w:szCs w:val="16"/>
          <w:color w:val="5D5D5B"/>
        </w:rPr>
        <w:t xml:space="preserve"> </w:t>
      </w:r>
      <w:r>
        <w:rPr>
          <w:rFonts w:ascii="Arial" w:cs="Arial" w:eastAsia="Arial" w:hAnsi="Arial"/>
          <w:sz w:val="16"/>
          <w:szCs w:val="16"/>
          <w:color w:val="464644"/>
        </w:rPr>
        <w:t xml:space="preserve">apply. </w:t>
      </w:r>
      <w:r>
        <w:rPr>
          <w:rFonts w:ascii="Arial" w:cs="Arial" w:eastAsia="Arial" w:hAnsi="Arial"/>
          <w:sz w:val="16"/>
          <w:szCs w:val="16"/>
          <w:b w:val="1"/>
          <w:bCs w:val="1"/>
          <w:color w:val="464644"/>
        </w:rPr>
        <w:t>A</w:t>
      </w:r>
      <w:r>
        <w:rPr>
          <w:rFonts w:ascii="Arial" w:cs="Arial" w:eastAsia="Arial" w:hAnsi="Arial"/>
          <w:sz w:val="16"/>
          <w:szCs w:val="16"/>
          <w:color w:val="464644"/>
        </w:rPr>
        <w:t xml:space="preserve"> decision agreed to by two arbitrators will be binding unless the recovery amount for bodily injury exceeds the minimum limit specified by the applicable </w:t>
      </w:r>
      <w:r>
        <w:rPr>
          <w:rFonts w:ascii="Arial" w:cs="Arial" w:eastAsia="Arial" w:hAnsi="Arial"/>
          <w:sz w:val="16"/>
          <w:szCs w:val="16"/>
          <w:color w:val="5D5D5B"/>
        </w:rPr>
        <w:t xml:space="preserve">jurisdiction's </w:t>
      </w:r>
      <w:r>
        <w:rPr>
          <w:rFonts w:ascii="Arial" w:cs="Arial" w:eastAsia="Arial" w:hAnsi="Arial"/>
          <w:sz w:val="16"/>
          <w:szCs w:val="16"/>
          <w:color w:val="464644"/>
        </w:rPr>
        <w:t>financial responsibility law. If the amount exceeds that limit, either party may demand the right to a trial. This demand must be made within 60 days of the</w:t>
      </w:r>
      <w:r>
        <w:rPr>
          <w:rFonts w:ascii="Arial" w:cs="Arial" w:eastAsia="Arial" w:hAnsi="Arial"/>
          <w:sz w:val="16"/>
          <w:szCs w:val="16"/>
          <w:color w:val="5D5D5B"/>
        </w:rPr>
        <w:t xml:space="preserve"> </w:t>
      </w:r>
      <w:r>
        <w:rPr>
          <w:rFonts w:ascii="Arial" w:cs="Arial" w:eastAsia="Arial" w:hAnsi="Arial"/>
          <w:sz w:val="16"/>
          <w:szCs w:val="16"/>
          <w:color w:val="464644"/>
        </w:rPr>
        <w:t>arbitrator's decision. If this demand is not made, the amount of damages agreed to by the arbitrators willbe binding.</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4644"/>
        </w:rPr>
        <w:t>Uninsured/underinsured liability coverage</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464644"/>
        </w:rPr>
        <w:t>This coverage is in effect only if excess uninsured motorists/underinsure d motorists protection is shown in the Coverage Summary.</w:t>
      </w:r>
    </w:p>
    <w:p>
      <w:pPr>
        <w:spacing w:after="0" w:line="115"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color w:val="464644"/>
        </w:rPr>
        <w:t xml:space="preserve">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w:t>
      </w:r>
      <w:r>
        <w:rPr>
          <w:rFonts w:ascii="Arial" w:cs="Arial" w:eastAsia="Arial" w:hAnsi="Arial"/>
          <w:sz w:val="16"/>
          <w:szCs w:val="16"/>
          <w:color w:val="5D5D5B"/>
        </w:rPr>
        <w:t>of</w:t>
      </w:r>
      <w:r>
        <w:rPr>
          <w:rFonts w:ascii="Arial" w:cs="Arial" w:eastAsia="Arial" w:hAnsi="Arial"/>
          <w:sz w:val="16"/>
          <w:szCs w:val="16"/>
          <w:color w:val="464644"/>
        </w:rPr>
        <w:t xml:space="preserve"> any other collectible insurance that covers damages from the occurrence.</w:t>
      </w:r>
    </w:p>
    <w:p>
      <w:pPr>
        <w:spacing w:after="0" w:line="160" w:lineRule="exact"/>
        <w:rPr>
          <w:sz w:val="20"/>
          <w:szCs w:val="20"/>
          <w:color w:val="auto"/>
        </w:rPr>
      </w:pPr>
    </w:p>
    <w:p>
      <w:pPr>
        <w:jc w:val="both"/>
        <w:ind w:left="120" w:firstLine="14"/>
        <w:spacing w:after="0" w:line="274" w:lineRule="auto"/>
        <w:rPr>
          <w:sz w:val="20"/>
          <w:szCs w:val="20"/>
          <w:color w:val="auto"/>
        </w:rPr>
      </w:pPr>
      <w:r>
        <w:rPr>
          <w:rFonts w:ascii="Arial" w:cs="Arial" w:eastAsia="Arial" w:hAnsi="Arial"/>
          <w:sz w:val="15"/>
          <w:szCs w:val="15"/>
          <w:color w:val="464644"/>
        </w:rPr>
        <w:t xml:space="preserve">All the exclusions under the Group Personal Excess Liability Coverage are applicable to this </w:t>
      </w:r>
      <w:r>
        <w:rPr>
          <w:rFonts w:ascii="Arial" w:cs="Arial" w:eastAsia="Arial" w:hAnsi="Arial"/>
          <w:sz w:val="15"/>
          <w:szCs w:val="15"/>
          <w:color w:val="5D5D5B"/>
        </w:rPr>
        <w:t>Uninsured/underinsured</w:t>
      </w:r>
      <w:r>
        <w:rPr>
          <w:rFonts w:ascii="Arial" w:cs="Arial" w:eastAsia="Arial" w:hAnsi="Arial"/>
          <w:sz w:val="15"/>
          <w:szCs w:val="15"/>
          <w:color w:val="464644"/>
        </w:rPr>
        <w:t xml:space="preserve"> liability coverage, and where used, the definition of you or a family member is extended to include negligent person. This coverage also does not apply to damages from an occurrence arising out of any business </w:t>
      </w:r>
      <w:r>
        <w:rPr>
          <w:rFonts w:ascii="Arial" w:cs="Arial" w:eastAsia="Arial" w:hAnsi="Arial"/>
          <w:sz w:val="15"/>
          <w:szCs w:val="15"/>
          <w:color w:val="5D5D5B"/>
        </w:rPr>
        <w:t>activities;</w:t>
      </w:r>
      <w:r>
        <w:rPr>
          <w:rFonts w:ascii="Arial" w:cs="Arial" w:eastAsia="Arial" w:hAnsi="Arial"/>
          <w:sz w:val="15"/>
          <w:szCs w:val="15"/>
          <w:color w:val="464644"/>
        </w:rPr>
        <w:t xml:space="preserve"> any activities involving business property or the sale or transfer of property; or the ownership, maintenance, use, loading, unloading, or towing of any motor vehicle, watercraft, or aircraft</w:t>
      </w:r>
      <w:r>
        <w:rPr>
          <w:rFonts w:ascii="Arial" w:cs="Arial" w:eastAsia="Arial" w:hAnsi="Arial"/>
          <w:sz w:val="15"/>
          <w:szCs w:val="15"/>
          <w:color w:val="1D1D1C"/>
        </w:rPr>
        <w:t>.</w:t>
      </w:r>
      <w:r>
        <w:rPr>
          <w:rFonts w:ascii="Arial" w:cs="Arial" w:eastAsia="Arial" w:hAnsi="Arial"/>
          <w:sz w:val="15"/>
          <w:szCs w:val="15"/>
          <w:color w:val="464644"/>
        </w:rPr>
        <w:t xml:space="preserve"> In addition, this coverage does not apply to damages from an occurrence arising from any employment related harassment, termination, demotion, breach of an oral or written employment contract or agreement or violation of any </w:t>
      </w:r>
      <w:r>
        <w:rPr>
          <w:rFonts w:ascii="Arial" w:cs="Arial" w:eastAsia="Arial" w:hAnsi="Arial"/>
          <w:sz w:val="15"/>
          <w:szCs w:val="15"/>
          <w:color w:val="5D5D5B"/>
        </w:rPr>
        <w:t>state</w:t>
      </w:r>
      <w:r>
        <w:rPr>
          <w:rFonts w:ascii="Arial" w:cs="Arial" w:eastAsia="Arial" w:hAnsi="Arial"/>
          <w:sz w:val="15"/>
          <w:szCs w:val="15"/>
          <w:color w:val="464644"/>
        </w:rPr>
        <w:t xml:space="preserve"> or federal wrongful employment practices act or similar law.</w:t>
      </w:r>
    </w:p>
    <w:p>
      <w:pPr>
        <w:spacing w:after="0" w:line="12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464644"/>
        </w:rPr>
        <w:t xml:space="preserve">We </w:t>
      </w:r>
      <w:r>
        <w:rPr>
          <w:rFonts w:ascii="Arial" w:cs="Arial" w:eastAsia="Arial" w:hAnsi="Arial"/>
          <w:sz w:val="16"/>
          <w:szCs w:val="16"/>
          <w:color w:val="464644"/>
        </w:rPr>
        <w:t>also</w:t>
      </w:r>
      <w:r>
        <w:rPr>
          <w:rFonts w:ascii="Arial" w:cs="Arial" w:eastAsia="Arial" w:hAnsi="Arial"/>
          <w:sz w:val="17"/>
          <w:szCs w:val="17"/>
          <w:color w:val="464644"/>
        </w:rPr>
        <w:t xml:space="preserve"> do </w:t>
      </w:r>
      <w:r>
        <w:rPr>
          <w:rFonts w:ascii="Arial" w:cs="Arial" w:eastAsia="Arial" w:hAnsi="Arial"/>
          <w:sz w:val="16"/>
          <w:szCs w:val="16"/>
          <w:color w:val="464644"/>
        </w:rPr>
        <w:t>not cover any fines, penalties, taxes, punitive, exemplary or multiplied damages, or any claim or suit</w:t>
      </w:r>
      <w:r>
        <w:rPr>
          <w:rFonts w:ascii="Arial" w:cs="Arial" w:eastAsia="Arial" w:hAnsi="Arial"/>
          <w:sz w:val="17"/>
          <w:szCs w:val="17"/>
          <w:color w:val="464644"/>
        </w:rPr>
        <w:t xml:space="preserve"> </w:t>
      </w:r>
      <w:r>
        <w:rPr>
          <w:rFonts w:ascii="Arial" w:cs="Arial" w:eastAsia="Arial" w:hAnsi="Arial"/>
          <w:sz w:val="16"/>
          <w:szCs w:val="16"/>
          <w:color w:val="5D5D5B"/>
        </w:rPr>
        <w:t>seeking</w:t>
      </w:r>
      <w:r>
        <w:rPr>
          <w:rFonts w:ascii="Arial" w:cs="Arial" w:eastAsia="Arial" w:hAnsi="Arial"/>
          <w:sz w:val="17"/>
          <w:szCs w:val="17"/>
          <w:color w:val="464644"/>
        </w:rPr>
        <w:t xml:space="preserve"> </w:t>
      </w:r>
      <w:r>
        <w:rPr>
          <w:rFonts w:ascii="Arial" w:cs="Arial" w:eastAsia="Arial" w:hAnsi="Arial"/>
          <w:sz w:val="16"/>
          <w:szCs w:val="16"/>
          <w:color w:val="464644"/>
        </w:rPr>
        <w:t>non monetary relief, including but not limited to,</w:t>
      </w:r>
      <w:r>
        <w:rPr>
          <w:rFonts w:ascii="Arial" w:cs="Arial" w:eastAsia="Arial" w:hAnsi="Arial"/>
          <w:sz w:val="17"/>
          <w:szCs w:val="17"/>
          <w:color w:val="464644"/>
        </w:rPr>
        <w:t xml:space="preserve"> </w:t>
      </w:r>
      <w:r>
        <w:rPr>
          <w:rFonts w:ascii="Arial" w:cs="Arial" w:eastAsia="Arial" w:hAnsi="Arial"/>
          <w:sz w:val="16"/>
          <w:szCs w:val="16"/>
          <w:color w:val="464644"/>
        </w:rPr>
        <w:t>injunctive relief, declaratory relief or other equitable remedies.</w:t>
      </w:r>
    </w:p>
    <w:p>
      <w:pPr>
        <w:spacing w:after="0" w:line="172"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464644"/>
        </w:rPr>
        <w:t>''Negligent person" means an identifiable natural person by legal name who is not a family member, and who is legally responsible for damages sustained by you or a family member caused by an occurrence.</w:t>
      </w:r>
    </w:p>
    <w:p>
      <w:pPr>
        <w:spacing w:after="0" w:line="111"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b w:val="1"/>
          <w:bCs w:val="1"/>
          <w:color w:val="464644"/>
        </w:rPr>
        <w:t xml:space="preserve">Duplication of coverage. </w:t>
      </w:r>
      <w:r>
        <w:rPr>
          <w:rFonts w:ascii="Arial" w:cs="Arial" w:eastAsia="Arial" w:hAnsi="Arial"/>
          <w:sz w:val="16"/>
          <w:szCs w:val="16"/>
          <w:color w:val="464644"/>
        </w:rPr>
        <w:t>We</w:t>
      </w:r>
      <w:r>
        <w:rPr>
          <w:rFonts w:ascii="Arial" w:cs="Arial" w:eastAsia="Arial" w:hAnsi="Arial"/>
          <w:sz w:val="16"/>
          <w:szCs w:val="16"/>
          <w:b w:val="1"/>
          <w:bCs w:val="1"/>
          <w:color w:val="464644"/>
        </w:rPr>
        <w:t xml:space="preserve"> </w:t>
      </w:r>
      <w:r>
        <w:rPr>
          <w:rFonts w:ascii="Arial" w:cs="Arial" w:eastAsia="Arial" w:hAnsi="Arial"/>
          <w:sz w:val="16"/>
          <w:szCs w:val="16"/>
          <w:color w:val="464644"/>
        </w:rPr>
        <w:t>will</w:t>
      </w:r>
      <w:r>
        <w:rPr>
          <w:rFonts w:ascii="Arial" w:cs="Arial" w:eastAsia="Arial" w:hAnsi="Arial"/>
          <w:sz w:val="16"/>
          <w:szCs w:val="16"/>
          <w:b w:val="1"/>
          <w:bCs w:val="1"/>
          <w:color w:val="464644"/>
        </w:rPr>
        <w:t xml:space="preserve"> </w:t>
      </w:r>
      <w:r>
        <w:rPr>
          <w:rFonts w:ascii="Arial" w:cs="Arial" w:eastAsia="Arial" w:hAnsi="Arial"/>
          <w:sz w:val="16"/>
          <w:szCs w:val="16"/>
          <w:color w:val="464644"/>
        </w:rPr>
        <w:t>not make a duplicate payment for any portion of damages</w:t>
      </w:r>
      <w:r>
        <w:rPr>
          <w:rFonts w:ascii="Arial" w:cs="Arial" w:eastAsia="Arial" w:hAnsi="Arial"/>
          <w:sz w:val="16"/>
          <w:szCs w:val="16"/>
          <w:b w:val="1"/>
          <w:bCs w:val="1"/>
          <w:color w:val="464644"/>
        </w:rPr>
        <w:t xml:space="preserve"> </w:t>
      </w:r>
      <w:r>
        <w:rPr>
          <w:rFonts w:ascii="Arial" w:cs="Arial" w:eastAsia="Arial" w:hAnsi="Arial"/>
          <w:sz w:val="16"/>
          <w:szCs w:val="16"/>
          <w:color w:val="5D5D5B"/>
        </w:rPr>
        <w:t>for</w:t>
      </w:r>
      <w:r>
        <w:rPr>
          <w:rFonts w:ascii="Arial" w:cs="Arial" w:eastAsia="Arial" w:hAnsi="Arial"/>
          <w:sz w:val="16"/>
          <w:szCs w:val="16"/>
          <w:b w:val="1"/>
          <w:bCs w:val="1"/>
          <w:color w:val="464644"/>
        </w:rPr>
        <w:t xml:space="preserve"> </w:t>
      </w:r>
      <w:r>
        <w:rPr>
          <w:rFonts w:ascii="Arial" w:cs="Arial" w:eastAsia="Arial" w:hAnsi="Arial"/>
          <w:sz w:val="16"/>
          <w:szCs w:val="16"/>
          <w:color w:val="464644"/>
        </w:rPr>
        <w:t>which payment has been made by or on behalf of persons who may</w:t>
      </w:r>
      <w:r>
        <w:rPr>
          <w:rFonts w:ascii="Arial" w:cs="Arial" w:eastAsia="Arial" w:hAnsi="Arial"/>
          <w:sz w:val="16"/>
          <w:szCs w:val="16"/>
          <w:b w:val="1"/>
          <w:bCs w:val="1"/>
          <w:color w:val="464644"/>
        </w:rPr>
        <w:t xml:space="preserve"> </w:t>
      </w:r>
      <w:r>
        <w:rPr>
          <w:rFonts w:ascii="Arial" w:cs="Arial" w:eastAsia="Arial" w:hAnsi="Arial"/>
          <w:sz w:val="17"/>
          <w:szCs w:val="17"/>
          <w:color w:val="464644"/>
        </w:rPr>
        <w:t>be</w:t>
      </w:r>
      <w:r>
        <w:rPr>
          <w:rFonts w:ascii="Arial" w:cs="Arial" w:eastAsia="Arial" w:hAnsi="Arial"/>
          <w:sz w:val="16"/>
          <w:szCs w:val="16"/>
          <w:b w:val="1"/>
          <w:bCs w:val="1"/>
          <w:color w:val="464644"/>
        </w:rPr>
        <w:t xml:space="preserve"> </w:t>
      </w:r>
      <w:r>
        <w:rPr>
          <w:rFonts w:ascii="Arial" w:cs="Arial" w:eastAsia="Arial" w:hAnsi="Arial"/>
          <w:sz w:val="16"/>
          <w:szCs w:val="16"/>
          <w:color w:val="464644"/>
        </w:rPr>
        <w:t>legally</w:t>
      </w:r>
      <w:r>
        <w:rPr>
          <w:rFonts w:ascii="Arial" w:cs="Arial" w:eastAsia="Arial" w:hAnsi="Arial"/>
          <w:sz w:val="16"/>
          <w:szCs w:val="16"/>
          <w:b w:val="1"/>
          <w:bCs w:val="1"/>
          <w:color w:val="464644"/>
        </w:rPr>
        <w:t xml:space="preserve"> </w:t>
      </w:r>
      <w:r>
        <w:rPr>
          <w:rFonts w:ascii="Arial" w:cs="Arial" w:eastAsia="Arial" w:hAnsi="Arial"/>
          <w:sz w:val="16"/>
          <w:szCs w:val="16"/>
          <w:color w:val="464644"/>
        </w:rPr>
        <w:t>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5 of 15</w:t>
      </w:r>
    </w:p>
    <w:p>
      <w:pPr>
        <w:sectPr>
          <w:pgSz w:w="11900" w:h="16838" w:orient="portrait"/>
          <w:cols w:equalWidth="0" w:num="1">
            <w:col w:w="11420"/>
          </w:cols>
          <w:pgMar w:left="240" w:top="434" w:right="239" w:bottom="1440" w:gutter="0" w:footer="0" w:header="0"/>
        </w:sectPr>
      </w:pPr>
    </w:p>
    <w:bookmarkStart w:id="295" w:name="page296"/>
    <w:bookmarkEnd w:id="295"/>
    <w:p>
      <w:pPr>
        <w:ind w:left="434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260350</wp:posOffset>
            </wp:positionH>
            <wp:positionV relativeFrom="page">
              <wp:posOffset>346075</wp:posOffset>
            </wp:positionV>
            <wp:extent cx="110617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362"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83836"/>
        </w:rPr>
        <w:t>Group Personal Excess Liability Coverage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383836"/>
        </w:rPr>
        <w:t>(continued)</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383836"/>
        </w:rPr>
        <w:t>Defense coverages</w:t>
      </w:r>
    </w:p>
    <w:p>
      <w:pPr>
        <w:ind w:left="560"/>
        <w:spacing w:after="0" w:line="222" w:lineRule="auto"/>
        <w:rPr>
          <w:sz w:val="20"/>
          <w:szCs w:val="20"/>
          <w:color w:val="auto"/>
        </w:rPr>
      </w:pPr>
      <w:r>
        <w:rPr>
          <w:rFonts w:ascii="Arial" w:cs="Arial" w:eastAsia="Arial" w:hAnsi="Arial"/>
          <w:sz w:val="16"/>
          <w:szCs w:val="16"/>
          <w:color w:val="383836"/>
        </w:rPr>
        <w:t>We will defend a covered person against any suit seeking covered damages for personal injury or property damage that is either:</w:t>
      </w:r>
    </w:p>
    <w:p>
      <w:pPr>
        <w:ind w:left="880" w:hanging="305"/>
        <w:spacing w:after="0" w:line="220" w:lineRule="auto"/>
        <w:tabs>
          <w:tab w:leader="none" w:pos="880" w:val="left"/>
        </w:tabs>
        <w:numPr>
          <w:ilvl w:val="0"/>
          <w:numId w:val="456"/>
        </w:numPr>
        <w:rPr>
          <w:rFonts w:ascii="Arial" w:cs="Arial" w:eastAsia="Arial" w:hAnsi="Arial"/>
          <w:sz w:val="20"/>
          <w:szCs w:val="20"/>
          <w:color w:val="auto"/>
        </w:rPr>
      </w:pPr>
      <w:r>
        <w:rPr>
          <w:rFonts w:ascii="Arial" w:cs="Arial" w:eastAsia="Arial" w:hAnsi="Arial"/>
          <w:sz w:val="16"/>
          <w:szCs w:val="16"/>
          <w:color w:val="383836"/>
        </w:rPr>
        <w:t>not covered by any underlying insurance; or</w:t>
      </w:r>
    </w:p>
    <w:p>
      <w:pPr>
        <w:spacing w:after="0" w:line="23" w:lineRule="exact"/>
        <w:rPr>
          <w:rFonts w:ascii="Arial" w:cs="Arial" w:eastAsia="Arial" w:hAnsi="Arial"/>
          <w:sz w:val="20"/>
          <w:szCs w:val="20"/>
          <w:color w:val="auto"/>
        </w:rPr>
      </w:pPr>
    </w:p>
    <w:p>
      <w:pPr>
        <w:ind w:left="900" w:hanging="325"/>
        <w:spacing w:after="0" w:line="200" w:lineRule="auto"/>
        <w:tabs>
          <w:tab w:leader="none" w:pos="900" w:val="left"/>
        </w:tabs>
        <w:numPr>
          <w:ilvl w:val="0"/>
          <w:numId w:val="456"/>
        </w:numPr>
        <w:rPr>
          <w:rFonts w:ascii="Arial" w:cs="Arial" w:eastAsia="Arial" w:hAnsi="Arial"/>
          <w:sz w:val="20"/>
          <w:szCs w:val="20"/>
          <w:color w:val="auto"/>
        </w:rPr>
      </w:pPr>
      <w:r>
        <w:rPr>
          <w:rFonts w:ascii="Arial" w:cs="Arial" w:eastAsia="Arial" w:hAnsi="Arial"/>
          <w:sz w:val="16"/>
          <w:szCs w:val="16"/>
          <w:color w:val="383836"/>
        </w:rPr>
        <w:t>covered by an underlying policy. This will apply to each Defense Coverage as it has been exhausted by payment of claims.</w:t>
      </w:r>
    </w:p>
    <w:p>
      <w:pPr>
        <w:spacing w:after="0" w:line="84" w:lineRule="exact"/>
        <w:rPr>
          <w:sz w:val="20"/>
          <w:szCs w:val="20"/>
          <w:color w:val="auto"/>
        </w:rPr>
      </w:pPr>
    </w:p>
    <w:p>
      <w:pPr>
        <w:ind w:left="560" w:right="280"/>
        <w:spacing w:after="0" w:line="288" w:lineRule="auto"/>
        <w:rPr>
          <w:sz w:val="20"/>
          <w:szCs w:val="20"/>
          <w:color w:val="auto"/>
        </w:rPr>
      </w:pPr>
      <w:r>
        <w:rPr>
          <w:rFonts w:ascii="Arial" w:cs="Arial" w:eastAsia="Arial" w:hAnsi="Arial"/>
          <w:sz w:val="16"/>
          <w:szCs w:val="16"/>
          <w:color w:val="383836"/>
        </w:rPr>
        <w:t xml:space="preserve">We provide this defense at our expense, with counsel of our choice, even </w:t>
      </w:r>
      <w:r>
        <w:rPr>
          <w:rFonts w:ascii="Arial" w:cs="Arial" w:eastAsia="Arial" w:hAnsi="Arial"/>
          <w:sz w:val="17"/>
          <w:szCs w:val="17"/>
          <w:color w:val="383836"/>
        </w:rPr>
        <w:t>if</w:t>
      </w:r>
      <w:r>
        <w:rPr>
          <w:rFonts w:ascii="Arial" w:cs="Arial" w:eastAsia="Arial" w:hAnsi="Arial"/>
          <w:sz w:val="16"/>
          <w:szCs w:val="16"/>
          <w:color w:val="383836"/>
        </w:rPr>
        <w:t xml:space="preserve"> the suit is groundless, false, or fraudulent. We may investigate, negotiate, and settle any such claim or suit at our discretion</w:t>
      </w:r>
      <w:r>
        <w:rPr>
          <w:rFonts w:ascii="Arial" w:cs="Arial" w:eastAsia="Arial" w:hAnsi="Arial"/>
          <w:sz w:val="16"/>
          <w:szCs w:val="16"/>
          <w:color w:val="696767"/>
        </w:rPr>
        <w:t>.</w:t>
      </w:r>
    </w:p>
    <w:p>
      <w:pPr>
        <w:spacing w:after="0" w:line="245" w:lineRule="exact"/>
        <w:rPr>
          <w:sz w:val="20"/>
          <w:szCs w:val="20"/>
          <w:color w:val="auto"/>
        </w:rPr>
      </w:pPr>
    </w:p>
    <w:p>
      <w:pPr>
        <w:ind w:left="920" w:hanging="318"/>
        <w:spacing w:after="0"/>
        <w:tabs>
          <w:tab w:leader="none" w:pos="920" w:val="left"/>
        </w:tabs>
        <w:numPr>
          <w:ilvl w:val="0"/>
          <w:numId w:val="457"/>
        </w:numPr>
        <w:rPr>
          <w:rFonts w:ascii="Arial" w:cs="Arial" w:eastAsia="Arial" w:hAnsi="Arial"/>
          <w:sz w:val="20"/>
          <w:szCs w:val="20"/>
          <w:color w:val="auto"/>
        </w:rPr>
      </w:pPr>
      <w:r>
        <w:rPr>
          <w:rFonts w:ascii="Arial" w:cs="Arial" w:eastAsia="Arial" w:hAnsi="Arial"/>
          <w:sz w:val="16"/>
          <w:szCs w:val="16"/>
          <w:color w:val="383836"/>
        </w:rPr>
        <w:t>all premiums on appeal bonds required in any suit we defend;</w:t>
      </w:r>
    </w:p>
    <w:p>
      <w:pPr>
        <w:spacing w:after="0" w:line="24" w:lineRule="exact"/>
        <w:rPr>
          <w:rFonts w:ascii="Arial" w:cs="Arial" w:eastAsia="Arial" w:hAnsi="Arial"/>
          <w:sz w:val="20"/>
          <w:szCs w:val="20"/>
          <w:color w:val="auto"/>
        </w:rPr>
      </w:pPr>
    </w:p>
    <w:p>
      <w:pPr>
        <w:ind w:left="920" w:hanging="318"/>
        <w:spacing w:after="0"/>
        <w:tabs>
          <w:tab w:leader="none" w:pos="920" w:val="left"/>
        </w:tabs>
        <w:numPr>
          <w:ilvl w:val="0"/>
          <w:numId w:val="457"/>
        </w:numPr>
        <w:rPr>
          <w:rFonts w:ascii="Arial" w:cs="Arial" w:eastAsia="Arial" w:hAnsi="Arial"/>
          <w:sz w:val="19"/>
          <w:szCs w:val="19"/>
          <w:color w:val="auto"/>
        </w:rPr>
      </w:pPr>
      <w:r>
        <w:rPr>
          <w:rFonts w:ascii="Arial" w:cs="Arial" w:eastAsia="Arial" w:hAnsi="Arial"/>
          <w:sz w:val="15"/>
          <w:szCs w:val="15"/>
          <w:color w:val="383836"/>
        </w:rPr>
        <w:t>all premiums on bonds to release attachments for any amount up to the amount of coverage (but we are not obligated to apply for or furnish any bond);</w:t>
      </w:r>
    </w:p>
    <w:p>
      <w:pPr>
        <w:spacing w:after="0" w:line="23" w:lineRule="exact"/>
        <w:rPr>
          <w:rFonts w:ascii="Arial" w:cs="Arial" w:eastAsia="Arial" w:hAnsi="Arial"/>
          <w:sz w:val="19"/>
          <w:szCs w:val="19"/>
          <w:color w:val="auto"/>
        </w:rPr>
      </w:pPr>
    </w:p>
    <w:p>
      <w:pPr>
        <w:ind w:left="920" w:hanging="318"/>
        <w:spacing w:after="0" w:line="211" w:lineRule="auto"/>
        <w:tabs>
          <w:tab w:leader="none" w:pos="920" w:val="left"/>
        </w:tabs>
        <w:numPr>
          <w:ilvl w:val="0"/>
          <w:numId w:val="457"/>
        </w:numPr>
        <w:rPr>
          <w:rFonts w:ascii="Arial" w:cs="Arial" w:eastAsia="Arial" w:hAnsi="Arial"/>
          <w:sz w:val="20"/>
          <w:szCs w:val="20"/>
          <w:color w:val="auto"/>
        </w:rPr>
      </w:pPr>
      <w:r>
        <w:rPr>
          <w:rFonts w:ascii="Arial" w:cs="Arial" w:eastAsia="Arial" w:hAnsi="Arial"/>
          <w:sz w:val="16"/>
          <w:szCs w:val="16"/>
          <w:color w:val="383836"/>
        </w:rPr>
        <w:t>all expenses incurred by us;</w:t>
      </w:r>
    </w:p>
    <w:p>
      <w:pPr>
        <w:ind w:left="920" w:hanging="318"/>
        <w:spacing w:after="0" w:line="200" w:lineRule="auto"/>
        <w:tabs>
          <w:tab w:leader="none" w:pos="920" w:val="left"/>
        </w:tabs>
        <w:numPr>
          <w:ilvl w:val="0"/>
          <w:numId w:val="457"/>
        </w:numPr>
        <w:rPr>
          <w:rFonts w:ascii="Arial" w:cs="Arial" w:eastAsia="Arial" w:hAnsi="Arial"/>
          <w:sz w:val="20"/>
          <w:szCs w:val="20"/>
          <w:color w:val="auto"/>
        </w:rPr>
      </w:pPr>
      <w:r>
        <w:rPr>
          <w:rFonts w:ascii="Arial" w:cs="Arial" w:eastAsia="Arial" w:hAnsi="Arial"/>
          <w:sz w:val="16"/>
          <w:szCs w:val="16"/>
          <w:color w:val="383836"/>
        </w:rPr>
        <w:t>all costs taxed against a covered person;</w:t>
      </w:r>
    </w:p>
    <w:p>
      <w:pPr>
        <w:spacing w:after="0" w:line="24" w:lineRule="exact"/>
        <w:rPr>
          <w:rFonts w:ascii="Arial" w:cs="Arial" w:eastAsia="Arial" w:hAnsi="Arial"/>
          <w:sz w:val="20"/>
          <w:szCs w:val="20"/>
          <w:color w:val="auto"/>
        </w:rPr>
      </w:pPr>
    </w:p>
    <w:p>
      <w:pPr>
        <w:ind w:left="900" w:hanging="298"/>
        <w:spacing w:after="0" w:line="211" w:lineRule="auto"/>
        <w:tabs>
          <w:tab w:leader="none" w:pos="900" w:val="left"/>
        </w:tabs>
        <w:numPr>
          <w:ilvl w:val="0"/>
          <w:numId w:val="457"/>
        </w:numPr>
        <w:rPr>
          <w:rFonts w:ascii="Arial" w:cs="Arial" w:eastAsia="Arial" w:hAnsi="Arial"/>
          <w:sz w:val="19"/>
          <w:szCs w:val="19"/>
          <w:color w:val="auto"/>
        </w:rPr>
      </w:pPr>
      <w:r>
        <w:rPr>
          <w:rFonts w:ascii="Arial" w:cs="Arial" w:eastAsia="Arial" w:hAnsi="Arial"/>
          <w:sz w:val="15"/>
          <w:szCs w:val="15"/>
          <w:color w:val="383836"/>
        </w:rPr>
        <w:t>all interest accruing after a judgment is entered in a suit we defend on only that part of the judgment we are responsible for paying. We will not pay interest</w:t>
      </w:r>
    </w:p>
    <w:p>
      <w:pPr>
        <w:spacing w:after="0" w:line="50" w:lineRule="exact"/>
        <w:rPr>
          <w:rFonts w:ascii="Arial" w:cs="Arial" w:eastAsia="Arial" w:hAnsi="Arial"/>
          <w:sz w:val="19"/>
          <w:szCs w:val="19"/>
          <w:color w:val="auto"/>
        </w:rPr>
      </w:pPr>
    </w:p>
    <w:p>
      <w:pPr>
        <w:ind w:left="900"/>
        <w:spacing w:after="0"/>
        <w:rPr>
          <w:rFonts w:ascii="Arial" w:cs="Arial" w:eastAsia="Arial" w:hAnsi="Arial"/>
          <w:sz w:val="19"/>
          <w:szCs w:val="19"/>
          <w:color w:val="auto"/>
        </w:rPr>
      </w:pPr>
      <w:r>
        <w:rPr>
          <w:rFonts w:ascii="Arial" w:cs="Arial" w:eastAsia="Arial" w:hAnsi="Arial"/>
          <w:sz w:val="16"/>
          <w:szCs w:val="16"/>
          <w:color w:val="383836"/>
        </w:rPr>
        <w:t>accruing after we have paid the judgment up to the amount of coverage;</w:t>
      </w:r>
    </w:p>
    <w:p>
      <w:pPr>
        <w:spacing w:after="0" w:line="32" w:lineRule="exact"/>
        <w:rPr>
          <w:rFonts w:ascii="Arial" w:cs="Arial" w:eastAsia="Arial" w:hAnsi="Arial"/>
          <w:sz w:val="19"/>
          <w:szCs w:val="19"/>
          <w:color w:val="auto"/>
        </w:rPr>
      </w:pPr>
    </w:p>
    <w:p>
      <w:pPr>
        <w:ind w:left="920"/>
        <w:spacing w:after="0"/>
        <w:rPr>
          <w:rFonts w:ascii="Arial" w:cs="Arial" w:eastAsia="Arial" w:hAnsi="Arial"/>
          <w:sz w:val="19"/>
          <w:szCs w:val="19"/>
          <w:color w:val="auto"/>
        </w:rPr>
      </w:pPr>
      <w:r>
        <w:rPr>
          <w:rFonts w:ascii="Arial" w:cs="Arial" w:eastAsia="Arial" w:hAnsi="Arial"/>
          <w:sz w:val="16"/>
          <w:szCs w:val="16"/>
          <w:color w:val="383836"/>
        </w:rPr>
        <w:t>all prejudgment interest awarded against a covered person on that part of the judgment we pay or offer to pay.</w:t>
      </w:r>
    </w:p>
    <w:p>
      <w:pPr>
        <w:spacing w:after="0" w:line="292" w:lineRule="exact"/>
        <w:rPr>
          <w:sz w:val="20"/>
          <w:szCs w:val="20"/>
          <w:color w:val="auto"/>
        </w:rPr>
      </w:pPr>
    </w:p>
    <w:p>
      <w:pPr>
        <w:ind w:left="920" w:hanging="304"/>
        <w:spacing w:after="0"/>
        <w:tabs>
          <w:tab w:leader="none" w:pos="920" w:val="left"/>
        </w:tabs>
        <w:numPr>
          <w:ilvl w:val="0"/>
          <w:numId w:val="458"/>
        </w:numPr>
        <w:rPr>
          <w:rFonts w:ascii="Arial" w:cs="Arial" w:eastAsia="Arial" w:hAnsi="Arial"/>
          <w:sz w:val="20"/>
          <w:szCs w:val="20"/>
          <w:color w:val="auto"/>
        </w:rPr>
      </w:pPr>
      <w:r>
        <w:rPr>
          <w:rFonts w:ascii="Arial" w:cs="Arial" w:eastAsia="Arial" w:hAnsi="Arial"/>
          <w:sz w:val="16"/>
          <w:szCs w:val="16"/>
          <w:color w:val="383836"/>
        </w:rPr>
        <w:t>all earnings lost by each covered person at our request; up to $25,000</w:t>
      </w:r>
      <w:r>
        <w:rPr>
          <w:rFonts w:ascii="Arial" w:cs="Arial" w:eastAsia="Arial" w:hAnsi="Arial"/>
          <w:sz w:val="16"/>
          <w:szCs w:val="16"/>
          <w:color w:val="595756"/>
        </w:rPr>
        <w:t>;</w:t>
      </w:r>
    </w:p>
    <w:p>
      <w:pPr>
        <w:spacing w:after="0" w:line="23" w:lineRule="exact"/>
        <w:rPr>
          <w:rFonts w:ascii="Arial" w:cs="Arial" w:eastAsia="Arial" w:hAnsi="Arial"/>
          <w:sz w:val="20"/>
          <w:szCs w:val="20"/>
          <w:color w:val="auto"/>
        </w:rPr>
      </w:pPr>
    </w:p>
    <w:p>
      <w:pPr>
        <w:ind w:left="920" w:hanging="304"/>
        <w:spacing w:after="0" w:line="215" w:lineRule="auto"/>
        <w:tabs>
          <w:tab w:leader="none" w:pos="920" w:val="left"/>
        </w:tabs>
        <w:numPr>
          <w:ilvl w:val="0"/>
          <w:numId w:val="458"/>
        </w:numPr>
        <w:rPr>
          <w:rFonts w:ascii="Arial" w:cs="Arial" w:eastAsia="Arial" w:hAnsi="Arial"/>
          <w:sz w:val="20"/>
          <w:szCs w:val="20"/>
          <w:color w:val="auto"/>
        </w:rPr>
      </w:pPr>
      <w:r>
        <w:rPr>
          <w:rFonts w:ascii="Arial" w:cs="Arial" w:eastAsia="Arial" w:hAnsi="Arial"/>
          <w:sz w:val="16"/>
          <w:szCs w:val="16"/>
          <w:color w:val="383836"/>
        </w:rPr>
        <w:t>other reasonable expenses incurred by a covered person at our request; and</w:t>
      </w:r>
    </w:p>
    <w:p>
      <w:pPr>
        <w:spacing w:after="0" w:line="23" w:lineRule="exact"/>
        <w:rPr>
          <w:rFonts w:ascii="Arial" w:cs="Arial" w:eastAsia="Arial" w:hAnsi="Arial"/>
          <w:sz w:val="20"/>
          <w:szCs w:val="20"/>
          <w:color w:val="auto"/>
        </w:rPr>
      </w:pPr>
    </w:p>
    <w:p>
      <w:pPr>
        <w:ind w:left="940" w:hanging="324"/>
        <w:spacing w:after="0" w:line="215" w:lineRule="auto"/>
        <w:tabs>
          <w:tab w:leader="none" w:pos="940" w:val="left"/>
        </w:tabs>
        <w:numPr>
          <w:ilvl w:val="0"/>
          <w:numId w:val="458"/>
        </w:numPr>
        <w:rPr>
          <w:rFonts w:ascii="Arial" w:cs="Arial" w:eastAsia="Arial" w:hAnsi="Arial"/>
          <w:sz w:val="20"/>
          <w:szCs w:val="20"/>
          <w:color w:val="auto"/>
        </w:rPr>
      </w:pPr>
      <w:r>
        <w:rPr>
          <w:rFonts w:ascii="Arial" w:cs="Arial" w:eastAsia="Arial" w:hAnsi="Arial"/>
          <w:sz w:val="16"/>
          <w:szCs w:val="16"/>
          <w:color w:val="383836"/>
        </w:rPr>
        <w:t>the cost of bail bonds required of a covered person because of a covered loss.</w:t>
      </w:r>
    </w:p>
    <w:p>
      <w:pPr>
        <w:spacing w:after="0" w:line="118" w:lineRule="exact"/>
        <w:rPr>
          <w:sz w:val="20"/>
          <w:szCs w:val="20"/>
          <w:color w:val="auto"/>
        </w:rPr>
      </w:pPr>
    </w:p>
    <w:p>
      <w:pPr>
        <w:ind w:left="580" w:right="60" w:hanging="26"/>
        <w:spacing w:after="0"/>
        <w:rPr>
          <w:sz w:val="20"/>
          <w:szCs w:val="20"/>
          <w:color w:val="auto"/>
        </w:rPr>
      </w:pPr>
      <w:r>
        <w:rPr>
          <w:rFonts w:ascii="Arial" w:cs="Arial" w:eastAsia="Arial" w:hAnsi="Arial"/>
          <w:sz w:val="16"/>
          <w:szCs w:val="16"/>
          <w:color w:val="383836"/>
        </w:rPr>
        <w:t>In jurisdictions where we may be prevented by local law from carrying out these Defense Coverages, we will pay only those defense expenses that we agree in writing to pay and that are incurred by you</w:t>
      </w:r>
      <w:r>
        <w:rPr>
          <w:rFonts w:ascii="Arial" w:cs="Arial" w:eastAsia="Arial" w:hAnsi="Arial"/>
          <w:sz w:val="16"/>
          <w:szCs w:val="16"/>
          <w:color w:val="696767"/>
        </w:rPr>
        <w:t>.</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117" w:lineRule="exact"/>
        <w:rPr>
          <w:sz w:val="20"/>
          <w:szCs w:val="20"/>
          <w:color w:val="auto"/>
        </w:rPr>
      </w:pPr>
    </w:p>
    <w:p>
      <w:pPr>
        <w:ind w:left="600" w:right="220" w:hanging="26"/>
        <w:spacing w:after="0" w:line="311" w:lineRule="auto"/>
        <w:rPr>
          <w:sz w:val="20"/>
          <w:szCs w:val="20"/>
          <w:color w:val="auto"/>
        </w:rPr>
      </w:pPr>
      <w:r>
        <w:rPr>
          <w:rFonts w:ascii="Arial" w:cs="Arial" w:eastAsia="Arial" w:hAnsi="Arial"/>
          <w:sz w:val="16"/>
          <w:szCs w:val="16"/>
          <w:color w:val="383836"/>
        </w:rPr>
        <w:t>In addition to covering damages and defense costs, we also provide other related coverages. These coverages are in addition to the amount of coverage for damages and defense costs unless stated otherwise.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383836"/>
        </w:rPr>
        <w:t>Shadow defense coverage</w:t>
      </w:r>
    </w:p>
    <w:p>
      <w:pPr>
        <w:spacing w:after="0" w:line="27" w:lineRule="exact"/>
        <w:rPr>
          <w:sz w:val="20"/>
          <w:szCs w:val="20"/>
          <w:color w:val="auto"/>
        </w:rPr>
      </w:pPr>
    </w:p>
    <w:p>
      <w:pPr>
        <w:jc w:val="both"/>
        <w:ind w:left="580" w:firstLine="14"/>
        <w:spacing w:after="0" w:line="293" w:lineRule="auto"/>
        <w:rPr>
          <w:sz w:val="20"/>
          <w:szCs w:val="20"/>
          <w:color w:val="auto"/>
        </w:rPr>
      </w:pPr>
      <w:r>
        <w:rPr>
          <w:rFonts w:ascii="Arial" w:cs="Arial" w:eastAsia="Arial" w:hAnsi="Arial"/>
          <w:sz w:val="16"/>
          <w:szCs w:val="16"/>
          <w:color w:val="383836"/>
        </w:rPr>
        <w:t xml:space="preserve">If </w:t>
      </w:r>
      <w:r>
        <w:rPr>
          <w:rFonts w:ascii="Arial" w:cs="Arial" w:eastAsia="Arial" w:hAnsi="Arial"/>
          <w:sz w:val="15"/>
          <w:szCs w:val="15"/>
          <w:color w:val="383836"/>
        </w:rPr>
        <w:t>we are defending you or a family member in a suit seeking covered damages, we will pay reasonable expenses you or a family member incur up to $10,000 or the</w:t>
      </w:r>
      <w:r>
        <w:rPr>
          <w:rFonts w:ascii="Arial" w:cs="Arial" w:eastAsia="Arial" w:hAnsi="Arial"/>
          <w:sz w:val="16"/>
          <w:szCs w:val="16"/>
          <w:color w:val="383836"/>
        </w:rPr>
        <w:t xml:space="preserve"> </w:t>
      </w:r>
      <w:r>
        <w:rPr>
          <w:rFonts w:ascii="Arial" w:cs="Arial" w:eastAsia="Arial" w:hAnsi="Arial"/>
          <w:sz w:val="15"/>
          <w:szCs w:val="15"/>
          <w:color w:val="383836"/>
        </w:rPr>
        <w:t>amount shown in the Coverage Summary for a law firm of your choice to review and monitor the defense. However, any recommendation by your persona attorney is not binding on us. We will pay these costs provided that you obtain prior approval from us before incurring any fees or expenses.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383836"/>
        </w:rPr>
        <w:t>Identity fraud</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We will pay for your or a family member's identity fraud expenses, up to a maximum of $25,000, for each identity fraud occurrence.</w:t>
      </w:r>
    </w:p>
    <w:p>
      <w:pPr>
        <w:spacing w:after="0" w:line="167" w:lineRule="exact"/>
        <w:rPr>
          <w:sz w:val="20"/>
          <w:szCs w:val="20"/>
          <w:color w:val="auto"/>
        </w:rPr>
      </w:pPr>
    </w:p>
    <w:p>
      <w:pPr>
        <w:ind w:left="600" w:right="60"/>
        <w:spacing w:after="0"/>
        <w:rPr>
          <w:sz w:val="20"/>
          <w:szCs w:val="20"/>
          <w:color w:val="auto"/>
        </w:rPr>
      </w:pPr>
      <w:r>
        <w:rPr>
          <w:rFonts w:ascii="Arial" w:cs="Arial" w:eastAsia="Arial" w:hAnsi="Arial"/>
          <w:sz w:val="16"/>
          <w:szCs w:val="16"/>
          <w:color w:val="383836"/>
        </w:rPr>
        <w:t>"Identity fraud" means the act of knowingly transferring or using, without lawful authority, your or a family member</w:t>
      </w:r>
      <w:r>
        <w:rPr>
          <w:rFonts w:ascii="Arial" w:cs="Arial" w:eastAsia="Arial" w:hAnsi="Arial"/>
          <w:sz w:val="16"/>
          <w:szCs w:val="16"/>
          <w:color w:val="595756"/>
        </w:rPr>
        <w:t>'</w:t>
      </w:r>
      <w:r>
        <w:rPr>
          <w:rFonts w:ascii="Arial" w:cs="Arial" w:eastAsia="Arial" w:hAnsi="Arial"/>
          <w:sz w:val="16"/>
          <w:szCs w:val="16"/>
          <w:color w:val="383836"/>
        </w:rPr>
        <w:t xml:space="preserve"> s means of identity which constitutes a violation of federal law or a crime under any applicable state or local law</w:t>
      </w:r>
      <w:r>
        <w:rPr>
          <w:rFonts w:ascii="Arial" w:cs="Arial" w:eastAsia="Arial" w:hAnsi="Arial"/>
          <w:sz w:val="16"/>
          <w:szCs w:val="16"/>
          <w:color w:val="131511"/>
        </w:rPr>
        <w:t>.</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color w:val="383836"/>
        </w:rPr>
        <w:t>"Identity fraud occurrence" means any act or series of acts of identity fraud by a person or group commencing in the policy period.</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6"/>
          <w:szCs w:val="16"/>
          <w:color w:val="383836"/>
        </w:rPr>
        <w:t>"Identity fraud expenses" means:</w:t>
      </w:r>
    </w:p>
    <w:p>
      <w:pPr>
        <w:spacing w:after="0" w:line="7" w:lineRule="exact"/>
        <w:rPr>
          <w:sz w:val="20"/>
          <w:szCs w:val="20"/>
          <w:color w:val="auto"/>
        </w:rPr>
      </w:pPr>
    </w:p>
    <w:p>
      <w:pPr>
        <w:ind w:left="920" w:hanging="304"/>
        <w:spacing w:after="0"/>
        <w:tabs>
          <w:tab w:leader="none" w:pos="920" w:val="left"/>
        </w:tabs>
        <w:numPr>
          <w:ilvl w:val="1"/>
          <w:numId w:val="459"/>
        </w:numPr>
        <w:rPr>
          <w:rFonts w:ascii="Arial" w:cs="Arial" w:eastAsia="Arial" w:hAnsi="Arial"/>
          <w:sz w:val="19"/>
          <w:szCs w:val="19"/>
          <w:color w:val="auto"/>
        </w:rPr>
      </w:pPr>
      <w:r>
        <w:rPr>
          <w:rFonts w:ascii="Arial" w:cs="Arial" w:eastAsia="Arial" w:hAnsi="Arial"/>
          <w:sz w:val="15"/>
          <w:szCs w:val="15"/>
          <w:color w:val="383836"/>
        </w:rPr>
        <w:t>the costs for notarizing affidavits or similar documents for law enforcement agencies, financial institutions or similar credit grantors, and credit agencies;</w:t>
      </w:r>
    </w:p>
    <w:p>
      <w:pPr>
        <w:spacing w:after="0" w:line="36" w:lineRule="exact"/>
        <w:rPr>
          <w:rFonts w:ascii="Arial" w:cs="Arial" w:eastAsia="Arial" w:hAnsi="Arial"/>
          <w:sz w:val="19"/>
          <w:szCs w:val="19"/>
          <w:color w:val="auto"/>
        </w:rPr>
      </w:pPr>
    </w:p>
    <w:p>
      <w:pPr>
        <w:ind w:left="920" w:right="2580" w:hanging="318"/>
        <w:spacing w:after="0" w:line="237" w:lineRule="auto"/>
        <w:tabs>
          <w:tab w:leader="none" w:pos="920" w:val="left"/>
        </w:tabs>
        <w:numPr>
          <w:ilvl w:val="0"/>
          <w:numId w:val="459"/>
        </w:numPr>
        <w:rPr>
          <w:rFonts w:ascii="Arial" w:cs="Arial" w:eastAsia="Arial" w:hAnsi="Arial"/>
          <w:sz w:val="20"/>
          <w:szCs w:val="20"/>
          <w:color w:val="auto"/>
        </w:rPr>
      </w:pPr>
      <w:r>
        <w:rPr>
          <w:rFonts w:ascii="Arial" w:cs="Arial" w:eastAsia="Arial" w:hAnsi="Arial"/>
          <w:sz w:val="16"/>
          <w:szCs w:val="16"/>
          <w:color w:val="383836"/>
        </w:rPr>
        <w:t>the costs for sending certified mail to law enforcement agencies, financial institutions or similar credit grantors, and credit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6 of 15</w:t>
      </w:r>
    </w:p>
    <w:p>
      <w:pPr>
        <w:sectPr>
          <w:pgSz w:w="11900" w:h="16838" w:orient="portrait"/>
          <w:cols w:equalWidth="0" w:num="1">
            <w:col w:w="11420"/>
          </w:cols>
          <w:pgMar w:left="240" w:top="582" w:right="239" w:bottom="1440" w:gutter="0" w:footer="0" w:header="0"/>
        </w:sectPr>
      </w:pPr>
    </w:p>
    <w:bookmarkStart w:id="296" w:name="page297"/>
    <w:bookmarkEnd w:id="296"/>
    <w:p>
      <w:pPr>
        <w:ind w:left="120"/>
        <w:spacing w:after="0"/>
        <w:rPr>
          <w:sz w:val="20"/>
          <w:szCs w:val="20"/>
          <w:color w:val="auto"/>
        </w:rPr>
      </w:pPr>
      <w:r>
        <w:rPr>
          <w:rFonts w:ascii="Arial" w:cs="Arial" w:eastAsia="Arial" w:hAnsi="Arial"/>
          <w:sz w:val="22"/>
          <w:szCs w:val="22"/>
          <w:b w:val="1"/>
          <w:bCs w:val="1"/>
          <w:i w:val="1"/>
          <w:iCs w:val="1"/>
          <w:color w:val="42423F"/>
        </w:rPr>
        <w:t>Extra Coverages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42423F"/>
        </w:rPr>
        <w:t>(continued)</w:t>
      </w:r>
    </w:p>
    <w:p>
      <w:pPr>
        <w:spacing w:after="0" w:line="178" w:lineRule="exact"/>
        <w:rPr>
          <w:sz w:val="20"/>
          <w:szCs w:val="20"/>
          <w:color w:val="auto"/>
        </w:rPr>
      </w:pPr>
    </w:p>
    <w:p>
      <w:pPr>
        <w:ind w:left="340" w:hanging="251"/>
        <w:spacing w:after="0"/>
        <w:tabs>
          <w:tab w:leader="none" w:pos="340" w:val="left"/>
        </w:tabs>
        <w:numPr>
          <w:ilvl w:val="0"/>
          <w:numId w:val="460"/>
        </w:numPr>
        <w:rPr>
          <w:rFonts w:ascii="Arial" w:cs="Arial" w:eastAsia="Arial" w:hAnsi="Arial"/>
          <w:sz w:val="21"/>
          <w:szCs w:val="21"/>
          <w:color w:val="auto"/>
        </w:rPr>
      </w:pPr>
      <w:r>
        <w:rPr>
          <w:rFonts w:ascii="Arial" w:cs="Arial" w:eastAsia="Arial" w:hAnsi="Arial"/>
          <w:sz w:val="16"/>
          <w:szCs w:val="16"/>
          <w:color w:val="42423F"/>
        </w:rPr>
        <w:t>the loan application fees for reapplying for loan(s) due to the re</w:t>
      </w:r>
      <w:r>
        <w:rPr>
          <w:rFonts w:ascii="Arial" w:cs="Arial" w:eastAsia="Arial" w:hAnsi="Arial"/>
          <w:sz w:val="16"/>
          <w:szCs w:val="16"/>
          <w:color w:val="5B5B59"/>
        </w:rPr>
        <w:t>j</w:t>
      </w:r>
      <w:r>
        <w:rPr>
          <w:rFonts w:ascii="Arial" w:cs="Arial" w:eastAsia="Arial" w:hAnsi="Arial"/>
          <w:sz w:val="16"/>
          <w:szCs w:val="16"/>
          <w:color w:val="42423F"/>
        </w:rPr>
        <w:t>ection of the original application because the lender received incorrect credit information;</w:t>
      </w:r>
    </w:p>
    <w:p>
      <w:pPr>
        <w:spacing w:after="0" w:line="10" w:lineRule="exact"/>
        <w:rPr>
          <w:rFonts w:ascii="Arial" w:cs="Arial" w:eastAsia="Arial" w:hAnsi="Arial"/>
          <w:sz w:val="21"/>
          <w:szCs w:val="21"/>
          <w:color w:val="auto"/>
        </w:rPr>
      </w:pPr>
    </w:p>
    <w:p>
      <w:pPr>
        <w:ind w:left="340" w:hanging="251"/>
        <w:spacing w:after="0" w:line="229" w:lineRule="auto"/>
        <w:tabs>
          <w:tab w:leader="none" w:pos="340" w:val="left"/>
        </w:tabs>
        <w:numPr>
          <w:ilvl w:val="0"/>
          <w:numId w:val="460"/>
        </w:numPr>
        <w:rPr>
          <w:rFonts w:ascii="Arial" w:cs="Arial" w:eastAsia="Arial" w:hAnsi="Arial"/>
          <w:sz w:val="16"/>
          <w:szCs w:val="16"/>
          <w:color w:val="42423F"/>
        </w:rPr>
      </w:pPr>
      <w:r>
        <w:rPr>
          <w:rFonts w:ascii="Arial" w:cs="Arial" w:eastAsia="Arial" w:hAnsi="Arial"/>
          <w:sz w:val="16"/>
          <w:szCs w:val="16"/>
          <w:color w:val="42423F"/>
        </w:rPr>
        <w:t>the telephone expenses for calls to businesses</w:t>
      </w:r>
      <w:r>
        <w:rPr>
          <w:rFonts w:ascii="Arial" w:cs="Arial" w:eastAsia="Arial" w:hAnsi="Arial"/>
          <w:sz w:val="16"/>
          <w:szCs w:val="16"/>
          <w:color w:val="5B5B59"/>
        </w:rPr>
        <w:t>,</w:t>
      </w:r>
      <w:r>
        <w:rPr>
          <w:rFonts w:ascii="Arial" w:cs="Arial" w:eastAsia="Arial" w:hAnsi="Arial"/>
          <w:sz w:val="16"/>
          <w:szCs w:val="16"/>
          <w:color w:val="42423F"/>
        </w:rPr>
        <w:t xml:space="preserve"> law enforcement agencies, financial institutions or similar credit grantors</w:t>
      </w:r>
      <w:r>
        <w:rPr>
          <w:rFonts w:ascii="Arial" w:cs="Arial" w:eastAsia="Arial" w:hAnsi="Arial"/>
          <w:sz w:val="16"/>
          <w:szCs w:val="16"/>
          <w:color w:val="5B5B59"/>
        </w:rPr>
        <w:t>,</w:t>
      </w:r>
    </w:p>
    <w:p>
      <w:pPr>
        <w:ind w:left="80"/>
        <w:spacing w:after="0" w:line="222" w:lineRule="auto"/>
        <w:rPr>
          <w:sz w:val="20"/>
          <w:szCs w:val="20"/>
          <w:color w:val="auto"/>
        </w:rPr>
      </w:pPr>
      <w:r>
        <w:rPr>
          <w:rFonts w:ascii="Arial" w:cs="Arial" w:eastAsia="Arial" w:hAnsi="Arial"/>
          <w:sz w:val="16"/>
          <w:szCs w:val="16"/>
          <w:color w:val="42423F"/>
        </w:rPr>
        <w:t>and credit agencies</w:t>
      </w:r>
      <w:r>
        <w:rPr>
          <w:rFonts w:ascii="Arial" w:cs="Arial" w:eastAsia="Arial" w:hAnsi="Arial"/>
          <w:sz w:val="16"/>
          <w:szCs w:val="16"/>
          <w:color w:val="5B5B59"/>
        </w:rPr>
        <w:t>;</w:t>
      </w:r>
    </w:p>
    <w:p>
      <w:pPr>
        <w:spacing w:after="0" w:line="5" w:lineRule="exact"/>
        <w:rPr>
          <w:sz w:val="20"/>
          <w:szCs w:val="20"/>
          <w:color w:val="auto"/>
        </w:rPr>
      </w:pPr>
    </w:p>
    <w:p>
      <w:pPr>
        <w:ind w:left="340" w:right="20" w:hanging="251"/>
        <w:spacing w:after="0" w:line="237" w:lineRule="auto"/>
        <w:tabs>
          <w:tab w:leader="none" w:pos="340" w:val="left"/>
        </w:tabs>
        <w:numPr>
          <w:ilvl w:val="0"/>
          <w:numId w:val="461"/>
        </w:numPr>
        <w:rPr>
          <w:rFonts w:ascii="Arial" w:cs="Arial" w:eastAsia="Arial" w:hAnsi="Arial"/>
          <w:sz w:val="20"/>
          <w:szCs w:val="20"/>
          <w:color w:val="auto"/>
        </w:rPr>
      </w:pPr>
      <w:r>
        <w:rPr>
          <w:rFonts w:ascii="Arial" w:cs="Arial" w:eastAsia="Arial" w:hAnsi="Arial"/>
          <w:sz w:val="16"/>
          <w:szCs w:val="16"/>
          <w:color w:val="42423F"/>
        </w:rPr>
        <w:t>earnings lost by you or a family member as a result of time off from work to complete fraud affidavits, meet with law enforcement agencies, credit agencies, merchants, or legal counsel;</w:t>
      </w:r>
    </w:p>
    <w:p>
      <w:pPr>
        <w:ind w:left="340" w:hanging="251"/>
        <w:spacing w:after="0" w:line="211" w:lineRule="auto"/>
        <w:tabs>
          <w:tab w:leader="none" w:pos="340" w:val="left"/>
        </w:tabs>
        <w:numPr>
          <w:ilvl w:val="0"/>
          <w:numId w:val="461"/>
        </w:numPr>
        <w:rPr>
          <w:rFonts w:ascii="Arial" w:cs="Arial" w:eastAsia="Arial" w:hAnsi="Arial"/>
          <w:sz w:val="20"/>
          <w:szCs w:val="20"/>
          <w:color w:val="auto"/>
        </w:rPr>
      </w:pPr>
      <w:r>
        <w:rPr>
          <w:rFonts w:ascii="Arial" w:cs="Arial" w:eastAsia="Arial" w:hAnsi="Arial"/>
          <w:sz w:val="16"/>
          <w:szCs w:val="16"/>
          <w:color w:val="42423F"/>
        </w:rPr>
        <w:t xml:space="preserve">the reasonable attorney fees incurred with prior notice to </w:t>
      </w:r>
      <w:r>
        <w:rPr>
          <w:rFonts w:ascii="Arial" w:cs="Arial" w:eastAsia="Arial" w:hAnsi="Arial"/>
          <w:sz w:val="16"/>
          <w:szCs w:val="16"/>
          <w:color w:val="31312F"/>
        </w:rPr>
        <w:t>us</w:t>
      </w:r>
      <w:r>
        <w:rPr>
          <w:rFonts w:ascii="Arial" w:cs="Arial" w:eastAsia="Arial" w:hAnsi="Arial"/>
          <w:sz w:val="16"/>
          <w:szCs w:val="16"/>
          <w:color w:val="42423F"/>
        </w:rPr>
        <w:t xml:space="preserve"> for:</w:t>
      </w:r>
    </w:p>
    <w:p>
      <w:pPr>
        <w:spacing w:after="0" w:line="10" w:lineRule="exact"/>
        <w:rPr>
          <w:rFonts w:ascii="Arial" w:cs="Arial" w:eastAsia="Arial" w:hAnsi="Arial"/>
          <w:sz w:val="20"/>
          <w:szCs w:val="20"/>
          <w:color w:val="auto"/>
        </w:rPr>
      </w:pPr>
    </w:p>
    <w:p>
      <w:pPr>
        <w:ind w:left="340" w:hanging="251"/>
        <w:spacing w:after="0" w:line="191" w:lineRule="auto"/>
        <w:tabs>
          <w:tab w:leader="none" w:pos="340" w:val="left"/>
        </w:tabs>
        <w:numPr>
          <w:ilvl w:val="0"/>
          <w:numId w:val="461"/>
        </w:numPr>
        <w:rPr>
          <w:rFonts w:ascii="Arial" w:cs="Arial" w:eastAsia="Arial" w:hAnsi="Arial"/>
          <w:sz w:val="21"/>
          <w:szCs w:val="21"/>
          <w:color w:val="auto"/>
        </w:rPr>
      </w:pPr>
      <w:r>
        <w:rPr>
          <w:rFonts w:ascii="Arial" w:cs="Arial" w:eastAsia="Arial" w:hAnsi="Arial"/>
          <w:sz w:val="16"/>
          <w:szCs w:val="16"/>
          <w:color w:val="42423F"/>
        </w:rPr>
        <w:t xml:space="preserve">the defense of you or a </w:t>
      </w:r>
      <w:r>
        <w:rPr>
          <w:rFonts w:ascii="Arial" w:cs="Arial" w:eastAsia="Arial" w:hAnsi="Arial"/>
          <w:sz w:val="16"/>
          <w:szCs w:val="16"/>
          <w:color w:val="31312F"/>
        </w:rPr>
        <w:t>family</w:t>
      </w:r>
      <w:r>
        <w:rPr>
          <w:rFonts w:ascii="Arial" w:cs="Arial" w:eastAsia="Arial" w:hAnsi="Arial"/>
          <w:sz w:val="16"/>
          <w:szCs w:val="16"/>
          <w:color w:val="42423F"/>
        </w:rPr>
        <w:t xml:space="preserve"> member </w:t>
      </w:r>
      <w:r>
        <w:rPr>
          <w:rFonts w:ascii="Arial" w:cs="Arial" w:eastAsia="Arial" w:hAnsi="Arial"/>
          <w:sz w:val="16"/>
          <w:szCs w:val="16"/>
          <w:color w:val="31312F"/>
        </w:rPr>
        <w:t>against</w:t>
      </w:r>
      <w:r>
        <w:rPr>
          <w:rFonts w:ascii="Arial" w:cs="Arial" w:eastAsia="Arial" w:hAnsi="Arial"/>
          <w:sz w:val="16"/>
          <w:szCs w:val="16"/>
          <w:color w:val="42423F"/>
        </w:rPr>
        <w:t xml:space="preserve"> any suit(s) by busine</w:t>
      </w:r>
      <w:r>
        <w:rPr>
          <w:rFonts w:ascii="Arial" w:cs="Arial" w:eastAsia="Arial" w:hAnsi="Arial"/>
          <w:sz w:val="16"/>
          <w:szCs w:val="16"/>
          <w:color w:val="5B5B59"/>
        </w:rPr>
        <w:t>s</w:t>
      </w:r>
      <w:r>
        <w:rPr>
          <w:rFonts w:ascii="Arial" w:cs="Arial" w:eastAsia="Arial" w:hAnsi="Arial"/>
          <w:sz w:val="16"/>
          <w:szCs w:val="16"/>
          <w:color w:val="42423F"/>
        </w:rPr>
        <w:t>ses or their collection agencies;</w:t>
      </w:r>
    </w:p>
    <w:p>
      <w:pPr>
        <w:spacing w:after="0" w:line="23" w:lineRule="exact"/>
        <w:rPr>
          <w:rFonts w:ascii="Arial" w:cs="Arial" w:eastAsia="Arial" w:hAnsi="Arial"/>
          <w:sz w:val="21"/>
          <w:szCs w:val="21"/>
          <w:color w:val="auto"/>
        </w:rPr>
      </w:pPr>
    </w:p>
    <w:p>
      <w:pPr>
        <w:ind w:left="340" w:hanging="251"/>
        <w:spacing w:after="0" w:line="187" w:lineRule="auto"/>
        <w:tabs>
          <w:tab w:leader="none" w:pos="340" w:val="left"/>
        </w:tabs>
        <w:numPr>
          <w:ilvl w:val="0"/>
          <w:numId w:val="461"/>
        </w:numPr>
        <w:rPr>
          <w:rFonts w:ascii="Arial" w:cs="Arial" w:eastAsia="Arial" w:hAnsi="Arial"/>
          <w:sz w:val="21"/>
          <w:szCs w:val="21"/>
          <w:color w:val="auto"/>
        </w:rPr>
      </w:pPr>
      <w:r>
        <w:rPr>
          <w:rFonts w:ascii="Arial" w:cs="Arial" w:eastAsia="Arial" w:hAnsi="Arial"/>
          <w:sz w:val="16"/>
          <w:szCs w:val="16"/>
          <w:color w:val="42423F"/>
        </w:rPr>
        <w:t>the removal of any criminal or civil judgements wrongly entered against you or a family member;</w:t>
      </w:r>
    </w:p>
    <w:p>
      <w:pPr>
        <w:ind w:left="340" w:hanging="251"/>
        <w:spacing w:after="0"/>
        <w:tabs>
          <w:tab w:leader="none" w:pos="340" w:val="left"/>
        </w:tabs>
        <w:numPr>
          <w:ilvl w:val="0"/>
          <w:numId w:val="461"/>
        </w:numPr>
        <w:rPr>
          <w:rFonts w:ascii="Arial" w:cs="Arial" w:eastAsia="Arial" w:hAnsi="Arial"/>
          <w:sz w:val="16"/>
          <w:szCs w:val="16"/>
          <w:color w:val="42423F"/>
        </w:rPr>
      </w:pPr>
      <w:r>
        <w:rPr>
          <w:rFonts w:ascii="Arial" w:cs="Arial" w:eastAsia="Arial" w:hAnsi="Arial"/>
          <w:sz w:val="16"/>
          <w:szCs w:val="16"/>
          <w:color w:val="42423F"/>
        </w:rPr>
        <w:t>any challenge to the information in your or a family member</w:t>
      </w:r>
      <w:r>
        <w:rPr>
          <w:rFonts w:ascii="Arial" w:cs="Arial" w:eastAsia="Arial" w:hAnsi="Arial"/>
          <w:sz w:val="16"/>
          <w:szCs w:val="16"/>
          <w:color w:val="6B6B69"/>
        </w:rPr>
        <w:t>'</w:t>
      </w:r>
      <w:r>
        <w:rPr>
          <w:rFonts w:ascii="Arial" w:cs="Arial" w:eastAsia="Arial" w:hAnsi="Arial"/>
          <w:sz w:val="16"/>
          <w:szCs w:val="16"/>
          <w:color w:val="42423F"/>
        </w:rPr>
        <w:t xml:space="preserve"> s consumer credit report; and</w:t>
      </w:r>
    </w:p>
    <w:p>
      <w:pPr>
        <w:spacing w:after="0" w:line="5" w:lineRule="exact"/>
        <w:rPr>
          <w:rFonts w:ascii="Arial" w:cs="Arial" w:eastAsia="Arial" w:hAnsi="Arial"/>
          <w:sz w:val="16"/>
          <w:szCs w:val="16"/>
          <w:color w:val="42423F"/>
        </w:rPr>
      </w:pPr>
    </w:p>
    <w:p>
      <w:pPr>
        <w:ind w:left="340" w:hanging="251"/>
        <w:spacing w:after="0" w:line="200" w:lineRule="auto"/>
        <w:tabs>
          <w:tab w:leader="none" w:pos="340" w:val="left"/>
        </w:tabs>
        <w:numPr>
          <w:ilvl w:val="0"/>
          <w:numId w:val="461"/>
        </w:numPr>
        <w:rPr>
          <w:rFonts w:ascii="Arial" w:cs="Arial" w:eastAsia="Arial" w:hAnsi="Arial"/>
          <w:sz w:val="20"/>
          <w:szCs w:val="20"/>
          <w:color w:val="auto"/>
        </w:rPr>
      </w:pPr>
      <w:r>
        <w:rPr>
          <w:rFonts w:ascii="Arial" w:cs="Arial" w:eastAsia="Arial" w:hAnsi="Arial"/>
          <w:sz w:val="16"/>
          <w:szCs w:val="16"/>
          <w:color w:val="31312F"/>
        </w:rPr>
        <w:t xml:space="preserve">the </w:t>
      </w:r>
      <w:r>
        <w:rPr>
          <w:rFonts w:ascii="Arial" w:cs="Arial" w:eastAsia="Arial" w:hAnsi="Arial"/>
          <w:sz w:val="16"/>
          <w:szCs w:val="16"/>
          <w:color w:val="42423F"/>
        </w:rPr>
        <w:t>reasonable</w:t>
      </w:r>
      <w:r>
        <w:rPr>
          <w:rFonts w:ascii="Arial" w:cs="Arial" w:eastAsia="Arial" w:hAnsi="Arial"/>
          <w:sz w:val="16"/>
          <w:szCs w:val="16"/>
          <w:color w:val="31312F"/>
        </w:rPr>
        <w:t xml:space="preserve"> fees </w:t>
      </w:r>
      <w:r>
        <w:rPr>
          <w:rFonts w:ascii="Arial" w:cs="Arial" w:eastAsia="Arial" w:hAnsi="Arial"/>
          <w:sz w:val="16"/>
          <w:szCs w:val="16"/>
          <w:color w:val="42423F"/>
        </w:rPr>
        <w:t>incurred with prior notice to us by an identity fraud mitigation entity to</w:t>
      </w:r>
      <w:r>
        <w:rPr>
          <w:rFonts w:ascii="Arial" w:cs="Arial" w:eastAsia="Arial" w:hAnsi="Arial"/>
          <w:sz w:val="16"/>
          <w:szCs w:val="16"/>
          <w:color w:val="6B6B69"/>
        </w:rPr>
        <w:t>:</w:t>
      </w:r>
    </w:p>
    <w:p>
      <w:pPr>
        <w:spacing w:after="0" w:line="10" w:lineRule="exact"/>
        <w:rPr>
          <w:rFonts w:ascii="Arial" w:cs="Arial" w:eastAsia="Arial" w:hAnsi="Arial"/>
          <w:sz w:val="20"/>
          <w:szCs w:val="20"/>
          <w:color w:val="auto"/>
        </w:rPr>
      </w:pPr>
    </w:p>
    <w:p>
      <w:pPr>
        <w:ind w:left="340" w:hanging="251"/>
        <w:spacing w:after="0" w:line="200" w:lineRule="auto"/>
        <w:tabs>
          <w:tab w:leader="none" w:pos="340" w:val="left"/>
        </w:tabs>
        <w:numPr>
          <w:ilvl w:val="0"/>
          <w:numId w:val="461"/>
        </w:numPr>
        <w:rPr>
          <w:rFonts w:ascii="Arial" w:cs="Arial" w:eastAsia="Arial" w:hAnsi="Arial"/>
          <w:sz w:val="20"/>
          <w:szCs w:val="20"/>
          <w:color w:val="auto"/>
        </w:rPr>
      </w:pPr>
      <w:r>
        <w:rPr>
          <w:rFonts w:ascii="Arial" w:cs="Arial" w:eastAsia="Arial" w:hAnsi="Arial"/>
          <w:sz w:val="16"/>
          <w:szCs w:val="16"/>
          <w:color w:val="42423F"/>
        </w:rPr>
        <w:t>provide services for the activities described above;</w:t>
      </w:r>
    </w:p>
    <w:p>
      <w:pPr>
        <w:spacing w:after="0" w:line="10" w:lineRule="exact"/>
        <w:rPr>
          <w:rFonts w:ascii="Arial" w:cs="Arial" w:eastAsia="Arial" w:hAnsi="Arial"/>
          <w:sz w:val="20"/>
          <w:szCs w:val="20"/>
          <w:color w:val="auto"/>
        </w:rPr>
      </w:pPr>
    </w:p>
    <w:p>
      <w:pPr>
        <w:ind w:left="340" w:hanging="251"/>
        <w:spacing w:after="0" w:line="191" w:lineRule="auto"/>
        <w:tabs>
          <w:tab w:leader="none" w:pos="340" w:val="left"/>
        </w:tabs>
        <w:numPr>
          <w:ilvl w:val="0"/>
          <w:numId w:val="461"/>
        </w:numPr>
        <w:rPr>
          <w:rFonts w:ascii="Arial" w:cs="Arial" w:eastAsia="Arial" w:hAnsi="Arial"/>
          <w:sz w:val="21"/>
          <w:szCs w:val="21"/>
          <w:color w:val="auto"/>
        </w:rPr>
      </w:pPr>
      <w:r>
        <w:rPr>
          <w:rFonts w:ascii="Arial" w:cs="Arial" w:eastAsia="Arial" w:hAnsi="Arial"/>
          <w:sz w:val="16"/>
          <w:szCs w:val="16"/>
          <w:color w:val="42423F"/>
        </w:rPr>
        <w:t>restore accounts or credit standing with financial institutions or similar credit grantors and credit agencies; and</w:t>
      </w:r>
    </w:p>
    <w:p>
      <w:pPr>
        <w:spacing w:after="0" w:line="23" w:lineRule="exact"/>
        <w:rPr>
          <w:rFonts w:ascii="Arial" w:cs="Arial" w:eastAsia="Arial" w:hAnsi="Arial"/>
          <w:sz w:val="21"/>
          <w:szCs w:val="21"/>
          <w:color w:val="auto"/>
        </w:rPr>
      </w:pPr>
    </w:p>
    <w:p>
      <w:pPr>
        <w:ind w:left="340" w:hanging="251"/>
        <w:spacing w:after="0" w:line="200" w:lineRule="auto"/>
        <w:tabs>
          <w:tab w:leader="none" w:pos="340" w:val="left"/>
        </w:tabs>
        <w:numPr>
          <w:ilvl w:val="0"/>
          <w:numId w:val="461"/>
        </w:numPr>
        <w:rPr>
          <w:rFonts w:ascii="Arial" w:cs="Arial" w:eastAsia="Arial" w:hAnsi="Arial"/>
          <w:sz w:val="20"/>
          <w:szCs w:val="20"/>
          <w:color w:val="auto"/>
        </w:rPr>
      </w:pPr>
      <w:r>
        <w:rPr>
          <w:rFonts w:ascii="Arial" w:cs="Arial" w:eastAsia="Arial" w:hAnsi="Arial"/>
          <w:sz w:val="16"/>
          <w:szCs w:val="16"/>
          <w:color w:val="42423F"/>
        </w:rPr>
        <w:t xml:space="preserve">monitor for </w:t>
      </w:r>
      <w:r>
        <w:rPr>
          <w:rFonts w:ascii="Arial" w:cs="Arial" w:eastAsia="Arial" w:hAnsi="Arial"/>
          <w:sz w:val="16"/>
          <w:szCs w:val="16"/>
          <w:color w:val="31312F"/>
        </w:rPr>
        <w:t>up</w:t>
      </w:r>
      <w:r>
        <w:rPr>
          <w:rFonts w:ascii="Arial" w:cs="Arial" w:eastAsia="Arial" w:hAnsi="Arial"/>
          <w:sz w:val="16"/>
          <w:szCs w:val="16"/>
          <w:color w:val="42423F"/>
        </w:rPr>
        <w:t xml:space="preserve"> to one </w:t>
      </w:r>
      <w:r>
        <w:rPr>
          <w:rFonts w:ascii="Arial" w:cs="Arial" w:eastAsia="Arial" w:hAnsi="Arial"/>
          <w:sz w:val="16"/>
          <w:szCs w:val="16"/>
          <w:color w:val="31312F"/>
        </w:rPr>
        <w:t>year the</w:t>
      </w:r>
      <w:r>
        <w:rPr>
          <w:rFonts w:ascii="Arial" w:cs="Arial" w:eastAsia="Arial" w:hAnsi="Arial"/>
          <w:sz w:val="16"/>
          <w:szCs w:val="16"/>
          <w:color w:val="42423F"/>
        </w:rPr>
        <w:t xml:space="preserve"> effectiveness of the fraud mitigation and to detect additional </w:t>
      </w:r>
      <w:r>
        <w:rPr>
          <w:rFonts w:ascii="Arial" w:cs="Arial" w:eastAsia="Arial" w:hAnsi="Arial"/>
          <w:sz w:val="16"/>
          <w:szCs w:val="16"/>
          <w:color w:val="31312F"/>
        </w:rPr>
        <w:t>identity</w:t>
      </w:r>
      <w:r>
        <w:rPr>
          <w:rFonts w:ascii="Arial" w:cs="Arial" w:eastAsia="Arial" w:hAnsi="Arial"/>
          <w:sz w:val="16"/>
          <w:szCs w:val="16"/>
          <w:color w:val="42423F"/>
        </w:rPr>
        <w:t xml:space="preserve"> fraud activity after the first identify fraud occurrence.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However, such monitoring must begin no </w:t>
      </w:r>
      <w:r>
        <w:rPr>
          <w:rFonts w:ascii="Arial" w:cs="Arial" w:eastAsia="Arial" w:hAnsi="Arial"/>
          <w:sz w:val="16"/>
          <w:szCs w:val="16"/>
          <w:color w:val="31312F"/>
        </w:rPr>
        <w:t>later</w:t>
      </w:r>
      <w:r>
        <w:rPr>
          <w:rFonts w:ascii="Arial" w:cs="Arial" w:eastAsia="Arial" w:hAnsi="Arial"/>
          <w:sz w:val="16"/>
          <w:szCs w:val="16"/>
          <w:color w:val="42423F"/>
        </w:rPr>
        <w:t xml:space="preserve"> than one year after you or a family member first report an identity fraud occurrence to </w:t>
      </w:r>
      <w:r>
        <w:rPr>
          <w:rFonts w:ascii="Arial" w:cs="Arial" w:eastAsia="Arial" w:hAnsi="Arial"/>
          <w:sz w:val="16"/>
          <w:szCs w:val="16"/>
          <w:color w:val="31312F"/>
        </w:rPr>
        <w:t>us</w:t>
      </w:r>
      <w:r>
        <w:rPr>
          <w:rFonts w:ascii="Arial" w:cs="Arial" w:eastAsia="Arial" w:hAnsi="Arial"/>
          <w:sz w:val="16"/>
          <w:szCs w:val="16"/>
          <w:color w:val="5B5B59"/>
        </w:rPr>
        <w:t>.</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6"/>
          <w:szCs w:val="16"/>
          <w:color w:val="42423F"/>
        </w:rPr>
        <w:t>However</w:t>
      </w:r>
      <w:r>
        <w:rPr>
          <w:rFonts w:ascii="Arial" w:cs="Arial" w:eastAsia="Arial" w:hAnsi="Arial"/>
          <w:sz w:val="16"/>
          <w:szCs w:val="16"/>
          <w:color w:val="5B5B59"/>
        </w:rPr>
        <w:t>,</w:t>
      </w:r>
      <w:r>
        <w:rPr>
          <w:rFonts w:ascii="Arial" w:cs="Arial" w:eastAsia="Arial" w:hAnsi="Arial"/>
          <w:sz w:val="16"/>
          <w:szCs w:val="16"/>
          <w:color w:val="42423F"/>
        </w:rPr>
        <w:t xml:space="preserve">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59"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5B5B59"/>
        </w:rPr>
        <w:t>"</w:t>
      </w:r>
      <w:r>
        <w:rPr>
          <w:rFonts w:ascii="Arial" w:cs="Arial" w:eastAsia="Arial" w:hAnsi="Arial"/>
          <w:sz w:val="16"/>
          <w:szCs w:val="16"/>
          <w:color w:val="42423F"/>
        </w:rPr>
        <w:t>Identity fraud mitigation entity</w:t>
      </w:r>
      <w:r>
        <w:rPr>
          <w:rFonts w:ascii="Arial" w:cs="Arial" w:eastAsia="Arial" w:hAnsi="Arial"/>
          <w:sz w:val="16"/>
          <w:szCs w:val="16"/>
          <w:color w:val="5B5B59"/>
        </w:rPr>
        <w:t xml:space="preserve">" </w:t>
      </w:r>
      <w:r>
        <w:rPr>
          <w:rFonts w:ascii="Arial" w:cs="Arial" w:eastAsia="Arial" w:hAnsi="Arial"/>
          <w:sz w:val="16"/>
          <w:szCs w:val="16"/>
          <w:color w:val="42423F"/>
        </w:rPr>
        <w:t>means a company that principally provides professional, specialized services to counter identity fraud for individuals or groups of</w:t>
      </w:r>
      <w:r>
        <w:rPr>
          <w:rFonts w:ascii="Arial" w:cs="Arial" w:eastAsia="Arial" w:hAnsi="Arial"/>
          <w:sz w:val="16"/>
          <w:szCs w:val="16"/>
          <w:color w:val="5B5B59"/>
        </w:rPr>
        <w:t xml:space="preserve"> </w:t>
      </w:r>
      <w:r>
        <w:rPr>
          <w:rFonts w:ascii="Arial" w:cs="Arial" w:eastAsia="Arial" w:hAnsi="Arial"/>
          <w:sz w:val="16"/>
          <w:szCs w:val="16"/>
          <w:color w:val="42423F"/>
        </w:rPr>
        <w:t>individuals, or a financial institution that provides similar services.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42423F"/>
        </w:rPr>
        <w:t xml:space="preserve">In </w:t>
      </w:r>
      <w:r>
        <w:rPr>
          <w:rFonts w:ascii="Arial" w:cs="Arial" w:eastAsia="Arial" w:hAnsi="Arial"/>
          <w:sz w:val="16"/>
          <w:szCs w:val="16"/>
          <w:color w:val="42423F"/>
        </w:rPr>
        <w:t>addition to the duties described in Policy T</w:t>
      </w:r>
      <w:r>
        <w:rPr>
          <w:rFonts w:ascii="Arial" w:cs="Arial" w:eastAsia="Arial" w:hAnsi="Arial"/>
          <w:sz w:val="16"/>
          <w:szCs w:val="16"/>
          <w:color w:val="5B5B59"/>
        </w:rPr>
        <w:t>e</w:t>
      </w:r>
      <w:r>
        <w:rPr>
          <w:rFonts w:ascii="Arial" w:cs="Arial" w:eastAsia="Arial" w:hAnsi="Arial"/>
          <w:sz w:val="16"/>
          <w:szCs w:val="16"/>
          <w:color w:val="42423F"/>
        </w:rPr>
        <w:t>rms, Liability Conditions, Your duties after a loss, you shall notify an applicable law enforcement agency.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Kidnap </w:t>
      </w:r>
      <w:r>
        <w:rPr>
          <w:rFonts w:ascii="Arial" w:cs="Arial" w:eastAsia="Arial" w:hAnsi="Arial"/>
          <w:sz w:val="15"/>
          <w:szCs w:val="15"/>
          <w:b w:val="1"/>
          <w:bCs w:val="1"/>
          <w:color w:val="42423F"/>
        </w:rPr>
        <w:t>expenses</w:t>
      </w:r>
    </w:p>
    <w:p>
      <w:pPr>
        <w:spacing w:after="0" w:line="26" w:lineRule="exact"/>
        <w:rPr>
          <w:sz w:val="20"/>
          <w:szCs w:val="20"/>
          <w:color w:val="auto"/>
        </w:rPr>
      </w:pPr>
    </w:p>
    <w:p>
      <w:pPr>
        <w:jc w:val="both"/>
        <w:ind w:left="120"/>
        <w:spacing w:after="0" w:line="245" w:lineRule="auto"/>
        <w:rPr>
          <w:sz w:val="20"/>
          <w:szCs w:val="20"/>
          <w:color w:val="auto"/>
        </w:rPr>
      </w:pPr>
      <w:r>
        <w:rPr>
          <w:rFonts w:ascii="Arial" w:cs="Arial" w:eastAsia="Arial" w:hAnsi="Arial"/>
          <w:sz w:val="16"/>
          <w:szCs w:val="16"/>
          <w:color w:val="42423F"/>
        </w:rPr>
        <w:t xml:space="preserve">We will pay up to a maximum of $100,000 for kidnap expenses you or a family member incurs solely and directly as a </w:t>
      </w:r>
      <w:r>
        <w:rPr>
          <w:rFonts w:ascii="Arial" w:cs="Arial" w:eastAsia="Arial" w:hAnsi="Arial"/>
          <w:sz w:val="16"/>
          <w:szCs w:val="16"/>
          <w:color w:val="31312F"/>
        </w:rPr>
        <w:t>result</w:t>
      </w:r>
      <w:r>
        <w:rPr>
          <w:rFonts w:ascii="Arial" w:cs="Arial" w:eastAsia="Arial" w:hAnsi="Arial"/>
          <w:sz w:val="16"/>
          <w:szCs w:val="16"/>
          <w:color w:val="42423F"/>
        </w:rPr>
        <w:t xml:space="preserve"> of a kidnap and ransom occurrence. In addition, we also will pay up </w:t>
      </w:r>
      <w:r>
        <w:rPr>
          <w:rFonts w:ascii="Arial" w:cs="Arial" w:eastAsia="Arial" w:hAnsi="Arial"/>
          <w:sz w:val="16"/>
          <w:szCs w:val="16"/>
          <w:color w:val="31312F"/>
        </w:rPr>
        <w:t>to</w:t>
      </w:r>
      <w:r>
        <w:rPr>
          <w:rFonts w:ascii="Arial" w:cs="Arial" w:eastAsia="Arial" w:hAnsi="Arial"/>
          <w:sz w:val="16"/>
          <w:szCs w:val="16"/>
          <w:color w:val="42423F"/>
        </w:rPr>
        <w:t xml:space="preserve"> $25,000 to any person for information not otherwise available leading to the arrest and conviction of any person(s) who kidnaps you, a family member or a covered relative. The following are not eligible to receive this reward payment:</w:t>
      </w:r>
    </w:p>
    <w:p>
      <w:pPr>
        <w:ind w:left="420" w:hanging="290"/>
        <w:spacing w:after="0" w:line="229" w:lineRule="auto"/>
        <w:tabs>
          <w:tab w:leader="none" w:pos="420" w:val="left"/>
        </w:tabs>
        <w:numPr>
          <w:ilvl w:val="1"/>
          <w:numId w:val="462"/>
        </w:numPr>
        <w:rPr>
          <w:rFonts w:ascii="Arial" w:cs="Arial" w:eastAsia="Arial" w:hAnsi="Arial"/>
          <w:sz w:val="16"/>
          <w:szCs w:val="16"/>
          <w:color w:val="auto"/>
        </w:rPr>
      </w:pPr>
      <w:r>
        <w:rPr>
          <w:rFonts w:ascii="Arial" w:cs="Arial" w:eastAsia="Arial" w:hAnsi="Arial"/>
          <w:sz w:val="16"/>
          <w:szCs w:val="16"/>
          <w:color w:val="42423F"/>
        </w:rPr>
        <w:t>you or a family member; o</w:t>
      </w:r>
      <w:r>
        <w:rPr>
          <w:rFonts w:ascii="Arial" w:cs="Arial" w:eastAsia="Arial" w:hAnsi="Arial"/>
          <w:sz w:val="16"/>
          <w:szCs w:val="16"/>
          <w:color w:val="5B5B59"/>
        </w:rPr>
        <w:t>r</w:t>
      </w:r>
    </w:p>
    <w:p>
      <w:pPr>
        <w:ind w:left="420" w:hanging="304"/>
        <w:spacing w:after="0"/>
        <w:tabs>
          <w:tab w:leader="none" w:pos="420" w:val="left"/>
        </w:tabs>
        <w:numPr>
          <w:ilvl w:val="0"/>
          <w:numId w:val="462"/>
        </w:numPr>
        <w:rPr>
          <w:rFonts w:ascii="Arial" w:cs="Arial" w:eastAsia="Arial" w:hAnsi="Arial"/>
          <w:sz w:val="16"/>
          <w:szCs w:val="16"/>
          <w:color w:val="auto"/>
        </w:rPr>
      </w:pPr>
      <w:r>
        <w:rPr>
          <w:rFonts w:ascii="Arial" w:cs="Arial" w:eastAsia="Arial" w:hAnsi="Arial"/>
          <w:sz w:val="16"/>
          <w:szCs w:val="16"/>
          <w:color w:val="42423F"/>
        </w:rPr>
        <w:t>a covered relative who witnessed the occurrence</w:t>
      </w:r>
      <w:r>
        <w:rPr>
          <w:rFonts w:ascii="Arial" w:cs="Arial" w:eastAsia="Arial" w:hAnsi="Arial"/>
          <w:sz w:val="16"/>
          <w:szCs w:val="16"/>
          <w:color w:val="6B6B69"/>
        </w:rPr>
        <w:t>.</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"Kidnap and ransom occurrence" means the actual or alleged wrongful taking of:</w:t>
      </w:r>
    </w:p>
    <w:p>
      <w:pPr>
        <w:ind w:left="420" w:hanging="304"/>
        <w:spacing w:after="0" w:line="223" w:lineRule="auto"/>
        <w:tabs>
          <w:tab w:leader="none" w:pos="420" w:val="left"/>
        </w:tabs>
        <w:numPr>
          <w:ilvl w:val="0"/>
          <w:numId w:val="463"/>
        </w:numPr>
        <w:rPr>
          <w:rFonts w:ascii="Arial" w:cs="Arial" w:eastAsia="Arial" w:hAnsi="Arial"/>
          <w:sz w:val="21"/>
          <w:szCs w:val="21"/>
          <w:color w:val="auto"/>
        </w:rPr>
      </w:pPr>
      <w:r>
        <w:rPr>
          <w:rFonts w:ascii="Arial" w:cs="Arial" w:eastAsia="Arial" w:hAnsi="Arial"/>
          <w:sz w:val="16"/>
          <w:szCs w:val="16"/>
          <w:color w:val="42423F"/>
        </w:rPr>
        <w:t>you;</w:t>
      </w:r>
    </w:p>
    <w:p>
      <w:pPr>
        <w:spacing w:after="0" w:line="10" w:lineRule="exact"/>
        <w:rPr>
          <w:rFonts w:ascii="Arial" w:cs="Arial" w:eastAsia="Arial" w:hAnsi="Arial"/>
          <w:sz w:val="21"/>
          <w:szCs w:val="21"/>
          <w:color w:val="auto"/>
        </w:rPr>
      </w:pPr>
    </w:p>
    <w:p>
      <w:pPr>
        <w:ind w:left="420"/>
        <w:spacing w:after="0" w:line="211" w:lineRule="auto"/>
        <w:rPr>
          <w:rFonts w:ascii="Arial" w:cs="Arial" w:eastAsia="Arial" w:hAnsi="Arial"/>
          <w:sz w:val="21"/>
          <w:szCs w:val="21"/>
          <w:color w:val="auto"/>
        </w:rPr>
      </w:pPr>
      <w:r>
        <w:rPr>
          <w:rFonts w:ascii="Arial" w:cs="Arial" w:eastAsia="Arial" w:hAnsi="Arial"/>
          <w:sz w:val="16"/>
          <w:szCs w:val="16"/>
          <w:color w:val="42423F"/>
        </w:rPr>
        <w:t>one or more family members; or</w:t>
      </w:r>
    </w:p>
    <w:p>
      <w:pPr>
        <w:ind w:left="420"/>
        <w:spacing w:after="0" w:line="211" w:lineRule="auto"/>
        <w:rPr>
          <w:rFonts w:ascii="Arial" w:cs="Arial" w:eastAsia="Arial" w:hAnsi="Arial"/>
          <w:sz w:val="21"/>
          <w:szCs w:val="21"/>
          <w:color w:val="auto"/>
        </w:rPr>
      </w:pPr>
      <w:r>
        <w:rPr>
          <w:rFonts w:ascii="Arial" w:cs="Arial" w:eastAsia="Arial" w:hAnsi="Arial"/>
          <w:sz w:val="16"/>
          <w:szCs w:val="16"/>
          <w:color w:val="42423F"/>
        </w:rPr>
        <w:t xml:space="preserve">one or </w:t>
      </w:r>
      <w:r>
        <w:rPr>
          <w:rFonts w:ascii="Arial" w:cs="Arial" w:eastAsia="Arial" w:hAnsi="Arial"/>
          <w:sz w:val="16"/>
          <w:szCs w:val="16"/>
          <w:color w:val="31312F"/>
        </w:rPr>
        <w:t>more</w:t>
      </w:r>
      <w:r>
        <w:rPr>
          <w:rFonts w:ascii="Arial" w:cs="Arial" w:eastAsia="Arial" w:hAnsi="Arial"/>
          <w:sz w:val="16"/>
          <w:szCs w:val="16"/>
          <w:color w:val="42423F"/>
        </w:rPr>
        <w:t xml:space="preserve"> covered </w:t>
      </w:r>
      <w:r>
        <w:rPr>
          <w:rFonts w:ascii="Arial" w:cs="Arial" w:eastAsia="Arial" w:hAnsi="Arial"/>
          <w:sz w:val="16"/>
          <w:szCs w:val="16"/>
          <w:color w:val="31312F"/>
        </w:rPr>
        <w:t>relatives</w:t>
      </w:r>
      <w:r>
        <w:rPr>
          <w:rFonts w:ascii="Arial" w:cs="Arial" w:eastAsia="Arial" w:hAnsi="Arial"/>
          <w:sz w:val="16"/>
          <w:szCs w:val="16"/>
          <w:color w:val="42423F"/>
        </w:rPr>
        <w:t xml:space="preserve"> while visiting or </w:t>
      </w:r>
      <w:r>
        <w:rPr>
          <w:rFonts w:ascii="Arial" w:cs="Arial" w:eastAsia="Arial" w:hAnsi="Arial"/>
          <w:sz w:val="16"/>
          <w:szCs w:val="16"/>
          <w:color w:val="31312F"/>
        </w:rPr>
        <w:t>legally</w:t>
      </w:r>
      <w:r>
        <w:rPr>
          <w:rFonts w:ascii="Arial" w:cs="Arial" w:eastAsia="Arial" w:hAnsi="Arial"/>
          <w:sz w:val="16"/>
          <w:szCs w:val="16"/>
          <w:color w:val="42423F"/>
        </w:rPr>
        <w:t xml:space="preserve"> traveling with you or a family member;</w:t>
      </w:r>
    </w:p>
    <w:p>
      <w:pPr>
        <w:jc w:val="both"/>
        <w:ind w:left="420" w:hanging="290"/>
        <w:spacing w:after="0" w:line="236" w:lineRule="auto"/>
        <w:tabs>
          <w:tab w:leader="none" w:pos="420" w:val="left"/>
        </w:tabs>
        <w:numPr>
          <w:ilvl w:val="0"/>
          <w:numId w:val="463"/>
        </w:numPr>
        <w:rPr>
          <w:rFonts w:ascii="Arial" w:cs="Arial" w:eastAsia="Arial" w:hAnsi="Arial"/>
          <w:sz w:val="16"/>
          <w:szCs w:val="16"/>
          <w:color w:val="42423F"/>
        </w:rPr>
      </w:pPr>
      <w:r>
        <w:rPr>
          <w:rFonts w:ascii="Arial" w:cs="Arial" w:eastAsia="Arial" w:hAnsi="Arial"/>
          <w:sz w:val="16"/>
          <w:szCs w:val="16"/>
          <w:color w:val="42423F"/>
        </w:rPr>
        <w:t xml:space="preserve">from anywhere in the world except those places listed on the United States State Department Bureau of Consular Affairs Travel Warnings list at the time of the occurrence. The occurrence must include a demand for ransom payment which </w:t>
      </w:r>
      <w:r>
        <w:rPr>
          <w:rFonts w:ascii="Arial" w:cs="Arial" w:eastAsia="Arial" w:hAnsi="Arial"/>
          <w:sz w:val="16"/>
          <w:szCs w:val="16"/>
          <w:color w:val="31312F"/>
        </w:rPr>
        <w:t>would</w:t>
      </w:r>
      <w:r>
        <w:rPr>
          <w:rFonts w:ascii="Arial" w:cs="Arial" w:eastAsia="Arial" w:hAnsi="Arial"/>
          <w:sz w:val="16"/>
          <w:szCs w:val="16"/>
          <w:color w:val="42423F"/>
        </w:rPr>
        <w:t xml:space="preserve"> be paid by you or a family member </w:t>
      </w:r>
      <w:r>
        <w:rPr>
          <w:rFonts w:ascii="Arial" w:cs="Arial" w:eastAsia="Arial" w:hAnsi="Arial"/>
          <w:sz w:val="15"/>
          <w:szCs w:val="15"/>
          <w:color w:val="42423F"/>
        </w:rPr>
        <w:t>in</w:t>
      </w:r>
      <w:r>
        <w:rPr>
          <w:rFonts w:ascii="Arial" w:cs="Arial" w:eastAsia="Arial" w:hAnsi="Arial"/>
          <w:sz w:val="16"/>
          <w:szCs w:val="16"/>
          <w:color w:val="42423F"/>
        </w:rPr>
        <w:t xml:space="preserve"> exchange for the release of the kidnapped person(s).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"Kidnap expenses" means the reasonable costs for:</w:t>
      </w: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 xml:space="preserve">a professional </w:t>
      </w:r>
      <w:r>
        <w:rPr>
          <w:rFonts w:ascii="Arial" w:cs="Arial" w:eastAsia="Arial" w:hAnsi="Arial"/>
          <w:sz w:val="16"/>
          <w:szCs w:val="16"/>
          <w:color w:val="31312F"/>
        </w:rPr>
        <w:t>negotiator;</w:t>
      </w:r>
    </w:p>
    <w:p>
      <w:pPr>
        <w:spacing w:after="0" w:line="5"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 xml:space="preserve">a </w:t>
      </w:r>
      <w:r>
        <w:rPr>
          <w:rFonts w:ascii="Arial" w:cs="Arial" w:eastAsia="Arial" w:hAnsi="Arial"/>
          <w:sz w:val="16"/>
          <w:szCs w:val="16"/>
          <w:color w:val="31312F"/>
        </w:rPr>
        <w:t>professional security</w:t>
      </w:r>
      <w:r>
        <w:rPr>
          <w:rFonts w:ascii="Arial" w:cs="Arial" w:eastAsia="Arial" w:hAnsi="Arial"/>
          <w:sz w:val="16"/>
          <w:szCs w:val="16"/>
          <w:color w:val="42423F"/>
        </w:rPr>
        <w:t xml:space="preserve"> consultant;</w:t>
      </w:r>
    </w:p>
    <w:p>
      <w:pPr>
        <w:spacing w:after="0" w:line="5"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31312F"/>
        </w:rPr>
        <w:t xml:space="preserve">professional security </w:t>
      </w:r>
      <w:r>
        <w:rPr>
          <w:rFonts w:ascii="Arial" w:cs="Arial" w:eastAsia="Arial" w:hAnsi="Arial"/>
          <w:sz w:val="16"/>
          <w:szCs w:val="16"/>
          <w:color w:val="42423F"/>
        </w:rPr>
        <w:t>guard services;</w:t>
      </w:r>
    </w:p>
    <w:p>
      <w:pPr>
        <w:spacing w:after="0" w:line="8"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a professional public relations consultant;</w:t>
      </w:r>
    </w:p>
    <w:p>
      <w:pPr>
        <w:spacing w:after="0" w:line="15"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travel</w:t>
      </w:r>
      <w:r>
        <w:rPr>
          <w:rFonts w:ascii="Arial" w:cs="Arial" w:eastAsia="Arial" w:hAnsi="Arial"/>
          <w:sz w:val="16"/>
          <w:szCs w:val="16"/>
          <w:color w:val="5B5B59"/>
        </w:rPr>
        <w:t>,</w:t>
      </w:r>
      <w:r>
        <w:rPr>
          <w:rFonts w:ascii="Arial" w:cs="Arial" w:eastAsia="Arial" w:hAnsi="Arial"/>
          <w:sz w:val="16"/>
          <w:szCs w:val="16"/>
          <w:color w:val="42423F"/>
        </w:rPr>
        <w:t xml:space="preserve"> meals, lodging and phone expenses incurred by you or a family member</w:t>
      </w:r>
      <w:r>
        <w:rPr>
          <w:rFonts w:ascii="Arial" w:cs="Arial" w:eastAsia="Arial" w:hAnsi="Arial"/>
          <w:sz w:val="16"/>
          <w:szCs w:val="16"/>
          <w:color w:val="5B5B59"/>
        </w:rPr>
        <w:t>;</w:t>
      </w:r>
    </w:p>
    <w:p>
      <w:pPr>
        <w:spacing w:after="0" w:line="5" w:lineRule="exact"/>
        <w:rPr>
          <w:rFonts w:ascii="Arial" w:cs="Arial" w:eastAsia="Arial" w:hAnsi="Arial"/>
          <w:sz w:val="16"/>
          <w:szCs w:val="16"/>
          <w:color w:val="auto"/>
        </w:rPr>
      </w:pPr>
    </w:p>
    <w:p>
      <w:pPr>
        <w:ind w:left="440" w:hanging="310"/>
        <w:spacing w:after="0"/>
        <w:tabs>
          <w:tab w:leader="none" w:pos="44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advertising, communications and recording equipment;</w:t>
      </w:r>
    </w:p>
    <w:p>
      <w:pPr>
        <w:spacing w:after="0" w:line="5" w:lineRule="exact"/>
        <w:rPr>
          <w:rFonts w:ascii="Arial" w:cs="Arial" w:eastAsia="Arial" w:hAnsi="Arial"/>
          <w:sz w:val="16"/>
          <w:szCs w:val="16"/>
          <w:color w:val="auto"/>
        </w:rPr>
      </w:pPr>
    </w:p>
    <w:p>
      <w:pPr>
        <w:ind w:left="420" w:hanging="290"/>
        <w:spacing w:after="0" w:line="229" w:lineRule="auto"/>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 xml:space="preserve">related medical, cosmetic, psychiatric </w:t>
      </w:r>
      <w:r>
        <w:rPr>
          <w:rFonts w:ascii="Arial" w:cs="Arial" w:eastAsia="Arial" w:hAnsi="Arial"/>
          <w:sz w:val="16"/>
          <w:szCs w:val="16"/>
          <w:color w:val="31312F"/>
        </w:rPr>
        <w:t>and</w:t>
      </w:r>
      <w:r>
        <w:rPr>
          <w:rFonts w:ascii="Arial" w:cs="Arial" w:eastAsia="Arial" w:hAnsi="Arial"/>
          <w:sz w:val="16"/>
          <w:szCs w:val="16"/>
          <w:color w:val="42423F"/>
        </w:rPr>
        <w:t xml:space="preserve"> dental expenses incurred by a kidnapped person within 12 months from that person</w:t>
      </w:r>
      <w:r>
        <w:rPr>
          <w:rFonts w:ascii="Arial" w:cs="Arial" w:eastAsia="Arial" w:hAnsi="Arial"/>
          <w:sz w:val="16"/>
          <w:szCs w:val="16"/>
          <w:color w:val="6B6B69"/>
        </w:rPr>
        <w:t>'</w:t>
      </w:r>
      <w:r>
        <w:rPr>
          <w:rFonts w:ascii="Arial" w:cs="Arial" w:eastAsia="Arial" w:hAnsi="Arial"/>
          <w:sz w:val="16"/>
          <w:szCs w:val="16"/>
          <w:color w:val="42423F"/>
        </w:rPr>
        <w:t>s release;</w:t>
      </w:r>
    </w:p>
    <w:p>
      <w:pPr>
        <w:ind w:left="440" w:hanging="310"/>
        <w:spacing w:after="0"/>
        <w:tabs>
          <w:tab w:leader="none" w:pos="44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attorney’s fees;</w:t>
      </w:r>
    </w:p>
    <w:p>
      <w:pPr>
        <w:spacing w:after="0" w:line="5"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a professional forensic analyst;</w:t>
      </w:r>
    </w:p>
    <w:p>
      <w:pPr>
        <w:spacing w:after="0" w:line="5" w:lineRule="exact"/>
        <w:rPr>
          <w:rFonts w:ascii="Arial" w:cs="Arial" w:eastAsia="Arial" w:hAnsi="Arial"/>
          <w:sz w:val="16"/>
          <w:szCs w:val="16"/>
          <w:color w:val="auto"/>
        </w:rPr>
      </w:pPr>
    </w:p>
    <w:p>
      <w:pPr>
        <w:ind w:left="420" w:hanging="290"/>
        <w:spacing w:after="0"/>
        <w:tabs>
          <w:tab w:leader="none" w:pos="420" w:val="left"/>
        </w:tabs>
        <w:numPr>
          <w:ilvl w:val="0"/>
          <w:numId w:val="464"/>
        </w:numPr>
        <w:rPr>
          <w:rFonts w:ascii="Arial" w:cs="Arial" w:eastAsia="Arial" w:hAnsi="Arial"/>
          <w:sz w:val="16"/>
          <w:szCs w:val="16"/>
          <w:color w:val="auto"/>
        </w:rPr>
      </w:pPr>
      <w:r>
        <w:rPr>
          <w:rFonts w:ascii="Arial" w:cs="Arial" w:eastAsia="Arial" w:hAnsi="Arial"/>
          <w:sz w:val="16"/>
          <w:szCs w:val="16"/>
          <w:color w:val="42423F"/>
        </w:rPr>
        <w:t>earnings lost by you or a family member, up to $25</w:t>
      </w:r>
      <w:r>
        <w:rPr>
          <w:rFonts w:ascii="Arial" w:cs="Arial" w:eastAsia="Arial" w:hAnsi="Arial"/>
          <w:sz w:val="16"/>
          <w:szCs w:val="16"/>
          <w:color w:val="5B5B59"/>
        </w:rPr>
        <w:t>,</w:t>
      </w:r>
      <w:r>
        <w:rPr>
          <w:rFonts w:ascii="Arial" w:cs="Arial" w:eastAsia="Arial" w:hAnsi="Arial"/>
          <w:sz w:val="16"/>
          <w:szCs w:val="16"/>
          <w:color w:val="42423F"/>
        </w:rPr>
        <w:t>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7 of 15</w:t>
      </w:r>
    </w:p>
    <w:p>
      <w:pPr>
        <w:sectPr>
          <w:pgSz w:w="11900" w:h="16838" w:orient="portrait"/>
          <w:cols w:equalWidth="0" w:num="1">
            <w:col w:w="11420"/>
          </w:cols>
          <w:pgMar w:left="240" w:top="421" w:right="239" w:bottom="1440" w:gutter="0" w:footer="0" w:header="0"/>
        </w:sectPr>
      </w:pPr>
    </w:p>
    <w:bookmarkStart w:id="297" w:name="page298"/>
    <w:bookmarkEnd w:id="297"/>
    <w:p>
      <w:pPr>
        <w:ind w:left="432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252095</wp:posOffset>
            </wp:positionH>
            <wp:positionV relativeFrom="page">
              <wp:posOffset>389255</wp:posOffset>
            </wp:positionV>
            <wp:extent cx="110617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383836"/>
        </w:rPr>
        <w:t>(continued)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383836"/>
        </w:rPr>
        <w:t>However, "kidnap expenses" does not include expenses incurred due to any kidnap and ran m occurrence caused by:</w:t>
      </w:r>
    </w:p>
    <w:p>
      <w:pPr>
        <w:ind w:left="840" w:hanging="292"/>
        <w:spacing w:after="0" w:line="211" w:lineRule="auto"/>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you or a family member;</w:t>
      </w:r>
    </w:p>
    <w:p>
      <w:pPr>
        <w:ind w:left="840" w:hanging="292"/>
        <w:spacing w:after="0" w:line="211" w:lineRule="auto"/>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a covered relative</w:t>
      </w:r>
      <w:r>
        <w:rPr>
          <w:rFonts w:ascii="Arial" w:cs="Arial" w:eastAsia="Arial" w:hAnsi="Arial"/>
          <w:sz w:val="16"/>
          <w:szCs w:val="16"/>
          <w:color w:val="525250"/>
        </w:rPr>
        <w:t>;</w:t>
      </w:r>
    </w:p>
    <w:p>
      <w:pPr>
        <w:ind w:left="840" w:hanging="292"/>
        <w:spacing w:after="0" w:line="229" w:lineRule="auto"/>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any guardian, or former guardian of you, a family member or covered relative;</w:t>
      </w:r>
    </w:p>
    <w:p>
      <w:pPr>
        <w:ind w:left="840" w:hanging="292"/>
        <w:spacing w:after="0"/>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any estranged spouse or domestic partner, or former spouse or domestic partner of you or a family member;</w:t>
      </w:r>
    </w:p>
    <w:p>
      <w:pPr>
        <w:spacing w:after="0" w:line="5" w:lineRule="exact"/>
        <w:rPr>
          <w:rFonts w:ascii="Arial" w:cs="Arial" w:eastAsia="Arial" w:hAnsi="Arial"/>
          <w:sz w:val="16"/>
          <w:szCs w:val="16"/>
          <w:color w:val="383836"/>
        </w:rPr>
      </w:pPr>
    </w:p>
    <w:p>
      <w:pPr>
        <w:ind w:left="840" w:hanging="292"/>
        <w:spacing w:after="0" w:line="255" w:lineRule="auto"/>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any person unrelated to you or a family member who lives with you or a family member or has ever lived with you or a family member for 6 or more months, other than a domestic employee</w:t>
      </w:r>
      <w:r>
        <w:rPr>
          <w:rFonts w:ascii="Arial" w:cs="Arial" w:eastAsia="Arial" w:hAnsi="Arial"/>
          <w:sz w:val="16"/>
          <w:szCs w:val="16"/>
          <w:color w:val="525250"/>
        </w:rPr>
        <w:t>,</w:t>
      </w:r>
      <w:r>
        <w:rPr>
          <w:rFonts w:ascii="Arial" w:cs="Arial" w:eastAsia="Arial" w:hAnsi="Arial"/>
          <w:sz w:val="16"/>
          <w:szCs w:val="16"/>
          <w:color w:val="383836"/>
        </w:rPr>
        <w:t xml:space="preserve"> residential staff, or a person employed by you or a family member for farm work; or</w:t>
      </w:r>
    </w:p>
    <w:p>
      <w:pPr>
        <w:ind w:left="840" w:hanging="292"/>
        <w:spacing w:after="0" w:line="211" w:lineRule="auto"/>
        <w:tabs>
          <w:tab w:leader="none" w:pos="840" w:val="left"/>
        </w:tabs>
        <w:numPr>
          <w:ilvl w:val="0"/>
          <w:numId w:val="465"/>
        </w:numPr>
        <w:rPr>
          <w:rFonts w:ascii="Arial" w:cs="Arial" w:eastAsia="Arial" w:hAnsi="Arial"/>
          <w:sz w:val="16"/>
          <w:szCs w:val="16"/>
          <w:color w:val="383836"/>
        </w:rPr>
      </w:pPr>
      <w:r>
        <w:rPr>
          <w:rFonts w:ascii="Arial" w:cs="Arial" w:eastAsia="Arial" w:hAnsi="Arial"/>
          <w:sz w:val="16"/>
          <w:szCs w:val="16"/>
          <w:color w:val="383836"/>
        </w:rPr>
        <w:t>a civil authority,</w:t>
      </w:r>
    </w:p>
    <w:p>
      <w:pPr>
        <w:ind w:left="540"/>
        <w:spacing w:after="0"/>
        <w:rPr>
          <w:sz w:val="20"/>
          <w:szCs w:val="20"/>
          <w:color w:val="auto"/>
        </w:rPr>
      </w:pPr>
      <w:r>
        <w:rPr>
          <w:rFonts w:ascii="Arial" w:cs="Arial" w:eastAsia="Arial" w:hAnsi="Arial"/>
          <w:sz w:val="16"/>
          <w:szCs w:val="16"/>
          <w:color w:val="383836"/>
        </w:rPr>
        <w:t>or any person acting on behalf of any of the above, whether acting alone or in collusion with others</w:t>
      </w:r>
      <w:r>
        <w:rPr>
          <w:rFonts w:ascii="Arial" w:cs="Arial" w:eastAsia="Arial" w:hAnsi="Arial"/>
          <w:sz w:val="16"/>
          <w:szCs w:val="16"/>
          <w:color w:val="525250"/>
        </w:rPr>
        <w:t>.</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6"/>
          <w:szCs w:val="16"/>
          <w:color w:val="383836"/>
        </w:rPr>
        <w:t>"Covered relative" means the following relatives of you, or a spouse or domestic partner who lives with you, or any family member</w:t>
      </w:r>
      <w:r>
        <w:rPr>
          <w:rFonts w:ascii="Arial" w:cs="Arial" w:eastAsia="Arial" w:hAnsi="Arial"/>
          <w:sz w:val="16"/>
          <w:szCs w:val="16"/>
          <w:color w:val="525250"/>
        </w:rPr>
        <w:t>:</w:t>
      </w:r>
    </w:p>
    <w:p>
      <w:pPr>
        <w:spacing w:after="0" w:line="6" w:lineRule="exact"/>
        <w:rPr>
          <w:sz w:val="20"/>
          <w:szCs w:val="20"/>
          <w:color w:val="auto"/>
        </w:rPr>
      </w:pPr>
    </w:p>
    <w:p>
      <w:pPr>
        <w:ind w:left="820" w:hanging="245"/>
        <w:spacing w:after="0"/>
        <w:tabs>
          <w:tab w:leader="none" w:pos="820" w:val="left"/>
        </w:tabs>
        <w:numPr>
          <w:ilvl w:val="0"/>
          <w:numId w:val="466"/>
        </w:numPr>
        <w:rPr>
          <w:rFonts w:ascii="Arial" w:cs="Arial" w:eastAsia="Arial" w:hAnsi="Arial"/>
          <w:sz w:val="16"/>
          <w:szCs w:val="16"/>
          <w:color w:val="383836"/>
        </w:rPr>
      </w:pPr>
      <w:r>
        <w:rPr>
          <w:rFonts w:ascii="Arial" w:cs="Arial" w:eastAsia="Arial" w:hAnsi="Arial"/>
          <w:sz w:val="16"/>
          <w:szCs w:val="16"/>
          <w:color w:val="383836"/>
        </w:rPr>
        <w:t>children</w:t>
      </w:r>
      <w:r>
        <w:rPr>
          <w:rFonts w:ascii="Arial" w:cs="Arial" w:eastAsia="Arial" w:hAnsi="Arial"/>
          <w:sz w:val="16"/>
          <w:szCs w:val="16"/>
          <w:color w:val="525250"/>
        </w:rPr>
        <w:t>,</w:t>
      </w:r>
      <w:r>
        <w:rPr>
          <w:rFonts w:ascii="Arial" w:cs="Arial" w:eastAsia="Arial" w:hAnsi="Arial"/>
          <w:sz w:val="16"/>
          <w:szCs w:val="16"/>
          <w:color w:val="383836"/>
        </w:rPr>
        <w:t xml:space="preserve"> their children or other descendants of theirs</w:t>
      </w:r>
      <w:r>
        <w:rPr>
          <w:rFonts w:ascii="Arial" w:cs="Arial" w:eastAsia="Arial" w:hAnsi="Arial"/>
          <w:sz w:val="16"/>
          <w:szCs w:val="16"/>
          <w:color w:val="525250"/>
        </w:rPr>
        <w:t>;</w:t>
      </w:r>
    </w:p>
    <w:p>
      <w:pPr>
        <w:spacing w:after="0" w:line="5" w:lineRule="exact"/>
        <w:rPr>
          <w:rFonts w:ascii="Arial" w:cs="Arial" w:eastAsia="Arial" w:hAnsi="Arial"/>
          <w:sz w:val="16"/>
          <w:szCs w:val="16"/>
          <w:color w:val="383836"/>
        </w:rPr>
      </w:pPr>
    </w:p>
    <w:p>
      <w:pPr>
        <w:ind w:left="820" w:hanging="245"/>
        <w:spacing w:after="0" w:line="229" w:lineRule="auto"/>
        <w:tabs>
          <w:tab w:leader="none" w:pos="820" w:val="left"/>
        </w:tabs>
        <w:numPr>
          <w:ilvl w:val="0"/>
          <w:numId w:val="466"/>
        </w:numPr>
        <w:rPr>
          <w:rFonts w:ascii="Arial" w:cs="Arial" w:eastAsia="Arial" w:hAnsi="Arial"/>
          <w:sz w:val="16"/>
          <w:szCs w:val="16"/>
          <w:color w:val="383836"/>
        </w:rPr>
      </w:pPr>
      <w:r>
        <w:rPr>
          <w:rFonts w:ascii="Arial" w:cs="Arial" w:eastAsia="Arial" w:hAnsi="Arial"/>
          <w:sz w:val="16"/>
          <w:szCs w:val="16"/>
          <w:color w:val="383836"/>
        </w:rPr>
        <w:t>parents, grandparents or other ancestors of theirs; or</w:t>
      </w:r>
    </w:p>
    <w:p>
      <w:pPr>
        <w:ind w:left="820" w:hanging="245"/>
        <w:spacing w:after="0" w:line="229" w:lineRule="auto"/>
        <w:tabs>
          <w:tab w:leader="none" w:pos="820" w:val="left"/>
        </w:tabs>
        <w:numPr>
          <w:ilvl w:val="0"/>
          <w:numId w:val="466"/>
        </w:numPr>
        <w:rPr>
          <w:rFonts w:ascii="Arial" w:cs="Arial" w:eastAsia="Arial" w:hAnsi="Arial"/>
          <w:sz w:val="16"/>
          <w:szCs w:val="16"/>
          <w:color w:val="383836"/>
        </w:rPr>
      </w:pPr>
      <w:r>
        <w:rPr>
          <w:rFonts w:ascii="Arial" w:cs="Arial" w:eastAsia="Arial" w:hAnsi="Arial"/>
          <w:sz w:val="16"/>
          <w:szCs w:val="16"/>
          <w:color w:val="383836"/>
        </w:rPr>
        <w:t>siblings, their children or other descendants of theirs;</w:t>
      </w:r>
    </w:p>
    <w:p>
      <w:pPr>
        <w:jc w:val="both"/>
        <w:ind w:left="540"/>
        <w:spacing w:after="0" w:line="257" w:lineRule="auto"/>
        <w:rPr>
          <w:sz w:val="20"/>
          <w:szCs w:val="20"/>
          <w:color w:val="auto"/>
        </w:rPr>
      </w:pPr>
      <w:r>
        <w:rPr>
          <w:rFonts w:ascii="Arial" w:cs="Arial" w:eastAsia="Arial" w:hAnsi="Arial"/>
          <w:sz w:val="16"/>
          <w:szCs w:val="16"/>
          <w:color w:val="383836"/>
        </w:rPr>
        <w:t>who do not live with you</w:t>
      </w:r>
      <w:r>
        <w:rPr>
          <w:rFonts w:ascii="Arial" w:cs="Arial" w:eastAsia="Arial" w:hAnsi="Arial"/>
          <w:sz w:val="16"/>
          <w:szCs w:val="16"/>
          <w:color w:val="525250"/>
        </w:rPr>
        <w:t>,</w:t>
      </w:r>
      <w:r>
        <w:rPr>
          <w:rFonts w:ascii="Arial" w:cs="Arial" w:eastAsia="Arial" w:hAnsi="Arial"/>
          <w:sz w:val="16"/>
          <w:szCs w:val="16"/>
          <w:color w:val="383836"/>
        </w:rPr>
        <w:t xml:space="preserve"> including spouses or domestic partners of all of the above. Parents, grandparents and other ancestors include adoptive parents, stepparents and step grandparents</w:t>
      </w:r>
      <w:r>
        <w:rPr>
          <w:rFonts w:ascii="Arial" w:cs="Arial" w:eastAsia="Arial" w:hAnsi="Arial"/>
          <w:sz w:val="16"/>
          <w:szCs w:val="16"/>
          <w:color w:val="525250"/>
        </w:rPr>
        <w:t>.</w:t>
      </w:r>
    </w:p>
    <w:p>
      <w:pPr>
        <w:spacing w:after="0" w:line="182" w:lineRule="exact"/>
        <w:rPr>
          <w:sz w:val="20"/>
          <w:szCs w:val="20"/>
          <w:color w:val="auto"/>
        </w:rPr>
      </w:pPr>
    </w:p>
    <w:p>
      <w:pPr>
        <w:jc w:val="both"/>
        <w:ind w:left="540" w:firstLine="14"/>
        <w:spacing w:after="0" w:line="266" w:lineRule="auto"/>
        <w:rPr>
          <w:sz w:val="20"/>
          <w:szCs w:val="20"/>
          <w:color w:val="auto"/>
        </w:rPr>
      </w:pPr>
      <w:r>
        <w:rPr>
          <w:rFonts w:ascii="Arial" w:cs="Arial" w:eastAsia="Arial" w:hAnsi="Arial"/>
          <w:sz w:val="16"/>
          <w:szCs w:val="16"/>
          <w:b w:val="1"/>
          <w:bCs w:val="1"/>
          <w:color w:val="383836"/>
        </w:rPr>
        <w:t>Reputational injury</w:t>
      </w:r>
      <w:r>
        <w:rPr>
          <w:rFonts w:ascii="Arial" w:cs="Arial" w:eastAsia="Arial" w:hAnsi="Arial"/>
          <w:sz w:val="16"/>
          <w:szCs w:val="16"/>
          <w:b w:val="1"/>
          <w:bCs w:val="1"/>
          <w:color w:val="525250"/>
        </w:rPr>
        <w:t>.</w:t>
      </w:r>
      <w:r>
        <w:rPr>
          <w:rFonts w:ascii="Arial" w:cs="Arial" w:eastAsia="Arial" w:hAnsi="Arial"/>
          <w:sz w:val="16"/>
          <w:szCs w:val="16"/>
          <w:b w:val="1"/>
          <w:bCs w:val="1"/>
          <w:color w:val="383836"/>
        </w:rPr>
        <w:t xml:space="preserve"> </w:t>
      </w:r>
      <w:r>
        <w:rPr>
          <w:rFonts w:ascii="Arial" w:cs="Arial" w:eastAsia="Arial" w:hAnsi="Arial"/>
          <w:sz w:val="15"/>
          <w:szCs w:val="15"/>
          <w:color w:val="383836"/>
        </w:rPr>
        <w:t>If</w:t>
      </w:r>
      <w:r>
        <w:rPr>
          <w:rFonts w:ascii="Arial" w:cs="Arial" w:eastAsia="Arial" w:hAnsi="Arial"/>
          <w:sz w:val="16"/>
          <w:szCs w:val="16"/>
          <w:b w:val="1"/>
          <w:bCs w:val="1"/>
          <w:color w:val="383836"/>
        </w:rPr>
        <w:t xml:space="preserve"> </w:t>
      </w:r>
      <w:r>
        <w:rPr>
          <w:rFonts w:ascii="Arial" w:cs="Arial" w:eastAsia="Arial" w:hAnsi="Arial"/>
          <w:sz w:val="16"/>
          <w:szCs w:val="16"/>
          <w:color w:val="383836"/>
        </w:rPr>
        <w:t>we are defending you or a family member in a suit seeking covered damages, we will pay reasonable and necessary fees or expenses that you</w:t>
      </w:r>
      <w:r>
        <w:rPr>
          <w:rFonts w:ascii="Arial" w:cs="Arial" w:eastAsia="Arial" w:hAnsi="Arial"/>
          <w:sz w:val="16"/>
          <w:szCs w:val="16"/>
          <w:b w:val="1"/>
          <w:bCs w:val="1"/>
          <w:color w:val="383836"/>
        </w:rPr>
        <w:t xml:space="preserve"> </w:t>
      </w:r>
      <w:r>
        <w:rPr>
          <w:rFonts w:ascii="Arial" w:cs="Arial" w:eastAsia="Arial" w:hAnsi="Arial"/>
          <w:sz w:val="16"/>
          <w:szCs w:val="16"/>
          <w:color w:val="383836"/>
        </w:rPr>
        <w:t xml:space="preserve">or a family member incur for services provided by a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to minimize potential injury </w:t>
      </w:r>
      <w:r>
        <w:rPr>
          <w:rFonts w:ascii="Arial" w:cs="Arial" w:eastAsia="Arial" w:hAnsi="Arial"/>
          <w:sz w:val="15"/>
          <w:szCs w:val="15"/>
          <w:color w:val="383836"/>
        </w:rPr>
        <w:t>to</w:t>
      </w:r>
      <w:r>
        <w:rPr>
          <w:rFonts w:ascii="Arial" w:cs="Arial" w:eastAsia="Arial" w:hAnsi="Arial"/>
          <w:sz w:val="16"/>
          <w:szCs w:val="16"/>
          <w:color w:val="383836"/>
        </w:rPr>
        <w:t xml:space="preserve"> the reputation of you or a family member solely as a result of personal injury or property damage, caused by an occurrence </w:t>
      </w:r>
      <w:r>
        <w:rPr>
          <w:rFonts w:ascii="Arial" w:cs="Arial" w:eastAsia="Arial" w:hAnsi="Arial"/>
          <w:sz w:val="15"/>
          <w:szCs w:val="15"/>
          <w:color w:val="383836"/>
        </w:rPr>
        <w:t>if:</w:t>
      </w:r>
    </w:p>
    <w:p>
      <w:pPr>
        <w:ind w:left="880" w:right="2740" w:hanging="318"/>
        <w:spacing w:after="0" w:line="229" w:lineRule="auto"/>
        <w:tabs>
          <w:tab w:leader="none" w:pos="867" w:val="left"/>
        </w:tabs>
        <w:numPr>
          <w:ilvl w:val="0"/>
          <w:numId w:val="467"/>
        </w:numPr>
        <w:rPr>
          <w:rFonts w:ascii="Arial" w:cs="Arial" w:eastAsia="Arial" w:hAnsi="Arial"/>
          <w:sz w:val="16"/>
          <w:szCs w:val="16"/>
          <w:color w:val="383836"/>
        </w:rPr>
      </w:pPr>
      <w:r>
        <w:rPr>
          <w:rFonts w:ascii="Arial" w:cs="Arial" w:eastAsia="Arial" w:hAnsi="Arial"/>
          <w:sz w:val="16"/>
          <w:szCs w:val="16"/>
          <w:color w:val="383836"/>
        </w:rPr>
        <w:t xml:space="preserve">the reputational injury is reported to us as </w:t>
      </w:r>
      <w:r>
        <w:rPr>
          <w:rFonts w:ascii="Arial" w:cs="Arial" w:eastAsia="Arial" w:hAnsi="Arial"/>
          <w:sz w:val="16"/>
          <w:szCs w:val="16"/>
          <w:color w:val="525250"/>
        </w:rPr>
        <w:t>s</w:t>
      </w:r>
      <w:r>
        <w:rPr>
          <w:rFonts w:ascii="Arial" w:cs="Arial" w:eastAsia="Arial" w:hAnsi="Arial"/>
          <w:sz w:val="16"/>
          <w:szCs w:val="16"/>
          <w:color w:val="383836"/>
        </w:rPr>
        <w:t>oon as reasonably possible but not later than 30 days after the personal injury or property damage occurrence; and</w:t>
      </w:r>
    </w:p>
    <w:p>
      <w:pPr>
        <w:ind w:left="900" w:right="60" w:hanging="325"/>
        <w:spacing w:after="0" w:line="275" w:lineRule="auto"/>
        <w:tabs>
          <w:tab w:leader="none" w:pos="882" w:val="left"/>
        </w:tabs>
        <w:numPr>
          <w:ilvl w:val="1"/>
          <w:numId w:val="467"/>
        </w:numPr>
        <w:rPr>
          <w:rFonts w:ascii="Arial" w:cs="Arial" w:eastAsia="Arial" w:hAnsi="Arial"/>
          <w:sz w:val="16"/>
          <w:szCs w:val="16"/>
          <w:color w:val="383836"/>
        </w:rPr>
      </w:pPr>
      <w:r>
        <w:rPr>
          <w:rFonts w:ascii="Arial" w:cs="Arial" w:eastAsia="Arial" w:hAnsi="Arial"/>
          <w:sz w:val="16"/>
          <w:szCs w:val="16"/>
          <w:color w:val="383836"/>
        </w:rPr>
        <w:t xml:space="preserve">you obtain approval of the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from us before incurring any fees or expenses, unless stated otherwise or an exclusion applies. There is no deductible for this coverage.</w:t>
      </w:r>
    </w:p>
    <w:p>
      <w:pPr>
        <w:spacing w:after="0" w:line="91" w:lineRule="exact"/>
        <w:rPr>
          <w:sz w:val="20"/>
          <w:szCs w:val="20"/>
          <w:color w:val="auto"/>
        </w:rPr>
      </w:pPr>
    </w:p>
    <w:p>
      <w:pPr>
        <w:ind w:left="560" w:right="20"/>
        <w:spacing w:after="0"/>
        <w:rPr>
          <w:sz w:val="20"/>
          <w:szCs w:val="20"/>
          <w:color w:val="auto"/>
        </w:rPr>
      </w:pPr>
      <w:r>
        <w:rPr>
          <w:rFonts w:ascii="Arial" w:cs="Arial" w:eastAsia="Arial" w:hAnsi="Arial"/>
          <w:sz w:val="15"/>
          <w:szCs w:val="15"/>
          <w:color w:val="383836"/>
        </w:rPr>
        <w:t xml:space="preserve">A Reputation </w:t>
      </w:r>
      <w:r>
        <w:rPr>
          <w:rFonts w:ascii="Arial" w:cs="Arial" w:eastAsia="Arial" w:hAnsi="Arial"/>
          <w:sz w:val="16"/>
          <w:szCs w:val="16"/>
          <w:color w:val="383836"/>
        </w:rPr>
        <w:t>management</w:t>
      </w:r>
      <w:r>
        <w:rPr>
          <w:rFonts w:ascii="Arial" w:cs="Arial" w:eastAsia="Arial" w:hAnsi="Arial"/>
          <w:sz w:val="15"/>
          <w:szCs w:val="15"/>
          <w:color w:val="383836"/>
        </w:rPr>
        <w:t xml:space="preserve"> firm </w:t>
      </w:r>
      <w:r>
        <w:rPr>
          <w:rFonts w:ascii="Arial" w:cs="Arial" w:eastAsia="Arial" w:hAnsi="Arial"/>
          <w:sz w:val="16"/>
          <w:szCs w:val="16"/>
          <w:color w:val="383836"/>
        </w:rPr>
        <w:t>means a professional public relations consulting firm, a professional security consulting firm or a professional media management</w:t>
      </w:r>
      <w:r>
        <w:rPr>
          <w:rFonts w:ascii="Arial" w:cs="Arial" w:eastAsia="Arial" w:hAnsi="Arial"/>
          <w:sz w:val="15"/>
          <w:szCs w:val="15"/>
          <w:color w:val="383836"/>
        </w:rPr>
        <w:t xml:space="preserve"> </w:t>
      </w:r>
      <w:r>
        <w:rPr>
          <w:rFonts w:ascii="Arial" w:cs="Arial" w:eastAsia="Arial" w:hAnsi="Arial"/>
          <w:sz w:val="16"/>
          <w:szCs w:val="16"/>
          <w:color w:val="383836"/>
        </w:rPr>
        <w:t>consulting firm.</w:t>
      </w:r>
    </w:p>
    <w:p>
      <w:pPr>
        <w:spacing w:after="0" w:line="91" w:lineRule="exact"/>
        <w:rPr>
          <w:sz w:val="20"/>
          <w:szCs w:val="20"/>
          <w:color w:val="auto"/>
        </w:rPr>
      </w:pPr>
    </w:p>
    <w:p>
      <w:pPr>
        <w:ind w:left="540" w:firstLine="14"/>
        <w:spacing w:after="0" w:line="329" w:lineRule="auto"/>
        <w:rPr>
          <w:sz w:val="20"/>
          <w:szCs w:val="20"/>
          <w:color w:val="auto"/>
        </w:rPr>
      </w:pPr>
      <w:r>
        <w:rPr>
          <w:rFonts w:ascii="Arial" w:cs="Arial" w:eastAsia="Arial" w:hAnsi="Arial"/>
          <w:sz w:val="15"/>
          <w:szCs w:val="15"/>
          <w:color w:val="383836"/>
        </w:rPr>
        <w:t>The maximum amount of coverage for Reputational injury available for any one occurrence is $25,000 or the amount shown in the Coverage Summary. We will not pay more than this amount in any one occurrence for co</w:t>
      </w:r>
      <w:r>
        <w:rPr>
          <w:rFonts w:ascii="Arial" w:cs="Arial" w:eastAsia="Arial" w:hAnsi="Arial"/>
          <w:sz w:val="15"/>
          <w:szCs w:val="15"/>
          <w:color w:val="525250"/>
        </w:rPr>
        <w:t>v</w:t>
      </w:r>
      <w:r>
        <w:rPr>
          <w:rFonts w:ascii="Arial" w:cs="Arial" w:eastAsia="Arial" w:hAnsi="Arial"/>
          <w:sz w:val="15"/>
          <w:szCs w:val="15"/>
          <w:color w:val="383836"/>
        </w:rPr>
        <w:t>ered damages regardless of how many claims or people are involved in the occurrence.</w:t>
      </w:r>
    </w:p>
    <w:p>
      <w:pPr>
        <w:spacing w:after="0" w:line="40"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383836"/>
        </w:rPr>
        <w:t>The maximum annual amount of coverage for Reputational injury shown in the Coverage Summary is the most we will pay for the sum of all covered damages you or a family member incur during the policy period regardless of the number of claims, people, or occurrences</w:t>
      </w:r>
      <w:r>
        <w:rPr>
          <w:rFonts w:ascii="Arial" w:cs="Arial" w:eastAsia="Arial" w:hAnsi="Arial"/>
          <w:sz w:val="16"/>
          <w:szCs w:val="16"/>
          <w:color w:val="666664"/>
        </w:rPr>
        <w:t>.</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6"/>
          <w:szCs w:val="16"/>
          <w:color w:val="383836"/>
        </w:rPr>
        <w:t>This coverage does not apply to loss caused by a wrongful employment act covered by Employment Practices Liability Insurance</w:t>
      </w:r>
      <w:r>
        <w:rPr>
          <w:rFonts w:ascii="Arial" w:cs="Arial" w:eastAsia="Arial" w:hAnsi="Arial"/>
          <w:sz w:val="16"/>
          <w:szCs w:val="16"/>
          <w:color w:val="525250"/>
        </w:rPr>
        <w:t>.</w:t>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22"/>
          <w:szCs w:val="22"/>
          <w:b w:val="1"/>
          <w:bCs w:val="1"/>
          <w:i w:val="1"/>
          <w:iCs w:val="1"/>
          <w:color w:val="383836"/>
        </w:rPr>
        <w:t>Exclusions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These exclusions apply to your Group Personal Excess Liability Coverage, unless stated otherwise.</w:t>
      </w:r>
    </w:p>
    <w:p>
      <w:pPr>
        <w:spacing w:after="0" w:line="123" w:lineRule="exact"/>
        <w:rPr>
          <w:sz w:val="20"/>
          <w:szCs w:val="20"/>
          <w:color w:val="auto"/>
        </w:rPr>
      </w:pPr>
    </w:p>
    <w:p>
      <w:pPr>
        <w:ind w:left="580" w:right="20" w:hanging="39"/>
        <w:spacing w:after="0" w:line="319" w:lineRule="auto"/>
        <w:rPr>
          <w:sz w:val="20"/>
          <w:szCs w:val="20"/>
          <w:color w:val="auto"/>
        </w:rPr>
      </w:pPr>
      <w:r>
        <w:rPr>
          <w:rFonts w:ascii="Arial" w:cs="Arial" w:eastAsia="Arial" w:hAnsi="Arial"/>
          <w:sz w:val="15"/>
          <w:szCs w:val="15"/>
          <w:b w:val="1"/>
          <w:bCs w:val="1"/>
          <w:color w:val="383836"/>
        </w:rPr>
        <w:t>Aircraft</w:t>
      </w:r>
      <w:r>
        <w:rPr>
          <w:rFonts w:ascii="Arial" w:cs="Arial" w:eastAsia="Arial" w:hAnsi="Arial"/>
          <w:sz w:val="15"/>
          <w:szCs w:val="15"/>
          <w:b w:val="1"/>
          <w:bCs w:val="1"/>
          <w:color w:val="525250"/>
        </w:rPr>
        <w:t>.</w:t>
      </w:r>
      <w:r>
        <w:rPr>
          <w:rFonts w:ascii="Arial" w:cs="Arial" w:eastAsia="Arial" w:hAnsi="Arial"/>
          <w:sz w:val="15"/>
          <w:szCs w:val="15"/>
          <w:b w:val="1"/>
          <w:bCs w:val="1"/>
          <w:color w:val="383836"/>
        </w:rPr>
        <w:t xml:space="preserve"> </w:t>
      </w:r>
      <w:r>
        <w:rPr>
          <w:rFonts w:ascii="Arial" w:cs="Arial" w:eastAsia="Arial" w:hAnsi="Arial"/>
          <w:sz w:val="15"/>
          <w:szCs w:val="15"/>
          <w:color w:val="383836"/>
        </w:rPr>
        <w:t>We do not cover any damages arising out of the ownership, maintenance, use, loading, unloading, or towing of any aircraft, except aircraft chartered</w:t>
      </w:r>
      <w:r>
        <w:rPr>
          <w:rFonts w:ascii="Arial" w:cs="Arial" w:eastAsia="Arial" w:hAnsi="Arial"/>
          <w:sz w:val="15"/>
          <w:szCs w:val="15"/>
          <w:b w:val="1"/>
          <w:bCs w:val="1"/>
          <w:color w:val="383836"/>
        </w:rPr>
        <w:t xml:space="preserve"> </w:t>
      </w:r>
      <w:r>
        <w:rPr>
          <w:rFonts w:ascii="Arial" w:cs="Arial" w:eastAsia="Arial" w:hAnsi="Arial"/>
          <w:sz w:val="15"/>
          <w:szCs w:val="15"/>
          <w:color w:val="383836"/>
        </w:rPr>
        <w:t>with</w:t>
      </w:r>
      <w:r>
        <w:rPr>
          <w:rFonts w:ascii="Arial" w:cs="Arial" w:eastAsia="Arial" w:hAnsi="Arial"/>
          <w:sz w:val="15"/>
          <w:szCs w:val="15"/>
          <w:b w:val="1"/>
          <w:bCs w:val="1"/>
          <w:color w:val="383836"/>
        </w:rPr>
        <w:t xml:space="preserve"> </w:t>
      </w:r>
      <w:r>
        <w:rPr>
          <w:rFonts w:ascii="Arial" w:cs="Arial" w:eastAsia="Arial" w:hAnsi="Arial"/>
          <w:sz w:val="15"/>
          <w:szCs w:val="15"/>
          <w:color w:val="383836"/>
        </w:rPr>
        <w:t xml:space="preserve">crew by you. We do not cover any property damages to </w:t>
      </w:r>
      <w:r>
        <w:rPr>
          <w:rFonts w:ascii="Arial" w:cs="Arial" w:eastAsia="Arial" w:hAnsi="Arial"/>
          <w:sz w:val="17"/>
          <w:szCs w:val="17"/>
          <w:color w:val="383836"/>
        </w:rPr>
        <w:t>aircraft</w:t>
      </w:r>
      <w:r>
        <w:rPr>
          <w:rFonts w:ascii="Arial" w:cs="Arial" w:eastAsia="Arial" w:hAnsi="Arial"/>
          <w:sz w:val="15"/>
          <w:szCs w:val="15"/>
          <w:color w:val="383836"/>
        </w:rPr>
        <w:t xml:space="preserve"> rented to, owned </w:t>
      </w:r>
      <w:r>
        <w:rPr>
          <w:rFonts w:ascii="Arial" w:cs="Arial" w:eastAsia="Arial" w:hAnsi="Arial"/>
          <w:sz w:val="16"/>
          <w:szCs w:val="16"/>
          <w:color w:val="383836"/>
        </w:rPr>
        <w:t>by,</w:t>
      </w:r>
      <w:r>
        <w:rPr>
          <w:rFonts w:ascii="Arial" w:cs="Arial" w:eastAsia="Arial" w:hAnsi="Arial"/>
          <w:sz w:val="15"/>
          <w:szCs w:val="15"/>
          <w:color w:val="383836"/>
        </w:rPr>
        <w:t xml:space="preserve"> or </w:t>
      </w:r>
      <w:r>
        <w:rPr>
          <w:rFonts w:ascii="Arial" w:cs="Arial" w:eastAsia="Arial" w:hAnsi="Arial"/>
          <w:sz w:val="17"/>
          <w:szCs w:val="17"/>
          <w:color w:val="383836"/>
        </w:rPr>
        <w:t>in</w:t>
      </w:r>
      <w:r>
        <w:rPr>
          <w:rFonts w:ascii="Arial" w:cs="Arial" w:eastAsia="Arial" w:hAnsi="Arial"/>
          <w:sz w:val="15"/>
          <w:szCs w:val="15"/>
          <w:color w:val="383836"/>
        </w:rPr>
        <w:t xml:space="preserve"> the care, custody or control of a covered person</w:t>
      </w:r>
      <w:r>
        <w:rPr>
          <w:rFonts w:ascii="Arial" w:cs="Arial" w:eastAsia="Arial" w:hAnsi="Arial"/>
          <w:sz w:val="15"/>
          <w:szCs w:val="15"/>
          <w:color w:val="525250"/>
        </w:rPr>
        <w:t>.</w:t>
      </w:r>
    </w:p>
    <w:p>
      <w:pPr>
        <w:spacing w:after="0" w:line="146" w:lineRule="exact"/>
        <w:rPr>
          <w:sz w:val="20"/>
          <w:szCs w:val="20"/>
          <w:color w:val="auto"/>
        </w:rPr>
      </w:pPr>
    </w:p>
    <w:p>
      <w:pPr>
        <w:ind w:left="560"/>
        <w:spacing w:after="0" w:line="298" w:lineRule="auto"/>
        <w:rPr>
          <w:sz w:val="20"/>
          <w:szCs w:val="20"/>
          <w:color w:val="auto"/>
        </w:rPr>
      </w:pPr>
      <w:r>
        <w:rPr>
          <w:rFonts w:ascii="Arial" w:cs="Arial" w:eastAsia="Arial" w:hAnsi="Arial"/>
          <w:sz w:val="16"/>
          <w:szCs w:val="16"/>
          <w:b w:val="1"/>
          <w:bCs w:val="1"/>
          <w:color w:val="383836"/>
        </w:rPr>
        <w:t xml:space="preserve">Hovercraft. </w:t>
      </w:r>
      <w:r>
        <w:rPr>
          <w:rFonts w:ascii="Arial" w:cs="Arial" w:eastAsia="Arial" w:hAnsi="Arial"/>
          <w:sz w:val="16"/>
          <w:szCs w:val="16"/>
          <w:color w:val="383836"/>
        </w:rPr>
        <w:t>We do not cover any damages arising out of the ownership, maintenance, use, loading, unloading or towing of any hovercraft. We do not cover any</w:t>
      </w:r>
      <w:r>
        <w:rPr>
          <w:rFonts w:ascii="Arial" w:cs="Arial" w:eastAsia="Arial" w:hAnsi="Arial"/>
          <w:sz w:val="16"/>
          <w:szCs w:val="16"/>
          <w:b w:val="1"/>
          <w:bCs w:val="1"/>
          <w:color w:val="383836"/>
        </w:rPr>
        <w:t xml:space="preserve"> </w:t>
      </w:r>
      <w:r>
        <w:rPr>
          <w:rFonts w:ascii="Arial" w:cs="Arial" w:eastAsia="Arial" w:hAnsi="Arial"/>
          <w:sz w:val="16"/>
          <w:szCs w:val="16"/>
          <w:color w:val="383836"/>
        </w:rPr>
        <w:t>property damages to hovercraft rented to, owned by, or in the care, custody or control of a covered person</w:t>
      </w:r>
      <w:r>
        <w:rPr>
          <w:rFonts w:ascii="Arial" w:cs="Arial" w:eastAsia="Arial" w:hAnsi="Arial"/>
          <w:sz w:val="16"/>
          <w:szCs w:val="16"/>
          <w:color w:val="525250"/>
        </w:rPr>
        <w: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8 of 15</w:t>
      </w:r>
    </w:p>
    <w:p>
      <w:pPr>
        <w:sectPr>
          <w:pgSz w:w="11900" w:h="16838" w:orient="portrait"/>
          <w:cols w:equalWidth="0" w:num="1">
            <w:col w:w="11420"/>
          </w:cols>
          <w:pgMar w:left="240" w:top="649" w:right="239" w:bottom="1440" w:gutter="0" w:footer="0" w:header="0"/>
        </w:sectPr>
      </w:pPr>
    </w:p>
    <w:bookmarkStart w:id="298" w:name="page299"/>
    <w:bookmarkEnd w:id="298"/>
    <w:p>
      <w:pPr>
        <w:ind w:left="120"/>
        <w:spacing w:after="0"/>
        <w:rPr>
          <w:sz w:val="20"/>
          <w:szCs w:val="20"/>
          <w:color w:val="auto"/>
        </w:rPr>
      </w:pPr>
      <w:r>
        <w:rPr>
          <w:rFonts w:ascii="Arial" w:cs="Arial" w:eastAsia="Arial" w:hAnsi="Arial"/>
          <w:sz w:val="22"/>
          <w:szCs w:val="22"/>
          <w:b w:val="1"/>
          <w:bCs w:val="1"/>
          <w:i w:val="1"/>
          <w:iCs w:val="1"/>
          <w:color w:val="42423F"/>
        </w:rPr>
        <w:t>Exclusions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42423F"/>
        </w:rPr>
        <w:t>(continued)</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Motorized land vehicle racing or track usage. We do </w:t>
      </w:r>
      <w:r>
        <w:rPr>
          <w:rFonts w:ascii="Arial" w:cs="Arial" w:eastAsia="Arial" w:hAnsi="Arial"/>
          <w:sz w:val="16"/>
          <w:szCs w:val="16"/>
          <w:color w:val="31312F"/>
        </w:rPr>
        <w:t>not</w:t>
      </w:r>
      <w:r>
        <w:rPr>
          <w:rFonts w:ascii="Arial" w:cs="Arial" w:eastAsia="Arial" w:hAnsi="Arial"/>
          <w:sz w:val="16"/>
          <w:szCs w:val="16"/>
          <w:color w:val="42423F"/>
        </w:rPr>
        <w:t xml:space="preserve"> cover any damages arising out of the ownership, maintenance or </w:t>
      </w:r>
      <w:r>
        <w:rPr>
          <w:rFonts w:ascii="Arial" w:cs="Arial" w:eastAsia="Arial" w:hAnsi="Arial"/>
          <w:sz w:val="16"/>
          <w:szCs w:val="16"/>
          <w:color w:val="31312F"/>
        </w:rPr>
        <w:t>use</w:t>
      </w:r>
      <w:r>
        <w:rPr>
          <w:rFonts w:ascii="Arial" w:cs="Arial" w:eastAsia="Arial" w:hAnsi="Arial"/>
          <w:sz w:val="16"/>
          <w:szCs w:val="16"/>
          <w:color w:val="42423F"/>
        </w:rPr>
        <w:t xml:space="preserve"> of any </w:t>
      </w:r>
      <w:r>
        <w:rPr>
          <w:rFonts w:ascii="Arial" w:cs="Arial" w:eastAsia="Arial" w:hAnsi="Arial"/>
          <w:sz w:val="16"/>
          <w:szCs w:val="16"/>
          <w:color w:val="31312F"/>
        </w:rPr>
        <w:t>motorized</w:t>
      </w:r>
      <w:r>
        <w:rPr>
          <w:rFonts w:ascii="Arial" w:cs="Arial" w:eastAsia="Arial" w:hAnsi="Arial"/>
          <w:sz w:val="16"/>
          <w:szCs w:val="16"/>
          <w:color w:val="42423F"/>
        </w:rPr>
        <w:t xml:space="preserve"> land vehicle:</w:t>
      </w:r>
    </w:p>
    <w:p>
      <w:pPr>
        <w:spacing w:after="0" w:line="19" w:lineRule="exact"/>
        <w:rPr>
          <w:sz w:val="20"/>
          <w:szCs w:val="20"/>
          <w:color w:val="auto"/>
        </w:rPr>
      </w:pPr>
    </w:p>
    <w:p>
      <w:pPr>
        <w:ind w:left="460" w:right="3360" w:hanging="330"/>
        <w:spacing w:after="0" w:line="225" w:lineRule="auto"/>
        <w:tabs>
          <w:tab w:leader="none" w:pos="446" w:val="left"/>
        </w:tabs>
        <w:numPr>
          <w:ilvl w:val="0"/>
          <w:numId w:val="468"/>
        </w:numPr>
        <w:rPr>
          <w:rFonts w:ascii="Arial" w:cs="Arial" w:eastAsia="Arial" w:hAnsi="Arial"/>
          <w:sz w:val="15"/>
          <w:szCs w:val="15"/>
          <w:color w:val="auto"/>
        </w:rPr>
      </w:pPr>
      <w:r>
        <w:rPr>
          <w:rFonts w:ascii="Arial" w:cs="Arial" w:eastAsia="Arial" w:hAnsi="Arial"/>
          <w:sz w:val="15"/>
          <w:szCs w:val="15"/>
          <w:color w:val="42423F"/>
        </w:rPr>
        <w:t>during any instruction</w:t>
      </w:r>
      <w:r>
        <w:rPr>
          <w:rFonts w:ascii="Arial" w:cs="Arial" w:eastAsia="Arial" w:hAnsi="Arial"/>
          <w:sz w:val="15"/>
          <w:szCs w:val="15"/>
          <w:color w:val="5D5D5B"/>
        </w:rPr>
        <w:t>,</w:t>
      </w:r>
      <w:r>
        <w:rPr>
          <w:rFonts w:ascii="Arial" w:cs="Arial" w:eastAsia="Arial" w:hAnsi="Arial"/>
          <w:sz w:val="15"/>
          <w:szCs w:val="15"/>
          <w:color w:val="42423F"/>
        </w:rPr>
        <w:t xml:space="preserve"> practice, preparation for, or participation in, any competitive, prearranged or organized racing, speed contest, rally, gymkhana, sports event, stunting activity, or timed event of any kind; or</w:t>
      </w:r>
    </w:p>
    <w:p>
      <w:pPr>
        <w:ind w:left="440" w:hanging="297"/>
        <w:spacing w:after="0"/>
        <w:tabs>
          <w:tab w:leader="none" w:pos="440" w:val="left"/>
        </w:tabs>
        <w:numPr>
          <w:ilvl w:val="1"/>
          <w:numId w:val="468"/>
        </w:numPr>
        <w:rPr>
          <w:rFonts w:ascii="Arial" w:cs="Arial" w:eastAsia="Arial" w:hAnsi="Arial"/>
          <w:sz w:val="16"/>
          <w:szCs w:val="16"/>
          <w:color w:val="auto"/>
        </w:rPr>
      </w:pPr>
      <w:r>
        <w:rPr>
          <w:rFonts w:ascii="Arial" w:cs="Arial" w:eastAsia="Arial" w:hAnsi="Arial"/>
          <w:sz w:val="16"/>
          <w:szCs w:val="16"/>
          <w:color w:val="42423F"/>
        </w:rPr>
        <w:t>on a racetrack, test track or other course of any kind.</w:t>
      </w:r>
    </w:p>
    <w:p>
      <w:pPr>
        <w:spacing w:after="0" w:line="72" w:lineRule="exact"/>
        <w:rPr>
          <w:sz w:val="20"/>
          <w:szCs w:val="20"/>
          <w:color w:val="auto"/>
        </w:rPr>
      </w:pPr>
    </w:p>
    <w:p>
      <w:pPr>
        <w:jc w:val="both"/>
        <w:ind w:left="140"/>
        <w:spacing w:after="0" w:line="267" w:lineRule="auto"/>
        <w:rPr>
          <w:sz w:val="20"/>
          <w:szCs w:val="20"/>
          <w:color w:val="auto"/>
        </w:rPr>
      </w:pPr>
      <w:r>
        <w:rPr>
          <w:rFonts w:ascii="Arial" w:cs="Arial" w:eastAsia="Arial" w:hAnsi="Arial"/>
          <w:sz w:val="15"/>
          <w:szCs w:val="15"/>
          <w:color w:val="42423F"/>
        </w:rPr>
        <w:t>Watercraft and aircraft racing or track usage</w:t>
      </w:r>
      <w:r>
        <w:rPr>
          <w:rFonts w:ascii="Arial" w:cs="Arial" w:eastAsia="Arial" w:hAnsi="Arial"/>
          <w:sz w:val="15"/>
          <w:szCs w:val="15"/>
          <w:color w:val="5D5D5B"/>
        </w:rPr>
        <w:t>.</w:t>
      </w:r>
      <w:r>
        <w:rPr>
          <w:rFonts w:ascii="Arial" w:cs="Arial" w:eastAsia="Arial" w:hAnsi="Arial"/>
          <w:sz w:val="15"/>
          <w:szCs w:val="15"/>
          <w:color w:val="42423F"/>
        </w:rPr>
        <w:t xml:space="preserve"> We do not cover any damages arising out of the ownership, maintenance or use of </w:t>
      </w:r>
      <w:r>
        <w:rPr>
          <w:rFonts w:ascii="Arial" w:cs="Arial" w:eastAsia="Arial" w:hAnsi="Arial"/>
          <w:sz w:val="15"/>
          <w:szCs w:val="15"/>
          <w:color w:val="31312F"/>
        </w:rPr>
        <w:t>any</w:t>
      </w:r>
      <w:r>
        <w:rPr>
          <w:rFonts w:ascii="Arial" w:cs="Arial" w:eastAsia="Arial" w:hAnsi="Arial"/>
          <w:sz w:val="15"/>
          <w:szCs w:val="15"/>
          <w:color w:val="42423F"/>
        </w:rPr>
        <w:t xml:space="preserve"> watercraft or aircraft during </w:t>
      </w:r>
      <w:r>
        <w:rPr>
          <w:rFonts w:ascii="Arial" w:cs="Arial" w:eastAsia="Arial" w:hAnsi="Arial"/>
          <w:sz w:val="15"/>
          <w:szCs w:val="15"/>
          <w:color w:val="31312F"/>
        </w:rPr>
        <w:t>any</w:t>
      </w:r>
      <w:r>
        <w:rPr>
          <w:rFonts w:ascii="Arial" w:cs="Arial" w:eastAsia="Arial" w:hAnsi="Arial"/>
          <w:sz w:val="15"/>
          <w:szCs w:val="15"/>
          <w:color w:val="42423F"/>
        </w:rPr>
        <w:t xml:space="preserve"> 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t>
      </w:r>
      <w:r>
        <w:rPr>
          <w:rFonts w:ascii="Arial" w:cs="Arial" w:eastAsia="Arial" w:hAnsi="Arial"/>
          <w:sz w:val="15"/>
          <w:szCs w:val="15"/>
          <w:color w:val="31312F"/>
        </w:rPr>
        <w:t>with</w:t>
      </w:r>
      <w:r>
        <w:rPr>
          <w:rFonts w:ascii="Arial" w:cs="Arial" w:eastAsia="Arial" w:hAnsi="Arial"/>
          <w:sz w:val="15"/>
          <w:szCs w:val="15"/>
          <w:color w:val="42423F"/>
        </w:rPr>
        <w:t xml:space="preserve"> an auxiliary motor</w:t>
      </w:r>
      <w:r>
        <w:rPr>
          <w:rFonts w:ascii="Arial" w:cs="Arial" w:eastAsia="Arial" w:hAnsi="Arial"/>
          <w:sz w:val="15"/>
          <w:szCs w:val="15"/>
          <w:color w:val="5D5D5B"/>
        </w:rPr>
        <w:t>.</w:t>
      </w:r>
    </w:p>
    <w:p>
      <w:pPr>
        <w:spacing w:after="0" w:line="100" w:lineRule="exact"/>
        <w:rPr>
          <w:sz w:val="20"/>
          <w:szCs w:val="20"/>
          <w:color w:val="auto"/>
        </w:rPr>
      </w:pPr>
    </w:p>
    <w:p>
      <w:pPr>
        <w:jc w:val="both"/>
        <w:ind w:left="140"/>
        <w:spacing w:after="0" w:line="256" w:lineRule="auto"/>
        <w:rPr>
          <w:sz w:val="20"/>
          <w:szCs w:val="20"/>
          <w:color w:val="auto"/>
        </w:rPr>
      </w:pPr>
      <w:r>
        <w:rPr>
          <w:rFonts w:ascii="Arial" w:cs="Arial" w:eastAsia="Arial" w:hAnsi="Arial"/>
          <w:sz w:val="16"/>
          <w:szCs w:val="16"/>
          <w:color w:val="42423F"/>
        </w:rPr>
        <w:t xml:space="preserve">Motorized land vehicle-related jobs. We do not cover any damages arising out of the ownership, maintenance, or use of a motorized land vehicle by any person who is employed or otherwise engaged in the </w:t>
      </w:r>
      <w:r>
        <w:rPr>
          <w:rFonts w:ascii="Arial" w:cs="Arial" w:eastAsia="Arial" w:hAnsi="Arial"/>
          <w:sz w:val="16"/>
          <w:szCs w:val="16"/>
          <w:color w:val="31312F"/>
        </w:rPr>
        <w:t>business</w:t>
      </w:r>
      <w:r>
        <w:rPr>
          <w:rFonts w:ascii="Arial" w:cs="Arial" w:eastAsia="Arial" w:hAnsi="Arial"/>
          <w:sz w:val="16"/>
          <w:szCs w:val="16"/>
          <w:color w:val="42423F"/>
        </w:rPr>
        <w:t xml:space="preserve"> of selling, repairing, servicing, storing, parking, testing, or delivering motorized land vehicles</w:t>
      </w:r>
      <w:r>
        <w:rPr>
          <w:rFonts w:ascii="Arial" w:cs="Arial" w:eastAsia="Arial" w:hAnsi="Arial"/>
          <w:sz w:val="16"/>
          <w:szCs w:val="16"/>
          <w:color w:val="5D5D5B"/>
        </w:rPr>
        <w:t>.</w:t>
      </w:r>
      <w:r>
        <w:rPr>
          <w:rFonts w:ascii="Arial" w:cs="Arial" w:eastAsia="Arial" w:hAnsi="Arial"/>
          <w:sz w:val="16"/>
          <w:szCs w:val="16"/>
          <w:color w:val="42423F"/>
        </w:rPr>
        <w:t xml:space="preserve"> This exclusion does not apply to you, a family member, or your employee or an employee of a family member for damages arising out of the ownership, maintenance or </w:t>
      </w:r>
      <w:r>
        <w:rPr>
          <w:rFonts w:ascii="Arial" w:cs="Arial" w:eastAsia="Arial" w:hAnsi="Arial"/>
          <w:sz w:val="16"/>
          <w:szCs w:val="16"/>
          <w:color w:val="31312F"/>
        </w:rPr>
        <w:t>use</w:t>
      </w:r>
      <w:r>
        <w:rPr>
          <w:rFonts w:ascii="Arial" w:cs="Arial" w:eastAsia="Arial" w:hAnsi="Arial"/>
          <w:sz w:val="16"/>
          <w:szCs w:val="16"/>
          <w:color w:val="42423F"/>
        </w:rPr>
        <w:t xml:space="preserve"> of a motorized land vehicle owned by</w:t>
      </w:r>
      <w:r>
        <w:rPr>
          <w:rFonts w:ascii="Arial" w:cs="Arial" w:eastAsia="Arial" w:hAnsi="Arial"/>
          <w:sz w:val="16"/>
          <w:szCs w:val="16"/>
          <w:color w:val="5D5D5B"/>
        </w:rPr>
        <w:t>,</w:t>
      </w:r>
      <w:r>
        <w:rPr>
          <w:rFonts w:ascii="Arial" w:cs="Arial" w:eastAsia="Arial" w:hAnsi="Arial"/>
          <w:sz w:val="16"/>
          <w:szCs w:val="16"/>
          <w:color w:val="42423F"/>
        </w:rPr>
        <w:t xml:space="preserve"> rented to, or furnished to you or a family member.</w:t>
      </w:r>
    </w:p>
    <w:p>
      <w:pPr>
        <w:spacing w:after="0" w:line="129" w:lineRule="exact"/>
        <w:rPr>
          <w:sz w:val="20"/>
          <w:szCs w:val="20"/>
          <w:color w:val="auto"/>
        </w:rPr>
      </w:pPr>
    </w:p>
    <w:p>
      <w:pPr>
        <w:jc w:val="both"/>
        <w:ind w:left="140" w:right="20"/>
        <w:spacing w:after="0" w:line="258" w:lineRule="auto"/>
        <w:rPr>
          <w:sz w:val="20"/>
          <w:szCs w:val="20"/>
          <w:color w:val="auto"/>
        </w:rPr>
      </w:pPr>
      <w:r>
        <w:rPr>
          <w:rFonts w:ascii="Arial" w:cs="Arial" w:eastAsia="Arial" w:hAnsi="Arial"/>
          <w:sz w:val="16"/>
          <w:szCs w:val="16"/>
          <w:b w:val="1"/>
          <w:bCs w:val="1"/>
          <w:color w:val="42423F"/>
        </w:rPr>
        <w:t>Watercraft related jobs</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damages arising out of the ownership, maintenance, or</w:t>
      </w:r>
      <w:r>
        <w:rPr>
          <w:rFonts w:ascii="Arial" w:cs="Arial" w:eastAsia="Arial" w:hAnsi="Arial"/>
          <w:sz w:val="16"/>
          <w:szCs w:val="16"/>
          <w:b w:val="1"/>
          <w:bCs w:val="1"/>
          <w:color w:val="42423F"/>
        </w:rPr>
        <w:t xml:space="preserve"> </w:t>
      </w:r>
      <w:r>
        <w:rPr>
          <w:rFonts w:ascii="Arial" w:cs="Arial" w:eastAsia="Arial" w:hAnsi="Arial"/>
          <w:sz w:val="16"/>
          <w:szCs w:val="16"/>
          <w:color w:val="31312F"/>
        </w:rPr>
        <w:t>use</w:t>
      </w:r>
      <w:r>
        <w:rPr>
          <w:rFonts w:ascii="Arial" w:cs="Arial" w:eastAsia="Arial" w:hAnsi="Arial"/>
          <w:sz w:val="16"/>
          <w:szCs w:val="16"/>
          <w:b w:val="1"/>
          <w:bCs w:val="1"/>
          <w:color w:val="42423F"/>
        </w:rPr>
        <w:t xml:space="preserve"> </w:t>
      </w:r>
      <w:r>
        <w:rPr>
          <w:rFonts w:ascii="Arial" w:cs="Arial" w:eastAsia="Arial" w:hAnsi="Arial"/>
          <w:sz w:val="16"/>
          <w:szCs w:val="16"/>
          <w:color w:val="42423F"/>
        </w:rPr>
        <w:t>of a watercraft</w:t>
      </w:r>
      <w:r>
        <w:rPr>
          <w:rFonts w:ascii="Arial" w:cs="Arial" w:eastAsia="Arial" w:hAnsi="Arial"/>
          <w:sz w:val="16"/>
          <w:szCs w:val="16"/>
          <w:b w:val="1"/>
          <w:bCs w:val="1"/>
          <w:color w:val="42423F"/>
        </w:rPr>
        <w:t xml:space="preserve"> </w:t>
      </w:r>
      <w:r>
        <w:rPr>
          <w:rFonts w:ascii="Arial" w:cs="Arial" w:eastAsia="Arial" w:hAnsi="Arial"/>
          <w:sz w:val="16"/>
          <w:szCs w:val="16"/>
          <w:color w:val="31312F"/>
        </w:rPr>
        <w:t>by</w:t>
      </w:r>
      <w:r>
        <w:rPr>
          <w:rFonts w:ascii="Arial" w:cs="Arial" w:eastAsia="Arial" w:hAnsi="Arial"/>
          <w:sz w:val="16"/>
          <w:szCs w:val="16"/>
          <w:b w:val="1"/>
          <w:bCs w:val="1"/>
          <w:color w:val="42423F"/>
        </w:rPr>
        <w:t xml:space="preserve"> </w:t>
      </w:r>
      <w:r>
        <w:rPr>
          <w:rFonts w:ascii="Arial" w:cs="Arial" w:eastAsia="Arial" w:hAnsi="Arial"/>
          <w:sz w:val="16"/>
          <w:szCs w:val="16"/>
          <w:color w:val="42423F"/>
        </w:rPr>
        <w:t>any person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engaged by or employed by,</w:t>
      </w:r>
      <w:r>
        <w:rPr>
          <w:rFonts w:ascii="Arial" w:cs="Arial" w:eastAsia="Arial" w:hAnsi="Arial"/>
          <w:sz w:val="16"/>
          <w:szCs w:val="16"/>
          <w:b w:val="1"/>
          <w:bCs w:val="1"/>
          <w:color w:val="42423F"/>
        </w:rPr>
        <w:t xml:space="preserve"> </w:t>
      </w:r>
      <w:r>
        <w:rPr>
          <w:rFonts w:ascii="Arial" w:cs="Arial" w:eastAsia="Arial" w:hAnsi="Arial"/>
          <w:sz w:val="16"/>
          <w:szCs w:val="16"/>
          <w:color w:val="42423F"/>
        </w:rPr>
        <w:t>or is oper</w:t>
      </w:r>
      <w:r>
        <w:rPr>
          <w:rFonts w:ascii="Arial" w:cs="Arial" w:eastAsia="Arial" w:hAnsi="Arial"/>
          <w:sz w:val="16"/>
          <w:szCs w:val="16"/>
          <w:color w:val="5D5D5B"/>
        </w:rPr>
        <w:t>a</w:t>
      </w:r>
      <w:r>
        <w:rPr>
          <w:rFonts w:ascii="Arial" w:cs="Arial" w:eastAsia="Arial" w:hAnsi="Arial"/>
          <w:sz w:val="16"/>
          <w:szCs w:val="16"/>
          <w:color w:val="42423F"/>
        </w:rPr>
        <w:t xml:space="preserve">ting a marina, boat repair yard, shipyard, yacht club, boat sales agency, boat service station, or other similar organization. This exclusion does not apply </w:t>
      </w:r>
      <w:r>
        <w:rPr>
          <w:rFonts w:ascii="Arial" w:cs="Arial" w:eastAsia="Arial" w:hAnsi="Arial"/>
          <w:sz w:val="16"/>
          <w:szCs w:val="16"/>
          <w:color w:val="31312F"/>
        </w:rPr>
        <w:t>to</w:t>
      </w:r>
      <w:r>
        <w:rPr>
          <w:rFonts w:ascii="Arial" w:cs="Arial" w:eastAsia="Arial" w:hAnsi="Arial"/>
          <w:sz w:val="16"/>
          <w:szCs w:val="16"/>
          <w:color w:val="42423F"/>
        </w:rPr>
        <w:t xml:space="preserve"> damages arising out of </w:t>
      </w:r>
      <w:r>
        <w:rPr>
          <w:rFonts w:ascii="Arial" w:cs="Arial" w:eastAsia="Arial" w:hAnsi="Arial"/>
          <w:sz w:val="16"/>
          <w:szCs w:val="16"/>
          <w:color w:val="31312F"/>
        </w:rPr>
        <w:t>the</w:t>
      </w:r>
      <w:r>
        <w:rPr>
          <w:rFonts w:ascii="Arial" w:cs="Arial" w:eastAsia="Arial" w:hAnsi="Arial"/>
          <w:sz w:val="16"/>
          <w:szCs w:val="16"/>
          <w:color w:val="42423F"/>
        </w:rPr>
        <w:t xml:space="preserve"> ownership, maintenance, or use of a watercraft by you, a family member</w:t>
      </w:r>
      <w:r>
        <w:rPr>
          <w:rFonts w:ascii="Arial" w:cs="Arial" w:eastAsia="Arial" w:hAnsi="Arial"/>
          <w:sz w:val="16"/>
          <w:szCs w:val="16"/>
          <w:color w:val="5D5D5B"/>
        </w:rPr>
        <w:t>,</w:t>
      </w:r>
      <w:r>
        <w:rPr>
          <w:rFonts w:ascii="Arial" w:cs="Arial" w:eastAsia="Arial" w:hAnsi="Arial"/>
          <w:sz w:val="16"/>
          <w:szCs w:val="16"/>
          <w:color w:val="42423F"/>
        </w:rPr>
        <w:t xml:space="preserve"> or your or a family member</w:t>
      </w:r>
      <w:r>
        <w:rPr>
          <w:rFonts w:ascii="Arial" w:cs="Arial" w:eastAsia="Arial" w:hAnsi="Arial"/>
          <w:sz w:val="16"/>
          <w:szCs w:val="16"/>
          <w:color w:val="5D5D5B"/>
        </w:rPr>
        <w:t>'</w:t>
      </w:r>
      <w:r>
        <w:rPr>
          <w:rFonts w:ascii="Arial" w:cs="Arial" w:eastAsia="Arial" w:hAnsi="Arial"/>
          <w:sz w:val="16"/>
          <w:szCs w:val="16"/>
          <w:color w:val="42423F"/>
        </w:rPr>
        <w:t xml:space="preserve"> s captain or full </w:t>
      </w:r>
      <w:r>
        <w:rPr>
          <w:rFonts w:ascii="Arial" w:cs="Arial" w:eastAsia="Arial" w:hAnsi="Arial"/>
          <w:sz w:val="15"/>
          <w:szCs w:val="15"/>
          <w:color w:val="42423F"/>
        </w:rPr>
        <w:t>time</w:t>
      </w:r>
      <w:r>
        <w:rPr>
          <w:rFonts w:ascii="Arial" w:cs="Arial" w:eastAsia="Arial" w:hAnsi="Arial"/>
          <w:sz w:val="16"/>
          <w:szCs w:val="16"/>
          <w:color w:val="42423F"/>
        </w:rPr>
        <w:t xml:space="preserve"> paid crew member maintaining or </w:t>
      </w:r>
      <w:r>
        <w:rPr>
          <w:rFonts w:ascii="Arial" w:cs="Arial" w:eastAsia="Arial" w:hAnsi="Arial"/>
          <w:sz w:val="16"/>
          <w:szCs w:val="16"/>
          <w:color w:val="31312F"/>
        </w:rPr>
        <w:t>using</w:t>
      </w:r>
      <w:r>
        <w:rPr>
          <w:rFonts w:ascii="Arial" w:cs="Arial" w:eastAsia="Arial" w:hAnsi="Arial"/>
          <w:sz w:val="16"/>
          <w:szCs w:val="16"/>
          <w:color w:val="42423F"/>
        </w:rPr>
        <w:t xml:space="preserve"> this watercraft with permission from you or a family member.</w:t>
      </w:r>
    </w:p>
    <w:p>
      <w:pPr>
        <w:spacing w:after="0" w:line="141" w:lineRule="exact"/>
        <w:rPr>
          <w:sz w:val="20"/>
          <w:szCs w:val="20"/>
          <w:color w:val="auto"/>
        </w:rPr>
      </w:pPr>
    </w:p>
    <w:p>
      <w:pPr>
        <w:jc w:val="both"/>
        <w:ind w:left="140"/>
        <w:spacing w:after="0" w:line="298" w:lineRule="auto"/>
        <w:rPr>
          <w:sz w:val="20"/>
          <w:szCs w:val="20"/>
          <w:color w:val="auto"/>
        </w:rPr>
      </w:pPr>
      <w:r>
        <w:rPr>
          <w:rFonts w:ascii="Arial" w:cs="Arial" w:eastAsia="Arial" w:hAnsi="Arial"/>
          <w:sz w:val="16"/>
          <w:szCs w:val="16"/>
          <w:b w:val="1"/>
          <w:bCs w:val="1"/>
          <w:color w:val="42423F"/>
        </w:rPr>
        <w:t xml:space="preserve">Motorized land vehicle </w:t>
      </w:r>
      <w:r>
        <w:rPr>
          <w:rFonts w:ascii="Arial" w:cs="Arial" w:eastAsia="Arial" w:hAnsi="Arial"/>
          <w:sz w:val="16"/>
          <w:szCs w:val="16"/>
          <w:b w:val="1"/>
          <w:bCs w:val="1"/>
          <w:color w:val="31312F"/>
        </w:rPr>
        <w:t>and</w:t>
      </w:r>
      <w:r>
        <w:rPr>
          <w:rFonts w:ascii="Arial" w:cs="Arial" w:eastAsia="Arial" w:hAnsi="Arial"/>
          <w:sz w:val="16"/>
          <w:szCs w:val="16"/>
          <w:b w:val="1"/>
          <w:bCs w:val="1"/>
          <w:color w:val="42423F"/>
        </w:rPr>
        <w:t xml:space="preserve"> watercraft loading</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or organization, other</w:t>
      </w:r>
      <w:r>
        <w:rPr>
          <w:rFonts w:ascii="Arial" w:cs="Arial" w:eastAsia="Arial" w:hAnsi="Arial"/>
          <w:sz w:val="16"/>
          <w:szCs w:val="16"/>
          <w:b w:val="1"/>
          <w:bCs w:val="1"/>
          <w:color w:val="42423F"/>
        </w:rPr>
        <w:t xml:space="preserve"> </w:t>
      </w:r>
      <w:r>
        <w:rPr>
          <w:rFonts w:ascii="Arial" w:cs="Arial" w:eastAsia="Arial" w:hAnsi="Arial"/>
          <w:sz w:val="16"/>
          <w:szCs w:val="16"/>
          <w:color w:val="31312F"/>
        </w:rPr>
        <w:t>than</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or a family member or your or a family member</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 employees,</w:t>
      </w:r>
      <w:r>
        <w:rPr>
          <w:rFonts w:ascii="Arial" w:cs="Arial" w:eastAsia="Arial" w:hAnsi="Arial"/>
          <w:sz w:val="16"/>
          <w:szCs w:val="16"/>
          <w:b w:val="1"/>
          <w:bCs w:val="1"/>
          <w:color w:val="42423F"/>
        </w:rPr>
        <w:t xml:space="preserve"> </w:t>
      </w:r>
      <w:r>
        <w:rPr>
          <w:rFonts w:ascii="Arial" w:cs="Arial" w:eastAsia="Arial" w:hAnsi="Arial"/>
          <w:sz w:val="16"/>
          <w:szCs w:val="16"/>
          <w:color w:val="42423F"/>
        </w:rPr>
        <w:t>with respect to the loading or unloading of motorized land vehicles or watercraft.</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 xml:space="preserve">Workers' compensation or disability.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 covered person is legally:</w:t>
      </w:r>
    </w:p>
    <w:p>
      <w:pPr>
        <w:ind w:left="500" w:hanging="330"/>
        <w:spacing w:after="0" w:line="231" w:lineRule="auto"/>
        <w:tabs>
          <w:tab w:leader="none" w:pos="500" w:val="left"/>
        </w:tabs>
        <w:numPr>
          <w:ilvl w:val="0"/>
          <w:numId w:val="469"/>
        </w:numPr>
        <w:rPr>
          <w:rFonts w:ascii="Arial" w:cs="Arial" w:eastAsia="Arial" w:hAnsi="Arial"/>
          <w:sz w:val="16"/>
          <w:szCs w:val="16"/>
          <w:color w:val="42423F"/>
        </w:rPr>
      </w:pPr>
      <w:r>
        <w:rPr>
          <w:rFonts w:ascii="Arial" w:cs="Arial" w:eastAsia="Arial" w:hAnsi="Arial"/>
          <w:sz w:val="15"/>
          <w:szCs w:val="15"/>
          <w:color w:val="42423F"/>
        </w:rPr>
        <w:t xml:space="preserve">required </w:t>
      </w:r>
      <w:r>
        <w:rPr>
          <w:rFonts w:ascii="Arial" w:cs="Arial" w:eastAsia="Arial" w:hAnsi="Arial"/>
          <w:sz w:val="16"/>
          <w:szCs w:val="16"/>
          <w:color w:val="42423F"/>
        </w:rPr>
        <w:t>to provide; or</w:t>
      </w:r>
    </w:p>
    <w:p>
      <w:pPr>
        <w:ind w:left="180" w:right="9620" w:hanging="10"/>
        <w:spacing w:after="0" w:line="220" w:lineRule="auto"/>
        <w:tabs>
          <w:tab w:leader="none" w:pos="504" w:val="left"/>
        </w:tabs>
        <w:numPr>
          <w:ilvl w:val="0"/>
          <w:numId w:val="469"/>
        </w:numPr>
        <w:rPr>
          <w:rFonts w:ascii="Arial" w:cs="Arial" w:eastAsia="Arial" w:hAnsi="Arial"/>
          <w:sz w:val="16"/>
          <w:szCs w:val="16"/>
          <w:color w:val="auto"/>
        </w:rPr>
      </w:pPr>
      <w:r>
        <w:rPr>
          <w:rFonts w:ascii="Arial" w:cs="Arial" w:eastAsia="Arial" w:hAnsi="Arial"/>
          <w:sz w:val="16"/>
          <w:szCs w:val="16"/>
          <w:color w:val="42423F"/>
        </w:rPr>
        <w:t xml:space="preserve">voluntarily provides </w:t>
      </w:r>
      <w:r>
        <w:rPr>
          <w:rFonts w:ascii="Arial" w:cs="Arial" w:eastAsia="Arial" w:hAnsi="Arial"/>
          <w:sz w:val="16"/>
          <w:szCs w:val="16"/>
          <w:color w:val="31312F"/>
        </w:rPr>
        <w:t xml:space="preserve">under </w:t>
      </w:r>
      <w:r>
        <w:rPr>
          <w:rFonts w:ascii="Arial" w:cs="Arial" w:eastAsia="Arial" w:hAnsi="Arial"/>
          <w:sz w:val="16"/>
          <w:szCs w:val="16"/>
          <w:color w:val="42423F"/>
        </w:rPr>
        <w:t>any</w:t>
      </w:r>
      <w:r>
        <w:rPr>
          <w:rFonts w:ascii="Arial" w:cs="Arial" w:eastAsia="Arial" w:hAnsi="Arial"/>
          <w:sz w:val="16"/>
          <w:szCs w:val="16"/>
          <w:color w:val="5D5D5B"/>
        </w:rPr>
        <w:t>:</w:t>
      </w:r>
    </w:p>
    <w:p>
      <w:pPr>
        <w:ind w:left="500" w:hanging="330"/>
        <w:spacing w:after="0" w:line="229" w:lineRule="auto"/>
        <w:tabs>
          <w:tab w:leader="none" w:pos="500" w:val="left"/>
        </w:tabs>
        <w:numPr>
          <w:ilvl w:val="0"/>
          <w:numId w:val="469"/>
        </w:numPr>
        <w:rPr>
          <w:rFonts w:ascii="Arial" w:cs="Arial" w:eastAsia="Arial" w:hAnsi="Arial"/>
          <w:sz w:val="16"/>
          <w:szCs w:val="16"/>
          <w:color w:val="auto"/>
        </w:rPr>
      </w:pPr>
      <w:r>
        <w:rPr>
          <w:rFonts w:ascii="Arial" w:cs="Arial" w:eastAsia="Arial" w:hAnsi="Arial"/>
          <w:sz w:val="16"/>
          <w:szCs w:val="16"/>
          <w:color w:val="42423F"/>
        </w:rPr>
        <w:t>workers' compensation;</w:t>
      </w:r>
    </w:p>
    <w:p>
      <w:pPr>
        <w:ind w:left="500" w:hanging="330"/>
        <w:spacing w:after="0"/>
        <w:tabs>
          <w:tab w:leader="none" w:pos="500" w:val="left"/>
        </w:tabs>
        <w:numPr>
          <w:ilvl w:val="0"/>
          <w:numId w:val="469"/>
        </w:numPr>
        <w:rPr>
          <w:rFonts w:ascii="Arial" w:cs="Arial" w:eastAsia="Arial" w:hAnsi="Arial"/>
          <w:sz w:val="16"/>
          <w:szCs w:val="16"/>
          <w:color w:val="auto"/>
        </w:rPr>
      </w:pPr>
      <w:r>
        <w:rPr>
          <w:rFonts w:ascii="Arial" w:cs="Arial" w:eastAsia="Arial" w:hAnsi="Arial"/>
          <w:sz w:val="16"/>
          <w:szCs w:val="16"/>
          <w:color w:val="31312F"/>
        </w:rPr>
        <w:t xml:space="preserve">disability </w:t>
      </w:r>
      <w:r>
        <w:rPr>
          <w:rFonts w:ascii="Arial" w:cs="Arial" w:eastAsia="Arial" w:hAnsi="Arial"/>
          <w:sz w:val="16"/>
          <w:szCs w:val="16"/>
          <w:color w:val="42423F"/>
        </w:rPr>
        <w:t>benefits</w:t>
      </w:r>
      <w:r>
        <w:rPr>
          <w:rFonts w:ascii="Arial" w:cs="Arial" w:eastAsia="Arial" w:hAnsi="Arial"/>
          <w:sz w:val="16"/>
          <w:szCs w:val="16"/>
          <w:color w:val="5D5D5B"/>
        </w:rPr>
        <w:t>;</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69"/>
        </w:numPr>
        <w:rPr>
          <w:rFonts w:ascii="Arial" w:cs="Arial" w:eastAsia="Arial" w:hAnsi="Arial"/>
          <w:sz w:val="16"/>
          <w:szCs w:val="16"/>
          <w:color w:val="auto"/>
        </w:rPr>
      </w:pPr>
      <w:r>
        <w:rPr>
          <w:rFonts w:ascii="Arial" w:cs="Arial" w:eastAsia="Arial" w:hAnsi="Arial"/>
          <w:sz w:val="16"/>
          <w:szCs w:val="16"/>
          <w:color w:val="42423F"/>
        </w:rPr>
        <w:t>unemployment compensation; or</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69"/>
        </w:numPr>
        <w:rPr>
          <w:rFonts w:ascii="Arial" w:cs="Arial" w:eastAsia="Arial" w:hAnsi="Arial"/>
          <w:sz w:val="16"/>
          <w:szCs w:val="16"/>
          <w:color w:val="auto"/>
        </w:rPr>
      </w:pPr>
      <w:r>
        <w:rPr>
          <w:rFonts w:ascii="Arial" w:cs="Arial" w:eastAsia="Arial" w:hAnsi="Arial"/>
          <w:sz w:val="16"/>
          <w:szCs w:val="16"/>
          <w:color w:val="42423F"/>
        </w:rPr>
        <w:t>other similar laws</w:t>
      </w:r>
      <w:r>
        <w:rPr>
          <w:rFonts w:ascii="Arial" w:cs="Arial" w:eastAsia="Arial" w:hAnsi="Arial"/>
          <w:sz w:val="16"/>
          <w:szCs w:val="16"/>
          <w:color w:val="5D5D5B"/>
        </w:rPr>
        <w:t>.</w:t>
      </w:r>
    </w:p>
    <w:p>
      <w:pPr>
        <w:spacing w:after="0" w:line="113" w:lineRule="exact"/>
        <w:rPr>
          <w:sz w:val="20"/>
          <w:szCs w:val="20"/>
          <w:color w:val="auto"/>
        </w:rPr>
      </w:pPr>
    </w:p>
    <w:p>
      <w:pPr>
        <w:ind w:left="120" w:firstLine="13"/>
        <w:spacing w:after="0" w:line="310" w:lineRule="auto"/>
        <w:rPr>
          <w:sz w:val="20"/>
          <w:szCs w:val="20"/>
          <w:color w:val="auto"/>
        </w:rPr>
      </w:pPr>
      <w:r>
        <w:rPr>
          <w:rFonts w:ascii="Arial" w:cs="Arial" w:eastAsia="Arial" w:hAnsi="Arial"/>
          <w:sz w:val="15"/>
          <w:szCs w:val="15"/>
          <w:color w:val="42423F"/>
        </w:rPr>
        <w:t xml:space="preserve">But we do provide coverage in excess over any other insurance for damages you or a family member is </w:t>
      </w:r>
      <w:r>
        <w:rPr>
          <w:rFonts w:ascii="Arial" w:cs="Arial" w:eastAsia="Arial" w:hAnsi="Arial"/>
          <w:sz w:val="15"/>
          <w:szCs w:val="15"/>
          <w:color w:val="31312F"/>
        </w:rPr>
        <w:t>legally</w:t>
      </w:r>
      <w:r>
        <w:rPr>
          <w:rFonts w:ascii="Arial" w:cs="Arial" w:eastAsia="Arial" w:hAnsi="Arial"/>
          <w:sz w:val="15"/>
          <w:szCs w:val="15"/>
          <w:color w:val="42423F"/>
        </w:rPr>
        <w:t xml:space="preserve"> required to pay for </w:t>
      </w:r>
      <w:r>
        <w:rPr>
          <w:rFonts w:ascii="Arial" w:cs="Arial" w:eastAsia="Arial" w:hAnsi="Arial"/>
          <w:sz w:val="15"/>
          <w:szCs w:val="15"/>
          <w:color w:val="31312F"/>
        </w:rPr>
        <w:t>bodily</w:t>
      </w:r>
      <w:r>
        <w:rPr>
          <w:rFonts w:ascii="Arial" w:cs="Arial" w:eastAsia="Arial" w:hAnsi="Arial"/>
          <w:sz w:val="15"/>
          <w:szCs w:val="15"/>
          <w:color w:val="42423F"/>
        </w:rPr>
        <w:t xml:space="preserve"> injury to a domestic employee of a </w:t>
      </w:r>
      <w:r>
        <w:rPr>
          <w:rFonts w:ascii="Arial" w:cs="Arial" w:eastAsia="Arial" w:hAnsi="Arial"/>
          <w:sz w:val="15"/>
          <w:szCs w:val="15"/>
          <w:color w:val="31312F"/>
        </w:rPr>
        <w:t xml:space="preserve">residence </w:t>
      </w:r>
      <w:r>
        <w:rPr>
          <w:rFonts w:ascii="Arial" w:cs="Arial" w:eastAsia="Arial" w:hAnsi="Arial"/>
          <w:sz w:val="15"/>
          <w:szCs w:val="15"/>
          <w:color w:val="42423F"/>
        </w:rPr>
        <w:t>covered under the Required</w:t>
      </w:r>
      <w:r>
        <w:rPr>
          <w:rFonts w:ascii="Arial" w:cs="Arial" w:eastAsia="Arial" w:hAnsi="Arial"/>
          <w:sz w:val="15"/>
          <w:szCs w:val="15"/>
          <w:color w:val="31312F"/>
        </w:rPr>
        <w:t xml:space="preserve"> </w:t>
      </w:r>
      <w:r>
        <w:rPr>
          <w:rFonts w:ascii="Arial" w:cs="Arial" w:eastAsia="Arial" w:hAnsi="Arial"/>
          <w:sz w:val="14"/>
          <w:szCs w:val="14"/>
          <w:color w:val="42423F"/>
        </w:rPr>
        <w:t>Primary</w:t>
      </w:r>
      <w:r>
        <w:rPr>
          <w:rFonts w:ascii="Arial" w:cs="Arial" w:eastAsia="Arial" w:hAnsi="Arial"/>
          <w:sz w:val="15"/>
          <w:szCs w:val="15"/>
          <w:color w:val="31312F"/>
        </w:rPr>
        <w:t xml:space="preserve"> </w:t>
      </w:r>
      <w:r>
        <w:rPr>
          <w:rFonts w:ascii="Arial" w:cs="Arial" w:eastAsia="Arial" w:hAnsi="Arial"/>
          <w:sz w:val="15"/>
          <w:szCs w:val="15"/>
          <w:color w:val="42423F"/>
        </w:rPr>
        <w:t>Underlying Insurance which</w:t>
      </w:r>
      <w:r>
        <w:rPr>
          <w:rFonts w:ascii="Arial" w:cs="Arial" w:eastAsia="Arial" w:hAnsi="Arial"/>
          <w:sz w:val="15"/>
          <w:szCs w:val="15"/>
          <w:color w:val="31312F"/>
        </w:rPr>
        <w:t xml:space="preserve"> are </w:t>
      </w:r>
      <w:r>
        <w:rPr>
          <w:rFonts w:ascii="Arial" w:cs="Arial" w:eastAsia="Arial" w:hAnsi="Arial"/>
          <w:sz w:val="15"/>
          <w:szCs w:val="15"/>
          <w:color w:val="42423F"/>
        </w:rPr>
        <w:t>not compensable under workers</w:t>
      </w:r>
      <w:r>
        <w:rPr>
          <w:rFonts w:ascii="Arial" w:cs="Arial" w:eastAsia="Arial" w:hAnsi="Arial"/>
          <w:sz w:val="15"/>
          <w:szCs w:val="15"/>
          <w:color w:val="5D5D5B"/>
        </w:rPr>
        <w:t>'</w:t>
      </w:r>
      <w:r>
        <w:rPr>
          <w:rFonts w:ascii="Arial" w:cs="Arial" w:eastAsia="Arial" w:hAnsi="Arial"/>
          <w:sz w:val="15"/>
          <w:szCs w:val="15"/>
          <w:color w:val="31312F"/>
        </w:rPr>
        <w:t xml:space="preserve"> </w:t>
      </w:r>
      <w:r>
        <w:rPr>
          <w:rFonts w:ascii="Arial" w:cs="Arial" w:eastAsia="Arial" w:hAnsi="Arial"/>
          <w:sz w:val="15"/>
          <w:szCs w:val="15"/>
          <w:color w:val="42423F"/>
        </w:rPr>
        <w:t>compensation, unless another exclusion applies</w:t>
      </w:r>
      <w:r>
        <w:rPr>
          <w:rFonts w:ascii="Arial" w:cs="Arial" w:eastAsia="Arial" w:hAnsi="Arial"/>
          <w:sz w:val="15"/>
          <w:szCs w:val="15"/>
          <w:color w:val="5D5D5B"/>
        </w:rPr>
        <w:t>.</w:t>
      </w:r>
    </w:p>
    <w:p>
      <w:pPr>
        <w:spacing w:after="0" w:line="91"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b w:val="1"/>
          <w:bCs w:val="1"/>
          <w:color w:val="42423F"/>
        </w:rPr>
        <w:t xml:space="preserve">Director's liability. </w:t>
      </w:r>
      <w:r>
        <w:rPr>
          <w:rFonts w:ascii="Arial" w:cs="Arial" w:eastAsia="Arial" w:hAnsi="Arial"/>
          <w:sz w:val="16"/>
          <w:szCs w:val="16"/>
          <w:color w:val="42423F"/>
        </w:rPr>
        <w:t>We do not cover any damages for any covered person</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 actions or failure to act as an officer or member of a board of directors of any corporation or</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organization. However, we do cover such damages </w:t>
      </w:r>
      <w:r>
        <w:rPr>
          <w:rFonts w:ascii="Arial" w:cs="Arial" w:eastAsia="Arial" w:hAnsi="Arial"/>
          <w:sz w:val="15"/>
          <w:szCs w:val="15"/>
          <w:color w:val="42423F"/>
        </w:rPr>
        <w:t>if</w:t>
      </w:r>
      <w:r>
        <w:rPr>
          <w:rFonts w:ascii="Arial" w:cs="Arial" w:eastAsia="Arial" w:hAnsi="Arial"/>
          <w:sz w:val="16"/>
          <w:szCs w:val="16"/>
          <w:color w:val="42423F"/>
        </w:rPr>
        <w:t xml:space="preserve"> you are or a family member </w:t>
      </w:r>
      <w:r>
        <w:rPr>
          <w:rFonts w:ascii="Arial" w:cs="Arial" w:eastAsia="Arial" w:hAnsi="Arial"/>
          <w:sz w:val="16"/>
          <w:szCs w:val="16"/>
          <w:color w:val="5D5D5B"/>
        </w:rPr>
        <w:t>i</w:t>
      </w:r>
      <w:r>
        <w:rPr>
          <w:rFonts w:ascii="Arial" w:cs="Arial" w:eastAsia="Arial" w:hAnsi="Arial"/>
          <w:sz w:val="16"/>
          <w:szCs w:val="16"/>
          <w:color w:val="42423F"/>
        </w:rPr>
        <w:t xml:space="preserve">s an officer or member of a board of directors of </w:t>
      </w:r>
      <w:r>
        <w:rPr>
          <w:rFonts w:ascii="Arial" w:cs="Arial" w:eastAsia="Arial" w:hAnsi="Arial"/>
          <w:sz w:val="14"/>
          <w:szCs w:val="14"/>
          <w:color w:val="42423F"/>
        </w:rPr>
        <w:t>a:</w:t>
      </w:r>
    </w:p>
    <w:p>
      <w:pPr>
        <w:spacing w:after="0" w:line="1" w:lineRule="exact"/>
        <w:rPr>
          <w:sz w:val="20"/>
          <w:szCs w:val="20"/>
          <w:color w:val="auto"/>
        </w:rPr>
      </w:pPr>
    </w:p>
    <w:p>
      <w:pPr>
        <w:ind w:left="500" w:hanging="330"/>
        <w:spacing w:after="0"/>
        <w:tabs>
          <w:tab w:leader="none" w:pos="500" w:val="left"/>
        </w:tabs>
        <w:numPr>
          <w:ilvl w:val="0"/>
          <w:numId w:val="470"/>
        </w:numPr>
        <w:rPr>
          <w:rFonts w:ascii="Arial" w:cs="Arial" w:eastAsia="Arial" w:hAnsi="Arial"/>
          <w:sz w:val="16"/>
          <w:szCs w:val="16"/>
          <w:color w:val="auto"/>
        </w:rPr>
      </w:pPr>
      <w:r>
        <w:rPr>
          <w:rFonts w:ascii="Arial" w:cs="Arial" w:eastAsia="Arial" w:hAnsi="Arial"/>
          <w:sz w:val="16"/>
          <w:szCs w:val="16"/>
          <w:color w:val="42423F"/>
        </w:rPr>
        <w:t>homeowner, condominium or cooperative association</w:t>
      </w:r>
      <w:r>
        <w:rPr>
          <w:rFonts w:ascii="Arial" w:cs="Arial" w:eastAsia="Arial" w:hAnsi="Arial"/>
          <w:sz w:val="16"/>
          <w:szCs w:val="16"/>
          <w:color w:val="5D5D5B"/>
        </w:rPr>
        <w:t>;</w:t>
      </w:r>
      <w:r>
        <w:rPr>
          <w:rFonts w:ascii="Arial" w:cs="Arial" w:eastAsia="Arial" w:hAnsi="Arial"/>
          <w:sz w:val="16"/>
          <w:szCs w:val="16"/>
          <w:color w:val="42423F"/>
        </w:rPr>
        <w:t xml:space="preserve"> or</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70"/>
        </w:numPr>
        <w:rPr>
          <w:rFonts w:ascii="Arial" w:cs="Arial" w:eastAsia="Arial" w:hAnsi="Arial"/>
          <w:sz w:val="16"/>
          <w:szCs w:val="16"/>
          <w:color w:val="auto"/>
        </w:rPr>
      </w:pPr>
      <w:r>
        <w:rPr>
          <w:rFonts w:ascii="Arial" w:cs="Arial" w:eastAsia="Arial" w:hAnsi="Arial"/>
          <w:sz w:val="16"/>
          <w:szCs w:val="16"/>
          <w:color w:val="42423F"/>
        </w:rPr>
        <w:t xml:space="preserve">not for profit corporation or organization for which he or she is not compensated; </w:t>
      </w:r>
      <w:r>
        <w:rPr>
          <w:rFonts w:ascii="Arial" w:cs="Arial" w:eastAsia="Arial" w:hAnsi="Arial"/>
          <w:sz w:val="16"/>
          <w:szCs w:val="16"/>
          <w:color w:val="31312F"/>
        </w:rPr>
        <w:t>unless</w:t>
      </w:r>
      <w:r>
        <w:rPr>
          <w:rFonts w:ascii="Arial" w:cs="Arial" w:eastAsia="Arial" w:hAnsi="Arial"/>
          <w:sz w:val="16"/>
          <w:szCs w:val="16"/>
          <w:color w:val="42423F"/>
        </w:rPr>
        <w:t xml:space="preserve"> another exclusion applies</w:t>
      </w:r>
      <w:r>
        <w:rPr>
          <w:rFonts w:ascii="Arial" w:cs="Arial" w:eastAsia="Arial" w:hAnsi="Arial"/>
          <w:sz w:val="16"/>
          <w:szCs w:val="16"/>
          <w:color w:val="5D5D5B"/>
        </w:rPr>
        <w: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Damage to covered person's property</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for property damage to property owned by any covered person.</w:t>
      </w:r>
    </w:p>
    <w:p>
      <w:pPr>
        <w:spacing w:after="0" w:line="99" w:lineRule="exact"/>
        <w:rPr>
          <w:sz w:val="20"/>
          <w:szCs w:val="20"/>
          <w:color w:val="auto"/>
        </w:rPr>
      </w:pPr>
    </w:p>
    <w:p>
      <w:pPr>
        <w:jc w:val="both"/>
        <w:ind w:left="140"/>
        <w:spacing w:after="0" w:line="290" w:lineRule="auto"/>
        <w:rPr>
          <w:sz w:val="20"/>
          <w:szCs w:val="20"/>
          <w:color w:val="auto"/>
        </w:rPr>
      </w:pPr>
      <w:r>
        <w:rPr>
          <w:rFonts w:ascii="Arial" w:cs="Arial" w:eastAsia="Arial" w:hAnsi="Arial"/>
          <w:sz w:val="16"/>
          <w:szCs w:val="16"/>
          <w:b w:val="1"/>
          <w:bCs w:val="1"/>
          <w:color w:val="42423F"/>
        </w:rPr>
        <w:t xml:space="preserve">Damage to property </w:t>
      </w:r>
      <w:r>
        <w:rPr>
          <w:rFonts w:ascii="Arial" w:cs="Arial" w:eastAsia="Arial" w:hAnsi="Arial"/>
          <w:sz w:val="18"/>
          <w:szCs w:val="18"/>
          <w:color w:val="42423F"/>
        </w:rPr>
        <w:t>in</w:t>
      </w:r>
      <w:r>
        <w:rPr>
          <w:rFonts w:ascii="Arial" w:cs="Arial" w:eastAsia="Arial" w:hAnsi="Arial"/>
          <w:sz w:val="16"/>
          <w:szCs w:val="16"/>
          <w:b w:val="1"/>
          <w:bCs w:val="1"/>
          <w:color w:val="42423F"/>
        </w:rPr>
        <w:t xml:space="preserve"> your care. </w:t>
      </w:r>
      <w:r>
        <w:rPr>
          <w:rFonts w:ascii="Arial" w:cs="Arial" w:eastAsia="Arial" w:hAnsi="Arial"/>
          <w:sz w:val="16"/>
          <w:szCs w:val="16"/>
          <w:color w:val="42423F"/>
        </w:rPr>
        <w:t>We do not cover any person for property damage to property rented to, occupied by</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used by, or</w:t>
      </w:r>
      <w:r>
        <w:rPr>
          <w:rFonts w:ascii="Arial" w:cs="Arial" w:eastAsia="Arial" w:hAnsi="Arial"/>
          <w:sz w:val="16"/>
          <w:szCs w:val="16"/>
          <w:b w:val="1"/>
          <w:bCs w:val="1"/>
          <w:color w:val="42423F"/>
        </w:rPr>
        <w:t xml:space="preserve"> </w:t>
      </w:r>
      <w:r>
        <w:rPr>
          <w:rFonts w:ascii="Arial" w:cs="Arial" w:eastAsia="Arial" w:hAnsi="Arial"/>
          <w:sz w:val="16"/>
          <w:szCs w:val="16"/>
          <w:color w:val="31312F"/>
        </w:rPr>
        <w:t>in</w:t>
      </w:r>
      <w:r>
        <w:rPr>
          <w:rFonts w:ascii="Arial" w:cs="Arial" w:eastAsia="Arial" w:hAnsi="Arial"/>
          <w:sz w:val="16"/>
          <w:szCs w:val="16"/>
          <w:b w:val="1"/>
          <w:bCs w:val="1"/>
          <w:color w:val="42423F"/>
        </w:rPr>
        <w:t xml:space="preserve"> </w:t>
      </w:r>
      <w:r>
        <w:rPr>
          <w:rFonts w:ascii="Arial" w:cs="Arial" w:eastAsia="Arial" w:hAnsi="Arial"/>
          <w:sz w:val="16"/>
          <w:szCs w:val="16"/>
          <w:color w:val="42423F"/>
        </w:rPr>
        <w:t>the care of any covered person, to the</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extent that the covered person is required by contract to provide insurance. But we </w:t>
      </w:r>
      <w:r>
        <w:rPr>
          <w:rFonts w:ascii="Arial" w:cs="Arial" w:eastAsia="Arial" w:hAnsi="Arial"/>
          <w:sz w:val="16"/>
          <w:szCs w:val="16"/>
          <w:color w:val="31312F"/>
        </w:rPr>
        <w:t>do</w:t>
      </w:r>
      <w:r>
        <w:rPr>
          <w:rFonts w:ascii="Arial" w:cs="Arial" w:eastAsia="Arial" w:hAnsi="Arial"/>
          <w:sz w:val="16"/>
          <w:szCs w:val="16"/>
          <w:color w:val="42423F"/>
        </w:rPr>
        <w:t xml:space="preserve"> cover such damages for loss caused by fire, smoke, or explosion unless another </w:t>
      </w:r>
      <w:r>
        <w:rPr>
          <w:rFonts w:ascii="Arial" w:cs="Arial" w:eastAsia="Arial" w:hAnsi="Arial"/>
          <w:sz w:val="16"/>
          <w:szCs w:val="16"/>
          <w:color w:val="31312F"/>
        </w:rPr>
        <w:t xml:space="preserve">exclusion </w:t>
      </w:r>
      <w:r>
        <w:rPr>
          <w:rFonts w:ascii="Arial" w:cs="Arial" w:eastAsia="Arial" w:hAnsi="Arial"/>
          <w:sz w:val="16"/>
          <w:szCs w:val="16"/>
          <w:color w:val="42423F"/>
        </w:rPr>
        <w:t>applies.</w:t>
      </w:r>
    </w:p>
    <w:p>
      <w:pPr>
        <w:spacing w:after="0" w:line="35"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2423F"/>
        </w:rPr>
        <w:t xml:space="preserve">Wrongful employment act.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arising ou</w:t>
      </w:r>
      <w:r>
        <w:rPr>
          <w:rFonts w:ascii="Arial" w:cs="Arial" w:eastAsia="Arial" w:hAnsi="Arial"/>
          <w:sz w:val="16"/>
          <w:szCs w:val="16"/>
          <w:color w:val="5D5D5B"/>
        </w:rPr>
        <w:t>t</w:t>
      </w:r>
      <w:r>
        <w:rPr>
          <w:rFonts w:ascii="Arial" w:cs="Arial" w:eastAsia="Arial" w:hAnsi="Arial"/>
          <w:sz w:val="16"/>
          <w:szCs w:val="16"/>
          <w:b w:val="1"/>
          <w:bCs w:val="1"/>
          <w:color w:val="42423F"/>
        </w:rPr>
        <w:t xml:space="preserve"> </w:t>
      </w:r>
      <w:r>
        <w:rPr>
          <w:rFonts w:ascii="Arial" w:cs="Arial" w:eastAsia="Arial" w:hAnsi="Arial"/>
          <w:sz w:val="16"/>
          <w:szCs w:val="16"/>
          <w:color w:val="42423F"/>
        </w:rPr>
        <w:t>o</w:t>
      </w:r>
      <w:r>
        <w:rPr>
          <w:rFonts w:ascii="Arial" w:cs="Arial" w:eastAsia="Arial" w:hAnsi="Arial"/>
          <w:sz w:val="16"/>
          <w:szCs w:val="16"/>
          <w:color w:val="5D5D5B"/>
        </w:rPr>
        <w:t>f</w:t>
      </w:r>
      <w:r>
        <w:rPr>
          <w:rFonts w:ascii="Arial" w:cs="Arial" w:eastAsia="Arial" w:hAnsi="Arial"/>
          <w:sz w:val="16"/>
          <w:szCs w:val="16"/>
          <w:b w:val="1"/>
          <w:bCs w:val="1"/>
          <w:color w:val="42423F"/>
        </w:rPr>
        <w:t xml:space="preserve"> </w:t>
      </w:r>
      <w:r>
        <w:rPr>
          <w:rFonts w:ascii="Arial" w:cs="Arial" w:eastAsia="Arial" w:hAnsi="Arial"/>
          <w:sz w:val="16"/>
          <w:szCs w:val="16"/>
          <w:color w:val="42423F"/>
        </w:rPr>
        <w:t>a wrongful employment act. A wrongful employment act means any employment discrimination,</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sexual harassment, or wrongful termination of any residential staff actually or allegedly committed or attempted by a covered person while acting in </w:t>
      </w:r>
      <w:r>
        <w:rPr>
          <w:rFonts w:ascii="Arial" w:cs="Arial" w:eastAsia="Arial" w:hAnsi="Arial"/>
          <w:sz w:val="16"/>
          <w:szCs w:val="16"/>
          <w:color w:val="31312F"/>
        </w:rPr>
        <w:t>the</w:t>
      </w:r>
      <w:r>
        <w:rPr>
          <w:rFonts w:ascii="Arial" w:cs="Arial" w:eastAsia="Arial" w:hAnsi="Arial"/>
          <w:sz w:val="16"/>
          <w:szCs w:val="16"/>
          <w:color w:val="42423F"/>
        </w:rPr>
        <w:t xml:space="preserve"> capacity as an employer, that violates applicable </w:t>
      </w:r>
      <w:r>
        <w:rPr>
          <w:rFonts w:ascii="Arial" w:cs="Arial" w:eastAsia="Arial" w:hAnsi="Arial"/>
          <w:sz w:val="16"/>
          <w:szCs w:val="16"/>
          <w:color w:val="5D5D5B"/>
        </w:rPr>
        <w:t>e</w:t>
      </w:r>
      <w:r>
        <w:rPr>
          <w:rFonts w:ascii="Arial" w:cs="Arial" w:eastAsia="Arial" w:hAnsi="Arial"/>
          <w:sz w:val="16"/>
          <w:szCs w:val="16"/>
          <w:color w:val="42423F"/>
        </w:rPr>
        <w:t>mployment law of any federal, state, or local statute, regulation, ordinance, or common law of the United States of America, its territories or possessions</w:t>
      </w:r>
      <w:r>
        <w:rPr>
          <w:rFonts w:ascii="Arial" w:cs="Arial" w:eastAsia="Arial" w:hAnsi="Arial"/>
          <w:sz w:val="16"/>
          <w:szCs w:val="16"/>
          <w:color w:val="5D5D5B"/>
        </w:rPr>
        <w:t>,</w:t>
      </w:r>
      <w:r>
        <w:rPr>
          <w:rFonts w:ascii="Arial" w:cs="Arial" w:eastAsia="Arial" w:hAnsi="Arial"/>
          <w:sz w:val="16"/>
          <w:szCs w:val="16"/>
          <w:color w:val="42423F"/>
        </w:rPr>
        <w:t xml:space="preserve"> or Puerto Rico</w:t>
      </w:r>
      <w:r>
        <w:rPr>
          <w:rFonts w:ascii="Arial" w:cs="Arial" w:eastAsia="Arial" w:hAnsi="Arial"/>
          <w:sz w:val="16"/>
          <w:szCs w:val="16"/>
          <w:color w:val="5D5D5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9 of 15</w:t>
      </w:r>
    </w:p>
    <w:p>
      <w:pPr>
        <w:sectPr>
          <w:pgSz w:w="11900" w:h="16838" w:orient="portrait"/>
          <w:cols w:equalWidth="0" w:num="1">
            <w:col w:w="11420"/>
          </w:cols>
          <w:pgMar w:left="240" w:top="431" w:right="239" w:bottom="1440" w:gutter="0" w:footer="0" w:header="0"/>
        </w:sectPr>
      </w:pPr>
    </w:p>
    <w:bookmarkStart w:id="299" w:name="page300"/>
    <w:bookmarkEnd w:id="299"/>
    <w:p>
      <w:pPr>
        <w:ind w:left="450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174625</wp:posOffset>
            </wp:positionH>
            <wp:positionV relativeFrom="page">
              <wp:posOffset>389255</wp:posOffset>
            </wp:positionV>
            <wp:extent cx="110617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Arial" w:cs="Arial" w:eastAsia="Arial" w:hAnsi="Arial"/>
          <w:sz w:val="22"/>
          <w:szCs w:val="22"/>
          <w:b w:val="1"/>
          <w:bCs w:val="1"/>
          <w:i w:val="1"/>
          <w:iCs w:val="1"/>
          <w:color w:val="363636"/>
        </w:rPr>
        <w:t>Exclusions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363636"/>
        </w:rPr>
        <w:t>(continued)</w:t>
      </w:r>
    </w:p>
    <w:p>
      <w:pPr>
        <w:spacing w:after="0" w:line="165" w:lineRule="exact"/>
        <w:rPr>
          <w:sz w:val="20"/>
          <w:szCs w:val="20"/>
          <w:color w:val="auto"/>
        </w:rPr>
      </w:pPr>
    </w:p>
    <w:p>
      <w:pPr>
        <w:jc w:val="both"/>
        <w:ind w:left="460"/>
        <w:spacing w:after="0" w:line="299" w:lineRule="auto"/>
        <w:rPr>
          <w:sz w:val="20"/>
          <w:szCs w:val="20"/>
          <w:color w:val="auto"/>
        </w:rPr>
      </w:pPr>
      <w:r>
        <w:rPr>
          <w:rFonts w:ascii="Arial" w:cs="Arial" w:eastAsia="Arial" w:hAnsi="Arial"/>
          <w:sz w:val="16"/>
          <w:szCs w:val="16"/>
          <w:b w:val="1"/>
          <w:bCs w:val="1"/>
          <w:color w:val="363636"/>
        </w:rPr>
        <w:t xml:space="preserve">Employment discrimination </w:t>
      </w:r>
      <w:r>
        <w:rPr>
          <w:rFonts w:ascii="Arial" w:cs="Arial" w:eastAsia="Arial" w:hAnsi="Arial"/>
          <w:sz w:val="16"/>
          <w:szCs w:val="16"/>
          <w:color w:val="363636"/>
        </w:rPr>
        <w:t>as it relates solely to a wrongful employment act means a violation of applicable employment discrimination law protecting any</w:t>
      </w:r>
      <w:r>
        <w:rPr>
          <w:rFonts w:ascii="Arial" w:cs="Arial" w:eastAsia="Arial" w:hAnsi="Arial"/>
          <w:sz w:val="16"/>
          <w:szCs w:val="16"/>
          <w:b w:val="1"/>
          <w:bCs w:val="1"/>
          <w:color w:val="363636"/>
        </w:rPr>
        <w:t xml:space="preserve"> </w:t>
      </w:r>
      <w:r>
        <w:rPr>
          <w:rFonts w:ascii="Arial" w:cs="Arial" w:eastAsia="Arial" w:hAnsi="Arial"/>
          <w:sz w:val="16"/>
          <w:szCs w:val="16"/>
          <w:color w:val="363636"/>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150" w:lineRule="exact"/>
        <w:rPr>
          <w:sz w:val="20"/>
          <w:szCs w:val="20"/>
          <w:color w:val="auto"/>
        </w:rPr>
      </w:pPr>
    </w:p>
    <w:p>
      <w:pPr>
        <w:ind w:left="460" w:right="60"/>
        <w:spacing w:after="0" w:line="272" w:lineRule="auto"/>
        <w:rPr>
          <w:sz w:val="20"/>
          <w:szCs w:val="20"/>
          <w:color w:val="auto"/>
        </w:rPr>
      </w:pPr>
      <w:r>
        <w:rPr>
          <w:rFonts w:ascii="Arial" w:cs="Arial" w:eastAsia="Arial" w:hAnsi="Arial"/>
          <w:sz w:val="16"/>
          <w:szCs w:val="16"/>
          <w:b w:val="1"/>
          <w:bCs w:val="1"/>
          <w:color w:val="363636"/>
        </w:rPr>
        <w:t xml:space="preserve">Sexual harassment </w:t>
      </w:r>
      <w:r>
        <w:rPr>
          <w:rFonts w:ascii="Arial" w:cs="Arial" w:eastAsia="Arial" w:hAnsi="Arial"/>
          <w:sz w:val="16"/>
          <w:szCs w:val="16"/>
          <w:color w:val="363636"/>
        </w:rPr>
        <w:t>as it relates solely to a wrongful employment act means unwelcome sexual advances, requests for sexual favors, or other conduct of a sexual nature</w:t>
      </w:r>
      <w:r>
        <w:rPr>
          <w:rFonts w:ascii="Arial" w:cs="Arial" w:eastAsia="Arial" w:hAnsi="Arial"/>
          <w:sz w:val="16"/>
          <w:szCs w:val="16"/>
          <w:b w:val="1"/>
          <w:bCs w:val="1"/>
          <w:color w:val="363636"/>
        </w:rPr>
        <w:t xml:space="preserve"> </w:t>
      </w:r>
      <w:r>
        <w:rPr>
          <w:rFonts w:ascii="Arial" w:cs="Arial" w:eastAsia="Arial" w:hAnsi="Arial"/>
          <w:sz w:val="16"/>
          <w:szCs w:val="16"/>
          <w:color w:val="363636"/>
        </w:rPr>
        <w:t>that:</w:t>
      </w:r>
    </w:p>
    <w:p>
      <w:pPr>
        <w:ind w:left="740" w:hanging="246"/>
        <w:spacing w:after="0" w:line="221" w:lineRule="auto"/>
        <w:tabs>
          <w:tab w:leader="none" w:pos="740" w:val="left"/>
        </w:tabs>
        <w:numPr>
          <w:ilvl w:val="0"/>
          <w:numId w:val="471"/>
        </w:numPr>
        <w:rPr>
          <w:rFonts w:ascii="Arial" w:cs="Arial" w:eastAsia="Arial" w:hAnsi="Arial"/>
          <w:sz w:val="20"/>
          <w:szCs w:val="20"/>
          <w:color w:val="auto"/>
        </w:rPr>
      </w:pPr>
      <w:r>
        <w:rPr>
          <w:rFonts w:ascii="Arial" w:cs="Arial" w:eastAsia="Arial" w:hAnsi="Arial"/>
          <w:sz w:val="16"/>
          <w:szCs w:val="16"/>
          <w:color w:val="363636"/>
        </w:rPr>
        <w:t>is made a condition of employment of any residential staff;</w:t>
      </w:r>
    </w:p>
    <w:p>
      <w:pPr>
        <w:spacing w:after="0" w:line="23" w:lineRule="exact"/>
        <w:rPr>
          <w:rFonts w:ascii="Arial" w:cs="Arial" w:eastAsia="Arial" w:hAnsi="Arial"/>
          <w:sz w:val="20"/>
          <w:szCs w:val="20"/>
          <w:color w:val="auto"/>
        </w:rPr>
      </w:pPr>
    </w:p>
    <w:p>
      <w:pPr>
        <w:ind w:left="740" w:hanging="246"/>
        <w:spacing w:after="0" w:line="200" w:lineRule="auto"/>
        <w:tabs>
          <w:tab w:leader="none" w:pos="740" w:val="left"/>
        </w:tabs>
        <w:numPr>
          <w:ilvl w:val="0"/>
          <w:numId w:val="471"/>
        </w:numPr>
        <w:rPr>
          <w:rFonts w:ascii="Arial" w:cs="Arial" w:eastAsia="Arial" w:hAnsi="Arial"/>
          <w:sz w:val="20"/>
          <w:szCs w:val="20"/>
          <w:color w:val="auto"/>
        </w:rPr>
      </w:pPr>
      <w:r>
        <w:rPr>
          <w:rFonts w:ascii="Arial" w:cs="Arial" w:eastAsia="Arial" w:hAnsi="Arial"/>
          <w:sz w:val="16"/>
          <w:szCs w:val="16"/>
          <w:color w:val="363636"/>
        </w:rPr>
        <w:t>is used as a basis for employment decisions;</w:t>
      </w:r>
    </w:p>
    <w:p>
      <w:pPr>
        <w:spacing w:after="0" w:line="24" w:lineRule="exact"/>
        <w:rPr>
          <w:rFonts w:ascii="Arial" w:cs="Arial" w:eastAsia="Arial" w:hAnsi="Arial"/>
          <w:sz w:val="20"/>
          <w:szCs w:val="20"/>
          <w:color w:val="auto"/>
        </w:rPr>
      </w:pPr>
    </w:p>
    <w:p>
      <w:pPr>
        <w:ind w:left="740" w:hanging="246"/>
        <w:spacing w:after="0" w:line="229" w:lineRule="auto"/>
        <w:tabs>
          <w:tab w:leader="none" w:pos="740" w:val="left"/>
        </w:tabs>
        <w:numPr>
          <w:ilvl w:val="0"/>
          <w:numId w:val="471"/>
        </w:numPr>
        <w:rPr>
          <w:rFonts w:ascii="Arial" w:cs="Arial" w:eastAsia="Arial" w:hAnsi="Arial"/>
          <w:sz w:val="20"/>
          <w:szCs w:val="20"/>
          <w:color w:val="auto"/>
        </w:rPr>
      </w:pPr>
      <w:r>
        <w:rPr>
          <w:rFonts w:ascii="Arial" w:cs="Arial" w:eastAsia="Arial" w:hAnsi="Arial"/>
          <w:sz w:val="16"/>
          <w:szCs w:val="16"/>
          <w:color w:val="363636"/>
        </w:rPr>
        <w:t>interferes with performance of any residential staff's duties; or</w:t>
      </w:r>
    </w:p>
    <w:p>
      <w:pPr>
        <w:spacing w:after="0" w:line="23" w:lineRule="exact"/>
        <w:rPr>
          <w:rFonts w:ascii="Arial" w:cs="Arial" w:eastAsia="Arial" w:hAnsi="Arial"/>
          <w:sz w:val="20"/>
          <w:szCs w:val="20"/>
          <w:color w:val="auto"/>
        </w:rPr>
      </w:pPr>
    </w:p>
    <w:p>
      <w:pPr>
        <w:ind w:left="740" w:hanging="246"/>
        <w:spacing w:after="0" w:line="229" w:lineRule="auto"/>
        <w:tabs>
          <w:tab w:leader="none" w:pos="740" w:val="left"/>
        </w:tabs>
        <w:numPr>
          <w:ilvl w:val="0"/>
          <w:numId w:val="471"/>
        </w:numPr>
        <w:rPr>
          <w:rFonts w:ascii="Arial" w:cs="Arial" w:eastAsia="Arial" w:hAnsi="Arial"/>
          <w:sz w:val="20"/>
          <w:szCs w:val="20"/>
          <w:color w:val="auto"/>
        </w:rPr>
      </w:pPr>
      <w:r>
        <w:rPr>
          <w:rFonts w:ascii="Arial" w:cs="Arial" w:eastAsia="Arial" w:hAnsi="Arial"/>
          <w:sz w:val="16"/>
          <w:szCs w:val="16"/>
          <w:color w:val="363636"/>
        </w:rPr>
        <w:t>creates an intimidating, hostile, or offensive working environment.</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Wrongful termination </w:t>
      </w:r>
      <w:r>
        <w:rPr>
          <w:rFonts w:ascii="Arial" w:cs="Arial" w:eastAsia="Arial" w:hAnsi="Arial"/>
          <w:sz w:val="16"/>
          <w:szCs w:val="16"/>
          <w:color w:val="363636"/>
        </w:rPr>
        <w:t>as it relates solely to a wrongful employment act means:</w:t>
      </w:r>
    </w:p>
    <w:p>
      <w:pPr>
        <w:spacing w:after="0" w:line="26" w:lineRule="exact"/>
        <w:rPr>
          <w:sz w:val="20"/>
          <w:szCs w:val="20"/>
          <w:color w:val="auto"/>
        </w:rPr>
      </w:pPr>
    </w:p>
    <w:p>
      <w:pPr>
        <w:ind w:left="760" w:hanging="306"/>
        <w:spacing w:after="0"/>
        <w:tabs>
          <w:tab w:leader="none" w:pos="760" w:val="left"/>
        </w:tabs>
        <w:numPr>
          <w:ilvl w:val="0"/>
          <w:numId w:val="472"/>
        </w:numPr>
        <w:rPr>
          <w:rFonts w:ascii="Arial" w:cs="Arial" w:eastAsia="Arial" w:hAnsi="Arial"/>
          <w:sz w:val="20"/>
          <w:szCs w:val="20"/>
          <w:color w:val="auto"/>
        </w:rPr>
      </w:pPr>
      <w:r>
        <w:rPr>
          <w:rFonts w:ascii="Arial" w:cs="Arial" w:eastAsia="Arial" w:hAnsi="Arial"/>
          <w:sz w:val="16"/>
          <w:szCs w:val="16"/>
          <w:color w:val="363636"/>
        </w:rPr>
        <w:t>the actual or constructive termination of employment of any residential staff by you or a family member in violation of applicable employment law; or</w:t>
      </w:r>
    </w:p>
    <w:p>
      <w:pPr>
        <w:spacing w:after="0" w:line="23" w:lineRule="exact"/>
        <w:rPr>
          <w:rFonts w:ascii="Arial" w:cs="Arial" w:eastAsia="Arial" w:hAnsi="Arial"/>
          <w:sz w:val="20"/>
          <w:szCs w:val="20"/>
          <w:color w:val="auto"/>
        </w:rPr>
      </w:pPr>
    </w:p>
    <w:p>
      <w:pPr>
        <w:ind w:left="760" w:hanging="306"/>
        <w:spacing w:after="0" w:line="215" w:lineRule="auto"/>
        <w:tabs>
          <w:tab w:leader="none" w:pos="760" w:val="left"/>
        </w:tabs>
        <w:numPr>
          <w:ilvl w:val="0"/>
          <w:numId w:val="472"/>
        </w:numPr>
        <w:rPr>
          <w:rFonts w:ascii="Arial" w:cs="Arial" w:eastAsia="Arial" w:hAnsi="Arial"/>
          <w:sz w:val="20"/>
          <w:szCs w:val="20"/>
          <w:color w:val="auto"/>
        </w:rPr>
      </w:pPr>
      <w:r>
        <w:rPr>
          <w:rFonts w:ascii="Arial" w:cs="Arial" w:eastAsia="Arial" w:hAnsi="Arial"/>
          <w:sz w:val="16"/>
          <w:szCs w:val="16"/>
          <w:color w:val="363636"/>
        </w:rPr>
        <w:t>breach of duty and care when you or a family member terminates an employment relationship with any residential staff.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Residential staff </w:t>
      </w:r>
      <w:r>
        <w:rPr>
          <w:rFonts w:ascii="Arial" w:cs="Arial" w:eastAsia="Arial" w:hAnsi="Arial"/>
          <w:sz w:val="16"/>
          <w:szCs w:val="16"/>
          <w:color w:val="363636"/>
        </w:rPr>
        <w:t>as it relates solely to</w:t>
      </w:r>
      <w:r>
        <w:rPr>
          <w:rFonts w:ascii="Arial" w:cs="Arial" w:eastAsia="Arial" w:hAnsi="Arial"/>
          <w:sz w:val="16"/>
          <w:szCs w:val="16"/>
          <w:b w:val="1"/>
          <w:bCs w:val="1"/>
          <w:color w:val="363636"/>
        </w:rPr>
        <w:t xml:space="preserve"> </w:t>
      </w:r>
      <w:r>
        <w:rPr>
          <w:rFonts w:ascii="Arial" w:cs="Arial" w:eastAsia="Arial" w:hAnsi="Arial"/>
          <w:sz w:val="16"/>
          <w:szCs w:val="16"/>
          <w:color w:val="4F4F4D"/>
        </w:rPr>
        <w:t>a</w:t>
      </w:r>
      <w:r>
        <w:rPr>
          <w:rFonts w:ascii="Arial" w:cs="Arial" w:eastAsia="Arial" w:hAnsi="Arial"/>
          <w:sz w:val="16"/>
          <w:szCs w:val="16"/>
          <w:b w:val="1"/>
          <w:bCs w:val="1"/>
          <w:color w:val="363636"/>
        </w:rPr>
        <w:t xml:space="preserve"> </w:t>
      </w:r>
      <w:r>
        <w:rPr>
          <w:rFonts w:ascii="Arial" w:cs="Arial" w:eastAsia="Arial" w:hAnsi="Arial"/>
          <w:sz w:val="16"/>
          <w:szCs w:val="16"/>
          <w:color w:val="363636"/>
        </w:rPr>
        <w:t>wrongful employment act means your or a family member's employee who is:</w:t>
      </w:r>
    </w:p>
    <w:p>
      <w:pPr>
        <w:spacing w:after="0" w:line="23" w:lineRule="exact"/>
        <w:rPr>
          <w:sz w:val="20"/>
          <w:szCs w:val="20"/>
          <w:color w:val="auto"/>
        </w:rPr>
      </w:pPr>
    </w:p>
    <w:p>
      <w:pPr>
        <w:ind w:left="740" w:right="400" w:hanging="246"/>
        <w:spacing w:after="0" w:line="268" w:lineRule="auto"/>
        <w:tabs>
          <w:tab w:leader="none" w:pos="740" w:val="left"/>
        </w:tabs>
        <w:numPr>
          <w:ilvl w:val="0"/>
          <w:numId w:val="473"/>
        </w:numPr>
        <w:rPr>
          <w:rFonts w:ascii="Arial" w:cs="Arial" w:eastAsia="Arial" w:hAnsi="Arial"/>
          <w:sz w:val="20"/>
          <w:szCs w:val="20"/>
          <w:color w:val="auto"/>
        </w:rPr>
      </w:pPr>
      <w:r>
        <w:rPr>
          <w:rFonts w:ascii="Arial" w:cs="Arial" w:eastAsia="Arial" w:hAnsi="Arial"/>
          <w:sz w:val="16"/>
          <w:szCs w:val="16"/>
          <w:color w:val="363636"/>
        </w:rPr>
        <w:t>employed by you or a family member, or through a firm under an agreement with you or a family member, to perform duties related only to a covered person's domestic, personal, or business pursuits covered under this part of your policy;</w:t>
      </w:r>
    </w:p>
    <w:p>
      <w:pPr>
        <w:ind w:left="740" w:hanging="246"/>
        <w:spacing w:after="0"/>
        <w:tabs>
          <w:tab w:leader="none" w:pos="740" w:val="left"/>
        </w:tabs>
        <w:numPr>
          <w:ilvl w:val="0"/>
          <w:numId w:val="473"/>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23" w:lineRule="exact"/>
        <w:rPr>
          <w:rFonts w:ascii="Arial" w:cs="Arial" w:eastAsia="Arial" w:hAnsi="Arial"/>
          <w:sz w:val="20"/>
          <w:szCs w:val="20"/>
          <w:color w:val="auto"/>
        </w:rPr>
      </w:pPr>
    </w:p>
    <w:p>
      <w:pPr>
        <w:ind w:left="740" w:hanging="246"/>
        <w:spacing w:after="0" w:line="229" w:lineRule="auto"/>
        <w:tabs>
          <w:tab w:leader="none" w:pos="740" w:val="left"/>
        </w:tabs>
        <w:numPr>
          <w:ilvl w:val="0"/>
          <w:numId w:val="473"/>
        </w:numPr>
        <w:rPr>
          <w:rFonts w:ascii="Arial" w:cs="Arial" w:eastAsia="Arial" w:hAnsi="Arial"/>
          <w:sz w:val="20"/>
          <w:szCs w:val="20"/>
          <w:color w:val="auto"/>
        </w:rPr>
      </w:pPr>
      <w:r>
        <w:rPr>
          <w:rFonts w:ascii="Arial" w:cs="Arial" w:eastAsia="Arial" w:hAnsi="Arial"/>
          <w:sz w:val="16"/>
          <w:szCs w:val="16"/>
          <w:color w:val="363636"/>
        </w:rPr>
        <w:t>employed regularly to work 15 or more hours per week.</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color w:val="363636"/>
        </w:rPr>
        <w:t>Residential staff includes a temporary worker. Residential staff does not include an independent contractor or any covered person.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Temporary worker </w:t>
      </w:r>
      <w:r>
        <w:rPr>
          <w:rFonts w:ascii="Arial" w:cs="Arial" w:eastAsia="Arial" w:hAnsi="Arial"/>
          <w:sz w:val="16"/>
          <w:szCs w:val="16"/>
          <w:color w:val="363636"/>
        </w:rPr>
        <w:t>as it relates solely to a wrongful employment act means your or a family member's employee who is:</w:t>
      </w:r>
    </w:p>
    <w:p>
      <w:pPr>
        <w:spacing w:after="0" w:line="36" w:lineRule="exact"/>
        <w:rPr>
          <w:sz w:val="20"/>
          <w:szCs w:val="20"/>
          <w:color w:val="auto"/>
        </w:rPr>
      </w:pPr>
    </w:p>
    <w:p>
      <w:pPr>
        <w:ind w:left="800" w:right="360" w:hanging="333"/>
        <w:spacing w:after="0" w:line="277" w:lineRule="auto"/>
        <w:tabs>
          <w:tab w:leader="none" w:pos="782" w:val="left"/>
        </w:tabs>
        <w:numPr>
          <w:ilvl w:val="0"/>
          <w:numId w:val="474"/>
        </w:numPr>
        <w:rPr>
          <w:rFonts w:ascii="Arial" w:cs="Arial" w:eastAsia="Arial" w:hAnsi="Arial"/>
          <w:sz w:val="20"/>
          <w:szCs w:val="20"/>
          <w:color w:val="auto"/>
        </w:rPr>
      </w:pPr>
      <w:r>
        <w:rPr>
          <w:rFonts w:ascii="Arial" w:cs="Arial" w:eastAsia="Arial" w:hAnsi="Arial"/>
          <w:sz w:val="16"/>
          <w:szCs w:val="16"/>
          <w:color w:val="363636"/>
        </w:rPr>
        <w:t xml:space="preserve">employed by you or </w:t>
      </w:r>
      <w:r>
        <w:rPr>
          <w:rFonts w:ascii="Arial" w:cs="Arial" w:eastAsia="Arial" w:hAnsi="Arial"/>
          <w:sz w:val="16"/>
          <w:szCs w:val="16"/>
          <w:color w:val="4F4F4D"/>
        </w:rPr>
        <w:t>a</w:t>
      </w:r>
      <w:r>
        <w:rPr>
          <w:rFonts w:ascii="Arial" w:cs="Arial" w:eastAsia="Arial" w:hAnsi="Arial"/>
          <w:sz w:val="16"/>
          <w:szCs w:val="16"/>
          <w:color w:val="363636"/>
        </w:rPr>
        <w:t xml:space="preserve"> family member, or through a firm under an agreement with you or a family member, to perform duties related only to a covered person's domestic, personal, or business pursuits covered under this part of your policy;</w:t>
      </w:r>
    </w:p>
    <w:p>
      <w:pPr>
        <w:ind w:left="780" w:hanging="313"/>
        <w:spacing w:after="0"/>
        <w:tabs>
          <w:tab w:leader="none" w:pos="780" w:val="left"/>
        </w:tabs>
        <w:numPr>
          <w:ilvl w:val="0"/>
          <w:numId w:val="474"/>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24" w:lineRule="exact"/>
        <w:rPr>
          <w:rFonts w:ascii="Arial" w:cs="Arial" w:eastAsia="Arial" w:hAnsi="Arial"/>
          <w:sz w:val="20"/>
          <w:szCs w:val="20"/>
          <w:color w:val="auto"/>
        </w:rPr>
      </w:pPr>
    </w:p>
    <w:p>
      <w:pPr>
        <w:ind w:left="800" w:hanging="333"/>
        <w:spacing w:after="0"/>
        <w:tabs>
          <w:tab w:leader="none" w:pos="800" w:val="left"/>
        </w:tabs>
        <w:numPr>
          <w:ilvl w:val="0"/>
          <w:numId w:val="474"/>
        </w:numPr>
        <w:rPr>
          <w:rFonts w:ascii="Arial" w:cs="Arial" w:eastAsia="Arial" w:hAnsi="Arial"/>
          <w:sz w:val="19"/>
          <w:szCs w:val="19"/>
          <w:color w:val="auto"/>
        </w:rPr>
      </w:pPr>
      <w:r>
        <w:rPr>
          <w:rFonts w:ascii="Arial" w:cs="Arial" w:eastAsia="Arial" w:hAnsi="Arial"/>
          <w:sz w:val="15"/>
          <w:szCs w:val="15"/>
          <w:color w:val="363636"/>
        </w:rPr>
        <w:t>employed to work 15 or more hours per week to substitute for any residential staff on leave or to meet seasonal or short- term workload demands for 30</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6"/>
          <w:szCs w:val="16"/>
          <w:color w:val="363636"/>
        </w:rPr>
        <w:t>consecutive days or longer during a 6 month period.</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363636"/>
        </w:rPr>
        <w:t>Temporary worker does not include an independent contractor or any covered person.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Discrimination. </w:t>
      </w:r>
      <w:r>
        <w:rPr>
          <w:rFonts w:ascii="Arial" w:cs="Arial" w:eastAsia="Arial" w:hAnsi="Arial"/>
          <w:sz w:val="16"/>
          <w:szCs w:val="16"/>
          <w:color w:val="363636"/>
        </w:rPr>
        <w:t>We do not cover any damages arising out of discrimination due to age, race, color, sex, creed, national origin, or any other discrimination.</w:t>
      </w:r>
    </w:p>
    <w:p>
      <w:pPr>
        <w:spacing w:after="0" w:line="208" w:lineRule="exact"/>
        <w:rPr>
          <w:sz w:val="20"/>
          <w:szCs w:val="20"/>
          <w:color w:val="auto"/>
        </w:rPr>
      </w:pPr>
    </w:p>
    <w:p>
      <w:pPr>
        <w:jc w:val="both"/>
        <w:ind w:left="500"/>
        <w:spacing w:after="0" w:line="275" w:lineRule="auto"/>
        <w:rPr>
          <w:sz w:val="20"/>
          <w:szCs w:val="20"/>
          <w:color w:val="auto"/>
        </w:rPr>
      </w:pPr>
      <w:r>
        <w:rPr>
          <w:rFonts w:ascii="Arial" w:cs="Arial" w:eastAsia="Arial" w:hAnsi="Arial"/>
          <w:sz w:val="16"/>
          <w:szCs w:val="16"/>
          <w:b w:val="1"/>
          <w:bCs w:val="1"/>
          <w:color w:val="363636"/>
        </w:rPr>
        <w:t xml:space="preserve">Intentional acts. </w:t>
      </w:r>
      <w:r>
        <w:rPr>
          <w:rFonts w:ascii="Arial" w:cs="Arial" w:eastAsia="Arial" w:hAnsi="Arial"/>
          <w:sz w:val="16"/>
          <w:szCs w:val="16"/>
          <w:color w:val="363636"/>
        </w:rPr>
        <w:t>We do not cover any damages arising out</w:t>
      </w:r>
      <w:r>
        <w:rPr>
          <w:rFonts w:ascii="Arial" w:cs="Arial" w:eastAsia="Arial" w:hAnsi="Arial"/>
          <w:sz w:val="16"/>
          <w:szCs w:val="16"/>
          <w:b w:val="1"/>
          <w:bCs w:val="1"/>
          <w:color w:val="363636"/>
        </w:rPr>
        <w:t xml:space="preserve"> </w:t>
      </w:r>
      <w:r>
        <w:rPr>
          <w:rFonts w:ascii="Arial" w:cs="Arial" w:eastAsia="Arial" w:hAnsi="Arial"/>
          <w:sz w:val="16"/>
          <w:szCs w:val="16"/>
          <w:color w:val="4F4F4D"/>
        </w:rPr>
        <w:t>of</w:t>
      </w:r>
      <w:r>
        <w:rPr>
          <w:rFonts w:ascii="Arial" w:cs="Arial" w:eastAsia="Arial" w:hAnsi="Arial"/>
          <w:sz w:val="16"/>
          <w:szCs w:val="16"/>
          <w:b w:val="1"/>
          <w:bCs w:val="1"/>
          <w:color w:val="363636"/>
        </w:rPr>
        <w:t xml:space="preserve"> </w:t>
      </w:r>
      <w:r>
        <w:rPr>
          <w:rFonts w:ascii="Arial" w:cs="Arial" w:eastAsia="Arial" w:hAnsi="Arial"/>
          <w:sz w:val="16"/>
          <w:szCs w:val="16"/>
          <w:color w:val="363636"/>
        </w:rPr>
        <w:t>a willful, malicious, fraudulent or dishonest act or any act intended by any covered person to cause</w:t>
      </w:r>
      <w:r>
        <w:rPr>
          <w:rFonts w:ascii="Arial" w:cs="Arial" w:eastAsia="Arial" w:hAnsi="Arial"/>
          <w:sz w:val="16"/>
          <w:szCs w:val="16"/>
          <w:b w:val="1"/>
          <w:bCs w:val="1"/>
          <w:color w:val="363636"/>
        </w:rPr>
        <w:t xml:space="preserve"> </w:t>
      </w:r>
      <w:r>
        <w:rPr>
          <w:rFonts w:ascii="Arial" w:cs="Arial" w:eastAsia="Arial" w:hAnsi="Arial"/>
          <w:sz w:val="16"/>
          <w:szCs w:val="16"/>
          <w:color w:val="363636"/>
        </w:rPr>
        <w:t>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Molestation, misconduct or abuse. </w:t>
      </w:r>
      <w:r>
        <w:rPr>
          <w:rFonts w:ascii="Arial" w:cs="Arial" w:eastAsia="Arial" w:hAnsi="Arial"/>
          <w:sz w:val="16"/>
          <w:szCs w:val="16"/>
          <w:color w:val="363636"/>
        </w:rPr>
        <w:t>We do not cover any damages arising out of any actual, alleged or threatened:</w:t>
      </w:r>
    </w:p>
    <w:p>
      <w:pPr>
        <w:spacing w:after="0" w:line="26" w:lineRule="exact"/>
        <w:rPr>
          <w:sz w:val="20"/>
          <w:szCs w:val="20"/>
          <w:color w:val="auto"/>
        </w:rPr>
      </w:pPr>
    </w:p>
    <w:p>
      <w:pPr>
        <w:ind w:left="820" w:hanging="326"/>
        <w:spacing w:after="0"/>
        <w:tabs>
          <w:tab w:leader="none" w:pos="820" w:val="left"/>
        </w:tabs>
        <w:numPr>
          <w:ilvl w:val="0"/>
          <w:numId w:val="475"/>
        </w:numPr>
        <w:rPr>
          <w:rFonts w:ascii="Arial" w:cs="Arial" w:eastAsia="Arial" w:hAnsi="Arial"/>
          <w:sz w:val="20"/>
          <w:szCs w:val="20"/>
          <w:color w:val="auto"/>
        </w:rPr>
      </w:pPr>
      <w:r>
        <w:rPr>
          <w:rFonts w:ascii="Arial" w:cs="Arial" w:eastAsia="Arial" w:hAnsi="Arial"/>
          <w:sz w:val="16"/>
          <w:szCs w:val="16"/>
          <w:color w:val="363636"/>
        </w:rPr>
        <w:t>sexual molestation;</w:t>
      </w:r>
    </w:p>
    <w:p>
      <w:pPr>
        <w:spacing w:after="0" w:line="23" w:lineRule="exact"/>
        <w:rPr>
          <w:rFonts w:ascii="Arial" w:cs="Arial" w:eastAsia="Arial" w:hAnsi="Arial"/>
          <w:sz w:val="20"/>
          <w:szCs w:val="20"/>
          <w:color w:val="auto"/>
        </w:rPr>
      </w:pPr>
    </w:p>
    <w:p>
      <w:pPr>
        <w:ind w:left="820" w:hanging="326"/>
        <w:spacing w:after="0" w:line="215" w:lineRule="auto"/>
        <w:tabs>
          <w:tab w:leader="none" w:pos="820" w:val="left"/>
        </w:tabs>
        <w:numPr>
          <w:ilvl w:val="0"/>
          <w:numId w:val="475"/>
        </w:numPr>
        <w:rPr>
          <w:rFonts w:ascii="Arial" w:cs="Arial" w:eastAsia="Arial" w:hAnsi="Arial"/>
          <w:sz w:val="20"/>
          <w:szCs w:val="20"/>
          <w:color w:val="auto"/>
        </w:rPr>
      </w:pPr>
      <w:r>
        <w:rPr>
          <w:rFonts w:ascii="Arial" w:cs="Arial" w:eastAsia="Arial" w:hAnsi="Arial"/>
          <w:sz w:val="16"/>
          <w:szCs w:val="16"/>
          <w:color w:val="363636"/>
        </w:rPr>
        <w:t>sexual misconduct or harassment; or</w:t>
      </w:r>
    </w:p>
    <w:p>
      <w:pPr>
        <w:spacing w:after="0" w:line="23" w:lineRule="exact"/>
        <w:rPr>
          <w:rFonts w:ascii="Arial" w:cs="Arial" w:eastAsia="Arial" w:hAnsi="Arial"/>
          <w:sz w:val="20"/>
          <w:szCs w:val="20"/>
          <w:color w:val="auto"/>
        </w:rPr>
      </w:pPr>
    </w:p>
    <w:p>
      <w:pPr>
        <w:ind w:left="820" w:hanging="326"/>
        <w:spacing w:after="0" w:line="229" w:lineRule="auto"/>
        <w:tabs>
          <w:tab w:leader="none" w:pos="820" w:val="left"/>
        </w:tabs>
        <w:numPr>
          <w:ilvl w:val="0"/>
          <w:numId w:val="475"/>
        </w:numPr>
        <w:rPr>
          <w:rFonts w:ascii="Arial" w:cs="Arial" w:eastAsia="Arial" w:hAnsi="Arial"/>
          <w:sz w:val="20"/>
          <w:szCs w:val="20"/>
          <w:color w:val="auto"/>
        </w:rPr>
      </w:pPr>
      <w:r>
        <w:rPr>
          <w:rFonts w:ascii="Arial" w:cs="Arial" w:eastAsia="Arial" w:hAnsi="Arial"/>
          <w:sz w:val="16"/>
          <w:szCs w:val="16"/>
          <w:color w:val="363636"/>
        </w:rPr>
        <w:t>abuse</w:t>
      </w:r>
      <w:r>
        <w:rPr>
          <w:rFonts w:ascii="Arial" w:cs="Arial" w:eastAsia="Arial" w:hAnsi="Arial"/>
          <w:sz w:val="16"/>
          <w:szCs w:val="16"/>
          <w:color w:val="7C7C7B"/>
        </w:rPr>
        <w:t>.</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363636"/>
        </w:rPr>
        <w:t xml:space="preserve">Nonpermissive use. </w:t>
      </w:r>
      <w:r>
        <w:rPr>
          <w:rFonts w:ascii="Arial" w:cs="Arial" w:eastAsia="Arial" w:hAnsi="Arial"/>
          <w:sz w:val="16"/>
          <w:szCs w:val="16"/>
          <w:color w:val="363636"/>
        </w:rPr>
        <w:t>We do not cover any person who uses a motorized land vehicle or watercraft without permission from you or a family member.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10 of 15</w:t>
      </w:r>
    </w:p>
    <w:p>
      <w:pPr>
        <w:sectPr>
          <w:pgSz w:w="11900" w:h="16838" w:orient="portrait"/>
          <w:cols w:equalWidth="0" w:num="1">
            <w:col w:w="11420"/>
          </w:cols>
          <w:pgMar w:left="240" w:top="649" w:right="239" w:bottom="1440" w:gutter="0" w:footer="0" w:header="0"/>
        </w:sectPr>
      </w:pPr>
    </w:p>
    <w:bookmarkStart w:id="300" w:name="page301"/>
    <w:bookmarkEnd w:id="300"/>
    <w:p>
      <w:pPr>
        <w:ind w:left="120"/>
        <w:spacing w:after="0"/>
        <w:rPr>
          <w:sz w:val="20"/>
          <w:szCs w:val="20"/>
          <w:color w:val="auto"/>
        </w:rPr>
      </w:pPr>
      <w:r>
        <w:rPr>
          <w:rFonts w:ascii="Arial" w:cs="Arial" w:eastAsia="Arial" w:hAnsi="Arial"/>
          <w:sz w:val="22"/>
          <w:szCs w:val="22"/>
          <w:b w:val="1"/>
          <w:bCs w:val="1"/>
          <w:i w:val="1"/>
          <w:iCs w:val="1"/>
          <w:color w:val="363636"/>
        </w:rPr>
        <w:t>Exclusions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268" w:lineRule="exact"/>
        <w:rPr>
          <w:sz w:val="20"/>
          <w:szCs w:val="20"/>
          <w:color w:val="auto"/>
        </w:rPr>
      </w:pPr>
    </w:p>
    <w:p>
      <w:pPr>
        <w:ind w:left="120" w:right="220"/>
        <w:spacing w:after="0" w:line="234" w:lineRule="auto"/>
        <w:rPr>
          <w:sz w:val="20"/>
          <w:szCs w:val="20"/>
          <w:color w:val="auto"/>
        </w:rPr>
      </w:pPr>
      <w:r>
        <w:rPr>
          <w:rFonts w:ascii="Arial" w:cs="Arial" w:eastAsia="Arial" w:hAnsi="Arial"/>
          <w:sz w:val="18"/>
          <w:szCs w:val="18"/>
          <w:b w:val="1"/>
          <w:bCs w:val="1"/>
          <w:color w:val="363636"/>
        </w:rPr>
        <w:t xml:space="preserve">Business </w:t>
      </w:r>
      <w:r>
        <w:rPr>
          <w:rFonts w:ascii="Arial" w:cs="Arial" w:eastAsia="Arial" w:hAnsi="Arial"/>
          <w:sz w:val="16"/>
          <w:szCs w:val="16"/>
          <w:b w:val="1"/>
          <w:bCs w:val="1"/>
          <w:color w:val="363636"/>
        </w:rPr>
        <w:t>pursuits.</w:t>
      </w:r>
      <w:r>
        <w:rPr>
          <w:rFonts w:ascii="Arial" w:cs="Arial" w:eastAsia="Arial" w:hAnsi="Arial"/>
          <w:sz w:val="18"/>
          <w:szCs w:val="18"/>
          <w:b w:val="1"/>
          <w:bCs w:val="1"/>
          <w:color w:val="363636"/>
        </w:rPr>
        <w:t xml:space="preserve"> </w:t>
      </w:r>
      <w:r>
        <w:rPr>
          <w:rFonts w:ascii="Arial" w:cs="Arial" w:eastAsia="Arial" w:hAnsi="Arial"/>
          <w:sz w:val="16"/>
          <w:szCs w:val="16"/>
          <w:color w:val="363636"/>
        </w:rPr>
        <w:t>We do not cover any damages arising out of a covered person's business pursuits, investment or other for-profit activities, for the account of a covered</w:t>
      </w:r>
      <w:r>
        <w:rPr>
          <w:rFonts w:ascii="Arial" w:cs="Arial" w:eastAsia="Arial" w:hAnsi="Arial"/>
          <w:sz w:val="18"/>
          <w:szCs w:val="18"/>
          <w:b w:val="1"/>
          <w:bCs w:val="1"/>
          <w:color w:val="363636"/>
        </w:rPr>
        <w:t xml:space="preserve"> </w:t>
      </w:r>
      <w:r>
        <w:rPr>
          <w:rFonts w:ascii="Arial" w:cs="Arial" w:eastAsia="Arial" w:hAnsi="Arial"/>
          <w:sz w:val="16"/>
          <w:szCs w:val="16"/>
          <w:color w:val="363636"/>
        </w:rPr>
        <w:t>person or others, or business property except on a follow form basis.</w:t>
      </w:r>
    </w:p>
    <w:p>
      <w:pPr>
        <w:spacing w:after="0" w:line="105"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363636"/>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w:t>
      </w:r>
      <w:r>
        <w:rPr>
          <w:rFonts w:ascii="Arial" w:cs="Arial" w:eastAsia="Arial" w:hAnsi="Arial"/>
          <w:sz w:val="16"/>
          <w:szCs w:val="16"/>
          <w:color w:val="4F4F4D"/>
        </w:rPr>
        <w:t>'</w:t>
      </w:r>
      <w:r>
        <w:rPr>
          <w:rFonts w:ascii="Arial" w:cs="Arial" w:eastAsia="Arial" w:hAnsi="Arial"/>
          <w:sz w:val="16"/>
          <w:szCs w:val="16"/>
          <w:color w:val="363636"/>
        </w:rPr>
        <w:t xml:space="preserve"> s ownership, maintenance, or use of a private passenger motor vehicle in business activities other than selling, repairing</w:t>
      </w:r>
      <w:r>
        <w:rPr>
          <w:rFonts w:ascii="Arial" w:cs="Arial" w:eastAsia="Arial" w:hAnsi="Arial"/>
          <w:sz w:val="16"/>
          <w:szCs w:val="16"/>
          <w:color w:val="4F4F4D"/>
        </w:rPr>
        <w:t>,</w:t>
      </w:r>
      <w:r>
        <w:rPr>
          <w:rFonts w:ascii="Arial" w:cs="Arial" w:eastAsia="Arial" w:hAnsi="Arial"/>
          <w:sz w:val="16"/>
          <w:szCs w:val="16"/>
          <w:color w:val="363636"/>
        </w:rPr>
        <w:t xml:space="preserve"> servicing, storing, parking, testing, or delivering motorized land vehicles.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Unless stated otherwise in your Coverage Summary</w:t>
      </w:r>
      <w:r>
        <w:rPr>
          <w:rFonts w:ascii="Arial" w:cs="Arial" w:eastAsia="Arial" w:hAnsi="Arial"/>
          <w:sz w:val="16"/>
          <w:szCs w:val="16"/>
          <w:color w:val="4F4F4D"/>
        </w:rPr>
        <w:t>:</w:t>
      </w:r>
    </w:p>
    <w:p>
      <w:pPr>
        <w:spacing w:after="0" w:line="113" w:lineRule="exact"/>
        <w:rPr>
          <w:sz w:val="20"/>
          <w:szCs w:val="20"/>
          <w:color w:val="auto"/>
        </w:rPr>
      </w:pPr>
    </w:p>
    <w:p>
      <w:pPr>
        <w:ind w:left="120" w:right="420"/>
        <w:spacing w:after="0" w:line="266" w:lineRule="auto"/>
        <w:rPr>
          <w:sz w:val="20"/>
          <w:szCs w:val="20"/>
          <w:color w:val="auto"/>
        </w:rPr>
      </w:pPr>
      <w:r>
        <w:rPr>
          <w:rFonts w:ascii="Arial" w:cs="Arial" w:eastAsia="Arial" w:hAnsi="Arial"/>
          <w:sz w:val="16"/>
          <w:szCs w:val="16"/>
          <w:color w:val="363636"/>
        </w:rPr>
        <w:t>"Incidental business away from home</w:t>
      </w:r>
      <w:r>
        <w:rPr>
          <w:rFonts w:ascii="Arial" w:cs="Arial" w:eastAsia="Arial" w:hAnsi="Arial"/>
          <w:sz w:val="16"/>
          <w:szCs w:val="16"/>
          <w:color w:val="4F4F4D"/>
        </w:rPr>
        <w:t>"</w:t>
      </w:r>
      <w:r>
        <w:rPr>
          <w:rFonts w:ascii="Arial" w:cs="Arial" w:eastAsia="Arial" w:hAnsi="Arial"/>
          <w:sz w:val="16"/>
          <w:szCs w:val="16"/>
          <w:color w:val="363636"/>
        </w:rPr>
        <w:t xml:space="preserve"> is a self-employed sales activity, or a self-employed business activity normally undertaken by person under the age of 18 such as newspaper delivery</w:t>
      </w:r>
      <w:r>
        <w:rPr>
          <w:rFonts w:ascii="Arial" w:cs="Arial" w:eastAsia="Arial" w:hAnsi="Arial"/>
          <w:sz w:val="16"/>
          <w:szCs w:val="16"/>
          <w:color w:val="4F4F4D"/>
        </w:rPr>
        <w:t>,</w:t>
      </w:r>
      <w:r>
        <w:rPr>
          <w:rFonts w:ascii="Arial" w:cs="Arial" w:eastAsia="Arial" w:hAnsi="Arial"/>
          <w:sz w:val="16"/>
          <w:szCs w:val="16"/>
          <w:color w:val="363636"/>
        </w:rPr>
        <w:t xml:space="preserve"> babysitting, caddying, and lawn care. Either of these activities must:</w:t>
      </w:r>
    </w:p>
    <w:p>
      <w:pPr>
        <w:spacing w:after="0" w:line="1" w:lineRule="exact"/>
        <w:rPr>
          <w:sz w:val="20"/>
          <w:szCs w:val="20"/>
          <w:color w:val="auto"/>
        </w:rPr>
      </w:pPr>
    </w:p>
    <w:p>
      <w:pPr>
        <w:ind w:left="440" w:hanging="297"/>
        <w:spacing w:after="0"/>
        <w:tabs>
          <w:tab w:leader="none" w:pos="440" w:val="left"/>
        </w:tabs>
        <w:numPr>
          <w:ilvl w:val="0"/>
          <w:numId w:val="476"/>
        </w:numPr>
        <w:rPr>
          <w:rFonts w:ascii="Arial" w:cs="Arial" w:eastAsia="Arial" w:hAnsi="Arial"/>
          <w:sz w:val="16"/>
          <w:szCs w:val="16"/>
          <w:color w:val="auto"/>
        </w:rPr>
      </w:pPr>
      <w:r>
        <w:rPr>
          <w:rFonts w:ascii="Arial" w:cs="Arial" w:eastAsia="Arial" w:hAnsi="Arial"/>
          <w:sz w:val="16"/>
          <w:szCs w:val="16"/>
          <w:color w:val="363636"/>
        </w:rPr>
        <w:t>not yield gross revenues in excess of $</w:t>
      </w:r>
      <w:r>
        <w:rPr>
          <w:rFonts w:ascii="Arial" w:cs="Arial" w:eastAsia="Arial" w:hAnsi="Arial"/>
          <w:sz w:val="16"/>
          <w:szCs w:val="16"/>
          <w:color w:val="4F4F4D"/>
        </w:rPr>
        <w:t>1</w:t>
      </w:r>
      <w:r>
        <w:rPr>
          <w:rFonts w:ascii="Arial" w:cs="Arial" w:eastAsia="Arial" w:hAnsi="Arial"/>
          <w:sz w:val="16"/>
          <w:szCs w:val="16"/>
          <w:color w:val="363636"/>
        </w:rPr>
        <w:t>5,000 in any year;</w:t>
      </w:r>
    </w:p>
    <w:p>
      <w:pPr>
        <w:spacing w:after="0" w:line="15" w:lineRule="exact"/>
        <w:rPr>
          <w:rFonts w:ascii="Arial" w:cs="Arial" w:eastAsia="Arial" w:hAnsi="Arial"/>
          <w:sz w:val="16"/>
          <w:szCs w:val="16"/>
          <w:color w:val="auto"/>
        </w:rPr>
      </w:pPr>
    </w:p>
    <w:p>
      <w:pPr>
        <w:ind w:left="440" w:hanging="297"/>
        <w:spacing w:after="0"/>
        <w:tabs>
          <w:tab w:leader="none" w:pos="440" w:val="left"/>
        </w:tabs>
        <w:numPr>
          <w:ilvl w:val="0"/>
          <w:numId w:val="476"/>
        </w:numPr>
        <w:rPr>
          <w:rFonts w:ascii="Arial" w:cs="Arial" w:eastAsia="Arial" w:hAnsi="Arial"/>
          <w:sz w:val="16"/>
          <w:szCs w:val="16"/>
          <w:color w:val="auto"/>
        </w:rPr>
      </w:pPr>
      <w:r>
        <w:rPr>
          <w:rFonts w:ascii="Arial" w:cs="Arial" w:eastAsia="Arial" w:hAnsi="Arial"/>
          <w:sz w:val="16"/>
          <w:szCs w:val="16"/>
          <w:color w:val="363636"/>
        </w:rPr>
        <w:t>have no employees subject to worke</w:t>
      </w:r>
      <w:r>
        <w:rPr>
          <w:rFonts w:ascii="Arial" w:cs="Arial" w:eastAsia="Arial" w:hAnsi="Arial"/>
          <w:sz w:val="16"/>
          <w:szCs w:val="16"/>
          <w:color w:val="4F4F4D"/>
        </w:rPr>
        <w:t>r’</w:t>
      </w:r>
      <w:r>
        <w:rPr>
          <w:rFonts w:ascii="Arial" w:cs="Arial" w:eastAsia="Arial" w:hAnsi="Arial"/>
          <w:sz w:val="16"/>
          <w:szCs w:val="16"/>
          <w:color w:val="363636"/>
        </w:rPr>
        <w:t>s compensation or other similar disability laws;</w:t>
      </w:r>
    </w:p>
    <w:p>
      <w:pPr>
        <w:spacing w:after="0" w:line="5" w:lineRule="exact"/>
        <w:rPr>
          <w:rFonts w:ascii="Arial" w:cs="Arial" w:eastAsia="Arial" w:hAnsi="Arial"/>
          <w:sz w:val="16"/>
          <w:szCs w:val="16"/>
          <w:color w:val="auto"/>
        </w:rPr>
      </w:pPr>
    </w:p>
    <w:p>
      <w:pPr>
        <w:ind w:left="420" w:hanging="277"/>
        <w:spacing w:after="0"/>
        <w:tabs>
          <w:tab w:leader="none" w:pos="420" w:val="left"/>
        </w:tabs>
        <w:numPr>
          <w:ilvl w:val="0"/>
          <w:numId w:val="476"/>
        </w:numPr>
        <w:rPr>
          <w:rFonts w:ascii="Arial" w:cs="Arial" w:eastAsia="Arial" w:hAnsi="Arial"/>
          <w:sz w:val="16"/>
          <w:szCs w:val="16"/>
          <w:color w:val="auto"/>
        </w:rPr>
      </w:pPr>
      <w:r>
        <w:rPr>
          <w:rFonts w:ascii="Arial" w:cs="Arial" w:eastAsia="Arial" w:hAnsi="Arial"/>
          <w:sz w:val="16"/>
          <w:szCs w:val="16"/>
          <w:color w:val="363636"/>
        </w:rPr>
        <w:t>conform to local</w:t>
      </w:r>
      <w:r>
        <w:rPr>
          <w:rFonts w:ascii="Arial" w:cs="Arial" w:eastAsia="Arial" w:hAnsi="Arial"/>
          <w:sz w:val="16"/>
          <w:szCs w:val="16"/>
          <w:color w:val="4F4F4D"/>
        </w:rPr>
        <w:t>,</w:t>
      </w:r>
      <w:r>
        <w:rPr>
          <w:rFonts w:ascii="Arial" w:cs="Arial" w:eastAsia="Arial" w:hAnsi="Arial"/>
          <w:sz w:val="16"/>
          <w:szCs w:val="16"/>
          <w:color w:val="363636"/>
        </w:rPr>
        <w:t xml:space="preserve"> state, and federal laws.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business at home" is a business activity</w:t>
      </w:r>
      <w:r>
        <w:rPr>
          <w:rFonts w:ascii="Arial" w:cs="Arial" w:eastAsia="Arial" w:hAnsi="Arial"/>
          <w:sz w:val="16"/>
          <w:szCs w:val="16"/>
          <w:color w:val="4F4F4D"/>
        </w:rPr>
        <w:t>,</w:t>
      </w:r>
      <w:r>
        <w:rPr>
          <w:rFonts w:ascii="Arial" w:cs="Arial" w:eastAsia="Arial" w:hAnsi="Arial"/>
          <w:sz w:val="16"/>
          <w:szCs w:val="16"/>
          <w:color w:val="363636"/>
        </w:rPr>
        <w:t xml:space="preserve"> other than farming, conducted on your residence premises which must:</w:t>
      </w:r>
    </w:p>
    <w:p>
      <w:pPr>
        <w:spacing w:after="0" w:line="19" w:lineRule="exact"/>
        <w:rPr>
          <w:sz w:val="20"/>
          <w:szCs w:val="20"/>
          <w:color w:val="auto"/>
        </w:rPr>
      </w:pPr>
    </w:p>
    <w:p>
      <w:pPr>
        <w:ind w:left="180" w:right="2180" w:hanging="10"/>
        <w:spacing w:after="0" w:line="255" w:lineRule="auto"/>
        <w:tabs>
          <w:tab w:leader="none" w:pos="423" w:val="left"/>
        </w:tabs>
        <w:numPr>
          <w:ilvl w:val="0"/>
          <w:numId w:val="477"/>
        </w:numPr>
        <w:rPr>
          <w:rFonts w:ascii="Arial" w:cs="Arial" w:eastAsia="Arial" w:hAnsi="Arial"/>
          <w:sz w:val="16"/>
          <w:szCs w:val="16"/>
          <w:color w:val="auto"/>
        </w:rPr>
      </w:pPr>
      <w:r>
        <w:rPr>
          <w:rFonts w:ascii="Arial" w:cs="Arial" w:eastAsia="Arial" w:hAnsi="Arial"/>
          <w:sz w:val="16"/>
          <w:szCs w:val="16"/>
          <w:color w:val="363636"/>
        </w:rPr>
        <w:t>not yield gross revenues in excess of $15,000</w:t>
      </w:r>
      <w:r>
        <w:rPr>
          <w:rFonts w:ascii="Arial" w:cs="Arial" w:eastAsia="Arial" w:hAnsi="Arial"/>
          <w:sz w:val="16"/>
          <w:szCs w:val="16"/>
          <w:color w:val="4F4F4D"/>
        </w:rPr>
        <w:t>,</w:t>
      </w:r>
      <w:r>
        <w:rPr>
          <w:rFonts w:ascii="Arial" w:cs="Arial" w:eastAsia="Arial" w:hAnsi="Arial"/>
          <w:sz w:val="16"/>
          <w:szCs w:val="16"/>
          <w:color w:val="363636"/>
        </w:rPr>
        <w:t xml:space="preserve"> in any year, except for the business activity of managing one's own personal investments; have no employees subject to w</w:t>
      </w:r>
      <w:r>
        <w:rPr>
          <w:rFonts w:ascii="Arial" w:cs="Arial" w:eastAsia="Arial" w:hAnsi="Arial"/>
          <w:sz w:val="16"/>
          <w:szCs w:val="16"/>
          <w:color w:val="4F4F4D"/>
        </w:rPr>
        <w:t>o</w:t>
      </w:r>
      <w:r>
        <w:rPr>
          <w:rFonts w:ascii="Arial" w:cs="Arial" w:eastAsia="Arial" w:hAnsi="Arial"/>
          <w:sz w:val="16"/>
          <w:szCs w:val="16"/>
          <w:color w:val="363636"/>
        </w:rPr>
        <w:t>rker's compensation or other similar disability laws;</w:t>
      </w:r>
    </w:p>
    <w:p>
      <w:pPr>
        <w:ind w:left="420" w:hanging="250"/>
        <w:spacing w:after="0"/>
        <w:tabs>
          <w:tab w:leader="none" w:pos="420" w:val="left"/>
        </w:tabs>
        <w:numPr>
          <w:ilvl w:val="0"/>
          <w:numId w:val="477"/>
        </w:numPr>
        <w:rPr>
          <w:rFonts w:ascii="Arial" w:cs="Arial" w:eastAsia="Arial" w:hAnsi="Arial"/>
          <w:sz w:val="16"/>
          <w:szCs w:val="16"/>
          <w:color w:val="auto"/>
        </w:rPr>
      </w:pPr>
      <w:r>
        <w:rPr>
          <w:rFonts w:ascii="Arial" w:cs="Arial" w:eastAsia="Arial" w:hAnsi="Arial"/>
          <w:sz w:val="16"/>
          <w:szCs w:val="16"/>
          <w:color w:val="363636"/>
        </w:rPr>
        <w:t>conform to local, state, and federal laws</w:t>
      </w:r>
      <w:r>
        <w:rPr>
          <w:rFonts w:ascii="Arial" w:cs="Arial" w:eastAsia="Arial" w:hAnsi="Arial"/>
          <w:sz w:val="16"/>
          <w:szCs w:val="16"/>
          <w:color w:val="4F4F4D"/>
        </w:rPr>
        <w:t>.</w:t>
      </w:r>
    </w:p>
    <w:p>
      <w:pPr>
        <w:spacing w:after="0" w:line="153" w:lineRule="exact"/>
        <w:rPr>
          <w:sz w:val="20"/>
          <w:szCs w:val="20"/>
          <w:color w:val="auto"/>
        </w:rPr>
      </w:pPr>
    </w:p>
    <w:p>
      <w:pPr>
        <w:jc w:val="both"/>
        <w:ind w:left="120" w:firstLine="14"/>
        <w:spacing w:after="0" w:line="246" w:lineRule="auto"/>
        <w:rPr>
          <w:sz w:val="20"/>
          <w:szCs w:val="20"/>
          <w:color w:val="auto"/>
        </w:rPr>
      </w:pPr>
      <w:r>
        <w:rPr>
          <w:rFonts w:ascii="Arial" w:cs="Arial" w:eastAsia="Arial" w:hAnsi="Arial"/>
          <w:sz w:val="16"/>
          <w:szCs w:val="16"/>
          <w:color w:val="363636"/>
        </w:rPr>
        <w:t>"Incidental business property</w:t>
      </w:r>
      <w:r>
        <w:rPr>
          <w:rFonts w:ascii="Arial" w:cs="Arial" w:eastAsia="Arial" w:hAnsi="Arial"/>
          <w:sz w:val="16"/>
          <w:szCs w:val="16"/>
          <w:color w:val="4F4F4D"/>
        </w:rPr>
        <w:t>"</w:t>
      </w:r>
      <w:r>
        <w:rPr>
          <w:rFonts w:ascii="Arial" w:cs="Arial" w:eastAsia="Arial" w:hAnsi="Arial"/>
          <w:sz w:val="16"/>
          <w:szCs w:val="16"/>
          <w:color w:val="363636"/>
        </w:rPr>
        <w:t xml:space="preserve"> is limited to the rental or holding for rental, to be used as a residence, of a condominium or cooperative unit owned by you or a </w:t>
      </w:r>
      <w:r>
        <w:rPr>
          <w:rFonts w:ascii="Arial" w:cs="Arial" w:eastAsia="Arial" w:hAnsi="Arial"/>
          <w:sz w:val="16"/>
          <w:szCs w:val="16"/>
          <w:color w:val="4F4F4D"/>
        </w:rPr>
        <w:t>f</w:t>
      </w:r>
      <w:r>
        <w:rPr>
          <w:rFonts w:ascii="Arial" w:cs="Arial" w:eastAsia="Arial" w:hAnsi="Arial"/>
          <w:sz w:val="16"/>
          <w:szCs w:val="16"/>
          <w:color w:val="363636"/>
        </w:rPr>
        <w:t xml:space="preserve">amily member, an apartment unit rented to you or a family member, a one or two family dwelling owned by you or a family member, or a three or four family dwelling owned and occupied by you or a family member. We provide this coverage only for premises covered under the Required </w:t>
      </w:r>
      <w:r>
        <w:rPr>
          <w:rFonts w:ascii="Arial" w:cs="Arial" w:eastAsia="Arial" w:hAnsi="Arial"/>
          <w:sz w:val="15"/>
          <w:szCs w:val="15"/>
          <w:color w:val="363636"/>
        </w:rPr>
        <w:t>Primary</w:t>
      </w:r>
      <w:r>
        <w:rPr>
          <w:rFonts w:ascii="Arial" w:cs="Arial" w:eastAsia="Arial" w:hAnsi="Arial"/>
          <w:sz w:val="16"/>
          <w:szCs w:val="16"/>
          <w:color w:val="363636"/>
        </w:rPr>
        <w:t xml:space="preserve"> Underlying Insurance unless the rental or holding for rental is for</w:t>
      </w:r>
      <w:r>
        <w:rPr>
          <w:rFonts w:ascii="Arial" w:cs="Arial" w:eastAsia="Arial" w:hAnsi="Arial"/>
          <w:sz w:val="16"/>
          <w:szCs w:val="16"/>
          <w:color w:val="4F4F4D"/>
        </w:rPr>
        <w:t>:</w:t>
      </w:r>
    </w:p>
    <w:p>
      <w:pPr>
        <w:ind w:left="420" w:hanging="250"/>
        <w:spacing w:after="0" w:line="214" w:lineRule="auto"/>
        <w:tabs>
          <w:tab w:leader="none" w:pos="420" w:val="left"/>
        </w:tabs>
        <w:numPr>
          <w:ilvl w:val="0"/>
          <w:numId w:val="478"/>
        </w:numPr>
        <w:rPr>
          <w:rFonts w:ascii="Arial" w:cs="Arial" w:eastAsia="Arial" w:hAnsi="Arial"/>
          <w:sz w:val="16"/>
          <w:szCs w:val="16"/>
          <w:color w:val="auto"/>
        </w:rPr>
      </w:pPr>
      <w:r>
        <w:rPr>
          <w:rFonts w:ascii="Arial" w:cs="Arial" w:eastAsia="Arial" w:hAnsi="Arial"/>
          <w:sz w:val="16"/>
          <w:szCs w:val="16"/>
          <w:color w:val="363636"/>
        </w:rPr>
        <w:t>a residence of yours or a family member</w:t>
      </w:r>
      <w:r>
        <w:rPr>
          <w:rFonts w:ascii="Arial" w:cs="Arial" w:eastAsia="Arial" w:hAnsi="Arial"/>
          <w:sz w:val="16"/>
          <w:szCs w:val="16"/>
          <w:color w:val="4F4F4D"/>
        </w:rPr>
        <w:t>'</w:t>
      </w:r>
      <w:r>
        <w:rPr>
          <w:rFonts w:ascii="Arial" w:cs="Arial" w:eastAsia="Arial" w:hAnsi="Arial"/>
          <w:sz w:val="16"/>
          <w:szCs w:val="16"/>
          <w:color w:val="363636"/>
        </w:rPr>
        <w:t>s that is occasionally rented and that is used exclusively as a residence; or</w:t>
      </w:r>
    </w:p>
    <w:p>
      <w:pPr>
        <w:ind w:left="420" w:hanging="250"/>
        <w:spacing w:after="0" w:line="229" w:lineRule="auto"/>
        <w:tabs>
          <w:tab w:leader="none" w:pos="420" w:val="left"/>
        </w:tabs>
        <w:numPr>
          <w:ilvl w:val="0"/>
          <w:numId w:val="478"/>
        </w:numPr>
        <w:rPr>
          <w:rFonts w:ascii="Arial" w:cs="Arial" w:eastAsia="Arial" w:hAnsi="Arial"/>
          <w:sz w:val="16"/>
          <w:szCs w:val="16"/>
          <w:color w:val="auto"/>
        </w:rPr>
      </w:pPr>
      <w:r>
        <w:rPr>
          <w:rFonts w:ascii="Arial" w:cs="Arial" w:eastAsia="Arial" w:hAnsi="Arial"/>
          <w:sz w:val="16"/>
          <w:szCs w:val="16"/>
          <w:color w:val="363636"/>
        </w:rPr>
        <w:t>part of a residence of yours or a family member's by one or two roomers or boarders; or</w:t>
      </w:r>
    </w:p>
    <w:p>
      <w:pPr>
        <w:ind w:left="420" w:hanging="250"/>
        <w:spacing w:after="0"/>
        <w:tabs>
          <w:tab w:leader="none" w:pos="420" w:val="left"/>
        </w:tabs>
        <w:numPr>
          <w:ilvl w:val="0"/>
          <w:numId w:val="478"/>
        </w:numPr>
        <w:rPr>
          <w:rFonts w:ascii="Arial" w:cs="Arial" w:eastAsia="Arial" w:hAnsi="Arial"/>
          <w:sz w:val="16"/>
          <w:szCs w:val="16"/>
          <w:color w:val="auto"/>
        </w:rPr>
      </w:pPr>
      <w:r>
        <w:rPr>
          <w:rFonts w:ascii="Arial" w:cs="Arial" w:eastAsia="Arial" w:hAnsi="Arial"/>
          <w:sz w:val="16"/>
          <w:szCs w:val="16"/>
          <w:color w:val="363636"/>
        </w:rPr>
        <w:t>part of a residence of yours or a family member</w:t>
      </w:r>
      <w:r>
        <w:rPr>
          <w:rFonts w:ascii="Arial" w:cs="Arial" w:eastAsia="Arial" w:hAnsi="Arial"/>
          <w:sz w:val="16"/>
          <w:szCs w:val="16"/>
          <w:color w:val="4F4F4D"/>
        </w:rPr>
        <w:t>'</w:t>
      </w:r>
      <w:r>
        <w:rPr>
          <w:rFonts w:ascii="Arial" w:cs="Arial" w:eastAsia="Arial" w:hAnsi="Arial"/>
          <w:sz w:val="16"/>
          <w:szCs w:val="16"/>
          <w:color w:val="363636"/>
        </w:rPr>
        <w:t xml:space="preserve"> s as an office, school</w:t>
      </w:r>
      <w:r>
        <w:rPr>
          <w:rFonts w:ascii="Arial" w:cs="Arial" w:eastAsia="Arial" w:hAnsi="Arial"/>
          <w:sz w:val="16"/>
          <w:szCs w:val="16"/>
          <w:color w:val="4F4F4D"/>
        </w:rPr>
        <w:t>,</w:t>
      </w:r>
      <w:r>
        <w:rPr>
          <w:rFonts w:ascii="Arial" w:cs="Arial" w:eastAsia="Arial" w:hAnsi="Arial"/>
          <w:sz w:val="16"/>
          <w:szCs w:val="16"/>
          <w:color w:val="363636"/>
        </w:rPr>
        <w:t xml:space="preserve"> studio, or private garage</w:t>
      </w:r>
      <w:r>
        <w:rPr>
          <w:rFonts w:ascii="Arial" w:cs="Arial" w:eastAsia="Arial" w:hAnsi="Arial"/>
          <w:sz w:val="16"/>
          <w:szCs w:val="16"/>
          <w:color w:val="7E807C"/>
        </w:rPr>
        <w: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farming" is a farming activity which meets all of the following requirements</w:t>
      </w:r>
      <w:r>
        <w:rPr>
          <w:rFonts w:ascii="Arial" w:cs="Arial" w:eastAsia="Arial" w:hAnsi="Arial"/>
          <w:sz w:val="16"/>
          <w:szCs w:val="16"/>
          <w:color w:val="4F4F4D"/>
        </w:rPr>
        <w:t>:</w:t>
      </w:r>
    </w:p>
    <w:p>
      <w:pPr>
        <w:ind w:left="420" w:hanging="223"/>
        <w:spacing w:after="0"/>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 xml:space="preserve">is incidental </w:t>
      </w:r>
      <w:r>
        <w:rPr>
          <w:rFonts w:ascii="Arial" w:cs="Arial" w:eastAsia="Arial" w:hAnsi="Arial"/>
          <w:sz w:val="15"/>
          <w:szCs w:val="15"/>
          <w:color w:val="363636"/>
        </w:rPr>
        <w:t>to</w:t>
      </w:r>
      <w:r>
        <w:rPr>
          <w:rFonts w:ascii="Arial" w:cs="Arial" w:eastAsia="Arial" w:hAnsi="Arial"/>
          <w:sz w:val="16"/>
          <w:szCs w:val="16"/>
          <w:color w:val="363636"/>
        </w:rPr>
        <w:t xml:space="preserve"> your or a family member’s use of the premises as a residence;</w:t>
      </w:r>
    </w:p>
    <w:p>
      <w:pPr>
        <w:spacing w:after="0" w:line="5" w:lineRule="exact"/>
        <w:rPr>
          <w:rFonts w:ascii="Arial" w:cs="Arial" w:eastAsia="Arial" w:hAnsi="Arial"/>
          <w:sz w:val="16"/>
          <w:szCs w:val="16"/>
          <w:color w:val="auto"/>
        </w:rPr>
      </w:pPr>
    </w:p>
    <w:p>
      <w:pPr>
        <w:ind w:left="420" w:hanging="223"/>
        <w:spacing w:after="0"/>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does not involve employment of others for more than 1</w:t>
      </w:r>
      <w:r>
        <w:rPr>
          <w:rFonts w:ascii="Arial" w:cs="Arial" w:eastAsia="Arial" w:hAnsi="Arial"/>
          <w:sz w:val="16"/>
          <w:szCs w:val="16"/>
          <w:color w:val="4F4F4D"/>
        </w:rPr>
        <w:t>,</w:t>
      </w:r>
      <w:r>
        <w:rPr>
          <w:rFonts w:ascii="Arial" w:cs="Arial" w:eastAsia="Arial" w:hAnsi="Arial"/>
          <w:sz w:val="16"/>
          <w:szCs w:val="16"/>
          <w:color w:val="363636"/>
        </w:rPr>
        <w:t>500 hours of farm work during the policy period;</w:t>
      </w:r>
    </w:p>
    <w:p>
      <w:pPr>
        <w:spacing w:after="0" w:line="5" w:lineRule="exact"/>
        <w:rPr>
          <w:rFonts w:ascii="Arial" w:cs="Arial" w:eastAsia="Arial" w:hAnsi="Arial"/>
          <w:sz w:val="16"/>
          <w:szCs w:val="16"/>
          <w:color w:val="auto"/>
        </w:rPr>
      </w:pPr>
    </w:p>
    <w:p>
      <w:pPr>
        <w:ind w:left="420" w:hanging="223"/>
        <w:spacing w:after="0"/>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does not produce more than $25,000 in gross annual revenue from agricultural operations</w:t>
      </w:r>
      <w:r>
        <w:rPr>
          <w:rFonts w:ascii="Arial" w:cs="Arial" w:eastAsia="Arial" w:hAnsi="Arial"/>
          <w:sz w:val="16"/>
          <w:szCs w:val="16"/>
          <w:color w:val="4F4F4D"/>
        </w:rPr>
        <w:t>;</w:t>
      </w:r>
    </w:p>
    <w:p>
      <w:pPr>
        <w:spacing w:after="0" w:line="5" w:lineRule="exact"/>
        <w:rPr>
          <w:rFonts w:ascii="Arial" w:cs="Arial" w:eastAsia="Arial" w:hAnsi="Arial"/>
          <w:sz w:val="16"/>
          <w:szCs w:val="16"/>
          <w:color w:val="auto"/>
        </w:rPr>
      </w:pPr>
    </w:p>
    <w:p>
      <w:pPr>
        <w:ind w:left="420" w:hanging="223"/>
        <w:spacing w:after="0"/>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and with respect to the raising or care of animals:</w:t>
      </w:r>
    </w:p>
    <w:p>
      <w:pPr>
        <w:spacing w:after="0" w:line="5" w:lineRule="exact"/>
        <w:rPr>
          <w:rFonts w:ascii="Arial" w:cs="Arial" w:eastAsia="Arial" w:hAnsi="Arial"/>
          <w:sz w:val="16"/>
          <w:szCs w:val="16"/>
          <w:color w:val="auto"/>
        </w:rPr>
      </w:pPr>
    </w:p>
    <w:p>
      <w:pPr>
        <w:ind w:left="420" w:hanging="223"/>
        <w:spacing w:after="0" w:line="229" w:lineRule="auto"/>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does not produce more than $50,000 in gross annual revenues;</w:t>
      </w:r>
    </w:p>
    <w:p>
      <w:pPr>
        <w:ind w:left="420" w:hanging="223"/>
        <w:spacing w:after="0"/>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does not involve more than 25 sale</w:t>
      </w:r>
      <w:r>
        <w:rPr>
          <w:rFonts w:ascii="Arial" w:cs="Arial" w:eastAsia="Arial" w:hAnsi="Arial"/>
          <w:sz w:val="16"/>
          <w:szCs w:val="16"/>
          <w:color w:val="4F4F4D"/>
        </w:rPr>
        <w:t>s</w:t>
      </w:r>
      <w:r>
        <w:rPr>
          <w:rFonts w:ascii="Arial" w:cs="Arial" w:eastAsia="Arial" w:hAnsi="Arial"/>
          <w:sz w:val="16"/>
          <w:szCs w:val="16"/>
          <w:color w:val="363636"/>
        </w:rPr>
        <w:t xml:space="preserve"> transactions during the policy period</w:t>
      </w:r>
      <w:r>
        <w:rPr>
          <w:rFonts w:ascii="Arial" w:cs="Arial" w:eastAsia="Arial" w:hAnsi="Arial"/>
          <w:sz w:val="16"/>
          <w:szCs w:val="16"/>
          <w:color w:val="4F4F4D"/>
        </w:rPr>
        <w:t>;</w:t>
      </w:r>
    </w:p>
    <w:p>
      <w:pPr>
        <w:spacing w:after="0" w:line="5" w:lineRule="exact"/>
        <w:rPr>
          <w:rFonts w:ascii="Arial" w:cs="Arial" w:eastAsia="Arial" w:hAnsi="Arial"/>
          <w:sz w:val="16"/>
          <w:szCs w:val="16"/>
          <w:color w:val="auto"/>
        </w:rPr>
      </w:pPr>
    </w:p>
    <w:p>
      <w:pPr>
        <w:ind w:left="420" w:hanging="223"/>
        <w:spacing w:after="0" w:line="230" w:lineRule="auto"/>
        <w:tabs>
          <w:tab w:leader="none" w:pos="420" w:val="left"/>
        </w:tabs>
        <w:numPr>
          <w:ilvl w:val="0"/>
          <w:numId w:val="479"/>
        </w:numPr>
        <w:rPr>
          <w:rFonts w:ascii="Arial" w:cs="Arial" w:eastAsia="Arial" w:hAnsi="Arial"/>
          <w:sz w:val="16"/>
          <w:szCs w:val="16"/>
          <w:color w:val="auto"/>
        </w:rPr>
      </w:pPr>
      <w:r>
        <w:rPr>
          <w:rFonts w:ascii="Arial" w:cs="Arial" w:eastAsia="Arial" w:hAnsi="Arial"/>
          <w:sz w:val="16"/>
          <w:szCs w:val="16"/>
          <w:color w:val="363636"/>
        </w:rPr>
        <w:t xml:space="preserve">does not involve the sale of more than </w:t>
      </w:r>
      <w:r>
        <w:rPr>
          <w:rFonts w:ascii="Arial" w:cs="Arial" w:eastAsia="Arial" w:hAnsi="Arial"/>
          <w:sz w:val="18"/>
          <w:szCs w:val="18"/>
          <w:i w:val="1"/>
          <w:iCs w:val="1"/>
          <w:color w:val="363636"/>
        </w:rPr>
        <w:t>50</w:t>
      </w:r>
      <w:r>
        <w:rPr>
          <w:rFonts w:ascii="Arial" w:cs="Arial" w:eastAsia="Arial" w:hAnsi="Arial"/>
          <w:sz w:val="16"/>
          <w:szCs w:val="16"/>
          <w:color w:val="363636"/>
        </w:rPr>
        <w:t xml:space="preserve"> animals during the policy period.</w:t>
      </w:r>
    </w:p>
    <w:p>
      <w:pPr>
        <w:spacing w:after="0" w:line="206"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363636"/>
        </w:rPr>
        <w:t>"Residence premises conditional business liability" is limited to business or professional activities when legally conducted by you or a family member at your residence. We provide coverage only for personal injury or property damage arising out of the physical condition o</w:t>
      </w:r>
      <w:r>
        <w:rPr>
          <w:rFonts w:ascii="Arial" w:cs="Arial" w:eastAsia="Arial" w:hAnsi="Arial"/>
          <w:sz w:val="16"/>
          <w:szCs w:val="16"/>
          <w:color w:val="4F4F4D"/>
        </w:rPr>
        <w:t>f</w:t>
      </w:r>
      <w:r>
        <w:rPr>
          <w:rFonts w:ascii="Arial" w:cs="Arial" w:eastAsia="Arial" w:hAnsi="Arial"/>
          <w:sz w:val="16"/>
          <w:szCs w:val="16"/>
          <w:color w:val="363636"/>
        </w:rPr>
        <w:t xml:space="preserve"> that residence if</w:t>
      </w:r>
      <w:r>
        <w:rPr>
          <w:rFonts w:ascii="Arial" w:cs="Arial" w:eastAsia="Arial" w:hAnsi="Arial"/>
          <w:sz w:val="16"/>
          <w:szCs w:val="16"/>
          <w:color w:val="4F4F4D"/>
        </w:rPr>
        <w:t>:</w:t>
      </w:r>
    </w:p>
    <w:p>
      <w:pPr>
        <w:spacing w:after="0" w:line="1" w:lineRule="exact"/>
        <w:rPr>
          <w:sz w:val="20"/>
          <w:szCs w:val="20"/>
          <w:color w:val="auto"/>
        </w:rPr>
      </w:pPr>
    </w:p>
    <w:p>
      <w:pPr>
        <w:ind w:left="420" w:hanging="250"/>
        <w:spacing w:after="0" w:line="246" w:lineRule="auto"/>
        <w:tabs>
          <w:tab w:leader="none" w:pos="420" w:val="left"/>
        </w:tabs>
        <w:numPr>
          <w:ilvl w:val="0"/>
          <w:numId w:val="480"/>
        </w:numPr>
        <w:rPr>
          <w:rFonts w:ascii="Arial" w:cs="Arial" w:eastAsia="Arial" w:hAnsi="Arial"/>
          <w:sz w:val="16"/>
          <w:szCs w:val="16"/>
          <w:color w:val="363636"/>
        </w:rPr>
      </w:pPr>
      <w:r>
        <w:rPr>
          <w:rFonts w:ascii="Arial" w:cs="Arial" w:eastAsia="Arial" w:hAnsi="Arial"/>
          <w:sz w:val="16"/>
          <w:szCs w:val="16"/>
          <w:color w:val="363636"/>
        </w:rPr>
        <w:t>you or a family member do no</w:t>
      </w:r>
      <w:r>
        <w:rPr>
          <w:rFonts w:ascii="Arial" w:cs="Arial" w:eastAsia="Arial" w:hAnsi="Arial"/>
          <w:sz w:val="16"/>
          <w:szCs w:val="16"/>
          <w:color w:val="4F4F4D"/>
        </w:rPr>
        <w:t>t</w:t>
      </w:r>
      <w:r>
        <w:rPr>
          <w:rFonts w:ascii="Arial" w:cs="Arial" w:eastAsia="Arial" w:hAnsi="Arial"/>
          <w:sz w:val="16"/>
          <w:szCs w:val="16"/>
          <w:color w:val="363636"/>
        </w:rPr>
        <w:t xml:space="preserve"> have any employees in</w:t>
      </w:r>
      <w:r>
        <w:rPr>
          <w:rFonts w:ascii="Arial" w:cs="Arial" w:eastAsia="Arial" w:hAnsi="Arial"/>
          <w:sz w:val="16"/>
          <w:szCs w:val="16"/>
          <w:color w:val="4F4F4D"/>
        </w:rPr>
        <w:t>v</w:t>
      </w:r>
      <w:r>
        <w:rPr>
          <w:rFonts w:ascii="Arial" w:cs="Arial" w:eastAsia="Arial" w:hAnsi="Arial"/>
          <w:sz w:val="16"/>
          <w:szCs w:val="16"/>
          <w:color w:val="363636"/>
        </w:rPr>
        <w:t>olved in your business or professional activities who are subject to workers</w:t>
      </w:r>
      <w:r>
        <w:rPr>
          <w:rFonts w:ascii="Arial" w:cs="Arial" w:eastAsia="Arial" w:hAnsi="Arial"/>
          <w:sz w:val="16"/>
          <w:szCs w:val="16"/>
          <w:color w:val="4F4F4D"/>
        </w:rPr>
        <w:t>'</w:t>
      </w:r>
      <w:r>
        <w:rPr>
          <w:rFonts w:ascii="Arial" w:cs="Arial" w:eastAsia="Arial" w:hAnsi="Arial"/>
          <w:sz w:val="16"/>
          <w:szCs w:val="16"/>
          <w:color w:val="363636"/>
        </w:rPr>
        <w:t xml:space="preserve"> compensatio</w:t>
      </w:r>
      <w:r>
        <w:rPr>
          <w:rFonts w:ascii="Arial" w:cs="Arial" w:eastAsia="Arial" w:hAnsi="Arial"/>
          <w:sz w:val="16"/>
          <w:szCs w:val="16"/>
          <w:color w:val="4F4F4D"/>
        </w:rPr>
        <w:t>n</w:t>
      </w:r>
      <w:r>
        <w:rPr>
          <w:rFonts w:ascii="Arial" w:cs="Arial" w:eastAsia="Arial" w:hAnsi="Arial"/>
          <w:sz w:val="16"/>
          <w:szCs w:val="16"/>
          <w:color w:val="363636"/>
        </w:rPr>
        <w:t xml:space="preserve"> or other similar disability laws; or, if you or a family member are a doctor or dentist, you do not have more than two employees subject to such laws;</w:t>
      </w:r>
    </w:p>
    <w:p>
      <w:pPr>
        <w:ind w:left="420" w:hanging="250"/>
        <w:spacing w:after="0"/>
        <w:tabs>
          <w:tab w:leader="none" w:pos="420" w:val="left"/>
        </w:tabs>
        <w:numPr>
          <w:ilvl w:val="0"/>
          <w:numId w:val="480"/>
        </w:numPr>
        <w:rPr>
          <w:rFonts w:ascii="Arial" w:cs="Arial" w:eastAsia="Arial" w:hAnsi="Arial"/>
          <w:sz w:val="16"/>
          <w:szCs w:val="16"/>
          <w:color w:val="auto"/>
        </w:rPr>
      </w:pPr>
      <w:r>
        <w:rPr>
          <w:rFonts w:ascii="Arial" w:cs="Arial" w:eastAsia="Arial" w:hAnsi="Arial"/>
          <w:sz w:val="16"/>
          <w:szCs w:val="16"/>
          <w:color w:val="363636"/>
        </w:rPr>
        <w:t>you or a family member do not earn annual gross revenues in excess of $5,000, if you or a family member are a home day care provider.</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We do not cover damages or consequences r</w:t>
      </w:r>
      <w:r>
        <w:rPr>
          <w:rFonts w:ascii="Arial" w:cs="Arial" w:eastAsia="Arial" w:hAnsi="Arial"/>
          <w:sz w:val="16"/>
          <w:szCs w:val="16"/>
          <w:color w:val="4F4F4D"/>
        </w:rPr>
        <w:t>e</w:t>
      </w:r>
      <w:r>
        <w:rPr>
          <w:rFonts w:ascii="Arial" w:cs="Arial" w:eastAsia="Arial" w:hAnsi="Arial"/>
          <w:sz w:val="16"/>
          <w:szCs w:val="16"/>
          <w:color w:val="363636"/>
        </w:rPr>
        <w:t>sulting from business or professional care or services performed or not performed</w:t>
      </w:r>
      <w:r>
        <w:rPr>
          <w:rFonts w:ascii="Arial" w:cs="Arial" w:eastAsia="Arial" w:hAnsi="Arial"/>
          <w:sz w:val="16"/>
          <w:szCs w:val="16"/>
          <w:color w:val="4F4F4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11 of 15</w:t>
      </w:r>
    </w:p>
    <w:p>
      <w:pPr>
        <w:sectPr>
          <w:pgSz w:w="11900" w:h="16838" w:orient="portrait"/>
          <w:cols w:equalWidth="0" w:num="1">
            <w:col w:w="11420"/>
          </w:cols>
          <w:pgMar w:left="240" w:top="431" w:right="239" w:bottom="1440" w:gutter="0" w:footer="0" w:header="0"/>
        </w:sectPr>
      </w:pPr>
    </w:p>
    <w:bookmarkStart w:id="301" w:name="page302"/>
    <w:bookmarkEnd w:id="301"/>
    <w:p>
      <w:pPr>
        <w:ind w:left="430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217805</wp:posOffset>
            </wp:positionH>
            <wp:positionV relativeFrom="page">
              <wp:posOffset>389255</wp:posOffset>
            </wp:positionV>
            <wp:extent cx="110617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363634"/>
        </w:rPr>
        <w:t>Exclusions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363634"/>
        </w:rPr>
        <w:t>(continued)</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4"/>
        </w:rPr>
        <w:t xml:space="preserve">The following additional exclusion applies only </w:t>
      </w:r>
      <w:r>
        <w:rPr>
          <w:rFonts w:ascii="Arial" w:cs="Arial" w:eastAsia="Arial" w:hAnsi="Arial"/>
          <w:sz w:val="15"/>
          <w:szCs w:val="15"/>
          <w:b w:val="1"/>
          <w:bCs w:val="1"/>
          <w:color w:val="363634"/>
        </w:rPr>
        <w:t>to</w:t>
      </w:r>
      <w:r>
        <w:rPr>
          <w:rFonts w:ascii="Arial" w:cs="Arial" w:eastAsia="Arial" w:hAnsi="Arial"/>
          <w:sz w:val="16"/>
          <w:szCs w:val="16"/>
          <w:b w:val="1"/>
          <w:bCs w:val="1"/>
          <w:color w:val="363634"/>
        </w:rPr>
        <w:t xml:space="preserve"> "incidental farming" as described under the exclusion, Business pursuits.</w:t>
      </w:r>
    </w:p>
    <w:p>
      <w:pPr>
        <w:spacing w:after="0" w:line="140" w:lineRule="exact"/>
        <w:rPr>
          <w:sz w:val="20"/>
          <w:szCs w:val="20"/>
          <w:color w:val="auto"/>
        </w:rPr>
      </w:pPr>
    </w:p>
    <w:p>
      <w:pPr>
        <w:ind w:left="500"/>
        <w:spacing w:after="0" w:line="263" w:lineRule="auto"/>
        <w:rPr>
          <w:sz w:val="20"/>
          <w:szCs w:val="20"/>
          <w:color w:val="auto"/>
        </w:rPr>
      </w:pPr>
      <w:r>
        <w:rPr>
          <w:rFonts w:ascii="Arial" w:cs="Arial" w:eastAsia="Arial" w:hAnsi="Arial"/>
          <w:sz w:val="16"/>
          <w:szCs w:val="16"/>
          <w:b w:val="1"/>
          <w:bCs w:val="1"/>
          <w:color w:val="363634"/>
        </w:rPr>
        <w:t xml:space="preserve">Contamination. </w:t>
      </w:r>
      <w:r>
        <w:rPr>
          <w:rFonts w:ascii="Arial" w:cs="Arial" w:eastAsia="Arial" w:hAnsi="Arial"/>
          <w:sz w:val="16"/>
          <w:szCs w:val="16"/>
          <w:color w:val="363634"/>
        </w:rPr>
        <w:t>We do not cover any actual or alleged damages arising out of the discharge, dispersal, seepage, migration or release or escape of pollutants. Nor do we</w:t>
      </w:r>
      <w:r>
        <w:rPr>
          <w:rFonts w:ascii="Arial" w:cs="Arial" w:eastAsia="Arial" w:hAnsi="Arial"/>
          <w:sz w:val="16"/>
          <w:szCs w:val="16"/>
          <w:b w:val="1"/>
          <w:bCs w:val="1"/>
          <w:color w:val="363634"/>
        </w:rPr>
        <w:t xml:space="preserve"> </w:t>
      </w:r>
      <w:r>
        <w:rPr>
          <w:rFonts w:ascii="Arial" w:cs="Arial" w:eastAsia="Arial" w:hAnsi="Arial"/>
          <w:sz w:val="16"/>
          <w:szCs w:val="16"/>
          <w:color w:val="363634"/>
        </w:rPr>
        <w:t>cover any cost or expense arising out of any request, demand or order to</w:t>
      </w:r>
      <w:r>
        <w:rPr>
          <w:rFonts w:ascii="Arial" w:cs="Arial" w:eastAsia="Arial" w:hAnsi="Arial"/>
          <w:sz w:val="16"/>
          <w:szCs w:val="16"/>
          <w:color w:val="757574"/>
        </w:rPr>
        <w:t>:</w:t>
      </w:r>
    </w:p>
    <w:p>
      <w:pPr>
        <w:ind w:left="820" w:hanging="312"/>
        <w:spacing w:after="0" w:line="204" w:lineRule="auto"/>
        <w:tabs>
          <w:tab w:leader="none" w:pos="820" w:val="left"/>
        </w:tabs>
        <w:numPr>
          <w:ilvl w:val="0"/>
          <w:numId w:val="481"/>
        </w:numPr>
        <w:rPr>
          <w:rFonts w:ascii="Arial" w:cs="Arial" w:eastAsia="Arial" w:hAnsi="Arial"/>
          <w:sz w:val="20"/>
          <w:szCs w:val="20"/>
          <w:color w:val="auto"/>
        </w:rPr>
      </w:pPr>
      <w:r>
        <w:rPr>
          <w:rFonts w:ascii="Arial" w:cs="Arial" w:eastAsia="Arial" w:hAnsi="Arial"/>
          <w:sz w:val="16"/>
          <w:szCs w:val="16"/>
          <w:color w:val="363634"/>
        </w:rPr>
        <w:t>extract pollutants from land or water;</w:t>
      </w:r>
    </w:p>
    <w:p>
      <w:pPr>
        <w:ind w:left="840"/>
        <w:spacing w:after="0"/>
        <w:rPr>
          <w:rFonts w:ascii="Arial" w:cs="Arial" w:eastAsia="Arial" w:hAnsi="Arial"/>
          <w:sz w:val="20"/>
          <w:szCs w:val="20"/>
          <w:color w:val="auto"/>
        </w:rPr>
      </w:pPr>
      <w:r>
        <w:rPr>
          <w:rFonts w:ascii="Arial" w:cs="Arial" w:eastAsia="Arial" w:hAnsi="Arial"/>
          <w:sz w:val="16"/>
          <w:szCs w:val="16"/>
          <w:color w:val="363634"/>
        </w:rPr>
        <w:t>remove, restore or replace polluted or contaminated land or water; or</w:t>
      </w:r>
    </w:p>
    <w:p>
      <w:pPr>
        <w:spacing w:after="0" w:line="8" w:lineRule="exact"/>
        <w:rPr>
          <w:rFonts w:ascii="Arial" w:cs="Arial" w:eastAsia="Arial" w:hAnsi="Arial"/>
          <w:sz w:val="20"/>
          <w:szCs w:val="20"/>
          <w:color w:val="auto"/>
        </w:rPr>
      </w:pPr>
    </w:p>
    <w:p>
      <w:pPr>
        <w:ind w:left="840" w:hanging="332"/>
        <w:spacing w:after="0" w:line="211" w:lineRule="auto"/>
        <w:tabs>
          <w:tab w:leader="none" w:pos="840" w:val="left"/>
        </w:tabs>
        <w:numPr>
          <w:ilvl w:val="0"/>
          <w:numId w:val="481"/>
        </w:numPr>
        <w:rPr>
          <w:rFonts w:ascii="Arial" w:cs="Arial" w:eastAsia="Arial" w:hAnsi="Arial"/>
          <w:sz w:val="20"/>
          <w:szCs w:val="20"/>
          <w:color w:val="auto"/>
        </w:rPr>
      </w:pPr>
      <w:r>
        <w:rPr>
          <w:rFonts w:ascii="Arial" w:cs="Arial" w:eastAsia="Arial" w:hAnsi="Arial"/>
          <w:sz w:val="16"/>
          <w:szCs w:val="16"/>
          <w:color w:val="363634"/>
        </w:rPr>
        <w:t>test for, monitor, clean up, remove, contain, treat, detoxify or neutralize pollutants, or in any way respond to or assess the effects of pollutants.</w:t>
      </w:r>
    </w:p>
    <w:p>
      <w:pPr>
        <w:spacing w:after="0" w:line="132" w:lineRule="exact"/>
        <w:rPr>
          <w:sz w:val="20"/>
          <w:szCs w:val="20"/>
          <w:color w:val="auto"/>
        </w:rPr>
      </w:pPr>
    </w:p>
    <w:p>
      <w:pPr>
        <w:jc w:val="both"/>
        <w:ind w:left="520"/>
        <w:spacing w:after="0" w:line="273" w:lineRule="auto"/>
        <w:rPr>
          <w:sz w:val="20"/>
          <w:szCs w:val="20"/>
          <w:color w:val="auto"/>
        </w:rPr>
      </w:pPr>
      <w:r>
        <w:rPr>
          <w:rFonts w:ascii="Arial" w:cs="Arial" w:eastAsia="Arial" w:hAnsi="Arial"/>
          <w:sz w:val="16"/>
          <w:szCs w:val="16"/>
          <w:color w:val="363634"/>
        </w:rPr>
        <w:t xml:space="preserve">However, </w:t>
      </w:r>
      <w:r>
        <w:rPr>
          <w:rFonts w:ascii="Arial" w:cs="Arial" w:eastAsia="Arial" w:hAnsi="Arial"/>
          <w:sz w:val="15"/>
          <w:szCs w:val="15"/>
          <w:color w:val="363634"/>
        </w:rPr>
        <w:t>this</w:t>
      </w:r>
      <w:r>
        <w:rPr>
          <w:rFonts w:ascii="Arial" w:cs="Arial" w:eastAsia="Arial" w:hAnsi="Arial"/>
          <w:sz w:val="16"/>
          <w:szCs w:val="16"/>
          <w:color w:val="363634"/>
        </w:rPr>
        <w:t xml:space="preserve"> exclusion does not apply </w:t>
      </w:r>
      <w:r>
        <w:rPr>
          <w:rFonts w:ascii="Arial" w:cs="Arial" w:eastAsia="Arial" w:hAnsi="Arial"/>
          <w:sz w:val="15"/>
          <w:szCs w:val="15"/>
          <w:color w:val="363634"/>
        </w:rPr>
        <w:t>if</w:t>
      </w:r>
      <w:r>
        <w:rPr>
          <w:rFonts w:ascii="Arial" w:cs="Arial" w:eastAsia="Arial" w:hAnsi="Arial"/>
          <w:sz w:val="16"/>
          <w:szCs w:val="16"/>
          <w:color w:val="363634"/>
        </w:rPr>
        <w:t xml:space="preserve">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t>
      </w:r>
      <w:r>
        <w:rPr>
          <w:rFonts w:ascii="Arial" w:cs="Arial" w:eastAsia="Arial" w:hAnsi="Arial"/>
          <w:sz w:val="16"/>
          <w:szCs w:val="16"/>
          <w:color w:val="4D4D4B"/>
        </w:rPr>
        <w:t>"Waste"</w:t>
      </w:r>
      <w:r>
        <w:rPr>
          <w:rFonts w:ascii="Arial" w:cs="Arial" w:eastAsia="Arial" w:hAnsi="Arial"/>
          <w:sz w:val="16"/>
          <w:szCs w:val="16"/>
          <w:color w:val="363634"/>
        </w:rPr>
        <w:t xml:space="preserve"> includes materials to be disposed of, recycled, reconditioned or reclaimed.</w:t>
      </w:r>
    </w:p>
    <w:p>
      <w:pPr>
        <w:spacing w:after="0" w:line="145" w:lineRule="exact"/>
        <w:rPr>
          <w:sz w:val="20"/>
          <w:szCs w:val="20"/>
          <w:color w:val="auto"/>
        </w:rPr>
      </w:pPr>
    </w:p>
    <w:p>
      <w:pPr>
        <w:jc w:val="both"/>
        <w:ind w:left="520"/>
        <w:spacing w:after="0" w:line="298" w:lineRule="auto"/>
        <w:rPr>
          <w:sz w:val="20"/>
          <w:szCs w:val="20"/>
          <w:color w:val="auto"/>
        </w:rPr>
      </w:pPr>
      <w:r>
        <w:rPr>
          <w:rFonts w:ascii="Arial" w:cs="Arial" w:eastAsia="Arial" w:hAnsi="Arial"/>
          <w:sz w:val="16"/>
          <w:szCs w:val="16"/>
          <w:b w:val="1"/>
          <w:bCs w:val="1"/>
          <w:color w:val="363634"/>
        </w:rPr>
        <w:t xml:space="preserve">Financial guarantees. </w:t>
      </w:r>
      <w:r>
        <w:rPr>
          <w:rFonts w:ascii="Arial" w:cs="Arial" w:eastAsia="Arial" w:hAnsi="Arial"/>
          <w:sz w:val="16"/>
          <w:szCs w:val="16"/>
          <w:color w:val="363634"/>
        </w:rPr>
        <w:t>We do not cover any damages for any covered person's financial guarantee of the financial performance of any covered person, other individual</w:t>
      </w:r>
      <w:r>
        <w:rPr>
          <w:rFonts w:ascii="Arial" w:cs="Arial" w:eastAsia="Arial" w:hAnsi="Arial"/>
          <w:sz w:val="16"/>
          <w:szCs w:val="16"/>
          <w:b w:val="1"/>
          <w:bCs w:val="1"/>
          <w:color w:val="363634"/>
        </w:rPr>
        <w:t xml:space="preserve"> </w:t>
      </w:r>
      <w:r>
        <w:rPr>
          <w:rFonts w:ascii="Arial" w:cs="Arial" w:eastAsia="Arial" w:hAnsi="Arial"/>
          <w:sz w:val="16"/>
          <w:szCs w:val="16"/>
          <w:color w:val="363634"/>
        </w:rPr>
        <w:t>or organization.</w:t>
      </w:r>
    </w:p>
    <w:p>
      <w:pPr>
        <w:spacing w:after="0" w:line="124" w:lineRule="exact"/>
        <w:rPr>
          <w:sz w:val="20"/>
          <w:szCs w:val="20"/>
          <w:color w:val="auto"/>
        </w:rPr>
      </w:pPr>
    </w:p>
    <w:p>
      <w:pPr>
        <w:jc w:val="both"/>
        <w:ind w:left="520"/>
        <w:spacing w:after="0" w:line="298" w:lineRule="auto"/>
        <w:rPr>
          <w:sz w:val="20"/>
          <w:szCs w:val="20"/>
          <w:color w:val="auto"/>
        </w:rPr>
      </w:pPr>
      <w:r>
        <w:rPr>
          <w:rFonts w:ascii="Arial" w:cs="Arial" w:eastAsia="Arial" w:hAnsi="Arial"/>
          <w:sz w:val="16"/>
          <w:szCs w:val="16"/>
          <w:b w:val="1"/>
          <w:bCs w:val="1"/>
          <w:color w:val="363634"/>
        </w:rPr>
        <w:t xml:space="preserve">Professional services. </w:t>
      </w:r>
      <w:r>
        <w:rPr>
          <w:rFonts w:ascii="Arial" w:cs="Arial" w:eastAsia="Arial" w:hAnsi="Arial"/>
          <w:sz w:val="16"/>
          <w:szCs w:val="16"/>
          <w:color w:val="363634"/>
        </w:rPr>
        <w:t>We do not cover any damages for any covered person's performing or failure to perform professional</w:t>
      </w:r>
      <w:r>
        <w:rPr>
          <w:rFonts w:ascii="Arial" w:cs="Arial" w:eastAsia="Arial" w:hAnsi="Arial"/>
          <w:sz w:val="16"/>
          <w:szCs w:val="16"/>
          <w:b w:val="1"/>
          <w:bCs w:val="1"/>
          <w:color w:val="363634"/>
        </w:rPr>
        <w:t xml:space="preserve"> </w:t>
      </w:r>
      <w:r>
        <w:rPr>
          <w:rFonts w:ascii="Arial" w:cs="Arial" w:eastAsia="Arial" w:hAnsi="Arial"/>
          <w:sz w:val="16"/>
          <w:szCs w:val="16"/>
          <w:color w:val="4D4D4B"/>
        </w:rPr>
        <w:t>services,</w:t>
      </w:r>
      <w:r>
        <w:rPr>
          <w:rFonts w:ascii="Arial" w:cs="Arial" w:eastAsia="Arial" w:hAnsi="Arial"/>
          <w:sz w:val="16"/>
          <w:szCs w:val="16"/>
          <w:b w:val="1"/>
          <w:bCs w:val="1"/>
          <w:color w:val="363634"/>
        </w:rPr>
        <w:t xml:space="preserve"> </w:t>
      </w:r>
      <w:r>
        <w:rPr>
          <w:rFonts w:ascii="Arial" w:cs="Arial" w:eastAsia="Arial" w:hAnsi="Arial"/>
          <w:sz w:val="16"/>
          <w:szCs w:val="16"/>
          <w:color w:val="363634"/>
        </w:rPr>
        <w:t>or for professional services for</w:t>
      </w:r>
      <w:r>
        <w:rPr>
          <w:rFonts w:ascii="Arial" w:cs="Arial" w:eastAsia="Arial" w:hAnsi="Arial"/>
          <w:sz w:val="16"/>
          <w:szCs w:val="16"/>
          <w:b w:val="1"/>
          <w:bCs w:val="1"/>
          <w:color w:val="363634"/>
        </w:rPr>
        <w:t xml:space="preserve"> </w:t>
      </w:r>
      <w:r>
        <w:rPr>
          <w:rFonts w:ascii="Arial" w:cs="Arial" w:eastAsia="Arial" w:hAnsi="Arial"/>
          <w:sz w:val="16"/>
          <w:szCs w:val="16"/>
          <w:color w:val="363634"/>
        </w:rPr>
        <w:t>which any covered person is legally responsible or licensed.</w:t>
      </w:r>
    </w:p>
    <w:p>
      <w:pPr>
        <w:spacing w:after="0" w:line="137" w:lineRule="exact"/>
        <w:rPr>
          <w:sz w:val="20"/>
          <w:szCs w:val="20"/>
          <w:color w:val="auto"/>
        </w:rPr>
      </w:pPr>
    </w:p>
    <w:p>
      <w:pPr>
        <w:jc w:val="both"/>
        <w:ind w:left="520" w:right="20"/>
        <w:spacing w:after="0" w:line="298" w:lineRule="auto"/>
        <w:rPr>
          <w:sz w:val="20"/>
          <w:szCs w:val="20"/>
          <w:color w:val="auto"/>
        </w:rPr>
      </w:pPr>
      <w:r>
        <w:rPr>
          <w:rFonts w:ascii="Arial" w:cs="Arial" w:eastAsia="Arial" w:hAnsi="Arial"/>
          <w:sz w:val="16"/>
          <w:szCs w:val="16"/>
          <w:b w:val="1"/>
          <w:bCs w:val="1"/>
          <w:color w:val="363634"/>
        </w:rPr>
        <w:t xml:space="preserve">Acts of war. </w:t>
      </w:r>
      <w:r>
        <w:rPr>
          <w:rFonts w:ascii="Arial" w:cs="Arial" w:eastAsia="Arial" w:hAnsi="Arial"/>
          <w:sz w:val="16"/>
          <w:szCs w:val="16"/>
          <w:color w:val="363634"/>
        </w:rPr>
        <w:t>We do not cover any damages caused directly or indirectly by war, undeclared war, civil war, insurrection, rebellion, revolution, warlike acts by military</w:t>
      </w:r>
      <w:r>
        <w:rPr>
          <w:rFonts w:ascii="Arial" w:cs="Arial" w:eastAsia="Arial" w:hAnsi="Arial"/>
          <w:sz w:val="16"/>
          <w:szCs w:val="16"/>
          <w:b w:val="1"/>
          <w:bCs w:val="1"/>
          <w:color w:val="363634"/>
        </w:rPr>
        <w:t xml:space="preserve"> </w:t>
      </w:r>
      <w:r>
        <w:rPr>
          <w:rFonts w:ascii="Arial" w:cs="Arial" w:eastAsia="Arial" w:hAnsi="Arial"/>
          <w:sz w:val="16"/>
          <w:szCs w:val="16"/>
          <w:color w:val="363634"/>
        </w:rPr>
        <w:t>forces or personnel, the destruction or seizure of property for a military purpose, or the consequences of any of these actions.</w:t>
      </w:r>
    </w:p>
    <w:p>
      <w:pPr>
        <w:spacing w:after="0" w:line="137"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b w:val="1"/>
          <w:bCs w:val="1"/>
          <w:color w:val="363634"/>
        </w:rPr>
        <w:t xml:space="preserve">Contractual liability. </w:t>
      </w:r>
      <w:r>
        <w:rPr>
          <w:rFonts w:ascii="Arial" w:cs="Arial" w:eastAsia="Arial" w:hAnsi="Arial"/>
          <w:sz w:val="16"/>
          <w:szCs w:val="16"/>
          <w:color w:val="363634"/>
        </w:rPr>
        <w:t>We do not cover any assessments charged against a covered person as a member of a homeowners, condominium or cooperative association. We</w:t>
      </w:r>
      <w:r>
        <w:rPr>
          <w:rFonts w:ascii="Arial" w:cs="Arial" w:eastAsia="Arial" w:hAnsi="Arial"/>
          <w:sz w:val="16"/>
          <w:szCs w:val="16"/>
          <w:b w:val="1"/>
          <w:bCs w:val="1"/>
          <w:color w:val="363634"/>
        </w:rPr>
        <w:t xml:space="preserve"> </w:t>
      </w:r>
      <w:r>
        <w:rPr>
          <w:rFonts w:ascii="Arial" w:cs="Arial" w:eastAsia="Arial" w:hAnsi="Arial"/>
          <w:sz w:val="16"/>
          <w:szCs w:val="16"/>
          <w:color w:val="363634"/>
        </w:rPr>
        <w:t>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51" w:lineRule="exact"/>
        <w:rPr>
          <w:sz w:val="20"/>
          <w:szCs w:val="20"/>
          <w:color w:val="auto"/>
        </w:rPr>
      </w:pPr>
    </w:p>
    <w:p>
      <w:pPr>
        <w:jc w:val="both"/>
        <w:ind w:left="540"/>
        <w:spacing w:after="0" w:line="289" w:lineRule="auto"/>
        <w:rPr>
          <w:sz w:val="20"/>
          <w:szCs w:val="20"/>
          <w:color w:val="auto"/>
        </w:rPr>
      </w:pPr>
      <w:r>
        <w:rPr>
          <w:rFonts w:ascii="Arial" w:cs="Arial" w:eastAsia="Arial" w:hAnsi="Arial"/>
          <w:sz w:val="15"/>
          <w:szCs w:val="15"/>
          <w:b w:val="1"/>
          <w:bCs w:val="1"/>
          <w:color w:val="363634"/>
        </w:rPr>
        <w:t xml:space="preserve">Covered person's or dependent's personal injury. </w:t>
      </w:r>
      <w:r>
        <w:rPr>
          <w:rFonts w:ascii="Arial" w:cs="Arial" w:eastAsia="Arial" w:hAnsi="Arial"/>
          <w:sz w:val="15"/>
          <w:szCs w:val="15"/>
          <w:color w:val="363634"/>
        </w:rPr>
        <w:t>We do not cover any damages for personal injury for any covered person or their dependents where the ultimate</w:t>
      </w:r>
      <w:r>
        <w:rPr>
          <w:rFonts w:ascii="Arial" w:cs="Arial" w:eastAsia="Arial" w:hAnsi="Arial"/>
          <w:sz w:val="15"/>
          <w:szCs w:val="15"/>
          <w:b w:val="1"/>
          <w:bCs w:val="1"/>
          <w:color w:val="363634"/>
        </w:rPr>
        <w:t xml:space="preserve"> </w:t>
      </w:r>
      <w:r>
        <w:rPr>
          <w:rFonts w:ascii="Arial" w:cs="Arial" w:eastAsia="Arial" w:hAnsi="Arial"/>
          <w:sz w:val="15"/>
          <w:szCs w:val="15"/>
          <w:color w:val="363634"/>
        </w:rPr>
        <w:t>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83" w:lineRule="exact"/>
        <w:rPr>
          <w:sz w:val="20"/>
          <w:szCs w:val="20"/>
          <w:color w:val="auto"/>
        </w:rPr>
      </w:pPr>
    </w:p>
    <w:p>
      <w:pPr>
        <w:jc w:val="both"/>
        <w:ind w:left="540"/>
        <w:spacing w:after="0" w:line="273" w:lineRule="auto"/>
        <w:rPr>
          <w:sz w:val="20"/>
          <w:szCs w:val="20"/>
          <w:color w:val="auto"/>
        </w:rPr>
      </w:pPr>
      <w:r>
        <w:rPr>
          <w:rFonts w:ascii="Arial" w:cs="Arial" w:eastAsia="Arial" w:hAnsi="Arial"/>
          <w:sz w:val="16"/>
          <w:szCs w:val="16"/>
          <w:color w:val="363634"/>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lb.is coverage applies only to the extent such damages are covered by primary underlying insurance and exceed the limits of insurance required for that motorized land vehicle under the Required Primary Underlying Insurance provisions of this policy</w:t>
      </w:r>
      <w:r>
        <w:rPr>
          <w:rFonts w:ascii="Arial" w:cs="Arial" w:eastAsia="Arial" w:hAnsi="Arial"/>
          <w:sz w:val="16"/>
          <w:szCs w:val="16"/>
          <w:color w:val="151313"/>
        </w:rPr>
        <w:t>.</w:t>
      </w:r>
    </w:p>
    <w:p>
      <w:pPr>
        <w:spacing w:after="0" w:line="158" w:lineRule="exact"/>
        <w:rPr>
          <w:sz w:val="20"/>
          <w:szCs w:val="20"/>
          <w:color w:val="auto"/>
        </w:rPr>
      </w:pPr>
    </w:p>
    <w:p>
      <w:pPr>
        <w:jc w:val="both"/>
        <w:ind w:left="560"/>
        <w:spacing w:after="0" w:line="298" w:lineRule="auto"/>
        <w:rPr>
          <w:sz w:val="20"/>
          <w:szCs w:val="20"/>
          <w:color w:val="auto"/>
        </w:rPr>
      </w:pPr>
      <w:r>
        <w:rPr>
          <w:rFonts w:ascii="Arial" w:cs="Arial" w:eastAsia="Arial" w:hAnsi="Arial"/>
          <w:sz w:val="16"/>
          <w:szCs w:val="16"/>
          <w:b w:val="1"/>
          <w:bCs w:val="1"/>
          <w:color w:val="363634"/>
        </w:rPr>
        <w:t xml:space="preserve">Liability for dependent care. </w:t>
      </w:r>
      <w:r>
        <w:rPr>
          <w:rFonts w:ascii="Arial" w:cs="Arial" w:eastAsia="Arial" w:hAnsi="Arial"/>
          <w:sz w:val="16"/>
          <w:szCs w:val="16"/>
          <w:color w:val="363634"/>
        </w:rPr>
        <w:t>We do not cover any damages for personal injury for which a covered person's only legal liability is by virtue of a contract or other</w:t>
      </w:r>
      <w:r>
        <w:rPr>
          <w:rFonts w:ascii="Arial" w:cs="Arial" w:eastAsia="Arial" w:hAnsi="Arial"/>
          <w:sz w:val="16"/>
          <w:szCs w:val="16"/>
          <w:b w:val="1"/>
          <w:bCs w:val="1"/>
          <w:color w:val="363634"/>
        </w:rPr>
        <w:t xml:space="preserve"> </w:t>
      </w:r>
      <w:r>
        <w:rPr>
          <w:rFonts w:ascii="Arial" w:cs="Arial" w:eastAsia="Arial" w:hAnsi="Arial"/>
          <w:sz w:val="16"/>
          <w:szCs w:val="16"/>
          <w:color w:val="363634"/>
        </w:rPr>
        <w:t>responsibility for a dependent ‘scare.</w:t>
      </w:r>
    </w:p>
    <w:p>
      <w:pPr>
        <w:spacing w:after="0" w:line="83" w:lineRule="exact"/>
        <w:rPr>
          <w:sz w:val="20"/>
          <w:szCs w:val="20"/>
          <w:color w:val="auto"/>
        </w:rPr>
      </w:pPr>
    </w:p>
    <w:p>
      <w:pPr>
        <w:jc w:val="both"/>
        <w:ind w:left="560"/>
        <w:spacing w:after="0" w:line="308" w:lineRule="auto"/>
        <w:rPr>
          <w:sz w:val="20"/>
          <w:szCs w:val="20"/>
          <w:color w:val="auto"/>
        </w:rPr>
      </w:pPr>
      <w:r>
        <w:rPr>
          <w:rFonts w:ascii="Arial" w:cs="Arial" w:eastAsia="Arial" w:hAnsi="Arial"/>
          <w:sz w:val="15"/>
          <w:szCs w:val="15"/>
          <w:b w:val="1"/>
          <w:bCs w:val="1"/>
          <w:color w:val="363634"/>
        </w:rPr>
        <w:t xml:space="preserve">Illness. We </w:t>
      </w:r>
      <w:r>
        <w:rPr>
          <w:rFonts w:ascii="Arial" w:cs="Arial" w:eastAsia="Arial" w:hAnsi="Arial"/>
          <w:sz w:val="15"/>
          <w:szCs w:val="15"/>
          <w:color w:val="363634"/>
        </w:rPr>
        <w:t>do not cover personal injury or property damage resulting from any illness, sickness or disease transmitted intentionally or unintentionally by</w:t>
      </w:r>
      <w:r>
        <w:rPr>
          <w:rFonts w:ascii="Arial" w:cs="Arial" w:eastAsia="Arial" w:hAnsi="Arial"/>
          <w:sz w:val="15"/>
          <w:szCs w:val="15"/>
          <w:b w:val="1"/>
          <w:bCs w:val="1"/>
          <w:color w:val="363634"/>
        </w:rPr>
        <w:t xml:space="preserve"> </w:t>
      </w:r>
      <w:r>
        <w:rPr>
          <w:rFonts w:ascii="Arial" w:cs="Arial" w:eastAsia="Arial" w:hAnsi="Arial"/>
          <w:sz w:val="15"/>
          <w:szCs w:val="15"/>
          <w:color w:val="4D4D4B"/>
        </w:rPr>
        <w:t>a</w:t>
      </w:r>
      <w:r>
        <w:rPr>
          <w:rFonts w:ascii="Arial" w:cs="Arial" w:eastAsia="Arial" w:hAnsi="Arial"/>
          <w:sz w:val="15"/>
          <w:szCs w:val="15"/>
          <w:b w:val="1"/>
          <w:bCs w:val="1"/>
          <w:color w:val="363634"/>
        </w:rPr>
        <w:t xml:space="preserve"> </w:t>
      </w:r>
      <w:r>
        <w:rPr>
          <w:rFonts w:ascii="Arial" w:cs="Arial" w:eastAsia="Arial" w:hAnsi="Arial"/>
          <w:sz w:val="15"/>
          <w:szCs w:val="15"/>
          <w:color w:val="363634"/>
        </w:rPr>
        <w:t>covered</w:t>
      </w:r>
      <w:r>
        <w:rPr>
          <w:rFonts w:ascii="Arial" w:cs="Arial" w:eastAsia="Arial" w:hAnsi="Arial"/>
          <w:sz w:val="15"/>
          <w:szCs w:val="15"/>
          <w:b w:val="1"/>
          <w:bCs w:val="1"/>
          <w:color w:val="363634"/>
        </w:rPr>
        <w:t xml:space="preserve"> </w:t>
      </w:r>
      <w:r>
        <w:rPr>
          <w:rFonts w:ascii="Arial" w:cs="Arial" w:eastAsia="Arial" w:hAnsi="Arial"/>
          <w:sz w:val="15"/>
          <w:szCs w:val="15"/>
          <w:color w:val="363634"/>
        </w:rPr>
        <w:t>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119" w:lineRule="exact"/>
        <w:rPr>
          <w:sz w:val="20"/>
          <w:szCs w:val="20"/>
          <w:color w:val="auto"/>
        </w:rPr>
      </w:pPr>
    </w:p>
    <w:p>
      <w:pPr>
        <w:jc w:val="both"/>
        <w:ind w:left="580" w:hanging="26"/>
        <w:spacing w:after="0"/>
        <w:rPr>
          <w:sz w:val="20"/>
          <w:szCs w:val="20"/>
          <w:color w:val="auto"/>
        </w:rPr>
      </w:pPr>
      <w:r>
        <w:rPr>
          <w:rFonts w:ascii="Arial" w:cs="Arial" w:eastAsia="Arial" w:hAnsi="Arial"/>
          <w:sz w:val="16"/>
          <w:szCs w:val="16"/>
          <w:b w:val="1"/>
          <w:bCs w:val="1"/>
          <w:color w:val="363634"/>
        </w:rPr>
        <w:t xml:space="preserve">Fungi and mold. </w:t>
      </w:r>
      <w:r>
        <w:rPr>
          <w:rFonts w:ascii="Arial" w:cs="Arial" w:eastAsia="Arial" w:hAnsi="Arial"/>
          <w:sz w:val="16"/>
          <w:szCs w:val="16"/>
          <w:color w:val="363634"/>
        </w:rPr>
        <w:t>We do not cover any actual or alleged damages or medical expenses arising out of mold, the fear of mold, or any consequences resulting from mold</w:t>
      </w:r>
      <w:r>
        <w:rPr>
          <w:rFonts w:ascii="Arial" w:cs="Arial" w:eastAsia="Arial" w:hAnsi="Arial"/>
          <w:sz w:val="16"/>
          <w:szCs w:val="16"/>
          <w:b w:val="1"/>
          <w:bCs w:val="1"/>
          <w:color w:val="363634"/>
        </w:rPr>
        <w:t xml:space="preserve"> </w:t>
      </w:r>
      <w:r>
        <w:rPr>
          <w:rFonts w:ascii="Arial" w:cs="Arial" w:eastAsia="Arial" w:hAnsi="Arial"/>
          <w:sz w:val="16"/>
          <w:szCs w:val="16"/>
          <w:color w:val="363634"/>
        </w:rPr>
        <w:t>or the fear of mold. "Mold" means fungi, mold, mold spores, mycotoxins, and the scents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363634"/>
        </w:rPr>
        <w:t>and other byproducts of any of these.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12 of 15</w:t>
      </w:r>
    </w:p>
    <w:p>
      <w:pPr>
        <w:sectPr>
          <w:pgSz w:w="11900" w:h="16838" w:orient="portrait"/>
          <w:cols w:equalWidth="0" w:num="1">
            <w:col w:w="11420"/>
          </w:cols>
          <w:pgMar w:left="240" w:top="650" w:right="239" w:bottom="1440" w:gutter="0" w:footer="0" w:header="0"/>
        </w:sectPr>
      </w:pPr>
    </w:p>
    <w:bookmarkStart w:id="302" w:name="page303"/>
    <w:bookmarkEnd w:id="302"/>
    <w:p>
      <w:pPr>
        <w:ind w:left="120"/>
        <w:spacing w:after="0"/>
        <w:rPr>
          <w:sz w:val="20"/>
          <w:szCs w:val="20"/>
          <w:color w:val="auto"/>
        </w:rPr>
      </w:pPr>
      <w:r>
        <w:rPr>
          <w:rFonts w:ascii="Arial" w:cs="Arial" w:eastAsia="Arial" w:hAnsi="Arial"/>
          <w:sz w:val="22"/>
          <w:szCs w:val="22"/>
          <w:b w:val="1"/>
          <w:bCs w:val="1"/>
          <w:i w:val="1"/>
          <w:iCs w:val="1"/>
          <w:color w:val="444442"/>
        </w:rPr>
        <w:t>Exclusions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44442"/>
        </w:rPr>
        <w:t>(continued)</w:t>
      </w:r>
    </w:p>
    <w:p>
      <w:pPr>
        <w:spacing w:after="0" w:line="111" w:lineRule="exact"/>
        <w:rPr>
          <w:sz w:val="20"/>
          <w:szCs w:val="20"/>
          <w:color w:val="auto"/>
        </w:rPr>
      </w:pPr>
    </w:p>
    <w:p>
      <w:pPr>
        <w:ind w:left="120" w:right="220"/>
        <w:spacing w:after="0" w:line="298" w:lineRule="auto"/>
        <w:rPr>
          <w:sz w:val="20"/>
          <w:szCs w:val="20"/>
          <w:color w:val="auto"/>
        </w:rPr>
      </w:pPr>
      <w:r>
        <w:rPr>
          <w:rFonts w:ascii="Arial" w:cs="Arial" w:eastAsia="Arial" w:hAnsi="Arial"/>
          <w:sz w:val="16"/>
          <w:szCs w:val="16"/>
          <w:b w:val="1"/>
          <w:bCs w:val="1"/>
          <w:color w:val="444442"/>
        </w:rPr>
        <w:t>Nuclear or radiation hazard</w:t>
      </w:r>
      <w:r>
        <w:rPr>
          <w:rFonts w:ascii="Arial" w:cs="Arial" w:eastAsia="Arial" w:hAnsi="Arial"/>
          <w:sz w:val="16"/>
          <w:szCs w:val="16"/>
          <w:b w:val="1"/>
          <w:bCs w:val="1"/>
          <w:color w:val="21211F"/>
        </w:rPr>
        <w:t>.</w:t>
      </w:r>
      <w:r>
        <w:rPr>
          <w:rFonts w:ascii="Arial" w:cs="Arial" w:eastAsia="Arial" w:hAnsi="Arial"/>
          <w:sz w:val="16"/>
          <w:szCs w:val="16"/>
          <w:b w:val="1"/>
          <w:bCs w:val="1"/>
          <w:color w:val="444442"/>
        </w:rPr>
        <w:t xml:space="preserve"> </w:t>
      </w:r>
      <w:r>
        <w:rPr>
          <w:rFonts w:ascii="Arial" w:cs="Arial" w:eastAsia="Arial" w:hAnsi="Arial"/>
          <w:sz w:val="16"/>
          <w:szCs w:val="16"/>
          <w:color w:val="444442"/>
        </w:rPr>
        <w:t>We do not cover any damages caused directly or indirectly by nuclear reaction, radiation, or radioactive contamination, regardless of how it</w:t>
      </w:r>
      <w:r>
        <w:rPr>
          <w:rFonts w:ascii="Arial" w:cs="Arial" w:eastAsia="Arial" w:hAnsi="Arial"/>
          <w:sz w:val="16"/>
          <w:szCs w:val="16"/>
          <w:b w:val="1"/>
          <w:bCs w:val="1"/>
          <w:color w:val="444442"/>
        </w:rPr>
        <w:t xml:space="preserve"> </w:t>
      </w:r>
      <w:r>
        <w:rPr>
          <w:rFonts w:ascii="Arial" w:cs="Arial" w:eastAsia="Arial" w:hAnsi="Arial"/>
          <w:sz w:val="16"/>
          <w:szCs w:val="16"/>
          <w:color w:val="444442"/>
        </w:rPr>
        <w:t>was caused.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444442"/>
        </w:rPr>
        <w:t>POLICY TERMS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This part of your Group Personal Excess Liability Policy explains the conditions that apply to your policy.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444442"/>
        </w:rPr>
        <w:t>General Conditions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These conditions apply to your policy in general, and to each coverage provided in the policy.</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Policy period</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 effective dates of your policy are shown in the Coverage Summary. Those dates begin at 12:01 a.m. standard time at the mailing address shown.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All coverages on this policy apply only to occurrences that take place while this policy is in effect.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Transfer of rights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If we make a payment under this policy</w:t>
      </w:r>
      <w:r>
        <w:rPr>
          <w:rFonts w:ascii="Arial" w:cs="Arial" w:eastAsia="Arial" w:hAnsi="Arial"/>
          <w:sz w:val="15"/>
          <w:szCs w:val="15"/>
          <w:color w:val="676764"/>
        </w:rPr>
        <w:t>,</w:t>
      </w:r>
      <w:r>
        <w:rPr>
          <w:rFonts w:ascii="Arial" w:cs="Arial" w:eastAsia="Arial" w:hAnsi="Arial"/>
          <w:sz w:val="15"/>
          <w:szCs w:val="15"/>
          <w:color w:val="444442"/>
        </w:rPr>
        <w:t xml:space="preserve"> we will assume any recovery rights a covered person has in connection with that loss, to the extent we have paid for the loss.</w:t>
      </w:r>
    </w:p>
    <w:p>
      <w:pPr>
        <w:spacing w:after="0" w:line="120" w:lineRule="exact"/>
        <w:rPr>
          <w:sz w:val="20"/>
          <w:szCs w:val="20"/>
          <w:color w:val="auto"/>
        </w:rPr>
      </w:pPr>
    </w:p>
    <w:p>
      <w:pPr>
        <w:jc w:val="both"/>
        <w:ind w:left="140"/>
        <w:spacing w:after="0" w:line="263" w:lineRule="auto"/>
        <w:rPr>
          <w:sz w:val="20"/>
          <w:szCs w:val="20"/>
          <w:color w:val="auto"/>
        </w:rPr>
      </w:pPr>
      <w:r>
        <w:rPr>
          <w:rFonts w:ascii="Arial" w:cs="Arial" w:eastAsia="Arial" w:hAnsi="Arial"/>
          <w:sz w:val="16"/>
          <w:szCs w:val="16"/>
          <w:color w:val="444442"/>
        </w:rPr>
        <w:t xml:space="preserve">All of your rights of recovery will become our rights to the extent of any payment we make under this policy. </w:t>
      </w:r>
      <w:r>
        <w:rPr>
          <w:rFonts w:ascii="Arial" w:cs="Arial" w:eastAsia="Arial" w:hAnsi="Arial"/>
          <w:sz w:val="16"/>
          <w:szCs w:val="16"/>
          <w:b w:val="1"/>
          <w:bCs w:val="1"/>
          <w:color w:val="444442"/>
        </w:rPr>
        <w:t>A</w:t>
      </w:r>
      <w:r>
        <w:rPr>
          <w:rFonts w:ascii="Arial" w:cs="Arial" w:eastAsia="Arial" w:hAnsi="Arial"/>
          <w:sz w:val="16"/>
          <w:szCs w:val="16"/>
          <w:color w:val="444442"/>
        </w:rPr>
        <w:t xml:space="preserve">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Concealment or fraud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We do not provide coverage if you or any covered person has intentionally concealed or misrepresented any material fact relating to this policy before or after a loss.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Application of coverage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Coverage applies separately to each covered person</w:t>
      </w:r>
      <w:r>
        <w:rPr>
          <w:rFonts w:ascii="Arial" w:cs="Arial" w:eastAsia="Arial" w:hAnsi="Arial"/>
          <w:sz w:val="16"/>
          <w:szCs w:val="16"/>
          <w:color w:val="21211F"/>
        </w:rPr>
        <w:t>.</w:t>
      </w:r>
      <w:r>
        <w:rPr>
          <w:rFonts w:ascii="Arial" w:cs="Arial" w:eastAsia="Arial" w:hAnsi="Arial"/>
          <w:sz w:val="16"/>
          <w:szCs w:val="16"/>
          <w:color w:val="444442"/>
        </w:rPr>
        <w:t xml:space="preserve"> However, this provision does not increase the amount of coverage for any one occurrence.</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Assignment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You cannot transfer your interest in this policy to anyone else unless we agree in writing to the transfer.</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Policy changes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This policy can be changed only by a written amendment we issue.</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Bankruptcy or insolvency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We will meet all our obligations under this policy regardless of whether you, your estate</w:t>
      </w:r>
      <w:r>
        <w:rPr>
          <w:rFonts w:ascii="Arial" w:cs="Arial" w:eastAsia="Arial" w:hAnsi="Arial"/>
          <w:sz w:val="16"/>
          <w:szCs w:val="16"/>
          <w:color w:val="676764"/>
        </w:rPr>
        <w:t>,</w:t>
      </w:r>
      <w:r>
        <w:rPr>
          <w:rFonts w:ascii="Arial" w:cs="Arial" w:eastAsia="Arial" w:hAnsi="Arial"/>
          <w:sz w:val="16"/>
          <w:szCs w:val="16"/>
          <w:color w:val="444442"/>
        </w:rPr>
        <w:t xml:space="preserve"> or anyone else or their estate becomes bankrupt or insolvent.</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In case of death</w:t>
      </w:r>
    </w:p>
    <w:p>
      <w:pPr>
        <w:spacing w:after="0" w:line="23" w:lineRule="exact"/>
        <w:rPr>
          <w:sz w:val="20"/>
          <w:szCs w:val="20"/>
          <w:color w:val="auto"/>
        </w:rPr>
      </w:pPr>
    </w:p>
    <w:p>
      <w:pPr>
        <w:jc w:val="both"/>
        <w:ind w:left="140"/>
        <w:spacing w:after="0" w:line="290" w:lineRule="auto"/>
        <w:rPr>
          <w:sz w:val="20"/>
          <w:szCs w:val="20"/>
          <w:color w:val="auto"/>
        </w:rPr>
      </w:pPr>
      <w:r>
        <w:rPr>
          <w:rFonts w:ascii="Arial" w:cs="Arial" w:eastAsia="Arial" w:hAnsi="Arial"/>
          <w:sz w:val="15"/>
          <w:szCs w:val="15"/>
          <w:color w:val="444442"/>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Liberalization</w:t>
      </w:r>
    </w:p>
    <w:p>
      <w:pPr>
        <w:spacing w:after="0" w:line="26" w:lineRule="exact"/>
        <w:rPr>
          <w:sz w:val="20"/>
          <w:szCs w:val="20"/>
          <w:color w:val="auto"/>
        </w:rPr>
      </w:pPr>
    </w:p>
    <w:p>
      <w:pPr>
        <w:jc w:val="both"/>
        <w:ind w:left="140"/>
        <w:spacing w:after="0" w:line="270" w:lineRule="auto"/>
        <w:rPr>
          <w:sz w:val="20"/>
          <w:szCs w:val="20"/>
          <w:color w:val="auto"/>
        </w:rPr>
      </w:pPr>
      <w:r>
        <w:rPr>
          <w:rFonts w:ascii="Arial" w:cs="Arial" w:eastAsia="Arial" w:hAnsi="Arial"/>
          <w:sz w:val="16"/>
          <w:szCs w:val="16"/>
          <w:color w:val="444442"/>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r>
        <w:rPr>
          <w:rFonts w:ascii="Arial" w:cs="Arial" w:eastAsia="Arial" w:hAnsi="Arial"/>
          <w:sz w:val="16"/>
          <w:szCs w:val="16"/>
          <w:color w:val="21211F"/>
        </w:rPr>
        <w: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Conforming to state law</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If any provision of this policy conflict with any applicable laws of the state you live in, this policy is amended to conform to those laws.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Conforming to trade sanction laws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444442"/>
        </w:rPr>
        <w:t>This policy does not apply to the extent that trade or economic sanctions or other laws or regulations prohibit us from providing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13 of 15</w:t>
      </w:r>
    </w:p>
    <w:p>
      <w:pPr>
        <w:sectPr>
          <w:pgSz w:w="11900" w:h="16838" w:orient="portrait"/>
          <w:cols w:equalWidth="0" w:num="1">
            <w:col w:w="11420"/>
          </w:cols>
          <w:pgMar w:left="240" w:top="417" w:right="239" w:bottom="1440" w:gutter="0" w:footer="0" w:header="0"/>
        </w:sectPr>
      </w:pPr>
    </w:p>
    <w:bookmarkStart w:id="303" w:name="page304"/>
    <w:bookmarkEnd w:id="303"/>
    <w:p>
      <w:pPr>
        <w:ind w:left="234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174625</wp:posOffset>
            </wp:positionH>
            <wp:positionV relativeFrom="page">
              <wp:posOffset>492125</wp:posOffset>
            </wp:positionV>
            <wp:extent cx="110617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w:t>
      </w:r>
    </w:p>
    <w:p>
      <w:pPr>
        <w:spacing w:after="0" w:line="42"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41423F"/>
        </w:rPr>
        <w:t>EXCESS LIABILITY</w:t>
      </w:r>
    </w:p>
    <w:p>
      <w:pPr>
        <w:spacing w:after="0" w:line="10"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41423F"/>
        </w:rPr>
        <w:t>POLICY</w:t>
      </w:r>
    </w:p>
    <w:p>
      <w:pPr>
        <w:spacing w:after="0" w:line="31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B3B3B"/>
        </w:rPr>
        <w:t>Liability Conditions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These conditions </w:t>
      </w:r>
      <w:r>
        <w:rPr>
          <w:rFonts w:ascii="Arial" w:cs="Arial" w:eastAsia="Arial" w:hAnsi="Arial"/>
          <w:sz w:val="16"/>
          <w:szCs w:val="16"/>
          <w:color w:val="4B4B49"/>
        </w:rPr>
        <w:t>apply</w:t>
      </w:r>
      <w:r>
        <w:rPr>
          <w:rFonts w:ascii="Arial" w:cs="Arial" w:eastAsia="Arial" w:hAnsi="Arial"/>
          <w:sz w:val="16"/>
          <w:szCs w:val="16"/>
          <w:color w:val="3B3B3B"/>
        </w:rPr>
        <w:t xml:space="preserve"> to all liability </w:t>
      </w:r>
      <w:r>
        <w:rPr>
          <w:rFonts w:ascii="Arial" w:cs="Arial" w:eastAsia="Arial" w:hAnsi="Arial"/>
          <w:sz w:val="16"/>
          <w:szCs w:val="16"/>
          <w:color w:val="4B4B49"/>
        </w:rPr>
        <w:t>coverages in</w:t>
      </w:r>
      <w:r>
        <w:rPr>
          <w:rFonts w:ascii="Arial" w:cs="Arial" w:eastAsia="Arial" w:hAnsi="Arial"/>
          <w:sz w:val="16"/>
          <w:szCs w:val="16"/>
          <w:color w:val="3B3B3B"/>
        </w:rPr>
        <w:t xml:space="preserve"> this </w:t>
      </w:r>
      <w:r>
        <w:rPr>
          <w:rFonts w:ascii="Arial" w:cs="Arial" w:eastAsia="Arial" w:hAnsi="Arial"/>
          <w:sz w:val="16"/>
          <w:szCs w:val="16"/>
          <w:color w:val="4B4B49"/>
        </w:rPr>
        <w:t>policy.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4B4B49"/>
        </w:rPr>
        <w:t xml:space="preserve">Other </w:t>
      </w:r>
      <w:r>
        <w:rPr>
          <w:rFonts w:ascii="Arial" w:cs="Arial" w:eastAsia="Arial" w:hAnsi="Arial"/>
          <w:sz w:val="16"/>
          <w:szCs w:val="16"/>
          <w:b w:val="1"/>
          <w:bCs w:val="1"/>
          <w:color w:val="3B3B3B"/>
        </w:rPr>
        <w:t>Insurance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This insurance is </w:t>
      </w:r>
      <w:r>
        <w:rPr>
          <w:rFonts w:ascii="Arial" w:cs="Arial" w:eastAsia="Arial" w:hAnsi="Arial"/>
          <w:sz w:val="16"/>
          <w:szCs w:val="16"/>
          <w:color w:val="4B4B49"/>
        </w:rPr>
        <w:t>excess over</w:t>
      </w:r>
      <w:r>
        <w:rPr>
          <w:rFonts w:ascii="Arial" w:cs="Arial" w:eastAsia="Arial" w:hAnsi="Arial"/>
          <w:sz w:val="16"/>
          <w:szCs w:val="16"/>
          <w:color w:val="3B3B3B"/>
        </w:rPr>
        <w:t xml:space="preserve"> any </w:t>
      </w:r>
      <w:r>
        <w:rPr>
          <w:rFonts w:ascii="Arial" w:cs="Arial" w:eastAsia="Arial" w:hAnsi="Arial"/>
          <w:sz w:val="16"/>
          <w:szCs w:val="16"/>
          <w:color w:val="4B4B49"/>
        </w:rPr>
        <w:t>other</w:t>
      </w:r>
      <w:r>
        <w:rPr>
          <w:rFonts w:ascii="Arial" w:cs="Arial" w:eastAsia="Arial" w:hAnsi="Arial"/>
          <w:sz w:val="16"/>
          <w:szCs w:val="16"/>
          <w:color w:val="3B3B3B"/>
        </w:rPr>
        <w:t xml:space="preserve"> insurance except for those </w:t>
      </w:r>
      <w:r>
        <w:rPr>
          <w:rFonts w:ascii="Arial" w:cs="Arial" w:eastAsia="Arial" w:hAnsi="Arial"/>
          <w:sz w:val="16"/>
          <w:szCs w:val="16"/>
          <w:color w:val="4B4B49"/>
        </w:rPr>
        <w:t>policies</w:t>
      </w:r>
      <w:r>
        <w:rPr>
          <w:rFonts w:ascii="Arial" w:cs="Arial" w:eastAsia="Arial" w:hAnsi="Arial"/>
          <w:sz w:val="16"/>
          <w:szCs w:val="16"/>
          <w:color w:val="3B3B3B"/>
        </w:rPr>
        <w:t xml:space="preserve"> that</w:t>
      </w:r>
    </w:p>
    <w:p>
      <w:pPr>
        <w:spacing w:after="0" w:line="167" w:lineRule="exact"/>
        <w:rPr>
          <w:sz w:val="20"/>
          <w:szCs w:val="20"/>
          <w:color w:val="auto"/>
        </w:rPr>
      </w:pPr>
    </w:p>
    <w:p>
      <w:pPr>
        <w:ind w:left="880" w:hanging="305"/>
        <w:spacing w:after="0"/>
        <w:tabs>
          <w:tab w:leader="none" w:pos="880" w:val="left"/>
        </w:tabs>
        <w:numPr>
          <w:ilvl w:val="0"/>
          <w:numId w:val="482"/>
        </w:numPr>
        <w:rPr>
          <w:rFonts w:ascii="Arial" w:cs="Arial" w:eastAsia="Arial" w:hAnsi="Arial"/>
          <w:sz w:val="16"/>
          <w:szCs w:val="16"/>
          <w:color w:val="3B3B3B"/>
        </w:rPr>
      </w:pPr>
      <w:r>
        <w:rPr>
          <w:rFonts w:ascii="Arial" w:cs="Arial" w:eastAsia="Arial" w:hAnsi="Arial"/>
          <w:sz w:val="16"/>
          <w:szCs w:val="16"/>
          <w:color w:val="3B3B3B"/>
        </w:rPr>
        <w:t xml:space="preserve">are written </w:t>
      </w:r>
      <w:r>
        <w:rPr>
          <w:rFonts w:ascii="Arial" w:cs="Arial" w:eastAsia="Arial" w:hAnsi="Arial"/>
          <w:sz w:val="16"/>
          <w:szCs w:val="16"/>
          <w:color w:val="4B4B49"/>
        </w:rPr>
        <w:t>specifically</w:t>
      </w:r>
      <w:r>
        <w:rPr>
          <w:rFonts w:ascii="Arial" w:cs="Arial" w:eastAsia="Arial" w:hAnsi="Arial"/>
          <w:sz w:val="16"/>
          <w:szCs w:val="16"/>
          <w:color w:val="3B3B3B"/>
        </w:rPr>
        <w:t xml:space="preserve"> to </w:t>
      </w:r>
      <w:r>
        <w:rPr>
          <w:rFonts w:ascii="Arial" w:cs="Arial" w:eastAsia="Arial" w:hAnsi="Arial"/>
          <w:sz w:val="16"/>
          <w:szCs w:val="16"/>
          <w:color w:val="4B4B49"/>
        </w:rPr>
        <w:t>cover excess over</w:t>
      </w:r>
      <w:r>
        <w:rPr>
          <w:rFonts w:ascii="Arial" w:cs="Arial" w:eastAsia="Arial" w:hAnsi="Arial"/>
          <w:sz w:val="16"/>
          <w:szCs w:val="16"/>
          <w:color w:val="3B3B3B"/>
        </w:rPr>
        <w:t xml:space="preserve"> the amount </w:t>
      </w:r>
      <w:r>
        <w:rPr>
          <w:rFonts w:ascii="Arial" w:cs="Arial" w:eastAsia="Arial" w:hAnsi="Arial"/>
          <w:sz w:val="16"/>
          <w:szCs w:val="16"/>
          <w:color w:val="4B4B49"/>
        </w:rPr>
        <w:t>of coverage</w:t>
      </w:r>
      <w:r>
        <w:rPr>
          <w:rFonts w:ascii="Arial" w:cs="Arial" w:eastAsia="Arial" w:hAnsi="Arial"/>
          <w:sz w:val="16"/>
          <w:szCs w:val="16"/>
          <w:color w:val="3B3B3B"/>
        </w:rPr>
        <w:t xml:space="preserve"> that </w:t>
      </w:r>
      <w:r>
        <w:rPr>
          <w:rFonts w:ascii="Arial" w:cs="Arial" w:eastAsia="Arial" w:hAnsi="Arial"/>
          <w:sz w:val="16"/>
          <w:szCs w:val="16"/>
          <w:color w:val="4B4B49"/>
        </w:rPr>
        <w:t>applies in</w:t>
      </w:r>
      <w:r>
        <w:rPr>
          <w:rFonts w:ascii="Arial" w:cs="Arial" w:eastAsia="Arial" w:hAnsi="Arial"/>
          <w:sz w:val="16"/>
          <w:szCs w:val="16"/>
          <w:color w:val="3B3B3B"/>
        </w:rPr>
        <w:t xml:space="preserve"> this </w:t>
      </w:r>
      <w:r>
        <w:rPr>
          <w:rFonts w:ascii="Arial" w:cs="Arial" w:eastAsia="Arial" w:hAnsi="Arial"/>
          <w:sz w:val="16"/>
          <w:szCs w:val="16"/>
          <w:color w:val="4B4B49"/>
        </w:rPr>
        <w:t>policy; and</w:t>
      </w:r>
    </w:p>
    <w:p>
      <w:pPr>
        <w:spacing w:after="0" w:line="19" w:lineRule="exact"/>
        <w:rPr>
          <w:rFonts w:ascii="Arial" w:cs="Arial" w:eastAsia="Arial" w:hAnsi="Arial"/>
          <w:sz w:val="16"/>
          <w:szCs w:val="16"/>
          <w:color w:val="3B3B3B"/>
        </w:rPr>
      </w:pPr>
    </w:p>
    <w:p>
      <w:pPr>
        <w:ind w:left="880" w:hanging="305"/>
        <w:spacing w:after="0"/>
        <w:tabs>
          <w:tab w:leader="none" w:pos="880" w:val="left"/>
        </w:tabs>
        <w:numPr>
          <w:ilvl w:val="0"/>
          <w:numId w:val="482"/>
        </w:numPr>
        <w:rPr>
          <w:rFonts w:ascii="Arial" w:cs="Arial" w:eastAsia="Arial" w:hAnsi="Arial"/>
          <w:sz w:val="16"/>
          <w:szCs w:val="16"/>
          <w:color w:val="4B4B49"/>
        </w:rPr>
      </w:pPr>
      <w:r>
        <w:rPr>
          <w:rFonts w:ascii="Arial" w:cs="Arial" w:eastAsia="Arial" w:hAnsi="Arial"/>
          <w:sz w:val="16"/>
          <w:szCs w:val="16"/>
          <w:color w:val="4B4B49"/>
        </w:rPr>
        <w:t xml:space="preserve">schedule </w:t>
      </w:r>
      <w:r>
        <w:rPr>
          <w:rFonts w:ascii="Arial" w:cs="Arial" w:eastAsia="Arial" w:hAnsi="Arial"/>
          <w:sz w:val="16"/>
          <w:szCs w:val="16"/>
          <w:color w:val="3B3B3B"/>
        </w:rPr>
        <w:t>this</w:t>
      </w:r>
      <w:r>
        <w:rPr>
          <w:rFonts w:ascii="Arial" w:cs="Arial" w:eastAsia="Arial" w:hAnsi="Arial"/>
          <w:sz w:val="16"/>
          <w:szCs w:val="16"/>
          <w:color w:val="4B4B49"/>
        </w:rPr>
        <w:t xml:space="preserve"> policy as underlying insurance.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Your duties </w:t>
      </w:r>
      <w:r>
        <w:rPr>
          <w:rFonts w:ascii="Arial" w:cs="Arial" w:eastAsia="Arial" w:hAnsi="Arial"/>
          <w:sz w:val="16"/>
          <w:szCs w:val="16"/>
          <w:b w:val="1"/>
          <w:bCs w:val="1"/>
          <w:color w:val="4B4B49"/>
        </w:rPr>
        <w:t>after</w:t>
      </w:r>
      <w:r>
        <w:rPr>
          <w:rFonts w:ascii="Arial" w:cs="Arial" w:eastAsia="Arial" w:hAnsi="Arial"/>
          <w:sz w:val="16"/>
          <w:szCs w:val="16"/>
          <w:b w:val="1"/>
          <w:bCs w:val="1"/>
          <w:color w:val="3B3B3B"/>
        </w:rPr>
        <w:t xml:space="preserve"> a loss</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case of an accident or occurrence, the</w:t>
      </w:r>
      <w:r>
        <w:rPr>
          <w:rFonts w:ascii="Arial" w:cs="Arial" w:eastAsia="Arial" w:hAnsi="Arial"/>
          <w:sz w:val="16"/>
          <w:szCs w:val="16"/>
          <w:color w:val="3B3B3B"/>
        </w:rPr>
        <w:t xml:space="preserve"> covered person </w:t>
      </w:r>
      <w:r>
        <w:rPr>
          <w:rFonts w:ascii="Arial" w:cs="Arial" w:eastAsia="Arial" w:hAnsi="Arial"/>
          <w:sz w:val="16"/>
          <w:szCs w:val="16"/>
          <w:color w:val="4B4B49"/>
        </w:rPr>
        <w:t>shall</w:t>
      </w:r>
      <w:r>
        <w:rPr>
          <w:rFonts w:ascii="Arial" w:cs="Arial" w:eastAsia="Arial" w:hAnsi="Arial"/>
          <w:sz w:val="16"/>
          <w:szCs w:val="16"/>
          <w:color w:val="3B3B3B"/>
        </w:rPr>
        <w:t xml:space="preserve"> perform the </w:t>
      </w:r>
      <w:r>
        <w:rPr>
          <w:rFonts w:ascii="Arial" w:cs="Arial" w:eastAsia="Arial" w:hAnsi="Arial"/>
          <w:sz w:val="16"/>
          <w:szCs w:val="16"/>
          <w:color w:val="4B4B49"/>
        </w:rPr>
        <w:t>following duties</w:t>
      </w:r>
      <w:r>
        <w:rPr>
          <w:rFonts w:ascii="Arial" w:cs="Arial" w:eastAsia="Arial" w:hAnsi="Arial"/>
          <w:sz w:val="16"/>
          <w:szCs w:val="16"/>
          <w:color w:val="3B3B3B"/>
        </w:rPr>
        <w:t xml:space="preserve"> that </w:t>
      </w:r>
      <w:r>
        <w:rPr>
          <w:rFonts w:ascii="Arial" w:cs="Arial" w:eastAsia="Arial" w:hAnsi="Arial"/>
          <w:sz w:val="16"/>
          <w:szCs w:val="16"/>
          <w:color w:val="4B4B49"/>
        </w:rPr>
        <w:t>apply: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Notification. </w:t>
      </w:r>
      <w:r>
        <w:rPr>
          <w:rFonts w:ascii="Arial" w:cs="Arial" w:eastAsia="Arial" w:hAnsi="Arial"/>
          <w:sz w:val="16"/>
          <w:szCs w:val="16"/>
          <w:color w:val="3B3B3B"/>
        </w:rPr>
        <w:t>You must notify us or</w:t>
      </w:r>
      <w:r>
        <w:rPr>
          <w:rFonts w:ascii="Arial" w:cs="Arial" w:eastAsia="Arial" w:hAnsi="Arial"/>
          <w:sz w:val="16"/>
          <w:szCs w:val="16"/>
          <w:b w:val="1"/>
          <w:bCs w:val="1"/>
          <w:color w:val="3B3B3B"/>
        </w:rPr>
        <w:t xml:space="preserve"> </w:t>
      </w:r>
      <w:r>
        <w:rPr>
          <w:rFonts w:ascii="Arial" w:cs="Arial" w:eastAsia="Arial" w:hAnsi="Arial"/>
          <w:sz w:val="16"/>
          <w:szCs w:val="16"/>
          <w:color w:val="4B4B49"/>
        </w:rPr>
        <w:t>your</w:t>
      </w:r>
      <w:r>
        <w:rPr>
          <w:rFonts w:ascii="Arial" w:cs="Arial" w:eastAsia="Arial" w:hAnsi="Arial"/>
          <w:sz w:val="16"/>
          <w:szCs w:val="16"/>
          <w:b w:val="1"/>
          <w:bCs w:val="1"/>
          <w:color w:val="3B3B3B"/>
        </w:rPr>
        <w:t xml:space="preserve"> </w:t>
      </w:r>
      <w:r>
        <w:rPr>
          <w:rFonts w:ascii="Arial" w:cs="Arial" w:eastAsia="Arial" w:hAnsi="Arial"/>
          <w:sz w:val="16"/>
          <w:szCs w:val="16"/>
          <w:color w:val="3B3B3B"/>
        </w:rPr>
        <w:t>agent</w:t>
      </w:r>
      <w:r>
        <w:rPr>
          <w:rFonts w:ascii="Arial" w:cs="Arial" w:eastAsia="Arial" w:hAnsi="Arial"/>
          <w:sz w:val="16"/>
          <w:szCs w:val="16"/>
          <w:b w:val="1"/>
          <w:bCs w:val="1"/>
          <w:color w:val="3B3B3B"/>
        </w:rPr>
        <w:t xml:space="preserve"> </w:t>
      </w:r>
      <w:r>
        <w:rPr>
          <w:rFonts w:ascii="Arial" w:cs="Arial" w:eastAsia="Arial" w:hAnsi="Arial"/>
          <w:sz w:val="16"/>
          <w:szCs w:val="16"/>
          <w:color w:val="4B4B49"/>
        </w:rPr>
        <w:t>or</w:t>
      </w:r>
      <w:r>
        <w:rPr>
          <w:rFonts w:ascii="Arial" w:cs="Arial" w:eastAsia="Arial" w:hAnsi="Arial"/>
          <w:sz w:val="16"/>
          <w:szCs w:val="16"/>
          <w:b w:val="1"/>
          <w:bCs w:val="1"/>
          <w:color w:val="3B3B3B"/>
        </w:rPr>
        <w:t xml:space="preserve"> </w:t>
      </w:r>
      <w:r>
        <w:rPr>
          <w:rFonts w:ascii="Arial" w:cs="Arial" w:eastAsia="Arial" w:hAnsi="Arial"/>
          <w:sz w:val="16"/>
          <w:szCs w:val="16"/>
          <w:color w:val="3B3B3B"/>
        </w:rPr>
        <w:t>broker</w:t>
      </w:r>
      <w:r>
        <w:rPr>
          <w:rFonts w:ascii="Arial" w:cs="Arial" w:eastAsia="Arial" w:hAnsi="Arial"/>
          <w:sz w:val="16"/>
          <w:szCs w:val="16"/>
          <w:b w:val="1"/>
          <w:bCs w:val="1"/>
          <w:color w:val="3B3B3B"/>
        </w:rPr>
        <w:t xml:space="preserve"> </w:t>
      </w:r>
      <w:r>
        <w:rPr>
          <w:rFonts w:ascii="Arial" w:cs="Arial" w:eastAsia="Arial" w:hAnsi="Arial"/>
          <w:sz w:val="16"/>
          <w:szCs w:val="16"/>
          <w:color w:val="4B4B49"/>
        </w:rPr>
        <w:t>as soon as possible.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4B4B49"/>
        </w:rPr>
        <w:t xml:space="preserve">Assistance. </w:t>
      </w:r>
      <w:r>
        <w:rPr>
          <w:rFonts w:ascii="Arial" w:cs="Arial" w:eastAsia="Arial" w:hAnsi="Arial"/>
          <w:sz w:val="15"/>
          <w:szCs w:val="15"/>
          <w:color w:val="3B3B3B"/>
        </w:rPr>
        <w:t>You</w:t>
      </w:r>
      <w:r>
        <w:rPr>
          <w:rFonts w:ascii="Arial" w:cs="Arial" w:eastAsia="Arial" w:hAnsi="Arial"/>
          <w:sz w:val="15"/>
          <w:szCs w:val="15"/>
          <w:b w:val="1"/>
          <w:bCs w:val="1"/>
          <w:color w:val="4B4B49"/>
        </w:rPr>
        <w:t xml:space="preserve"> </w:t>
      </w:r>
      <w:r>
        <w:rPr>
          <w:rFonts w:ascii="Arial" w:cs="Arial" w:eastAsia="Arial" w:hAnsi="Arial"/>
          <w:sz w:val="15"/>
          <w:szCs w:val="15"/>
          <w:color w:val="4B4B49"/>
        </w:rPr>
        <w:t>must provide</w:t>
      </w:r>
      <w:r>
        <w:rPr>
          <w:rFonts w:ascii="Arial" w:cs="Arial" w:eastAsia="Arial" w:hAnsi="Arial"/>
          <w:sz w:val="15"/>
          <w:szCs w:val="15"/>
          <w:b w:val="1"/>
          <w:bCs w:val="1"/>
          <w:color w:val="4B4B49"/>
        </w:rPr>
        <w:t xml:space="preserve"> </w:t>
      </w:r>
      <w:r>
        <w:rPr>
          <w:rFonts w:ascii="Arial" w:cs="Arial" w:eastAsia="Arial" w:hAnsi="Arial"/>
          <w:sz w:val="15"/>
          <w:szCs w:val="15"/>
          <w:color w:val="3B3B3B"/>
        </w:rPr>
        <w:t>us with all</w:t>
      </w:r>
      <w:r>
        <w:rPr>
          <w:rFonts w:ascii="Arial" w:cs="Arial" w:eastAsia="Arial" w:hAnsi="Arial"/>
          <w:sz w:val="15"/>
          <w:szCs w:val="15"/>
          <w:b w:val="1"/>
          <w:bCs w:val="1"/>
          <w:color w:val="4B4B49"/>
        </w:rPr>
        <w:t xml:space="preserve"> </w:t>
      </w:r>
      <w:r>
        <w:rPr>
          <w:rFonts w:ascii="Arial" w:cs="Arial" w:eastAsia="Arial" w:hAnsi="Arial"/>
          <w:sz w:val="15"/>
          <w:szCs w:val="15"/>
          <w:color w:val="4B4B49"/>
        </w:rPr>
        <w:t>available</w:t>
      </w:r>
      <w:r>
        <w:rPr>
          <w:rFonts w:ascii="Arial" w:cs="Arial" w:eastAsia="Arial" w:hAnsi="Arial"/>
          <w:sz w:val="15"/>
          <w:szCs w:val="15"/>
          <w:b w:val="1"/>
          <w:bCs w:val="1"/>
          <w:color w:val="4B4B49"/>
        </w:rPr>
        <w:t xml:space="preserve"> </w:t>
      </w:r>
      <w:r>
        <w:rPr>
          <w:rFonts w:ascii="Arial" w:cs="Arial" w:eastAsia="Arial" w:hAnsi="Arial"/>
          <w:sz w:val="15"/>
          <w:szCs w:val="15"/>
          <w:color w:val="3B3B3B"/>
        </w:rPr>
        <w:t>information.</w:t>
      </w:r>
      <w:r>
        <w:rPr>
          <w:rFonts w:ascii="Arial" w:cs="Arial" w:eastAsia="Arial" w:hAnsi="Arial"/>
          <w:sz w:val="15"/>
          <w:szCs w:val="15"/>
          <w:b w:val="1"/>
          <w:bCs w:val="1"/>
          <w:color w:val="4B4B49"/>
        </w:rPr>
        <w:t xml:space="preserve"> </w:t>
      </w:r>
      <w:r>
        <w:rPr>
          <w:rFonts w:ascii="Arial" w:cs="Arial" w:eastAsia="Arial" w:hAnsi="Arial"/>
          <w:sz w:val="15"/>
          <w:szCs w:val="15"/>
          <w:color w:val="4B4B49"/>
        </w:rPr>
        <w:t>This</w:t>
      </w:r>
      <w:r>
        <w:rPr>
          <w:rFonts w:ascii="Arial" w:cs="Arial" w:eastAsia="Arial" w:hAnsi="Arial"/>
          <w:sz w:val="15"/>
          <w:szCs w:val="15"/>
          <w:b w:val="1"/>
          <w:bCs w:val="1"/>
          <w:color w:val="4B4B49"/>
        </w:rPr>
        <w:t xml:space="preserve"> </w:t>
      </w:r>
      <w:r>
        <w:rPr>
          <w:rFonts w:ascii="Arial" w:cs="Arial" w:eastAsia="Arial" w:hAnsi="Arial"/>
          <w:sz w:val="15"/>
          <w:szCs w:val="15"/>
          <w:color w:val="3B3B3B"/>
        </w:rPr>
        <w:t>includes</w:t>
      </w:r>
      <w:r>
        <w:rPr>
          <w:rFonts w:ascii="Arial" w:cs="Arial" w:eastAsia="Arial" w:hAnsi="Arial"/>
          <w:sz w:val="15"/>
          <w:szCs w:val="15"/>
          <w:b w:val="1"/>
          <w:bCs w:val="1"/>
          <w:color w:val="4B4B49"/>
        </w:rPr>
        <w:t xml:space="preserve"> </w:t>
      </w:r>
      <w:r>
        <w:rPr>
          <w:rFonts w:ascii="Arial" w:cs="Arial" w:eastAsia="Arial" w:hAnsi="Arial"/>
          <w:sz w:val="15"/>
          <w:szCs w:val="15"/>
          <w:color w:val="4B4B49"/>
        </w:rPr>
        <w:t>any suit papers or other documents</w:t>
      </w:r>
      <w:r>
        <w:rPr>
          <w:rFonts w:ascii="Arial" w:cs="Arial" w:eastAsia="Arial" w:hAnsi="Arial"/>
          <w:sz w:val="15"/>
          <w:szCs w:val="15"/>
          <w:b w:val="1"/>
          <w:bCs w:val="1"/>
          <w:color w:val="4B4B49"/>
        </w:rPr>
        <w:t xml:space="preserve"> </w:t>
      </w:r>
      <w:r>
        <w:rPr>
          <w:rFonts w:ascii="Arial" w:cs="Arial" w:eastAsia="Arial" w:hAnsi="Arial"/>
          <w:sz w:val="15"/>
          <w:szCs w:val="15"/>
          <w:color w:val="3B3B3B"/>
        </w:rPr>
        <w:t>which help us in the event that we defend</w:t>
      </w:r>
      <w:r>
        <w:rPr>
          <w:rFonts w:ascii="Arial" w:cs="Arial" w:eastAsia="Arial" w:hAnsi="Arial"/>
          <w:sz w:val="15"/>
          <w:szCs w:val="15"/>
          <w:b w:val="1"/>
          <w:bCs w:val="1"/>
          <w:color w:val="4B4B49"/>
        </w:rPr>
        <w:t xml:space="preserve"> </w:t>
      </w:r>
      <w:r>
        <w:rPr>
          <w:rFonts w:ascii="Arial" w:cs="Arial" w:eastAsia="Arial" w:hAnsi="Arial"/>
          <w:sz w:val="15"/>
          <w:szCs w:val="15"/>
          <w:color w:val="4B4B49"/>
        </w:rPr>
        <w:t>you.</w:t>
      </w:r>
    </w:p>
    <w:p>
      <w:pPr>
        <w:spacing w:after="0" w:line="206" w:lineRule="exact"/>
        <w:rPr>
          <w:sz w:val="20"/>
          <w:szCs w:val="20"/>
          <w:color w:val="auto"/>
        </w:rPr>
      </w:pPr>
    </w:p>
    <w:p>
      <w:pPr>
        <w:ind w:left="560" w:right="80"/>
        <w:spacing w:after="0" w:line="281" w:lineRule="auto"/>
        <w:rPr>
          <w:sz w:val="20"/>
          <w:szCs w:val="20"/>
          <w:color w:val="auto"/>
        </w:rPr>
      </w:pPr>
      <w:r>
        <w:rPr>
          <w:rFonts w:ascii="Arial" w:cs="Arial" w:eastAsia="Arial" w:hAnsi="Arial"/>
          <w:sz w:val="16"/>
          <w:szCs w:val="16"/>
          <w:b w:val="1"/>
          <w:bCs w:val="1"/>
          <w:color w:val="3B3B3B"/>
        </w:rPr>
        <w:t xml:space="preserve">Cooperation. </w:t>
      </w:r>
      <w:r>
        <w:rPr>
          <w:rFonts w:ascii="Arial" w:cs="Arial" w:eastAsia="Arial" w:hAnsi="Arial"/>
          <w:sz w:val="16"/>
          <w:szCs w:val="16"/>
          <w:color w:val="4B4B49"/>
        </w:rPr>
        <w:t>You</w:t>
      </w:r>
      <w:r>
        <w:rPr>
          <w:rFonts w:ascii="Arial" w:cs="Arial" w:eastAsia="Arial" w:hAnsi="Arial"/>
          <w:sz w:val="16"/>
          <w:szCs w:val="16"/>
          <w:b w:val="1"/>
          <w:bCs w:val="1"/>
          <w:color w:val="3B3B3B"/>
        </w:rPr>
        <w:t xml:space="preserve"> </w:t>
      </w:r>
      <w:r>
        <w:rPr>
          <w:rFonts w:ascii="Arial" w:cs="Arial" w:eastAsia="Arial" w:hAnsi="Arial"/>
          <w:sz w:val="16"/>
          <w:szCs w:val="16"/>
          <w:color w:val="3B3B3B"/>
        </w:rPr>
        <w:t>must</w:t>
      </w:r>
      <w:r>
        <w:rPr>
          <w:rFonts w:ascii="Arial" w:cs="Arial" w:eastAsia="Arial" w:hAnsi="Arial"/>
          <w:sz w:val="16"/>
          <w:szCs w:val="16"/>
          <w:b w:val="1"/>
          <w:bCs w:val="1"/>
          <w:color w:val="3B3B3B"/>
        </w:rPr>
        <w:t xml:space="preserve"> </w:t>
      </w:r>
      <w:r>
        <w:rPr>
          <w:rFonts w:ascii="Arial" w:cs="Arial" w:eastAsia="Arial" w:hAnsi="Arial"/>
          <w:sz w:val="16"/>
          <w:szCs w:val="16"/>
          <w:color w:val="4B4B49"/>
        </w:rPr>
        <w:t>cooperate with</w:t>
      </w:r>
      <w:r>
        <w:rPr>
          <w:rFonts w:ascii="Arial" w:cs="Arial" w:eastAsia="Arial" w:hAnsi="Arial"/>
          <w:sz w:val="16"/>
          <w:szCs w:val="16"/>
          <w:b w:val="1"/>
          <w:bCs w:val="1"/>
          <w:color w:val="3B3B3B"/>
        </w:rPr>
        <w:t xml:space="preserve"> </w:t>
      </w:r>
      <w:r>
        <w:rPr>
          <w:rFonts w:ascii="Arial" w:cs="Arial" w:eastAsia="Arial" w:hAnsi="Arial"/>
          <w:sz w:val="16"/>
          <w:szCs w:val="16"/>
          <w:color w:val="3B3B3B"/>
        </w:rPr>
        <w:t>us</w:t>
      </w:r>
      <w:r>
        <w:rPr>
          <w:rFonts w:ascii="Arial" w:cs="Arial" w:eastAsia="Arial" w:hAnsi="Arial"/>
          <w:sz w:val="16"/>
          <w:szCs w:val="16"/>
          <w:b w:val="1"/>
          <w:bCs w:val="1"/>
          <w:color w:val="3B3B3B"/>
        </w:rPr>
        <w:t xml:space="preserve"> </w:t>
      </w:r>
      <w:r>
        <w:rPr>
          <w:rFonts w:ascii="Arial" w:cs="Arial" w:eastAsia="Arial" w:hAnsi="Arial"/>
          <w:sz w:val="16"/>
          <w:szCs w:val="16"/>
          <w:color w:val="4B4B49"/>
        </w:rPr>
        <w:t>fully</w:t>
      </w:r>
      <w:r>
        <w:rPr>
          <w:rFonts w:ascii="Arial" w:cs="Arial" w:eastAsia="Arial" w:hAnsi="Arial"/>
          <w:sz w:val="16"/>
          <w:szCs w:val="16"/>
          <w:b w:val="1"/>
          <w:bCs w:val="1"/>
          <w:color w:val="3B3B3B"/>
        </w:rPr>
        <w:t xml:space="preserve"> </w:t>
      </w:r>
      <w:r>
        <w:rPr>
          <w:rFonts w:ascii="Arial" w:cs="Arial" w:eastAsia="Arial" w:hAnsi="Arial"/>
          <w:sz w:val="16"/>
          <w:szCs w:val="16"/>
          <w:color w:val="3B3B3B"/>
        </w:rPr>
        <w:t>in</w:t>
      </w:r>
      <w:r>
        <w:rPr>
          <w:rFonts w:ascii="Arial" w:cs="Arial" w:eastAsia="Arial" w:hAnsi="Arial"/>
          <w:sz w:val="16"/>
          <w:szCs w:val="16"/>
          <w:b w:val="1"/>
          <w:bCs w:val="1"/>
          <w:color w:val="3B3B3B"/>
        </w:rPr>
        <w:t xml:space="preserve"> </w:t>
      </w:r>
      <w:r>
        <w:rPr>
          <w:rFonts w:ascii="Arial" w:cs="Arial" w:eastAsia="Arial" w:hAnsi="Arial"/>
          <w:sz w:val="16"/>
          <w:szCs w:val="16"/>
          <w:color w:val="4B4B49"/>
        </w:rPr>
        <w:t>any</w:t>
      </w:r>
      <w:r>
        <w:rPr>
          <w:rFonts w:ascii="Arial" w:cs="Arial" w:eastAsia="Arial" w:hAnsi="Arial"/>
          <w:sz w:val="16"/>
          <w:szCs w:val="16"/>
          <w:b w:val="1"/>
          <w:bCs w:val="1"/>
          <w:color w:val="3B3B3B"/>
        </w:rPr>
        <w:t xml:space="preserve"> </w:t>
      </w:r>
      <w:r>
        <w:rPr>
          <w:rFonts w:ascii="Arial" w:cs="Arial" w:eastAsia="Arial" w:hAnsi="Arial"/>
          <w:sz w:val="16"/>
          <w:szCs w:val="16"/>
          <w:color w:val="3B3B3B"/>
        </w:rPr>
        <w:t>legal defense</w:t>
      </w:r>
      <w:r>
        <w:rPr>
          <w:rFonts w:ascii="Arial" w:cs="Arial" w:eastAsia="Arial" w:hAnsi="Arial"/>
          <w:sz w:val="16"/>
          <w:szCs w:val="16"/>
          <w:color w:val="21211F"/>
        </w:rPr>
        <w:t>.</w:t>
      </w:r>
      <w:r>
        <w:rPr>
          <w:rFonts w:ascii="Arial" w:cs="Arial" w:eastAsia="Arial" w:hAnsi="Arial"/>
          <w:sz w:val="16"/>
          <w:szCs w:val="16"/>
          <w:b w:val="1"/>
          <w:bCs w:val="1"/>
          <w:color w:val="3B3B3B"/>
        </w:rPr>
        <w:t xml:space="preserve"> </w:t>
      </w:r>
      <w:r>
        <w:rPr>
          <w:rFonts w:ascii="Arial" w:cs="Arial" w:eastAsia="Arial" w:hAnsi="Arial"/>
          <w:sz w:val="16"/>
          <w:szCs w:val="16"/>
          <w:color w:val="4B4B49"/>
        </w:rPr>
        <w:t>This</w:t>
      </w:r>
      <w:r>
        <w:rPr>
          <w:rFonts w:ascii="Arial" w:cs="Arial" w:eastAsia="Arial" w:hAnsi="Arial"/>
          <w:sz w:val="16"/>
          <w:szCs w:val="16"/>
          <w:b w:val="1"/>
          <w:bCs w:val="1"/>
          <w:color w:val="3B3B3B"/>
        </w:rPr>
        <w:t xml:space="preserve"> </w:t>
      </w:r>
      <w:r>
        <w:rPr>
          <w:rFonts w:ascii="Arial" w:cs="Arial" w:eastAsia="Arial" w:hAnsi="Arial"/>
          <w:sz w:val="16"/>
          <w:szCs w:val="16"/>
          <w:color w:val="3B3B3B"/>
        </w:rPr>
        <w:t>may</w:t>
      </w:r>
      <w:r>
        <w:rPr>
          <w:rFonts w:ascii="Arial" w:cs="Arial" w:eastAsia="Arial" w:hAnsi="Arial"/>
          <w:sz w:val="16"/>
          <w:szCs w:val="16"/>
          <w:b w:val="1"/>
          <w:bCs w:val="1"/>
          <w:color w:val="3B3B3B"/>
        </w:rPr>
        <w:t xml:space="preserve"> </w:t>
      </w:r>
      <w:r>
        <w:rPr>
          <w:rFonts w:ascii="Arial" w:cs="Arial" w:eastAsia="Arial" w:hAnsi="Arial"/>
          <w:sz w:val="16"/>
          <w:szCs w:val="16"/>
          <w:color w:val="4B4B49"/>
        </w:rPr>
        <w:t>include any association</w:t>
      </w:r>
      <w:r>
        <w:rPr>
          <w:rFonts w:ascii="Arial" w:cs="Arial" w:eastAsia="Arial" w:hAnsi="Arial"/>
          <w:sz w:val="16"/>
          <w:szCs w:val="16"/>
          <w:b w:val="1"/>
          <w:bCs w:val="1"/>
          <w:color w:val="3B3B3B"/>
        </w:rPr>
        <w:t xml:space="preserve"> </w:t>
      </w:r>
      <w:r>
        <w:rPr>
          <w:rFonts w:ascii="Arial" w:cs="Arial" w:eastAsia="Arial" w:hAnsi="Arial"/>
          <w:sz w:val="16"/>
          <w:szCs w:val="16"/>
          <w:color w:val="3B3B3B"/>
        </w:rPr>
        <w:t>by</w:t>
      </w:r>
      <w:r>
        <w:rPr>
          <w:rFonts w:ascii="Arial" w:cs="Arial" w:eastAsia="Arial" w:hAnsi="Arial"/>
          <w:sz w:val="16"/>
          <w:szCs w:val="16"/>
          <w:b w:val="1"/>
          <w:bCs w:val="1"/>
          <w:color w:val="3B3B3B"/>
        </w:rPr>
        <w:t xml:space="preserve"> </w:t>
      </w:r>
      <w:r>
        <w:rPr>
          <w:rFonts w:ascii="Arial" w:cs="Arial" w:eastAsia="Arial" w:hAnsi="Arial"/>
          <w:sz w:val="16"/>
          <w:szCs w:val="16"/>
          <w:color w:val="4B4B49"/>
        </w:rPr>
        <w:t>us</w:t>
      </w:r>
      <w:r>
        <w:rPr>
          <w:rFonts w:ascii="Arial" w:cs="Arial" w:eastAsia="Arial" w:hAnsi="Arial"/>
          <w:sz w:val="16"/>
          <w:szCs w:val="16"/>
          <w:b w:val="1"/>
          <w:bCs w:val="1"/>
          <w:color w:val="3B3B3B"/>
        </w:rPr>
        <w:t xml:space="preserve"> </w:t>
      </w:r>
      <w:r>
        <w:rPr>
          <w:rFonts w:ascii="Arial" w:cs="Arial" w:eastAsia="Arial" w:hAnsi="Arial"/>
          <w:sz w:val="16"/>
          <w:szCs w:val="16"/>
          <w:color w:val="3B3B3B"/>
        </w:rPr>
        <w:t>with the covered person</w:t>
      </w:r>
      <w:r>
        <w:rPr>
          <w:rFonts w:ascii="Arial" w:cs="Arial" w:eastAsia="Arial" w:hAnsi="Arial"/>
          <w:sz w:val="16"/>
          <w:szCs w:val="16"/>
          <w:b w:val="1"/>
          <w:bCs w:val="1"/>
          <w:color w:val="3B3B3B"/>
        </w:rPr>
        <w:t xml:space="preserve"> </w:t>
      </w:r>
      <w:r>
        <w:rPr>
          <w:rFonts w:ascii="Arial" w:cs="Arial" w:eastAsia="Arial" w:hAnsi="Arial"/>
          <w:sz w:val="16"/>
          <w:szCs w:val="16"/>
          <w:color w:val="4B4B49"/>
        </w:rPr>
        <w:t>in</w:t>
      </w:r>
      <w:r>
        <w:rPr>
          <w:rFonts w:ascii="Arial" w:cs="Arial" w:eastAsia="Arial" w:hAnsi="Arial"/>
          <w:sz w:val="16"/>
          <w:szCs w:val="16"/>
          <w:b w:val="1"/>
          <w:bCs w:val="1"/>
          <w:color w:val="3B3B3B"/>
        </w:rPr>
        <w:t xml:space="preserve"> </w:t>
      </w:r>
      <w:r>
        <w:rPr>
          <w:rFonts w:ascii="Arial" w:cs="Arial" w:eastAsia="Arial" w:hAnsi="Arial"/>
          <w:sz w:val="16"/>
          <w:szCs w:val="16"/>
          <w:color w:val="3B3B3B"/>
        </w:rPr>
        <w:t>defense</w:t>
      </w:r>
      <w:r>
        <w:rPr>
          <w:rFonts w:ascii="Arial" w:cs="Arial" w:eastAsia="Arial" w:hAnsi="Arial"/>
          <w:sz w:val="16"/>
          <w:szCs w:val="16"/>
          <w:b w:val="1"/>
          <w:bCs w:val="1"/>
          <w:color w:val="3B3B3B"/>
        </w:rPr>
        <w:t xml:space="preserve"> </w:t>
      </w:r>
      <w:r>
        <w:rPr>
          <w:rFonts w:ascii="Arial" w:cs="Arial" w:eastAsia="Arial" w:hAnsi="Arial"/>
          <w:sz w:val="16"/>
          <w:szCs w:val="16"/>
          <w:color w:val="4B4B49"/>
        </w:rPr>
        <w:t>of</w:t>
      </w:r>
      <w:r>
        <w:rPr>
          <w:rFonts w:ascii="Arial" w:cs="Arial" w:eastAsia="Arial" w:hAnsi="Arial"/>
          <w:sz w:val="16"/>
          <w:szCs w:val="16"/>
          <w:b w:val="1"/>
          <w:bCs w:val="1"/>
          <w:color w:val="3B3B3B"/>
        </w:rPr>
        <w:t xml:space="preserve"> </w:t>
      </w:r>
      <w:r>
        <w:rPr>
          <w:rFonts w:ascii="Arial" w:cs="Arial" w:eastAsia="Arial" w:hAnsi="Arial"/>
          <w:sz w:val="16"/>
          <w:szCs w:val="16"/>
          <w:color w:val="3B3B3B"/>
        </w:rPr>
        <w:t>a</w:t>
      </w:r>
      <w:r>
        <w:rPr>
          <w:rFonts w:ascii="Arial" w:cs="Arial" w:eastAsia="Arial" w:hAnsi="Arial"/>
          <w:sz w:val="16"/>
          <w:szCs w:val="16"/>
          <w:b w:val="1"/>
          <w:bCs w:val="1"/>
          <w:color w:val="3B3B3B"/>
        </w:rPr>
        <w:t xml:space="preserve"> </w:t>
      </w:r>
      <w:r>
        <w:rPr>
          <w:rFonts w:ascii="Arial" w:cs="Arial" w:eastAsia="Arial" w:hAnsi="Arial"/>
          <w:sz w:val="16"/>
          <w:szCs w:val="16"/>
          <w:color w:val="4B4B49"/>
        </w:rPr>
        <w:t>claim reasonably</w:t>
      </w:r>
      <w:r>
        <w:rPr>
          <w:rFonts w:ascii="Arial" w:cs="Arial" w:eastAsia="Arial" w:hAnsi="Arial"/>
          <w:sz w:val="16"/>
          <w:szCs w:val="16"/>
          <w:b w:val="1"/>
          <w:bCs w:val="1"/>
          <w:color w:val="3B3B3B"/>
        </w:rPr>
        <w:t xml:space="preserve"> </w:t>
      </w:r>
      <w:r>
        <w:rPr>
          <w:rFonts w:ascii="Arial" w:cs="Arial" w:eastAsia="Arial" w:hAnsi="Arial"/>
          <w:sz w:val="16"/>
          <w:szCs w:val="16"/>
          <w:color w:val="3B3B3B"/>
        </w:rPr>
        <w:t xml:space="preserve">likely </w:t>
      </w:r>
      <w:r>
        <w:rPr>
          <w:rFonts w:ascii="Arial" w:cs="Arial" w:eastAsia="Arial" w:hAnsi="Arial"/>
          <w:sz w:val="16"/>
          <w:szCs w:val="16"/>
          <w:color w:val="4B4B49"/>
        </w:rPr>
        <w:t>to involve us.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Examination. </w:t>
      </w:r>
      <w:r>
        <w:rPr>
          <w:rFonts w:ascii="Arial" w:cs="Arial" w:eastAsia="Arial" w:hAnsi="Arial"/>
          <w:sz w:val="16"/>
          <w:szCs w:val="16"/>
          <w:color w:val="3B3B3B"/>
        </w:rPr>
        <w:t>A</w:t>
      </w:r>
      <w:r>
        <w:rPr>
          <w:rFonts w:ascii="Arial" w:cs="Arial" w:eastAsia="Arial" w:hAnsi="Arial"/>
          <w:sz w:val="16"/>
          <w:szCs w:val="16"/>
          <w:b w:val="1"/>
          <w:bCs w:val="1"/>
          <w:color w:val="4B4B49"/>
        </w:rPr>
        <w:t xml:space="preserve"> </w:t>
      </w:r>
      <w:r>
        <w:rPr>
          <w:rFonts w:ascii="Arial" w:cs="Arial" w:eastAsia="Arial" w:hAnsi="Arial"/>
          <w:sz w:val="16"/>
          <w:szCs w:val="16"/>
          <w:color w:val="4B4B49"/>
        </w:rPr>
        <w:t>person</w:t>
      </w:r>
      <w:r>
        <w:rPr>
          <w:rFonts w:ascii="Arial" w:cs="Arial" w:eastAsia="Arial" w:hAnsi="Arial"/>
          <w:sz w:val="16"/>
          <w:szCs w:val="16"/>
          <w:b w:val="1"/>
          <w:bCs w:val="1"/>
          <w:color w:val="4B4B49"/>
        </w:rPr>
        <w:t xml:space="preserve"> </w:t>
      </w:r>
      <w:r>
        <w:rPr>
          <w:rFonts w:ascii="Arial" w:cs="Arial" w:eastAsia="Arial" w:hAnsi="Arial"/>
          <w:sz w:val="16"/>
          <w:szCs w:val="16"/>
          <w:color w:val="3B3B3B"/>
        </w:rPr>
        <w:t>making</w:t>
      </w:r>
      <w:r>
        <w:rPr>
          <w:rFonts w:ascii="Arial" w:cs="Arial" w:eastAsia="Arial" w:hAnsi="Arial"/>
          <w:sz w:val="16"/>
          <w:szCs w:val="16"/>
          <w:b w:val="1"/>
          <w:bCs w:val="1"/>
          <w:color w:val="4B4B49"/>
        </w:rPr>
        <w:t xml:space="preserve"> </w:t>
      </w:r>
      <w:r>
        <w:rPr>
          <w:rFonts w:ascii="Arial" w:cs="Arial" w:eastAsia="Arial" w:hAnsi="Arial"/>
          <w:sz w:val="16"/>
          <w:szCs w:val="16"/>
          <w:color w:val="4B4B49"/>
        </w:rPr>
        <w:t>a</w:t>
      </w:r>
      <w:r>
        <w:rPr>
          <w:rFonts w:ascii="Arial" w:cs="Arial" w:eastAsia="Arial" w:hAnsi="Arial"/>
          <w:sz w:val="16"/>
          <w:szCs w:val="16"/>
          <w:b w:val="1"/>
          <w:bCs w:val="1"/>
          <w:color w:val="4B4B49"/>
        </w:rPr>
        <w:t xml:space="preserve"> </w:t>
      </w:r>
      <w:r>
        <w:rPr>
          <w:rFonts w:ascii="Arial" w:cs="Arial" w:eastAsia="Arial" w:hAnsi="Arial"/>
          <w:sz w:val="16"/>
          <w:szCs w:val="16"/>
          <w:color w:val="3B3B3B"/>
        </w:rPr>
        <w:t>claim under this</w:t>
      </w:r>
      <w:r>
        <w:rPr>
          <w:rFonts w:ascii="Arial" w:cs="Arial" w:eastAsia="Arial" w:hAnsi="Arial"/>
          <w:sz w:val="16"/>
          <w:szCs w:val="16"/>
          <w:b w:val="1"/>
          <w:bCs w:val="1"/>
          <w:color w:val="4B4B49"/>
        </w:rPr>
        <w:t xml:space="preserve"> </w:t>
      </w:r>
      <w:r>
        <w:rPr>
          <w:rFonts w:ascii="Arial" w:cs="Arial" w:eastAsia="Arial" w:hAnsi="Arial"/>
          <w:sz w:val="16"/>
          <w:szCs w:val="16"/>
          <w:color w:val="4B4B49"/>
        </w:rPr>
        <w:t>policy</w:t>
      </w:r>
      <w:r>
        <w:rPr>
          <w:rFonts w:ascii="Arial" w:cs="Arial" w:eastAsia="Arial" w:hAnsi="Arial"/>
          <w:sz w:val="16"/>
          <w:szCs w:val="16"/>
          <w:b w:val="1"/>
          <w:bCs w:val="1"/>
          <w:color w:val="4B4B49"/>
        </w:rPr>
        <w:t xml:space="preserve"> </w:t>
      </w:r>
      <w:r>
        <w:rPr>
          <w:rFonts w:ascii="Arial" w:cs="Arial" w:eastAsia="Arial" w:hAnsi="Arial"/>
          <w:sz w:val="16"/>
          <w:szCs w:val="16"/>
          <w:color w:val="3B3B3B"/>
        </w:rPr>
        <w:t>must</w:t>
      </w:r>
      <w:r>
        <w:rPr>
          <w:rFonts w:ascii="Arial" w:cs="Arial" w:eastAsia="Arial" w:hAnsi="Arial"/>
          <w:sz w:val="16"/>
          <w:szCs w:val="16"/>
          <w:b w:val="1"/>
          <w:bCs w:val="1"/>
          <w:color w:val="4B4B49"/>
        </w:rPr>
        <w:t xml:space="preserve"> </w:t>
      </w:r>
      <w:r>
        <w:rPr>
          <w:rFonts w:ascii="Arial" w:cs="Arial" w:eastAsia="Arial" w:hAnsi="Arial"/>
          <w:sz w:val="16"/>
          <w:szCs w:val="16"/>
          <w:color w:val="4B4B49"/>
        </w:rPr>
        <w:t>submit as often as we</w:t>
      </w:r>
      <w:r>
        <w:rPr>
          <w:rFonts w:ascii="Arial" w:cs="Arial" w:eastAsia="Arial" w:hAnsi="Arial"/>
          <w:sz w:val="16"/>
          <w:szCs w:val="16"/>
          <w:b w:val="1"/>
          <w:bCs w:val="1"/>
          <w:color w:val="4B4B49"/>
        </w:rPr>
        <w:t xml:space="preserve"> </w:t>
      </w:r>
      <w:r>
        <w:rPr>
          <w:rFonts w:ascii="Arial" w:cs="Arial" w:eastAsia="Arial" w:hAnsi="Arial"/>
          <w:sz w:val="16"/>
          <w:szCs w:val="16"/>
          <w:color w:val="3B3B3B"/>
        </w:rPr>
        <w:t>reasonably</w:t>
      </w:r>
      <w:r>
        <w:rPr>
          <w:rFonts w:ascii="Arial" w:cs="Arial" w:eastAsia="Arial" w:hAnsi="Arial"/>
          <w:sz w:val="16"/>
          <w:szCs w:val="16"/>
          <w:b w:val="1"/>
          <w:bCs w:val="1"/>
          <w:color w:val="4B4B49"/>
        </w:rPr>
        <w:t xml:space="preserve"> </w:t>
      </w:r>
      <w:r>
        <w:rPr>
          <w:rFonts w:ascii="Arial" w:cs="Arial" w:eastAsia="Arial" w:hAnsi="Arial"/>
          <w:sz w:val="16"/>
          <w:szCs w:val="16"/>
          <w:color w:val="4B4B49"/>
        </w:rPr>
        <w:t>require:</w:t>
      </w:r>
    </w:p>
    <w:p>
      <w:pPr>
        <w:ind w:left="880" w:hanging="305"/>
        <w:spacing w:after="0" w:line="220" w:lineRule="auto"/>
        <w:tabs>
          <w:tab w:leader="none" w:pos="880" w:val="left"/>
        </w:tabs>
        <w:numPr>
          <w:ilvl w:val="0"/>
          <w:numId w:val="483"/>
        </w:numPr>
        <w:rPr>
          <w:rFonts w:ascii="Arial" w:cs="Arial" w:eastAsia="Arial" w:hAnsi="Arial"/>
          <w:sz w:val="20"/>
          <w:szCs w:val="20"/>
          <w:color w:val="auto"/>
        </w:rPr>
      </w:pPr>
      <w:r>
        <w:rPr>
          <w:rFonts w:ascii="Arial" w:cs="Arial" w:eastAsia="Arial" w:hAnsi="Arial"/>
          <w:sz w:val="16"/>
          <w:szCs w:val="16"/>
          <w:color w:val="3B3B3B"/>
        </w:rPr>
        <w:t xml:space="preserve">to physical </w:t>
      </w:r>
      <w:r>
        <w:rPr>
          <w:rFonts w:ascii="Arial" w:cs="Arial" w:eastAsia="Arial" w:hAnsi="Arial"/>
          <w:sz w:val="16"/>
          <w:szCs w:val="16"/>
          <w:color w:val="4B4B49"/>
        </w:rPr>
        <w:t>exams</w:t>
      </w:r>
      <w:r>
        <w:rPr>
          <w:rFonts w:ascii="Arial" w:cs="Arial" w:eastAsia="Arial" w:hAnsi="Arial"/>
          <w:sz w:val="16"/>
          <w:szCs w:val="16"/>
          <w:color w:val="3B3B3B"/>
        </w:rPr>
        <w:t xml:space="preserve"> by physicians </w:t>
      </w:r>
      <w:r>
        <w:rPr>
          <w:rFonts w:ascii="Arial" w:cs="Arial" w:eastAsia="Arial" w:hAnsi="Arial"/>
          <w:sz w:val="16"/>
          <w:szCs w:val="16"/>
          <w:color w:val="4B4B49"/>
        </w:rPr>
        <w:t>we</w:t>
      </w:r>
      <w:r>
        <w:rPr>
          <w:rFonts w:ascii="Arial" w:cs="Arial" w:eastAsia="Arial" w:hAnsi="Arial"/>
          <w:sz w:val="16"/>
          <w:szCs w:val="16"/>
          <w:color w:val="3B3B3B"/>
        </w:rPr>
        <w:t xml:space="preserve"> select, </w:t>
      </w:r>
      <w:r>
        <w:rPr>
          <w:rFonts w:ascii="Arial" w:cs="Arial" w:eastAsia="Arial" w:hAnsi="Arial"/>
          <w:sz w:val="16"/>
          <w:szCs w:val="16"/>
          <w:color w:val="4B4B49"/>
        </w:rPr>
        <w:t>which we</w:t>
      </w:r>
      <w:r>
        <w:rPr>
          <w:rFonts w:ascii="Arial" w:cs="Arial" w:eastAsia="Arial" w:hAnsi="Arial"/>
          <w:sz w:val="16"/>
          <w:szCs w:val="16"/>
          <w:color w:val="3B3B3B"/>
        </w:rPr>
        <w:t xml:space="preserve"> will pay </w:t>
      </w:r>
      <w:r>
        <w:rPr>
          <w:rFonts w:ascii="Arial" w:cs="Arial" w:eastAsia="Arial" w:hAnsi="Arial"/>
          <w:sz w:val="16"/>
          <w:szCs w:val="16"/>
          <w:color w:val="4B4B49"/>
        </w:rPr>
        <w:t>for; and</w:t>
      </w:r>
    </w:p>
    <w:p>
      <w:pPr>
        <w:spacing w:after="0" w:line="23" w:lineRule="exact"/>
        <w:rPr>
          <w:rFonts w:ascii="Arial" w:cs="Arial" w:eastAsia="Arial" w:hAnsi="Arial"/>
          <w:sz w:val="20"/>
          <w:szCs w:val="20"/>
          <w:color w:val="auto"/>
        </w:rPr>
      </w:pPr>
    </w:p>
    <w:p>
      <w:pPr>
        <w:ind w:left="820" w:hanging="245"/>
        <w:spacing w:after="0" w:line="229" w:lineRule="auto"/>
        <w:tabs>
          <w:tab w:leader="none" w:pos="820" w:val="left"/>
        </w:tabs>
        <w:numPr>
          <w:ilvl w:val="0"/>
          <w:numId w:val="483"/>
        </w:numPr>
        <w:rPr>
          <w:rFonts w:ascii="Arial" w:cs="Arial" w:eastAsia="Arial" w:hAnsi="Arial"/>
          <w:sz w:val="20"/>
          <w:szCs w:val="20"/>
          <w:color w:val="auto"/>
        </w:rPr>
      </w:pPr>
      <w:r>
        <w:rPr>
          <w:rFonts w:ascii="Arial" w:cs="Arial" w:eastAsia="Arial" w:hAnsi="Arial"/>
          <w:sz w:val="16"/>
          <w:szCs w:val="16"/>
          <w:color w:val="3B3B3B"/>
        </w:rPr>
        <w:t xml:space="preserve">to examination under </w:t>
      </w:r>
      <w:r>
        <w:rPr>
          <w:rFonts w:ascii="Arial" w:cs="Arial" w:eastAsia="Arial" w:hAnsi="Arial"/>
          <w:sz w:val="16"/>
          <w:szCs w:val="16"/>
          <w:color w:val="4B4B49"/>
        </w:rPr>
        <w:t>oath</w:t>
      </w:r>
      <w:r>
        <w:rPr>
          <w:rFonts w:ascii="Arial" w:cs="Arial" w:eastAsia="Arial" w:hAnsi="Arial"/>
          <w:sz w:val="16"/>
          <w:szCs w:val="16"/>
          <w:color w:val="3B3B3B"/>
        </w:rPr>
        <w:t xml:space="preserve"> and </w:t>
      </w:r>
      <w:r>
        <w:rPr>
          <w:rFonts w:ascii="Arial" w:cs="Arial" w:eastAsia="Arial" w:hAnsi="Arial"/>
          <w:sz w:val="16"/>
          <w:szCs w:val="16"/>
          <w:color w:val="4B4B49"/>
        </w:rPr>
        <w:t>subscribe</w:t>
      </w:r>
      <w:r>
        <w:rPr>
          <w:rFonts w:ascii="Arial" w:cs="Arial" w:eastAsia="Arial" w:hAnsi="Arial"/>
          <w:sz w:val="16"/>
          <w:szCs w:val="16"/>
          <w:color w:val="3B3B3B"/>
        </w:rPr>
        <w:t xml:space="preserve"> the </w:t>
      </w:r>
      <w:r>
        <w:rPr>
          <w:rFonts w:ascii="Arial" w:cs="Arial" w:eastAsia="Arial" w:hAnsi="Arial"/>
          <w:sz w:val="16"/>
          <w:szCs w:val="16"/>
          <w:color w:val="4B4B49"/>
        </w:rPr>
        <w:t>same; and</w:t>
      </w:r>
      <w:r>
        <w:rPr>
          <w:rFonts w:ascii="Arial" w:cs="Arial" w:eastAsia="Arial" w:hAnsi="Arial"/>
          <w:sz w:val="16"/>
          <w:szCs w:val="16"/>
          <w:color w:val="3B3B3B"/>
        </w:rPr>
        <w:t xml:space="preserve"> authorize </w:t>
      </w:r>
      <w:r>
        <w:rPr>
          <w:rFonts w:ascii="Arial" w:cs="Arial" w:eastAsia="Arial" w:hAnsi="Arial"/>
          <w:sz w:val="16"/>
          <w:szCs w:val="16"/>
          <w:color w:val="4B4B49"/>
        </w:rPr>
        <w:t>us</w:t>
      </w:r>
      <w:r>
        <w:rPr>
          <w:rFonts w:ascii="Arial" w:cs="Arial" w:eastAsia="Arial" w:hAnsi="Arial"/>
          <w:sz w:val="16"/>
          <w:szCs w:val="16"/>
          <w:color w:val="3B3B3B"/>
        </w:rPr>
        <w:t xml:space="preserve"> to obtain:</w:t>
      </w:r>
    </w:p>
    <w:p>
      <w:pPr>
        <w:spacing w:after="0" w:line="10" w:lineRule="exact"/>
        <w:rPr>
          <w:rFonts w:ascii="Arial" w:cs="Arial" w:eastAsia="Arial" w:hAnsi="Arial"/>
          <w:sz w:val="20"/>
          <w:szCs w:val="20"/>
          <w:color w:val="auto"/>
        </w:rPr>
      </w:pPr>
    </w:p>
    <w:p>
      <w:pPr>
        <w:ind w:left="900" w:hanging="325"/>
        <w:spacing w:after="0" w:line="215" w:lineRule="auto"/>
        <w:tabs>
          <w:tab w:leader="none" w:pos="900" w:val="left"/>
        </w:tabs>
        <w:numPr>
          <w:ilvl w:val="0"/>
          <w:numId w:val="483"/>
        </w:numPr>
        <w:rPr>
          <w:rFonts w:ascii="Arial" w:cs="Arial" w:eastAsia="Arial" w:hAnsi="Arial"/>
          <w:sz w:val="20"/>
          <w:szCs w:val="20"/>
          <w:color w:val="auto"/>
        </w:rPr>
      </w:pPr>
      <w:r>
        <w:rPr>
          <w:rFonts w:ascii="Arial" w:cs="Arial" w:eastAsia="Arial" w:hAnsi="Arial"/>
          <w:sz w:val="16"/>
          <w:szCs w:val="16"/>
          <w:color w:val="3B3B3B"/>
        </w:rPr>
        <w:t>medical reports; and</w:t>
      </w:r>
    </w:p>
    <w:p>
      <w:pPr>
        <w:spacing w:after="0" w:line="10" w:lineRule="exact"/>
        <w:rPr>
          <w:rFonts w:ascii="Arial" w:cs="Arial" w:eastAsia="Arial" w:hAnsi="Arial"/>
          <w:sz w:val="20"/>
          <w:szCs w:val="20"/>
          <w:color w:val="auto"/>
        </w:rPr>
      </w:pPr>
    </w:p>
    <w:p>
      <w:pPr>
        <w:ind w:left="900" w:hanging="325"/>
        <w:spacing w:after="0" w:line="200" w:lineRule="auto"/>
        <w:tabs>
          <w:tab w:leader="none" w:pos="900" w:val="left"/>
        </w:tabs>
        <w:numPr>
          <w:ilvl w:val="0"/>
          <w:numId w:val="483"/>
        </w:numPr>
        <w:rPr>
          <w:rFonts w:ascii="Arial" w:cs="Arial" w:eastAsia="Arial" w:hAnsi="Arial"/>
          <w:sz w:val="20"/>
          <w:szCs w:val="20"/>
          <w:color w:val="auto"/>
        </w:rPr>
      </w:pPr>
      <w:r>
        <w:rPr>
          <w:rFonts w:ascii="Arial" w:cs="Arial" w:eastAsia="Arial" w:hAnsi="Arial"/>
          <w:sz w:val="16"/>
          <w:szCs w:val="16"/>
          <w:color w:val="4B4B49"/>
        </w:rPr>
        <w:t xml:space="preserve">other pertinent </w:t>
      </w:r>
      <w:r>
        <w:rPr>
          <w:rFonts w:ascii="Arial" w:cs="Arial" w:eastAsia="Arial" w:hAnsi="Arial"/>
          <w:sz w:val="16"/>
          <w:szCs w:val="16"/>
          <w:color w:val="3B3B3B"/>
        </w:rPr>
        <w:t>records.</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3B3B3B"/>
        </w:rPr>
        <w:t>Appeals</w:t>
      </w:r>
    </w:p>
    <w:p>
      <w:pPr>
        <w:spacing w:after="0" w:line="23" w:lineRule="exact"/>
        <w:rPr>
          <w:sz w:val="20"/>
          <w:szCs w:val="20"/>
          <w:color w:val="auto"/>
        </w:rPr>
      </w:pPr>
    </w:p>
    <w:p>
      <w:pPr>
        <w:jc w:val="both"/>
        <w:ind w:left="520"/>
        <w:spacing w:after="0" w:line="257" w:lineRule="auto"/>
        <w:rPr>
          <w:sz w:val="20"/>
          <w:szCs w:val="20"/>
          <w:color w:val="auto"/>
        </w:rPr>
      </w:pPr>
      <w:r>
        <w:rPr>
          <w:rFonts w:ascii="Arial" w:cs="Arial" w:eastAsia="Arial" w:hAnsi="Arial"/>
          <w:sz w:val="16"/>
          <w:szCs w:val="16"/>
          <w:color w:val="3B3B3B"/>
        </w:rPr>
        <w:t xml:space="preserve">If </w:t>
      </w:r>
      <w:r>
        <w:rPr>
          <w:rFonts w:ascii="Arial" w:cs="Arial" w:eastAsia="Arial" w:hAnsi="Arial"/>
          <w:sz w:val="16"/>
          <w:szCs w:val="16"/>
          <w:color w:val="4B4B49"/>
        </w:rPr>
        <w:t>a covered</w:t>
      </w:r>
      <w:r>
        <w:rPr>
          <w:rFonts w:ascii="Arial" w:cs="Arial" w:eastAsia="Arial" w:hAnsi="Arial"/>
          <w:sz w:val="16"/>
          <w:szCs w:val="16"/>
          <w:color w:val="3B3B3B"/>
        </w:rPr>
        <w:t xml:space="preserve"> person, or </w:t>
      </w:r>
      <w:r>
        <w:rPr>
          <w:rFonts w:ascii="Arial" w:cs="Arial" w:eastAsia="Arial" w:hAnsi="Arial"/>
          <w:sz w:val="16"/>
          <w:szCs w:val="16"/>
          <w:color w:val="4B4B49"/>
        </w:rPr>
        <w:t>any primary insurer, does not appeal a judgment for covered damages, we may choose</w:t>
      </w:r>
      <w:r>
        <w:rPr>
          <w:rFonts w:ascii="Arial" w:cs="Arial" w:eastAsia="Arial" w:hAnsi="Arial"/>
          <w:sz w:val="16"/>
          <w:szCs w:val="16"/>
          <w:color w:val="3B3B3B"/>
        </w:rPr>
        <w:t xml:space="preserve"> to </w:t>
      </w:r>
      <w:r>
        <w:rPr>
          <w:rFonts w:ascii="Arial" w:cs="Arial" w:eastAsia="Arial" w:hAnsi="Arial"/>
          <w:sz w:val="16"/>
          <w:szCs w:val="16"/>
          <w:color w:val="4B4B49"/>
        </w:rPr>
        <w:t>do so. We will</w:t>
      </w:r>
      <w:r>
        <w:rPr>
          <w:rFonts w:ascii="Arial" w:cs="Arial" w:eastAsia="Arial" w:hAnsi="Arial"/>
          <w:sz w:val="16"/>
          <w:szCs w:val="16"/>
          <w:color w:val="3B3B3B"/>
        </w:rPr>
        <w:t xml:space="preserve"> then </w:t>
      </w:r>
      <w:r>
        <w:rPr>
          <w:rFonts w:ascii="Arial" w:cs="Arial" w:eastAsia="Arial" w:hAnsi="Arial"/>
          <w:sz w:val="16"/>
          <w:szCs w:val="16"/>
          <w:color w:val="4B4B49"/>
        </w:rPr>
        <w:t>become responsible for</w:t>
      </w:r>
      <w:r>
        <w:rPr>
          <w:rFonts w:ascii="Arial" w:cs="Arial" w:eastAsia="Arial" w:hAnsi="Arial"/>
          <w:sz w:val="16"/>
          <w:szCs w:val="16"/>
          <w:color w:val="3B3B3B"/>
        </w:rPr>
        <w:t xml:space="preserve"> all </w:t>
      </w:r>
      <w:r>
        <w:rPr>
          <w:rFonts w:ascii="Arial" w:cs="Arial" w:eastAsia="Arial" w:hAnsi="Arial"/>
          <w:sz w:val="16"/>
          <w:szCs w:val="16"/>
          <w:color w:val="4B4B49"/>
        </w:rPr>
        <w:t xml:space="preserve">expenses, taxable costs, </w:t>
      </w:r>
      <w:r>
        <w:rPr>
          <w:rFonts w:ascii="Arial" w:cs="Arial" w:eastAsia="Arial" w:hAnsi="Arial"/>
          <w:sz w:val="16"/>
          <w:szCs w:val="16"/>
          <w:color w:val="3B3B3B"/>
        </w:rPr>
        <w:t>and interest arising</w:t>
      </w:r>
      <w:r>
        <w:rPr>
          <w:rFonts w:ascii="Arial" w:cs="Arial" w:eastAsia="Arial" w:hAnsi="Arial"/>
          <w:sz w:val="16"/>
          <w:szCs w:val="16"/>
          <w:color w:val="4B4B49"/>
        </w:rPr>
        <w:t xml:space="preserve"> out of </w:t>
      </w:r>
      <w:r>
        <w:rPr>
          <w:rFonts w:ascii="Arial" w:cs="Arial" w:eastAsia="Arial" w:hAnsi="Arial"/>
          <w:sz w:val="16"/>
          <w:szCs w:val="16"/>
          <w:color w:val="3B3B3B"/>
        </w:rPr>
        <w:t>the</w:t>
      </w:r>
      <w:r>
        <w:rPr>
          <w:rFonts w:ascii="Arial" w:cs="Arial" w:eastAsia="Arial" w:hAnsi="Arial"/>
          <w:sz w:val="16"/>
          <w:szCs w:val="16"/>
          <w:color w:val="4B4B49"/>
        </w:rPr>
        <w:t xml:space="preserve"> appeal. However, </w:t>
      </w:r>
      <w:r>
        <w:rPr>
          <w:rFonts w:ascii="Arial" w:cs="Arial" w:eastAsia="Arial" w:hAnsi="Arial"/>
          <w:sz w:val="16"/>
          <w:szCs w:val="16"/>
          <w:color w:val="3B3B3B"/>
        </w:rPr>
        <w:t>the</w:t>
      </w:r>
      <w:r>
        <w:rPr>
          <w:rFonts w:ascii="Arial" w:cs="Arial" w:eastAsia="Arial" w:hAnsi="Arial"/>
          <w:sz w:val="16"/>
          <w:szCs w:val="16"/>
          <w:color w:val="4B4B49"/>
        </w:rPr>
        <w:t xml:space="preserve"> amount of </w:t>
      </w:r>
      <w:r>
        <w:rPr>
          <w:rFonts w:ascii="Arial" w:cs="Arial" w:eastAsia="Arial" w:hAnsi="Arial"/>
          <w:sz w:val="16"/>
          <w:szCs w:val="16"/>
          <w:color w:val="3B3B3B"/>
        </w:rPr>
        <w:t>coverage</w:t>
      </w:r>
      <w:r>
        <w:rPr>
          <w:rFonts w:ascii="Arial" w:cs="Arial" w:eastAsia="Arial" w:hAnsi="Arial"/>
          <w:sz w:val="16"/>
          <w:szCs w:val="16"/>
          <w:color w:val="4B4B49"/>
        </w:rPr>
        <w:t xml:space="preserve"> for </w:t>
      </w:r>
      <w:r>
        <w:rPr>
          <w:rFonts w:ascii="Arial" w:cs="Arial" w:eastAsia="Arial" w:hAnsi="Arial"/>
          <w:sz w:val="16"/>
          <w:szCs w:val="16"/>
          <w:color w:val="3B3B3B"/>
        </w:rPr>
        <w:t>damages</w:t>
      </w:r>
      <w:r>
        <w:rPr>
          <w:rFonts w:ascii="Arial" w:cs="Arial" w:eastAsia="Arial" w:hAnsi="Arial"/>
          <w:sz w:val="16"/>
          <w:szCs w:val="16"/>
          <w:color w:val="4B4B49"/>
        </w:rPr>
        <w:t xml:space="preserve"> will </w:t>
      </w:r>
      <w:r>
        <w:rPr>
          <w:rFonts w:ascii="Arial" w:cs="Arial" w:eastAsia="Arial" w:hAnsi="Arial"/>
          <w:sz w:val="16"/>
          <w:szCs w:val="16"/>
          <w:color w:val="3B3B3B"/>
        </w:rPr>
        <w:t>not</w:t>
      </w:r>
      <w:r>
        <w:rPr>
          <w:rFonts w:ascii="Arial" w:cs="Arial" w:eastAsia="Arial" w:hAnsi="Arial"/>
          <w:sz w:val="16"/>
          <w:szCs w:val="16"/>
          <w:color w:val="4B4B49"/>
        </w:rPr>
        <w:t xml:space="preserve"> be </w:t>
      </w:r>
      <w:r>
        <w:rPr>
          <w:rFonts w:ascii="Arial" w:cs="Arial" w:eastAsia="Arial" w:hAnsi="Arial"/>
          <w:sz w:val="16"/>
          <w:szCs w:val="16"/>
          <w:color w:val="3B3B3B"/>
        </w:rPr>
        <w:t>increased.</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B3B3B"/>
        </w:rPr>
        <w:t>Special Conditions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the event</w:t>
      </w:r>
      <w:r>
        <w:rPr>
          <w:rFonts w:ascii="Arial" w:cs="Arial" w:eastAsia="Arial" w:hAnsi="Arial"/>
          <w:sz w:val="16"/>
          <w:szCs w:val="16"/>
          <w:color w:val="3B3B3B"/>
        </w:rPr>
        <w:t xml:space="preserve"> of </w:t>
      </w:r>
      <w:r>
        <w:rPr>
          <w:rFonts w:ascii="Arial" w:cs="Arial" w:eastAsia="Arial" w:hAnsi="Arial"/>
          <w:sz w:val="16"/>
          <w:szCs w:val="16"/>
          <w:color w:val="4B4B49"/>
        </w:rPr>
        <w:t>conflict with any other conditions of your</w:t>
      </w:r>
      <w:r>
        <w:rPr>
          <w:rFonts w:ascii="Arial" w:cs="Arial" w:eastAsia="Arial" w:hAnsi="Arial"/>
          <w:sz w:val="16"/>
          <w:szCs w:val="16"/>
          <w:color w:val="3B3B3B"/>
        </w:rPr>
        <w:t xml:space="preserve"> policy, these </w:t>
      </w:r>
      <w:r>
        <w:rPr>
          <w:rFonts w:ascii="Arial" w:cs="Arial" w:eastAsia="Arial" w:hAnsi="Arial"/>
          <w:sz w:val="16"/>
          <w:szCs w:val="16"/>
          <w:color w:val="4B4B49"/>
        </w:rPr>
        <w:t>conditions supersede.</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3B3B3B"/>
        </w:rPr>
        <w:t>Legal action against us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4B4B49"/>
        </w:rPr>
        <w:t xml:space="preserve">You agree not to </w:t>
      </w:r>
      <w:r>
        <w:rPr>
          <w:rFonts w:ascii="Arial" w:cs="Arial" w:eastAsia="Arial" w:hAnsi="Arial"/>
          <w:sz w:val="16"/>
          <w:szCs w:val="16"/>
          <w:color w:val="3B3B3B"/>
        </w:rPr>
        <w:t>bring action</w:t>
      </w:r>
      <w:r>
        <w:rPr>
          <w:rFonts w:ascii="Arial" w:cs="Arial" w:eastAsia="Arial" w:hAnsi="Arial"/>
          <w:sz w:val="16"/>
          <w:szCs w:val="16"/>
          <w:color w:val="4B4B49"/>
        </w:rPr>
        <w:t xml:space="preserve"> against </w:t>
      </w:r>
      <w:r>
        <w:rPr>
          <w:rFonts w:ascii="Arial" w:cs="Arial" w:eastAsia="Arial" w:hAnsi="Arial"/>
          <w:sz w:val="16"/>
          <w:szCs w:val="16"/>
          <w:color w:val="3B3B3B"/>
        </w:rPr>
        <w:t>us</w:t>
      </w:r>
      <w:r>
        <w:rPr>
          <w:rFonts w:ascii="Arial" w:cs="Arial" w:eastAsia="Arial" w:hAnsi="Arial"/>
          <w:sz w:val="16"/>
          <w:szCs w:val="16"/>
          <w:color w:val="4B4B49"/>
        </w:rPr>
        <w:t xml:space="preserve"> unless you </w:t>
      </w:r>
      <w:r>
        <w:rPr>
          <w:rFonts w:ascii="Arial" w:cs="Arial" w:eastAsia="Arial" w:hAnsi="Arial"/>
          <w:sz w:val="16"/>
          <w:szCs w:val="16"/>
          <w:color w:val="3B3B3B"/>
        </w:rPr>
        <w:t>have</w:t>
      </w:r>
      <w:r>
        <w:rPr>
          <w:rFonts w:ascii="Arial" w:cs="Arial" w:eastAsia="Arial" w:hAnsi="Arial"/>
          <w:sz w:val="16"/>
          <w:szCs w:val="16"/>
          <w:color w:val="4B4B49"/>
        </w:rPr>
        <w:t xml:space="preserve"> first complied with all conditions of this policy.</w:t>
      </w:r>
    </w:p>
    <w:p>
      <w:pPr>
        <w:spacing w:after="0" w:line="86" w:lineRule="exact"/>
        <w:rPr>
          <w:sz w:val="20"/>
          <w:szCs w:val="20"/>
          <w:color w:val="auto"/>
        </w:rPr>
      </w:pPr>
    </w:p>
    <w:p>
      <w:pPr>
        <w:jc w:val="both"/>
        <w:ind w:left="540" w:hanging="26"/>
        <w:spacing w:after="0" w:line="243" w:lineRule="auto"/>
        <w:rPr>
          <w:sz w:val="20"/>
          <w:szCs w:val="20"/>
          <w:color w:val="auto"/>
        </w:rPr>
      </w:pPr>
      <w:r>
        <w:rPr>
          <w:rFonts w:ascii="Arial" w:cs="Arial" w:eastAsia="Arial" w:hAnsi="Arial"/>
          <w:sz w:val="16"/>
          <w:szCs w:val="16"/>
          <w:color w:val="3B3B3B"/>
        </w:rPr>
        <w:t xml:space="preserve">You </w:t>
      </w:r>
      <w:r>
        <w:rPr>
          <w:rFonts w:ascii="Arial" w:cs="Arial" w:eastAsia="Arial" w:hAnsi="Arial"/>
          <w:sz w:val="16"/>
          <w:szCs w:val="16"/>
          <w:color w:val="4B4B49"/>
        </w:rPr>
        <w:t>also</w:t>
      </w:r>
      <w:r>
        <w:rPr>
          <w:rFonts w:ascii="Arial" w:cs="Arial" w:eastAsia="Arial" w:hAnsi="Arial"/>
          <w:sz w:val="16"/>
          <w:szCs w:val="16"/>
          <w:color w:val="3B3B3B"/>
        </w:rPr>
        <w:t xml:space="preserve"> agree not </w:t>
      </w:r>
      <w:r>
        <w:rPr>
          <w:rFonts w:ascii="Arial" w:cs="Arial" w:eastAsia="Arial" w:hAnsi="Arial"/>
          <w:sz w:val="16"/>
          <w:szCs w:val="16"/>
          <w:color w:val="4B4B49"/>
        </w:rPr>
        <w:t>to</w:t>
      </w:r>
      <w:r>
        <w:rPr>
          <w:rFonts w:ascii="Arial" w:cs="Arial" w:eastAsia="Arial" w:hAnsi="Arial"/>
          <w:sz w:val="16"/>
          <w:szCs w:val="16"/>
          <w:color w:val="3B3B3B"/>
        </w:rPr>
        <w:t xml:space="preserve"> bring any </w:t>
      </w:r>
      <w:r>
        <w:rPr>
          <w:rFonts w:ascii="Arial" w:cs="Arial" w:eastAsia="Arial" w:hAnsi="Arial"/>
          <w:sz w:val="16"/>
          <w:szCs w:val="16"/>
          <w:color w:val="4B4B49"/>
        </w:rPr>
        <w:t>action against</w:t>
      </w:r>
      <w:r>
        <w:rPr>
          <w:rFonts w:ascii="Arial" w:cs="Arial" w:eastAsia="Arial" w:hAnsi="Arial"/>
          <w:sz w:val="16"/>
          <w:szCs w:val="16"/>
          <w:color w:val="3B3B3B"/>
        </w:rPr>
        <w:t xml:space="preserve"> us until the </w:t>
      </w:r>
      <w:r>
        <w:rPr>
          <w:rFonts w:ascii="Arial" w:cs="Arial" w:eastAsia="Arial" w:hAnsi="Arial"/>
          <w:sz w:val="16"/>
          <w:szCs w:val="16"/>
          <w:color w:val="4B4B49"/>
        </w:rPr>
        <w:t>amount of damages</w:t>
      </w:r>
      <w:r>
        <w:rPr>
          <w:rFonts w:ascii="Arial" w:cs="Arial" w:eastAsia="Arial" w:hAnsi="Arial"/>
          <w:sz w:val="16"/>
          <w:szCs w:val="16"/>
          <w:color w:val="3B3B3B"/>
        </w:rPr>
        <w:t xml:space="preserve"> you are </w:t>
      </w:r>
      <w:r>
        <w:rPr>
          <w:rFonts w:ascii="Arial" w:cs="Arial" w:eastAsia="Arial" w:hAnsi="Arial"/>
          <w:sz w:val="16"/>
          <w:szCs w:val="16"/>
          <w:color w:val="4B4B49"/>
        </w:rPr>
        <w:t>legally obligated to pay</w:t>
      </w:r>
      <w:r>
        <w:rPr>
          <w:rFonts w:ascii="Arial" w:cs="Arial" w:eastAsia="Arial" w:hAnsi="Arial"/>
          <w:sz w:val="16"/>
          <w:szCs w:val="16"/>
          <w:color w:val="3B3B3B"/>
        </w:rPr>
        <w:t xml:space="preserve"> has </w:t>
      </w:r>
      <w:r>
        <w:rPr>
          <w:rFonts w:ascii="Arial" w:cs="Arial" w:eastAsia="Arial" w:hAnsi="Arial"/>
          <w:sz w:val="16"/>
          <w:szCs w:val="16"/>
          <w:color w:val="4B4B49"/>
        </w:rPr>
        <w:t>been</w:t>
      </w:r>
      <w:r>
        <w:rPr>
          <w:rFonts w:ascii="Arial" w:cs="Arial" w:eastAsia="Arial" w:hAnsi="Arial"/>
          <w:sz w:val="16"/>
          <w:szCs w:val="16"/>
          <w:color w:val="3B3B3B"/>
        </w:rPr>
        <w:t xml:space="preserve"> finally </w:t>
      </w:r>
      <w:r>
        <w:rPr>
          <w:rFonts w:ascii="Arial" w:cs="Arial" w:eastAsia="Arial" w:hAnsi="Arial"/>
          <w:sz w:val="16"/>
          <w:szCs w:val="16"/>
          <w:color w:val="4B4B49"/>
        </w:rPr>
        <w:t>determined after an actual trial or appeal,</w:t>
      </w:r>
      <w:r>
        <w:rPr>
          <w:rFonts w:ascii="Arial" w:cs="Arial" w:eastAsia="Arial" w:hAnsi="Arial"/>
          <w:sz w:val="16"/>
          <w:szCs w:val="16"/>
          <w:color w:val="3B3B3B"/>
        </w:rPr>
        <w:t xml:space="preserve"> </w:t>
      </w:r>
      <w:r>
        <w:rPr>
          <w:rFonts w:ascii="Arial" w:cs="Arial" w:eastAsia="Arial" w:hAnsi="Arial"/>
          <w:sz w:val="16"/>
          <w:szCs w:val="16"/>
          <w:color w:val="4B4B49"/>
        </w:rPr>
        <w:t xml:space="preserve">if any, or by a </w:t>
      </w:r>
      <w:r>
        <w:rPr>
          <w:rFonts w:ascii="Arial" w:cs="Arial" w:eastAsia="Arial" w:hAnsi="Arial"/>
          <w:sz w:val="16"/>
          <w:szCs w:val="16"/>
          <w:color w:val="3B3B3B"/>
        </w:rPr>
        <w:t>written</w:t>
      </w:r>
      <w:r>
        <w:rPr>
          <w:rFonts w:ascii="Arial" w:cs="Arial" w:eastAsia="Arial" w:hAnsi="Arial"/>
          <w:sz w:val="16"/>
          <w:szCs w:val="16"/>
          <w:color w:val="4B4B49"/>
        </w:rPr>
        <w:t xml:space="preserve"> agreement between you, us and the </w:t>
      </w:r>
      <w:r>
        <w:rPr>
          <w:rFonts w:ascii="Arial" w:cs="Arial" w:eastAsia="Arial" w:hAnsi="Arial"/>
          <w:sz w:val="16"/>
          <w:szCs w:val="16"/>
          <w:color w:val="3B3B3B"/>
        </w:rPr>
        <w:t>claimant</w:t>
      </w:r>
      <w:r>
        <w:rPr>
          <w:rFonts w:ascii="Arial" w:cs="Arial" w:eastAsia="Arial" w:hAnsi="Arial"/>
          <w:sz w:val="16"/>
          <w:szCs w:val="16"/>
          <w:color w:val="4B4B49"/>
        </w:rPr>
        <w:t xml:space="preserve"> No person or organization </w:t>
      </w:r>
      <w:r>
        <w:rPr>
          <w:rFonts w:ascii="Arial" w:cs="Arial" w:eastAsia="Arial" w:hAnsi="Arial"/>
          <w:sz w:val="16"/>
          <w:szCs w:val="16"/>
          <w:color w:val="3B3B3B"/>
        </w:rPr>
        <w:t>has</w:t>
      </w:r>
      <w:r>
        <w:rPr>
          <w:rFonts w:ascii="Arial" w:cs="Arial" w:eastAsia="Arial" w:hAnsi="Arial"/>
          <w:sz w:val="16"/>
          <w:szCs w:val="16"/>
          <w:color w:val="4B4B49"/>
        </w:rPr>
        <w:t xml:space="preserve"> any </w:t>
      </w:r>
      <w:r>
        <w:rPr>
          <w:rFonts w:ascii="Arial" w:cs="Arial" w:eastAsia="Arial" w:hAnsi="Arial"/>
          <w:sz w:val="16"/>
          <w:szCs w:val="16"/>
          <w:color w:val="3B3B3B"/>
        </w:rPr>
        <w:t>right under this policy</w:t>
      </w:r>
      <w:r>
        <w:rPr>
          <w:rFonts w:ascii="Arial" w:cs="Arial" w:eastAsia="Arial" w:hAnsi="Arial"/>
          <w:sz w:val="16"/>
          <w:szCs w:val="16"/>
          <w:color w:val="4B4B49"/>
        </w:rPr>
        <w:t xml:space="preserve"> to bring us </w:t>
      </w:r>
      <w:r>
        <w:rPr>
          <w:rFonts w:ascii="Arial" w:cs="Arial" w:eastAsia="Arial" w:hAnsi="Arial"/>
          <w:sz w:val="16"/>
          <w:szCs w:val="16"/>
          <w:color w:val="3B3B3B"/>
        </w:rPr>
        <w:t>into</w:t>
      </w:r>
      <w:r>
        <w:rPr>
          <w:rFonts w:ascii="Arial" w:cs="Arial" w:eastAsia="Arial" w:hAnsi="Arial"/>
          <w:sz w:val="16"/>
          <w:szCs w:val="16"/>
          <w:color w:val="4B4B49"/>
        </w:rPr>
        <w:t xml:space="preserve"> any action </w:t>
      </w:r>
      <w:r>
        <w:rPr>
          <w:rFonts w:ascii="Arial" w:cs="Arial" w:eastAsia="Arial" w:hAnsi="Arial"/>
          <w:sz w:val="16"/>
          <w:szCs w:val="16"/>
          <w:color w:val="3B3B3B"/>
        </w:rPr>
        <w:t>to determine</w:t>
      </w:r>
      <w:r>
        <w:rPr>
          <w:rFonts w:ascii="Arial" w:cs="Arial" w:eastAsia="Arial" w:hAnsi="Arial"/>
          <w:sz w:val="16"/>
          <w:szCs w:val="16"/>
          <w:color w:val="4B4B49"/>
        </w:rPr>
        <w:t xml:space="preserve"> the liability of a covered person.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Notice of </w:t>
      </w:r>
      <w:r>
        <w:rPr>
          <w:rFonts w:ascii="Arial" w:cs="Arial" w:eastAsia="Arial" w:hAnsi="Arial"/>
          <w:sz w:val="16"/>
          <w:szCs w:val="16"/>
          <w:b w:val="1"/>
          <w:bCs w:val="1"/>
          <w:color w:val="3B3B3B"/>
        </w:rPr>
        <w:t>cancellation and</w:t>
      </w:r>
      <w:r>
        <w:rPr>
          <w:rFonts w:ascii="Arial" w:cs="Arial" w:eastAsia="Arial" w:hAnsi="Arial"/>
          <w:sz w:val="16"/>
          <w:szCs w:val="16"/>
          <w:b w:val="1"/>
          <w:bCs w:val="1"/>
          <w:color w:val="4B4B49"/>
        </w:rPr>
        <w:t xml:space="preserve"> coverage termination conditions</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The Sponsoring </w:t>
      </w:r>
      <w:r>
        <w:rPr>
          <w:rFonts w:ascii="Arial" w:cs="Arial" w:eastAsia="Arial" w:hAnsi="Arial"/>
          <w:sz w:val="16"/>
          <w:szCs w:val="16"/>
          <w:color w:val="4B4B49"/>
        </w:rPr>
        <w:t>Organization may cancel this policy by</w:t>
      </w:r>
      <w:r>
        <w:rPr>
          <w:rFonts w:ascii="Arial" w:cs="Arial" w:eastAsia="Arial" w:hAnsi="Arial"/>
          <w:sz w:val="16"/>
          <w:szCs w:val="16"/>
          <w:color w:val="3B3B3B"/>
        </w:rPr>
        <w:t xml:space="preserve"> returning it to us or notifying </w:t>
      </w:r>
      <w:r>
        <w:rPr>
          <w:rFonts w:ascii="Arial" w:cs="Arial" w:eastAsia="Arial" w:hAnsi="Arial"/>
          <w:sz w:val="16"/>
          <w:szCs w:val="16"/>
          <w:color w:val="4B4B49"/>
        </w:rPr>
        <w:t>us</w:t>
      </w:r>
      <w:r>
        <w:rPr>
          <w:rFonts w:ascii="Arial" w:cs="Arial" w:eastAsia="Arial" w:hAnsi="Arial"/>
          <w:sz w:val="16"/>
          <w:szCs w:val="16"/>
          <w:color w:val="3B3B3B"/>
        </w:rPr>
        <w:t xml:space="preserve"> in </w:t>
      </w:r>
      <w:r>
        <w:rPr>
          <w:rFonts w:ascii="Arial" w:cs="Arial" w:eastAsia="Arial" w:hAnsi="Arial"/>
          <w:sz w:val="16"/>
          <w:szCs w:val="16"/>
          <w:color w:val="4B4B49"/>
        </w:rPr>
        <w:t>writing</w:t>
      </w:r>
      <w:r>
        <w:rPr>
          <w:rFonts w:ascii="Arial" w:cs="Arial" w:eastAsia="Arial" w:hAnsi="Arial"/>
          <w:sz w:val="16"/>
          <w:szCs w:val="16"/>
          <w:color w:val="3B3B3B"/>
        </w:rPr>
        <w:t xml:space="preserve"> at any time </w:t>
      </w:r>
      <w:r>
        <w:rPr>
          <w:rFonts w:ascii="Arial" w:cs="Arial" w:eastAsia="Arial" w:hAnsi="Arial"/>
          <w:sz w:val="16"/>
          <w:szCs w:val="16"/>
          <w:color w:val="4B4B49"/>
        </w:rPr>
        <w:t>subject to</w:t>
      </w:r>
      <w:r>
        <w:rPr>
          <w:rFonts w:ascii="Arial" w:cs="Arial" w:eastAsia="Arial" w:hAnsi="Arial"/>
          <w:sz w:val="16"/>
          <w:szCs w:val="16"/>
          <w:color w:val="3B3B3B"/>
        </w:rPr>
        <w:t xml:space="preserve"> the following:</w:t>
      </w:r>
    </w:p>
    <w:p>
      <w:pPr>
        <w:ind w:left="840" w:hanging="319"/>
        <w:spacing w:after="0" w:line="231" w:lineRule="auto"/>
        <w:tabs>
          <w:tab w:leader="none" w:pos="840" w:val="left"/>
        </w:tabs>
        <w:numPr>
          <w:ilvl w:val="0"/>
          <w:numId w:val="484"/>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w:t>
      </w:r>
      <w:r>
        <w:rPr>
          <w:rFonts w:ascii="Arial" w:cs="Arial" w:eastAsia="Arial" w:hAnsi="Arial"/>
          <w:sz w:val="16"/>
          <w:szCs w:val="16"/>
          <w:color w:val="3B3B3B"/>
        </w:rPr>
        <w:t xml:space="preserve"> must notify us in </w:t>
      </w:r>
      <w:r>
        <w:rPr>
          <w:rFonts w:ascii="Arial" w:cs="Arial" w:eastAsia="Arial" w:hAnsi="Arial"/>
          <w:sz w:val="16"/>
          <w:szCs w:val="16"/>
          <w:color w:val="4B4B49"/>
        </w:rPr>
        <w:t>advance of</w:t>
      </w:r>
      <w:r>
        <w:rPr>
          <w:rFonts w:ascii="Arial" w:cs="Arial" w:eastAsia="Arial" w:hAnsi="Arial"/>
          <w:sz w:val="16"/>
          <w:szCs w:val="16"/>
          <w:color w:val="3B3B3B"/>
        </w:rPr>
        <w:t xml:space="preserve"> the requested cancellation </w:t>
      </w:r>
      <w:r>
        <w:rPr>
          <w:rFonts w:ascii="Arial" w:cs="Arial" w:eastAsia="Arial" w:hAnsi="Arial"/>
          <w:sz w:val="16"/>
          <w:szCs w:val="16"/>
          <w:color w:val="4B4B49"/>
        </w:rPr>
        <w:t>date;</w:t>
      </w:r>
      <w:r>
        <w:rPr>
          <w:rFonts w:ascii="Arial" w:cs="Arial" w:eastAsia="Arial" w:hAnsi="Arial"/>
          <w:sz w:val="16"/>
          <w:szCs w:val="16"/>
          <w:color w:val="3B3B3B"/>
        </w:rPr>
        <w:t xml:space="preserve"> and</w:t>
      </w:r>
    </w:p>
    <w:p>
      <w:pPr>
        <w:ind w:left="820" w:hanging="299"/>
        <w:spacing w:after="0"/>
        <w:tabs>
          <w:tab w:leader="none" w:pos="820" w:val="left"/>
        </w:tabs>
        <w:numPr>
          <w:ilvl w:val="0"/>
          <w:numId w:val="484"/>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 must provide proof of notification</w:t>
      </w:r>
      <w:r>
        <w:rPr>
          <w:rFonts w:ascii="Arial" w:cs="Arial" w:eastAsia="Arial" w:hAnsi="Arial"/>
          <w:sz w:val="16"/>
          <w:szCs w:val="16"/>
          <w:color w:val="3B3B3B"/>
        </w:rPr>
        <w:t xml:space="preserve"> to </w:t>
      </w:r>
      <w:r>
        <w:rPr>
          <w:rFonts w:ascii="Arial" w:cs="Arial" w:eastAsia="Arial" w:hAnsi="Arial"/>
          <w:sz w:val="16"/>
          <w:szCs w:val="16"/>
          <w:color w:val="4B4B49"/>
        </w:rPr>
        <w:t>each member of</w:t>
      </w:r>
      <w:r>
        <w:rPr>
          <w:rFonts w:ascii="Arial" w:cs="Arial" w:eastAsia="Arial" w:hAnsi="Arial"/>
          <w:sz w:val="16"/>
          <w:szCs w:val="16"/>
          <w:color w:val="3B3B3B"/>
        </w:rPr>
        <w:t xml:space="preserve"> the </w:t>
      </w:r>
      <w:r>
        <w:rPr>
          <w:rFonts w:ascii="Arial" w:cs="Arial" w:eastAsia="Arial" w:hAnsi="Arial"/>
          <w:sz w:val="16"/>
          <w:szCs w:val="16"/>
          <w:color w:val="4B4B49"/>
        </w:rPr>
        <w:t>Defined Group covered</w:t>
      </w:r>
      <w:r>
        <w:rPr>
          <w:rFonts w:ascii="Arial" w:cs="Arial" w:eastAsia="Arial" w:hAnsi="Arial"/>
          <w:sz w:val="16"/>
          <w:szCs w:val="16"/>
          <w:color w:val="3B3B3B"/>
        </w:rPr>
        <w:t xml:space="preserve"> under this policy.</w:t>
      </w:r>
    </w:p>
    <w:p>
      <w:pPr>
        <w:spacing w:after="0" w:line="167" w:lineRule="exact"/>
        <w:rPr>
          <w:sz w:val="20"/>
          <w:szCs w:val="20"/>
          <w:color w:val="auto"/>
        </w:rPr>
      </w:pPr>
    </w:p>
    <w:p>
      <w:pPr>
        <w:ind w:left="540" w:hanging="26"/>
        <w:spacing w:after="0"/>
        <w:rPr>
          <w:sz w:val="20"/>
          <w:szCs w:val="20"/>
          <w:color w:val="auto"/>
        </w:rPr>
      </w:pPr>
      <w:r>
        <w:rPr>
          <w:rFonts w:ascii="Arial" w:cs="Arial" w:eastAsia="Arial" w:hAnsi="Arial"/>
          <w:sz w:val="16"/>
          <w:szCs w:val="16"/>
          <w:color w:val="4B4B49"/>
        </w:rPr>
        <w:t xml:space="preserve">We may cancel this </w:t>
      </w:r>
      <w:r>
        <w:rPr>
          <w:rFonts w:ascii="Arial" w:cs="Arial" w:eastAsia="Arial" w:hAnsi="Arial"/>
          <w:sz w:val="16"/>
          <w:szCs w:val="16"/>
          <w:color w:val="3B3B3B"/>
        </w:rPr>
        <w:t>policy</w:t>
      </w:r>
      <w:r>
        <w:rPr>
          <w:rFonts w:ascii="Arial" w:cs="Arial" w:eastAsia="Arial" w:hAnsi="Arial"/>
          <w:sz w:val="16"/>
          <w:szCs w:val="16"/>
          <w:color w:val="4B4B49"/>
        </w:rPr>
        <w:t xml:space="preserve"> or any part of </w:t>
      </w:r>
      <w:r>
        <w:rPr>
          <w:rFonts w:ascii="Arial" w:cs="Arial" w:eastAsia="Arial" w:hAnsi="Arial"/>
          <w:sz w:val="16"/>
          <w:szCs w:val="16"/>
          <w:color w:val="3B3B3B"/>
        </w:rPr>
        <w:t>it</w:t>
      </w:r>
      <w:r>
        <w:rPr>
          <w:rFonts w:ascii="Arial" w:cs="Arial" w:eastAsia="Arial" w:hAnsi="Arial"/>
          <w:sz w:val="16"/>
          <w:szCs w:val="16"/>
          <w:color w:val="4B4B49"/>
        </w:rPr>
        <w:t xml:space="preserve"> subject to the following conditions. Our right to cancel applies to each coverage or limit </w:t>
      </w:r>
      <w:r>
        <w:rPr>
          <w:rFonts w:ascii="Arial" w:cs="Arial" w:eastAsia="Arial" w:hAnsi="Arial"/>
          <w:sz w:val="16"/>
          <w:szCs w:val="16"/>
          <w:color w:val="3B3B3B"/>
        </w:rPr>
        <w:t>in this</w:t>
      </w:r>
      <w:r>
        <w:rPr>
          <w:rFonts w:ascii="Arial" w:cs="Arial" w:eastAsia="Arial" w:hAnsi="Arial"/>
          <w:sz w:val="16"/>
          <w:szCs w:val="16"/>
          <w:color w:val="4B4B49"/>
        </w:rPr>
        <w:t xml:space="preserve"> policy. </w:t>
      </w:r>
      <w:r>
        <w:rPr>
          <w:rFonts w:ascii="Arial" w:cs="Arial" w:eastAsia="Arial" w:hAnsi="Arial"/>
          <w:sz w:val="16"/>
          <w:szCs w:val="16"/>
          <w:color w:val="3B3B3B"/>
        </w:rPr>
        <w:t>In the</w:t>
      </w:r>
      <w:r>
        <w:rPr>
          <w:rFonts w:ascii="Arial" w:cs="Arial" w:eastAsia="Arial" w:hAnsi="Arial"/>
          <w:sz w:val="16"/>
          <w:szCs w:val="16"/>
          <w:color w:val="4B4B49"/>
        </w:rPr>
        <w:t xml:space="preserve"> event we cancel </w:t>
      </w:r>
      <w:r>
        <w:rPr>
          <w:rFonts w:ascii="Arial" w:cs="Arial" w:eastAsia="Arial" w:hAnsi="Arial"/>
          <w:sz w:val="16"/>
          <w:szCs w:val="16"/>
          <w:color w:val="3B3B3B"/>
        </w:rPr>
        <w:t>this</w:t>
      </w:r>
      <w:r>
        <w:rPr>
          <w:rFonts w:ascii="Arial" w:cs="Arial" w:eastAsia="Arial" w:hAnsi="Arial"/>
          <w:sz w:val="16"/>
          <w:szCs w:val="16"/>
          <w:color w:val="4B4B49"/>
        </w:rPr>
        <w:t xml:space="preserve"> policy, </w:t>
      </w:r>
      <w:r>
        <w:rPr>
          <w:rFonts w:ascii="Arial" w:cs="Arial" w:eastAsia="Arial" w:hAnsi="Arial"/>
          <w:sz w:val="16"/>
          <w:szCs w:val="16"/>
          <w:color w:val="3B3B3B"/>
        </w:rPr>
        <w:t>we are under</w:t>
      </w:r>
      <w:r>
        <w:rPr>
          <w:rFonts w:ascii="Arial" w:cs="Arial" w:eastAsia="Arial" w:hAnsi="Arial"/>
          <w:sz w:val="16"/>
          <w:szCs w:val="16"/>
          <w:color w:val="4B4B49"/>
        </w:rPr>
        <w:t xml:space="preserve"> no obligation </w:t>
      </w:r>
      <w:r>
        <w:rPr>
          <w:rFonts w:ascii="Arial" w:cs="Arial" w:eastAsia="Arial" w:hAnsi="Arial"/>
          <w:sz w:val="16"/>
          <w:szCs w:val="16"/>
          <w:color w:val="3B3B3B"/>
        </w:rPr>
        <w:t>to</w:t>
      </w:r>
      <w:r>
        <w:rPr>
          <w:rFonts w:ascii="Arial" w:cs="Arial" w:eastAsia="Arial" w:hAnsi="Arial"/>
          <w:sz w:val="16"/>
          <w:szCs w:val="16"/>
          <w:color w:val="4B4B49"/>
        </w:rPr>
        <w:t xml:space="preserve"> provide you with an opportunity </w:t>
      </w:r>
      <w:r>
        <w:rPr>
          <w:rFonts w:ascii="Arial" w:cs="Arial" w:eastAsia="Arial" w:hAnsi="Arial"/>
          <w:sz w:val="16"/>
          <w:szCs w:val="16"/>
          <w:color w:val="3B3B3B"/>
        </w:rPr>
        <w:t>to</w:t>
      </w:r>
      <w:r>
        <w:rPr>
          <w:rFonts w:ascii="Arial" w:cs="Arial" w:eastAsia="Arial" w:hAnsi="Arial"/>
          <w:sz w:val="16"/>
          <w:szCs w:val="16"/>
          <w:color w:val="4B4B49"/>
        </w:rPr>
        <w:t xml:space="preserve"> purchase </w:t>
      </w:r>
      <w:r>
        <w:rPr>
          <w:rFonts w:ascii="Arial" w:cs="Arial" w:eastAsia="Arial" w:hAnsi="Arial"/>
          <w:sz w:val="16"/>
          <w:szCs w:val="16"/>
          <w:color w:val="3B3B3B"/>
        </w:rPr>
        <w:t>equivalent</w:t>
      </w:r>
      <w:r>
        <w:rPr>
          <w:rFonts w:ascii="Arial" w:cs="Arial" w:eastAsia="Arial" w:hAnsi="Arial"/>
          <w:sz w:val="16"/>
          <w:szCs w:val="16"/>
          <w:color w:val="4B4B49"/>
        </w:rPr>
        <w:t xml:space="preserv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14 of 15</w:t>
      </w:r>
    </w:p>
    <w:p>
      <w:pPr>
        <w:sectPr>
          <w:pgSz w:w="11900" w:h="16838" w:orient="portrait"/>
          <w:cols w:equalWidth="0" w:num="1">
            <w:col w:w="11420"/>
          </w:cols>
          <w:pgMar w:left="240" w:top="812" w:right="239" w:bottom="1440" w:gutter="0" w:footer="0" w:header="0"/>
        </w:sectPr>
      </w:pPr>
    </w:p>
    <w:bookmarkStart w:id="304" w:name="page305"/>
    <w:bookmarkEnd w:id="304"/>
    <w:p>
      <w:pPr>
        <w:ind w:left="180"/>
        <w:spacing w:after="0"/>
        <w:rPr>
          <w:sz w:val="20"/>
          <w:szCs w:val="20"/>
          <w:color w:val="auto"/>
        </w:rPr>
      </w:pPr>
      <w:r>
        <w:rPr>
          <w:rFonts w:ascii="Arial" w:cs="Arial" w:eastAsia="Arial" w:hAnsi="Arial"/>
          <w:sz w:val="22"/>
          <w:szCs w:val="22"/>
          <w:b w:val="1"/>
          <w:bCs w:val="1"/>
          <w:i w:val="1"/>
          <w:iCs w:val="1"/>
          <w:color w:val="343634"/>
        </w:rPr>
        <w:t>Special Conditions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343634"/>
        </w:rPr>
        <w:t>(continued)</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Within 60 days. </w:t>
      </w:r>
      <w:r>
        <w:rPr>
          <w:rFonts w:ascii="Arial" w:cs="Arial" w:eastAsia="Arial" w:hAnsi="Arial"/>
          <w:sz w:val="16"/>
          <w:szCs w:val="16"/>
          <w:color w:val="343634"/>
        </w:rPr>
        <w:t>When this policy or any part of it has been in effect for less than 60 days, we may cancel with 30 days notice for any reason.</w:t>
      </w:r>
    </w:p>
    <w:p>
      <w:pPr>
        <w:spacing w:after="0" w:line="221"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b w:val="1"/>
          <w:bCs w:val="1"/>
          <w:color w:val="343634"/>
        </w:rPr>
        <w:t xml:space="preserve">Nonpayment of premium. </w:t>
      </w:r>
      <w:r>
        <w:rPr>
          <w:rFonts w:ascii="Arial" w:cs="Arial" w:eastAsia="Arial" w:hAnsi="Arial"/>
          <w:sz w:val="16"/>
          <w:szCs w:val="16"/>
          <w:color w:val="343634"/>
        </w:rPr>
        <w:t>We may cancel this policy or any part of it with 10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Sponsoring Organization or you fail to pay the premium by the due date,</w:t>
      </w:r>
      <w:r>
        <w:rPr>
          <w:rFonts w:ascii="Arial" w:cs="Arial" w:eastAsia="Arial" w:hAnsi="Arial"/>
          <w:sz w:val="16"/>
          <w:szCs w:val="16"/>
          <w:b w:val="1"/>
          <w:bCs w:val="1"/>
          <w:color w:val="343634"/>
        </w:rPr>
        <w:t xml:space="preserve"> </w:t>
      </w:r>
      <w:r>
        <w:rPr>
          <w:rFonts w:ascii="Arial" w:cs="Arial" w:eastAsia="Arial" w:hAnsi="Arial"/>
          <w:sz w:val="16"/>
          <w:szCs w:val="16"/>
          <w:color w:val="343634"/>
        </w:rPr>
        <w:t xml:space="preserve">regardless of whether the premium </w:t>
      </w:r>
      <w:r>
        <w:rPr>
          <w:rFonts w:ascii="Arial" w:cs="Arial" w:eastAsia="Arial" w:hAnsi="Arial"/>
          <w:sz w:val="16"/>
          <w:szCs w:val="16"/>
          <w:color w:val="4B4B49"/>
        </w:rPr>
        <w:t>is</w:t>
      </w:r>
      <w:r>
        <w:rPr>
          <w:rFonts w:ascii="Arial" w:cs="Arial" w:eastAsia="Arial" w:hAnsi="Arial"/>
          <w:sz w:val="16"/>
          <w:szCs w:val="16"/>
          <w:color w:val="343634"/>
        </w:rPr>
        <w:t xml:space="preserve"> payable to us, to our agent, or under any financial credit.</w:t>
      </w:r>
    </w:p>
    <w:p>
      <w:pPr>
        <w:spacing w:after="0" w:line="17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b w:val="1"/>
          <w:bCs w:val="1"/>
          <w:color w:val="343634"/>
        </w:rPr>
        <w:t xml:space="preserve">Misrepresentation. </w:t>
      </w:r>
      <w:r>
        <w:rPr>
          <w:rFonts w:ascii="Arial" w:cs="Arial" w:eastAsia="Arial" w:hAnsi="Arial"/>
          <w:sz w:val="16"/>
          <w:szCs w:val="16"/>
          <w:color w:val="343634"/>
        </w:rPr>
        <w:t>We may cancel this policy or any part of it with 30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coverage was obtained through misrepresentation, fraudulent statements, or</w:t>
      </w:r>
      <w:r>
        <w:rPr>
          <w:rFonts w:ascii="Arial" w:cs="Arial" w:eastAsia="Arial" w:hAnsi="Arial"/>
          <w:sz w:val="16"/>
          <w:szCs w:val="16"/>
          <w:b w:val="1"/>
          <w:bCs w:val="1"/>
          <w:color w:val="343634"/>
        </w:rPr>
        <w:t xml:space="preserve"> </w:t>
      </w:r>
      <w:r>
        <w:rPr>
          <w:rFonts w:ascii="Arial" w:cs="Arial" w:eastAsia="Arial" w:hAnsi="Arial"/>
          <w:sz w:val="16"/>
          <w:szCs w:val="16"/>
          <w:color w:val="343634"/>
        </w:rPr>
        <w:t>omissions or concealment of a fact that is relevant to the acceptance of the risk or to the hazard we assumed</w:t>
      </w:r>
      <w:r>
        <w:rPr>
          <w:rFonts w:ascii="Arial" w:cs="Arial" w:eastAsia="Arial" w:hAnsi="Arial"/>
          <w:sz w:val="16"/>
          <w:szCs w:val="16"/>
          <w:color w:val="605D5D"/>
        </w:rPr>
        <w:t>.</w:t>
      </w:r>
    </w:p>
    <w:p>
      <w:pPr>
        <w:spacing w:after="0" w:line="153" w:lineRule="exact"/>
        <w:rPr>
          <w:sz w:val="20"/>
          <w:szCs w:val="20"/>
          <w:color w:val="auto"/>
        </w:rPr>
      </w:pPr>
    </w:p>
    <w:p>
      <w:pPr>
        <w:ind w:left="120"/>
        <w:spacing w:after="0" w:line="332" w:lineRule="auto"/>
        <w:rPr>
          <w:sz w:val="20"/>
          <w:szCs w:val="20"/>
          <w:color w:val="auto"/>
        </w:rPr>
      </w:pPr>
      <w:r>
        <w:rPr>
          <w:rFonts w:ascii="Arial" w:cs="Arial" w:eastAsia="Arial" w:hAnsi="Arial"/>
          <w:sz w:val="15"/>
          <w:szCs w:val="15"/>
          <w:b w:val="1"/>
          <w:bCs w:val="1"/>
          <w:color w:val="343634"/>
        </w:rPr>
        <w:t xml:space="preserve">Increase </w:t>
      </w:r>
      <w:r>
        <w:rPr>
          <w:rFonts w:ascii="Arial" w:cs="Arial" w:eastAsia="Arial" w:hAnsi="Arial"/>
          <w:sz w:val="16"/>
          <w:szCs w:val="16"/>
          <w:b w:val="1"/>
          <w:bCs w:val="1"/>
          <w:color w:val="343634"/>
        </w:rPr>
        <w:t>in</w:t>
      </w:r>
      <w:r>
        <w:rPr>
          <w:rFonts w:ascii="Arial" w:cs="Arial" w:eastAsia="Arial" w:hAnsi="Arial"/>
          <w:sz w:val="15"/>
          <w:szCs w:val="15"/>
          <w:b w:val="1"/>
          <w:bCs w:val="1"/>
          <w:color w:val="343634"/>
        </w:rPr>
        <w:t xml:space="preserve"> hazard. </w:t>
      </w:r>
      <w:r>
        <w:rPr>
          <w:rFonts w:ascii="Arial" w:cs="Arial" w:eastAsia="Arial" w:hAnsi="Arial"/>
          <w:sz w:val="15"/>
          <w:szCs w:val="15"/>
          <w:color w:val="343634"/>
        </w:rPr>
        <w:t>We may cancel this policy or any</w:t>
      </w:r>
      <w:r>
        <w:rPr>
          <w:rFonts w:ascii="Arial" w:cs="Arial" w:eastAsia="Arial" w:hAnsi="Arial"/>
          <w:sz w:val="15"/>
          <w:szCs w:val="15"/>
          <w:b w:val="1"/>
          <w:bCs w:val="1"/>
          <w:color w:val="343634"/>
        </w:rPr>
        <w:t xml:space="preserve"> </w:t>
      </w:r>
      <w:r>
        <w:rPr>
          <w:rFonts w:ascii="Arial" w:cs="Arial" w:eastAsia="Arial" w:hAnsi="Arial"/>
          <w:sz w:val="15"/>
          <w:szCs w:val="15"/>
          <w:color w:val="4B4B49"/>
        </w:rPr>
        <w:t>part</w:t>
      </w:r>
      <w:r>
        <w:rPr>
          <w:rFonts w:ascii="Arial" w:cs="Arial" w:eastAsia="Arial" w:hAnsi="Arial"/>
          <w:sz w:val="15"/>
          <w:szCs w:val="15"/>
          <w:b w:val="1"/>
          <w:bCs w:val="1"/>
          <w:color w:val="343634"/>
        </w:rPr>
        <w:t xml:space="preserve"> </w:t>
      </w:r>
      <w:r>
        <w:rPr>
          <w:rFonts w:ascii="Arial" w:cs="Arial" w:eastAsia="Arial" w:hAnsi="Arial"/>
          <w:sz w:val="15"/>
          <w:szCs w:val="15"/>
          <w:color w:val="343634"/>
        </w:rPr>
        <w:t>of it with 30 days notice</w:t>
      </w:r>
      <w:r>
        <w:rPr>
          <w:rFonts w:ascii="Arial" w:cs="Arial" w:eastAsia="Arial" w:hAnsi="Arial"/>
          <w:sz w:val="15"/>
          <w:szCs w:val="15"/>
          <w:b w:val="1"/>
          <w:bCs w:val="1"/>
          <w:color w:val="343634"/>
        </w:rPr>
        <w:t xml:space="preserve"> </w:t>
      </w:r>
      <w:r>
        <w:rPr>
          <w:rFonts w:ascii="Arial" w:cs="Arial" w:eastAsia="Arial" w:hAnsi="Arial"/>
          <w:sz w:val="14"/>
          <w:szCs w:val="14"/>
          <w:color w:val="343634"/>
        </w:rPr>
        <w:t>if</w:t>
      </w:r>
      <w:r>
        <w:rPr>
          <w:rFonts w:ascii="Arial" w:cs="Arial" w:eastAsia="Arial" w:hAnsi="Arial"/>
          <w:sz w:val="15"/>
          <w:szCs w:val="15"/>
          <w:b w:val="1"/>
          <w:bCs w:val="1"/>
          <w:color w:val="343634"/>
        </w:rPr>
        <w:t xml:space="preserve"> </w:t>
      </w:r>
      <w:r>
        <w:rPr>
          <w:rFonts w:ascii="Arial" w:cs="Arial" w:eastAsia="Arial" w:hAnsi="Arial"/>
          <w:sz w:val="15"/>
          <w:szCs w:val="15"/>
          <w:color w:val="343634"/>
        </w:rPr>
        <w:t>there has been a substantial change in the risk which increases the chance of loss after</w:t>
      </w:r>
      <w:r>
        <w:rPr>
          <w:rFonts w:ascii="Arial" w:cs="Arial" w:eastAsia="Arial" w:hAnsi="Arial"/>
          <w:sz w:val="15"/>
          <w:szCs w:val="15"/>
          <w:b w:val="1"/>
          <w:bCs w:val="1"/>
          <w:color w:val="343634"/>
        </w:rPr>
        <w:t xml:space="preserve"> </w:t>
      </w:r>
      <w:r>
        <w:rPr>
          <w:rFonts w:ascii="Arial" w:cs="Arial" w:eastAsia="Arial" w:hAnsi="Arial"/>
          <w:sz w:val="15"/>
          <w:szCs w:val="15"/>
          <w:color w:val="343634"/>
        </w:rPr>
        <w:t>insurance coverage has been issued or renewed, including but not limited to an increase in exposure due to rules, legislation, or court decision.</w:t>
      </w:r>
    </w:p>
    <w:p>
      <w:pPr>
        <w:spacing w:after="0" w:line="138"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b w:val="1"/>
          <w:bCs w:val="1"/>
          <w:color w:val="343634"/>
        </w:rPr>
        <w:t xml:space="preserve">Procedure. </w:t>
      </w:r>
      <w:r>
        <w:rPr>
          <w:rFonts w:ascii="Arial" w:cs="Arial" w:eastAsia="Arial" w:hAnsi="Arial"/>
          <w:sz w:val="16"/>
          <w:szCs w:val="16"/>
          <w:color w:val="343634"/>
        </w:rPr>
        <w:t>To cancel this policy or any part of it, we must notify you in writing. This notice will</w:t>
      </w:r>
      <w:r>
        <w:rPr>
          <w:rFonts w:ascii="Arial" w:cs="Arial" w:eastAsia="Arial" w:hAnsi="Arial"/>
          <w:sz w:val="16"/>
          <w:szCs w:val="16"/>
          <w:b w:val="1"/>
          <w:bCs w:val="1"/>
          <w:color w:val="343634"/>
        </w:rPr>
        <w:t xml:space="preserve"> </w:t>
      </w:r>
      <w:r>
        <w:rPr>
          <w:rFonts w:ascii="Arial" w:cs="Arial" w:eastAsia="Arial" w:hAnsi="Arial"/>
          <w:sz w:val="14"/>
          <w:szCs w:val="14"/>
          <w:color w:val="343634"/>
        </w:rPr>
        <w:t>be</w:t>
      </w:r>
      <w:r>
        <w:rPr>
          <w:rFonts w:ascii="Arial" w:cs="Arial" w:eastAsia="Arial" w:hAnsi="Arial"/>
          <w:sz w:val="16"/>
          <w:szCs w:val="16"/>
          <w:b w:val="1"/>
          <w:bCs w:val="1"/>
          <w:color w:val="343634"/>
        </w:rPr>
        <w:t xml:space="preserve"> </w:t>
      </w:r>
      <w:r>
        <w:rPr>
          <w:rFonts w:ascii="Arial" w:cs="Arial" w:eastAsia="Arial" w:hAnsi="Arial"/>
          <w:sz w:val="16"/>
          <w:szCs w:val="16"/>
          <w:color w:val="343634"/>
        </w:rPr>
        <w:t>mailed to the Sponsoring Organization at the mailing address shown in</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Coverage Summary and we will obtain a certificate of mailing. This notice will include the date the cancellation is to take effect.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Termination. </w:t>
      </w:r>
      <w:r>
        <w:rPr>
          <w:rFonts w:ascii="Arial" w:cs="Arial" w:eastAsia="Arial" w:hAnsi="Arial"/>
          <w:sz w:val="16"/>
          <w:szCs w:val="16"/>
          <w:color w:val="343634"/>
        </w:rPr>
        <w:t>Should an individual for any reason no longer qualify as a member of the Defined Group, coverage will cease sixty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5"/>
          <w:szCs w:val="15"/>
          <w:color w:val="343634"/>
        </w:rPr>
        <w:t>(60) days from the date that individual no longer qualifies as a member of the Defined Group, or the policy expiration or cancellation date, whichever comes first.</w:t>
      </w:r>
    </w:p>
    <w:p>
      <w:pPr>
        <w:spacing w:after="0" w:line="191" w:lineRule="exact"/>
        <w:rPr>
          <w:sz w:val="20"/>
          <w:szCs w:val="20"/>
          <w:color w:val="auto"/>
        </w:rPr>
      </w:pPr>
    </w:p>
    <w:p>
      <w:pPr>
        <w:ind w:left="80"/>
        <w:spacing w:after="0" w:line="279" w:lineRule="auto"/>
        <w:rPr>
          <w:sz w:val="20"/>
          <w:szCs w:val="20"/>
          <w:color w:val="auto"/>
        </w:rPr>
      </w:pPr>
      <w:r>
        <w:rPr>
          <w:rFonts w:ascii="Arial" w:cs="Arial" w:eastAsia="Arial" w:hAnsi="Arial"/>
          <w:sz w:val="17"/>
          <w:szCs w:val="17"/>
          <w:b w:val="1"/>
          <w:bCs w:val="1"/>
          <w:color w:val="343634"/>
        </w:rPr>
        <w:t xml:space="preserve">Refund. </w:t>
      </w:r>
      <w:r>
        <w:rPr>
          <w:rFonts w:ascii="Arial" w:cs="Arial" w:eastAsia="Arial" w:hAnsi="Arial"/>
          <w:sz w:val="16"/>
          <w:szCs w:val="16"/>
          <w:color w:val="343634"/>
        </w:rPr>
        <w:t>In the event of cancellation by the Sponsoring Organization or us, we will refund any unearned premium on the effective date of cancellation, or as soon as possible</w:t>
      </w:r>
      <w:r>
        <w:rPr>
          <w:rFonts w:ascii="Arial" w:cs="Arial" w:eastAsia="Arial" w:hAnsi="Arial"/>
          <w:sz w:val="17"/>
          <w:szCs w:val="17"/>
          <w:b w:val="1"/>
          <w:bCs w:val="1"/>
          <w:color w:val="343634"/>
        </w:rPr>
        <w:t xml:space="preserve"> </w:t>
      </w:r>
      <w:r>
        <w:rPr>
          <w:rFonts w:ascii="Arial" w:cs="Arial" w:eastAsia="Arial" w:hAnsi="Arial"/>
          <w:sz w:val="16"/>
          <w:szCs w:val="16"/>
          <w:color w:val="343634"/>
        </w:rPr>
        <w:t>afterwards to the Sponsoring Organization. The unearned premium will be computed short rate for the unexpired term of the policy.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1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15 of 15</w:t>
      </w:r>
    </w:p>
    <w:p>
      <w:pPr>
        <w:sectPr>
          <w:pgSz w:w="11900" w:h="16838" w:orient="portrait"/>
          <w:cols w:equalWidth="0" w:num="1">
            <w:col w:w="11420"/>
          </w:cols>
          <w:pgMar w:left="240" w:top="434" w:right="239" w:bottom="1440" w:gutter="0" w:footer="0" w:header="0"/>
        </w:sectPr>
      </w:pPr>
    </w:p>
    <w:bookmarkStart w:id="305" w:name="page306"/>
    <w:bookmarkEnd w:id="305"/>
    <w:p>
      <w:pPr>
        <w:ind w:left="132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174625</wp:posOffset>
            </wp:positionH>
            <wp:positionV relativeFrom="page">
              <wp:posOffset>346075</wp:posOffset>
            </wp:positionV>
            <wp:extent cx="110617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25"/>
          <w:szCs w:val="25"/>
          <w:b w:val="1"/>
          <w:bCs w:val="1"/>
          <w:color w:val="41423F"/>
        </w:rPr>
        <w:t>EXCESS LIABILITY POLICY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00"/>
        <w:spacing w:after="0"/>
        <w:rPr>
          <w:sz w:val="20"/>
          <w:szCs w:val="20"/>
          <w:color w:val="auto"/>
        </w:rPr>
      </w:pPr>
      <w:r>
        <w:rPr>
          <w:rFonts w:ascii="Arial" w:cs="Arial" w:eastAsia="Arial" w:hAnsi="Arial"/>
          <w:sz w:val="23"/>
          <w:szCs w:val="23"/>
          <w:b w:val="1"/>
          <w:bCs w:val="1"/>
          <w:color w:val="333331"/>
        </w:rPr>
        <w:t>ENDORSEMENT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7"/>
                <w:szCs w:val="17"/>
                <w:color w:val="333331"/>
              </w:rPr>
              <w:t>Policy</w:t>
            </w:r>
          </w:p>
        </w:tc>
        <w:tc>
          <w:tcPr>
            <w:tcW w:w="1460" w:type="dxa"/>
            <w:vAlign w:val="bottom"/>
          </w:tcPr>
          <w:p>
            <w:pPr>
              <w:ind w:left="120"/>
              <w:spacing w:after="0"/>
              <w:rPr>
                <w:sz w:val="20"/>
                <w:szCs w:val="20"/>
                <w:color w:val="auto"/>
              </w:rPr>
            </w:pPr>
            <w:r>
              <w:rPr>
                <w:rFonts w:ascii="Arial" w:cs="Arial" w:eastAsia="Arial" w:hAnsi="Arial"/>
                <w:sz w:val="17"/>
                <w:szCs w:val="17"/>
                <w:color w:val="333331"/>
              </w:rPr>
              <w:t>JANUARY 01,</w:t>
            </w:r>
          </w:p>
        </w:tc>
        <w:tc>
          <w:tcPr>
            <w:tcW w:w="1120" w:type="dxa"/>
            <w:vAlign w:val="bottom"/>
          </w:tcPr>
          <w:p>
            <w:pPr>
              <w:jc w:val="right"/>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333331"/>
              </w:rPr>
              <w:t>JANUARY</w:t>
            </w:r>
          </w:p>
        </w:tc>
      </w:tr>
      <w:tr>
        <w:trPr>
          <w:trHeight w:val="205"/>
        </w:trPr>
        <w:tc>
          <w:tcPr>
            <w:tcW w:w="840" w:type="dxa"/>
            <w:vAlign w:val="bottom"/>
          </w:tcPr>
          <w:p>
            <w:pPr>
              <w:spacing w:after="0"/>
              <w:rPr>
                <w:sz w:val="20"/>
                <w:szCs w:val="20"/>
                <w:color w:val="auto"/>
              </w:rPr>
            </w:pPr>
            <w:r>
              <w:rPr>
                <w:rFonts w:ascii="Arial" w:cs="Arial" w:eastAsia="Arial" w:hAnsi="Arial"/>
                <w:sz w:val="17"/>
                <w:szCs w:val="17"/>
                <w:color w:val="333331"/>
              </w:rPr>
              <w:t>Period</w:t>
            </w:r>
          </w:p>
        </w:tc>
        <w:tc>
          <w:tcPr>
            <w:tcW w:w="1460" w:type="dxa"/>
            <w:vAlign w:val="bottom"/>
          </w:tcPr>
          <w:p>
            <w:pPr>
              <w:ind w:left="120"/>
              <w:spacing w:after="0"/>
              <w:rPr>
                <w:sz w:val="20"/>
                <w:szCs w:val="20"/>
                <w:color w:val="auto"/>
              </w:rPr>
            </w:pPr>
            <w:r>
              <w:rPr>
                <w:rFonts w:ascii="Arial" w:cs="Arial" w:eastAsia="Arial" w:hAnsi="Arial"/>
                <w:sz w:val="17"/>
                <w:szCs w:val="17"/>
                <w:color w:val="333331"/>
              </w:rPr>
              <w:t>2018</w:t>
            </w:r>
          </w:p>
        </w:tc>
        <w:tc>
          <w:tcPr>
            <w:tcW w:w="1120" w:type="dxa"/>
            <w:vAlign w:val="bottom"/>
          </w:tcPr>
          <w:p>
            <w:pPr>
              <w:jc w:val="right"/>
              <w:ind w:right="52"/>
              <w:spacing w:after="0"/>
              <w:rPr>
                <w:sz w:val="20"/>
                <w:szCs w:val="20"/>
                <w:color w:val="auto"/>
              </w:rPr>
            </w:pPr>
            <w:r>
              <w:rPr>
                <w:rFonts w:ascii="Arial" w:cs="Arial" w:eastAsia="Arial" w:hAnsi="Arial"/>
                <w:sz w:val="17"/>
                <w:szCs w:val="17"/>
                <w:color w:val="333331"/>
              </w:rPr>
              <w:t>01, 2019</w:t>
            </w:r>
          </w:p>
        </w:tc>
      </w:tr>
      <w:tr>
        <w:trPr>
          <w:trHeight w:val="444"/>
        </w:trPr>
        <w:tc>
          <w:tcPr>
            <w:tcW w:w="840" w:type="dxa"/>
            <w:vAlign w:val="bottom"/>
          </w:tcPr>
          <w:p>
            <w:pPr>
              <w:spacing w:after="0"/>
              <w:rPr>
                <w:sz w:val="20"/>
                <w:szCs w:val="20"/>
                <w:color w:val="auto"/>
              </w:rPr>
            </w:pPr>
            <w:r>
              <w:rPr>
                <w:rFonts w:ascii="Arial" w:cs="Arial" w:eastAsia="Arial" w:hAnsi="Arial"/>
                <w:sz w:val="17"/>
                <w:szCs w:val="17"/>
                <w:color w:val="1C1C1A"/>
              </w:rPr>
              <w:t>Effective</w:t>
            </w:r>
          </w:p>
        </w:tc>
        <w:tc>
          <w:tcPr>
            <w:tcW w:w="1460" w:type="dxa"/>
            <w:vAlign w:val="bottom"/>
          </w:tcPr>
          <w:p>
            <w:pPr>
              <w:ind w:left="120"/>
              <w:spacing w:after="0"/>
              <w:rPr>
                <w:sz w:val="20"/>
                <w:szCs w:val="20"/>
                <w:color w:val="auto"/>
              </w:rPr>
            </w:pPr>
            <w:r>
              <w:rPr>
                <w:rFonts w:ascii="Arial" w:cs="Arial" w:eastAsia="Arial" w:hAnsi="Arial"/>
                <w:sz w:val="17"/>
                <w:szCs w:val="17"/>
                <w:color w:val="333331"/>
              </w:rPr>
              <w:t>JANUARY 01,</w:t>
            </w:r>
          </w:p>
        </w:tc>
        <w:tc>
          <w:tcPr>
            <w:tcW w:w="1120" w:type="dxa"/>
            <w:vAlign w:val="bottom"/>
          </w:tcPr>
          <w:p>
            <w:pPr>
              <w:spacing w:after="0"/>
              <w:rPr>
                <w:sz w:val="24"/>
                <w:szCs w:val="24"/>
                <w:color w:val="auto"/>
              </w:rPr>
            </w:pPr>
          </w:p>
        </w:tc>
      </w:tr>
      <w:tr>
        <w:trPr>
          <w:trHeight w:val="205"/>
        </w:trPr>
        <w:tc>
          <w:tcPr>
            <w:tcW w:w="840" w:type="dxa"/>
            <w:vAlign w:val="bottom"/>
          </w:tcPr>
          <w:p>
            <w:pPr>
              <w:spacing w:after="0"/>
              <w:rPr>
                <w:sz w:val="20"/>
                <w:szCs w:val="20"/>
                <w:color w:val="auto"/>
              </w:rPr>
            </w:pPr>
            <w:r>
              <w:rPr>
                <w:rFonts w:ascii="Arial" w:cs="Arial" w:eastAsia="Arial" w:hAnsi="Arial"/>
                <w:sz w:val="17"/>
                <w:szCs w:val="17"/>
                <w:color w:val="333331"/>
              </w:rPr>
              <w:t>Date</w:t>
            </w:r>
          </w:p>
        </w:tc>
        <w:tc>
          <w:tcPr>
            <w:tcW w:w="1460" w:type="dxa"/>
            <w:vAlign w:val="bottom"/>
          </w:tcPr>
          <w:p>
            <w:pPr>
              <w:ind w:left="120"/>
              <w:spacing w:after="0"/>
              <w:rPr>
                <w:sz w:val="20"/>
                <w:szCs w:val="20"/>
                <w:color w:val="auto"/>
              </w:rPr>
            </w:pPr>
            <w:r>
              <w:rPr>
                <w:rFonts w:ascii="Arial" w:cs="Arial" w:eastAsia="Arial" w:hAnsi="Arial"/>
                <w:sz w:val="17"/>
                <w:szCs w:val="17"/>
                <w:color w:val="333331"/>
              </w:rPr>
              <w:t>2018</w:t>
            </w:r>
          </w:p>
        </w:tc>
        <w:tc>
          <w:tcPr>
            <w:tcW w:w="1120" w:type="dxa"/>
            <w:vAlign w:val="bottom"/>
          </w:tcPr>
          <w:p>
            <w:pPr>
              <w:spacing w:after="0"/>
              <w:rPr>
                <w:sz w:val="17"/>
                <w:szCs w:val="17"/>
                <w:color w:val="auto"/>
              </w:rPr>
            </w:pPr>
          </w:p>
        </w:tc>
      </w:tr>
      <w:tr>
        <w:trPr>
          <w:trHeight w:val="444"/>
        </w:trPr>
        <w:tc>
          <w:tcPr>
            <w:tcW w:w="840" w:type="dxa"/>
            <w:vAlign w:val="bottom"/>
          </w:tcPr>
          <w:p>
            <w:pPr>
              <w:spacing w:after="0"/>
              <w:rPr>
                <w:sz w:val="20"/>
                <w:szCs w:val="20"/>
                <w:color w:val="auto"/>
              </w:rPr>
            </w:pPr>
            <w:r>
              <w:rPr>
                <w:rFonts w:ascii="Arial" w:cs="Arial" w:eastAsia="Arial" w:hAnsi="Arial"/>
                <w:sz w:val="17"/>
                <w:szCs w:val="17"/>
                <w:color w:val="333331"/>
              </w:rPr>
              <w:t>Policy</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840" w:type="dxa"/>
            <w:vAlign w:val="bottom"/>
          </w:tcPr>
          <w:p>
            <w:pPr>
              <w:spacing w:after="0"/>
              <w:rPr>
                <w:sz w:val="20"/>
                <w:szCs w:val="20"/>
                <w:color w:val="auto"/>
              </w:rPr>
            </w:pPr>
            <w:r>
              <w:rPr>
                <w:rFonts w:ascii="Arial" w:cs="Arial" w:eastAsia="Arial" w:hAnsi="Arial"/>
                <w:sz w:val="17"/>
                <w:szCs w:val="17"/>
                <w:color w:val="333331"/>
              </w:rPr>
              <w:t>Number</w:t>
            </w: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7"/>
        </w:trPr>
        <w:tc>
          <w:tcPr>
            <w:tcW w:w="840" w:type="dxa"/>
            <w:vAlign w:val="bottom"/>
          </w:tcPr>
          <w:p>
            <w:pPr>
              <w:spacing w:after="0"/>
              <w:rPr>
                <w:sz w:val="20"/>
                <w:szCs w:val="20"/>
                <w:color w:val="auto"/>
              </w:rPr>
            </w:pPr>
            <w:r>
              <w:rPr>
                <w:rFonts w:ascii="Arial" w:cs="Arial" w:eastAsia="Arial" w:hAnsi="Arial"/>
                <w:sz w:val="17"/>
                <w:szCs w:val="17"/>
                <w:color w:val="333331"/>
              </w:rPr>
              <w:t>Insured</w:t>
            </w:r>
          </w:p>
        </w:tc>
        <w:tc>
          <w:tcPr>
            <w:tcW w:w="1460" w:type="dxa"/>
            <w:vAlign w:val="bottom"/>
          </w:tcPr>
          <w:p>
            <w:pPr>
              <w:ind w:left="120"/>
              <w:spacing w:after="0"/>
              <w:rPr>
                <w:sz w:val="20"/>
                <w:szCs w:val="20"/>
                <w:color w:val="auto"/>
              </w:rPr>
            </w:pPr>
            <w:r>
              <w:rPr>
                <w:rFonts w:ascii="Arial" w:cs="Arial" w:eastAsia="Arial" w:hAnsi="Arial"/>
                <w:sz w:val="17"/>
                <w:szCs w:val="17"/>
                <w:color w:val="333331"/>
              </w:rPr>
              <w:t>BOOZ ALLEN</w:t>
            </w:r>
          </w:p>
        </w:tc>
        <w:tc>
          <w:tcPr>
            <w:tcW w:w="1120" w:type="dxa"/>
            <w:vAlign w:val="bottom"/>
          </w:tcPr>
          <w:p>
            <w:pPr>
              <w:spacing w:after="0"/>
              <w:rPr>
                <w:sz w:val="24"/>
                <w:szCs w:val="24"/>
                <w:color w:val="auto"/>
              </w:rPr>
            </w:pPr>
          </w:p>
        </w:tc>
      </w:tr>
      <w:tr>
        <w:trPr>
          <w:trHeight w:val="205"/>
        </w:trPr>
        <w:tc>
          <w:tcPr>
            <w:tcW w:w="84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7"/>
                <w:szCs w:val="17"/>
                <w:color w:val="333331"/>
              </w:rPr>
              <w:t>HAMILTON INC</w:t>
            </w:r>
          </w:p>
        </w:tc>
        <w:tc>
          <w:tcPr>
            <w:tcW w:w="1120" w:type="dxa"/>
            <w:vAlign w:val="bottom"/>
          </w:tcPr>
          <w:p>
            <w:pPr>
              <w:spacing w:after="0"/>
              <w:rPr>
                <w:sz w:val="17"/>
                <w:szCs w:val="17"/>
                <w:color w:val="auto"/>
              </w:rPr>
            </w:pPr>
          </w:p>
        </w:tc>
      </w:tr>
      <w:tr>
        <w:trPr>
          <w:trHeight w:val="444"/>
        </w:trPr>
        <w:tc>
          <w:tcPr>
            <w:tcW w:w="840" w:type="dxa"/>
            <w:vAlign w:val="bottom"/>
          </w:tcPr>
          <w:p>
            <w:pPr>
              <w:spacing w:after="0"/>
              <w:rPr>
                <w:sz w:val="24"/>
                <w:szCs w:val="24"/>
                <w:color w:val="auto"/>
              </w:rPr>
            </w:pPr>
          </w:p>
        </w:tc>
        <w:tc>
          <w:tcPr>
            <w:tcW w:w="1460" w:type="dxa"/>
            <w:vAlign w:val="bottom"/>
          </w:tcPr>
          <w:p>
            <w:pPr>
              <w:ind w:left="120"/>
              <w:spacing w:after="0"/>
              <w:rPr>
                <w:sz w:val="20"/>
                <w:szCs w:val="20"/>
                <w:color w:val="auto"/>
              </w:rPr>
            </w:pPr>
            <w:r>
              <w:rPr>
                <w:rFonts w:ascii="Arial" w:cs="Arial" w:eastAsia="Arial" w:hAnsi="Arial"/>
                <w:sz w:val="17"/>
                <w:szCs w:val="17"/>
                <w:color w:val="333331"/>
              </w:rPr>
              <w:t>Group Personal</w:t>
            </w:r>
          </w:p>
        </w:tc>
        <w:tc>
          <w:tcPr>
            <w:tcW w:w="1120" w:type="dxa"/>
            <w:vAlign w:val="bottom"/>
          </w:tcPr>
          <w:p>
            <w:pPr>
              <w:spacing w:after="0"/>
              <w:rPr>
                <w:sz w:val="24"/>
                <w:szCs w:val="24"/>
                <w:color w:val="auto"/>
              </w:rPr>
            </w:pPr>
          </w:p>
        </w:tc>
      </w:tr>
      <w:tr>
        <w:trPr>
          <w:trHeight w:val="205"/>
        </w:trPr>
        <w:tc>
          <w:tcPr>
            <w:tcW w:w="84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7"/>
                <w:szCs w:val="17"/>
                <w:color w:val="333331"/>
              </w:rPr>
              <w:t>Excess Program</w:t>
            </w:r>
          </w:p>
        </w:tc>
        <w:tc>
          <w:tcPr>
            <w:tcW w:w="1120" w:type="dxa"/>
            <w:vAlign w:val="bottom"/>
          </w:tcPr>
          <w:p>
            <w:pPr>
              <w:spacing w:after="0"/>
              <w:rPr>
                <w:sz w:val="17"/>
                <w:szCs w:val="17"/>
                <w:color w:val="auto"/>
              </w:rPr>
            </w:pPr>
          </w:p>
        </w:tc>
      </w:tr>
      <w:tr>
        <w:trPr>
          <w:trHeight w:val="768"/>
        </w:trPr>
        <w:tc>
          <w:tcPr>
            <w:tcW w:w="840" w:type="dxa"/>
            <w:vAlign w:val="bottom"/>
          </w:tcPr>
          <w:p>
            <w:pPr>
              <w:spacing w:after="0"/>
              <w:rPr>
                <w:sz w:val="20"/>
                <w:szCs w:val="20"/>
                <w:color w:val="auto"/>
              </w:rPr>
            </w:pPr>
            <w:r>
              <w:rPr>
                <w:rFonts w:ascii="Arial" w:cs="Arial" w:eastAsia="Arial" w:hAnsi="Arial"/>
                <w:sz w:val="17"/>
                <w:szCs w:val="17"/>
                <w:color w:val="333331"/>
              </w:rPr>
              <w:t>Name of</w:t>
            </w:r>
          </w:p>
        </w:tc>
        <w:tc>
          <w:tcPr>
            <w:tcW w:w="1460" w:type="dxa"/>
            <w:vAlign w:val="bottom"/>
          </w:tcPr>
          <w:p>
            <w:pPr>
              <w:ind w:left="120"/>
              <w:spacing w:after="0"/>
              <w:rPr>
                <w:sz w:val="20"/>
                <w:szCs w:val="20"/>
                <w:color w:val="auto"/>
              </w:rPr>
            </w:pPr>
            <w:r>
              <w:rPr>
                <w:rFonts w:ascii="Arial" w:cs="Arial" w:eastAsia="Arial" w:hAnsi="Arial"/>
                <w:sz w:val="17"/>
                <w:szCs w:val="17"/>
                <w:color w:val="1C1C1A"/>
              </w:rPr>
              <w:t>FEDERAL</w:t>
            </w:r>
          </w:p>
        </w:tc>
        <w:tc>
          <w:tcPr>
            <w:tcW w:w="1120" w:type="dxa"/>
            <w:vAlign w:val="bottom"/>
          </w:tcPr>
          <w:p>
            <w:pPr>
              <w:spacing w:after="0"/>
              <w:rPr>
                <w:sz w:val="24"/>
                <w:szCs w:val="24"/>
                <w:color w:val="auto"/>
              </w:rPr>
            </w:pPr>
          </w:p>
        </w:tc>
      </w:tr>
      <w:tr>
        <w:trPr>
          <w:trHeight w:val="189"/>
        </w:trPr>
        <w:tc>
          <w:tcPr>
            <w:tcW w:w="840" w:type="dxa"/>
            <w:vAlign w:val="bottom"/>
          </w:tcPr>
          <w:p>
            <w:pPr>
              <w:spacing w:after="0" w:line="189" w:lineRule="exact"/>
              <w:rPr>
                <w:sz w:val="20"/>
                <w:szCs w:val="20"/>
                <w:color w:val="auto"/>
              </w:rPr>
            </w:pPr>
            <w:r>
              <w:rPr>
                <w:rFonts w:ascii="Arial" w:cs="Arial" w:eastAsia="Arial" w:hAnsi="Arial"/>
                <w:sz w:val="17"/>
                <w:szCs w:val="17"/>
                <w:color w:val="333331"/>
              </w:rPr>
              <w:t>Company</w:t>
            </w:r>
          </w:p>
        </w:tc>
        <w:tc>
          <w:tcPr>
            <w:tcW w:w="1460" w:type="dxa"/>
            <w:vAlign w:val="bottom"/>
          </w:tcPr>
          <w:p>
            <w:pPr>
              <w:ind w:left="120"/>
              <w:spacing w:after="0" w:line="189" w:lineRule="exact"/>
              <w:rPr>
                <w:sz w:val="20"/>
                <w:szCs w:val="20"/>
                <w:color w:val="auto"/>
              </w:rPr>
            </w:pPr>
            <w:r>
              <w:rPr>
                <w:rFonts w:ascii="Arial" w:cs="Arial" w:eastAsia="Arial" w:hAnsi="Arial"/>
                <w:sz w:val="17"/>
                <w:szCs w:val="17"/>
                <w:color w:val="333331"/>
              </w:rPr>
              <w:t>INSURANCE</w:t>
            </w:r>
          </w:p>
        </w:tc>
        <w:tc>
          <w:tcPr>
            <w:tcW w:w="1120" w:type="dxa"/>
            <w:vAlign w:val="bottom"/>
          </w:tcPr>
          <w:p>
            <w:pPr>
              <w:spacing w:after="0"/>
              <w:rPr>
                <w:sz w:val="16"/>
                <w:szCs w:val="16"/>
                <w:color w:val="auto"/>
              </w:rPr>
            </w:pPr>
          </w:p>
        </w:tc>
      </w:tr>
      <w:tr>
        <w:trPr>
          <w:trHeight w:val="205"/>
        </w:trPr>
        <w:tc>
          <w:tcPr>
            <w:tcW w:w="84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7"/>
                <w:szCs w:val="17"/>
                <w:color w:val="333331"/>
              </w:rPr>
              <w:t>COMPANY</w:t>
            </w:r>
          </w:p>
        </w:tc>
        <w:tc>
          <w:tcPr>
            <w:tcW w:w="1120" w:type="dxa"/>
            <w:vAlign w:val="bottom"/>
          </w:tcPr>
          <w:p>
            <w:pPr>
              <w:spacing w:after="0"/>
              <w:rPr>
                <w:sz w:val="17"/>
                <w:szCs w:val="17"/>
                <w:color w:val="auto"/>
              </w:rPr>
            </w:pPr>
          </w:p>
        </w:tc>
      </w:tr>
      <w:tr>
        <w:trPr>
          <w:trHeight w:val="308"/>
        </w:trPr>
        <w:tc>
          <w:tcPr>
            <w:tcW w:w="840" w:type="dxa"/>
            <w:vAlign w:val="bottom"/>
          </w:tcPr>
          <w:p>
            <w:pPr>
              <w:spacing w:after="0"/>
              <w:rPr>
                <w:sz w:val="20"/>
                <w:szCs w:val="20"/>
                <w:color w:val="auto"/>
              </w:rPr>
            </w:pPr>
            <w:r>
              <w:rPr>
                <w:rFonts w:ascii="Arial" w:cs="Arial" w:eastAsia="Arial" w:hAnsi="Arial"/>
                <w:sz w:val="17"/>
                <w:szCs w:val="17"/>
                <w:color w:val="333331"/>
              </w:rPr>
              <w:t>Date</w:t>
            </w:r>
          </w:p>
        </w:tc>
        <w:tc>
          <w:tcPr>
            <w:tcW w:w="1460" w:type="dxa"/>
            <w:vAlign w:val="bottom"/>
          </w:tcPr>
          <w:p>
            <w:pPr>
              <w:ind w:left="120"/>
              <w:spacing w:after="0"/>
              <w:rPr>
                <w:sz w:val="20"/>
                <w:szCs w:val="20"/>
                <w:color w:val="auto"/>
              </w:rPr>
            </w:pPr>
            <w:r>
              <w:rPr>
                <w:rFonts w:ascii="Arial" w:cs="Arial" w:eastAsia="Arial" w:hAnsi="Arial"/>
                <w:sz w:val="17"/>
                <w:szCs w:val="17"/>
                <w:color w:val="333331"/>
              </w:rPr>
              <w:t>DECEMBER 29,</w:t>
            </w:r>
          </w:p>
        </w:tc>
        <w:tc>
          <w:tcPr>
            <w:tcW w:w="1120" w:type="dxa"/>
            <w:vAlign w:val="bottom"/>
          </w:tcPr>
          <w:p>
            <w:pPr>
              <w:spacing w:after="0"/>
              <w:rPr>
                <w:sz w:val="24"/>
                <w:szCs w:val="24"/>
                <w:color w:val="auto"/>
              </w:rPr>
            </w:pPr>
          </w:p>
        </w:tc>
      </w:tr>
      <w:tr>
        <w:trPr>
          <w:trHeight w:val="205"/>
        </w:trPr>
        <w:tc>
          <w:tcPr>
            <w:tcW w:w="840" w:type="dxa"/>
            <w:vAlign w:val="bottom"/>
          </w:tcPr>
          <w:p>
            <w:pPr>
              <w:spacing w:after="0"/>
              <w:rPr>
                <w:sz w:val="20"/>
                <w:szCs w:val="20"/>
                <w:color w:val="auto"/>
              </w:rPr>
            </w:pPr>
            <w:r>
              <w:rPr>
                <w:rFonts w:ascii="Arial" w:cs="Arial" w:eastAsia="Arial" w:hAnsi="Arial"/>
                <w:sz w:val="17"/>
                <w:szCs w:val="17"/>
                <w:color w:val="333331"/>
              </w:rPr>
              <w:t>Issued</w:t>
            </w:r>
          </w:p>
        </w:tc>
        <w:tc>
          <w:tcPr>
            <w:tcW w:w="1460" w:type="dxa"/>
            <w:vAlign w:val="bottom"/>
          </w:tcPr>
          <w:p>
            <w:pPr>
              <w:ind w:left="120"/>
              <w:spacing w:after="0"/>
              <w:rPr>
                <w:sz w:val="20"/>
                <w:szCs w:val="20"/>
                <w:color w:val="auto"/>
              </w:rPr>
            </w:pPr>
            <w:r>
              <w:rPr>
                <w:rFonts w:ascii="Arial" w:cs="Arial" w:eastAsia="Arial" w:hAnsi="Arial"/>
                <w:sz w:val="17"/>
                <w:szCs w:val="17"/>
                <w:color w:val="333331"/>
              </w:rPr>
              <w:t>2017</w:t>
            </w:r>
          </w:p>
        </w:tc>
        <w:tc>
          <w:tcPr>
            <w:tcW w:w="1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954405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rPr>
          <w:sz w:val="20"/>
          <w:szCs w:val="20"/>
          <w:color w:val="auto"/>
        </w:rPr>
      </w:pPr>
      <w:r>
        <w:rPr>
          <w:rFonts w:ascii="Arial" w:cs="Arial" w:eastAsia="Arial" w:hAnsi="Arial"/>
          <w:sz w:val="20"/>
          <w:szCs w:val="20"/>
          <w:color w:val="333331"/>
        </w:rPr>
        <w:t>ANNUAL PREMIUM ADJUSTMENT CLAUSE</w:t>
      </w:r>
    </w:p>
    <w:p>
      <w:pPr>
        <w:spacing w:after="0" w:line="164" w:lineRule="exact"/>
        <w:rPr>
          <w:sz w:val="20"/>
          <w:szCs w:val="20"/>
          <w:color w:val="auto"/>
        </w:rPr>
      </w:pPr>
    </w:p>
    <w:p>
      <w:pPr>
        <w:ind w:left="1300"/>
        <w:spacing w:after="0" w:line="246" w:lineRule="auto"/>
        <w:rPr>
          <w:sz w:val="20"/>
          <w:szCs w:val="20"/>
          <w:color w:val="auto"/>
        </w:rPr>
      </w:pPr>
      <w:r>
        <w:rPr>
          <w:rFonts w:ascii="Arial" w:cs="Arial" w:eastAsia="Arial" w:hAnsi="Arial"/>
          <w:sz w:val="18"/>
          <w:szCs w:val="18"/>
          <w:color w:val="333331"/>
        </w:rPr>
        <w:t>This policy is written with a deposit premium to be adjusted on either each policy anniversary or at policy expiration. The premium will be adjusted on the basis of the difference between:</w:t>
      </w:r>
    </w:p>
    <w:p>
      <w:pPr>
        <w:spacing w:after="0" w:line="129" w:lineRule="exact"/>
        <w:rPr>
          <w:sz w:val="20"/>
          <w:szCs w:val="20"/>
          <w:color w:val="auto"/>
        </w:rPr>
      </w:pPr>
    </w:p>
    <w:p>
      <w:pPr>
        <w:ind w:left="1420" w:hanging="127"/>
        <w:spacing w:after="0"/>
        <w:tabs>
          <w:tab w:leader="none" w:pos="14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total number of participants at inceptions; and</w:t>
      </w:r>
    </w:p>
    <w:p>
      <w:pPr>
        <w:spacing w:after="0" w:line="157" w:lineRule="exact"/>
        <w:rPr>
          <w:rFonts w:ascii="Arial" w:cs="Arial" w:eastAsia="Arial" w:hAnsi="Arial"/>
          <w:sz w:val="18"/>
          <w:szCs w:val="18"/>
          <w:color w:val="auto"/>
        </w:rPr>
      </w:pPr>
    </w:p>
    <w:p>
      <w:pPr>
        <w:ind w:left="1420" w:hanging="127"/>
        <w:spacing w:after="0"/>
        <w:tabs>
          <w:tab w:leader="none" w:pos="14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actual number of participants at each policy anniversary.</w:t>
      </w:r>
    </w:p>
    <w:p>
      <w:pPr>
        <w:spacing w:after="0" w:line="200" w:lineRule="exact"/>
        <w:rPr>
          <w:sz w:val="20"/>
          <w:szCs w:val="20"/>
          <w:color w:val="auto"/>
        </w:rPr>
      </w:pPr>
    </w:p>
    <w:p>
      <w:pPr>
        <w:spacing w:after="0" w:line="322" w:lineRule="exact"/>
        <w:rPr>
          <w:sz w:val="20"/>
          <w:szCs w:val="20"/>
          <w:color w:val="auto"/>
        </w:rPr>
      </w:pPr>
    </w:p>
    <w:p>
      <w:pPr>
        <w:ind w:left="1300"/>
        <w:spacing w:after="0" w:line="246" w:lineRule="auto"/>
        <w:rPr>
          <w:sz w:val="20"/>
          <w:szCs w:val="20"/>
          <w:color w:val="auto"/>
        </w:rPr>
      </w:pPr>
      <w:r>
        <w:rPr>
          <w:rFonts w:ascii="Arial" w:cs="Arial" w:eastAsia="Arial" w:hAnsi="Arial"/>
          <w:sz w:val="18"/>
          <w:szCs w:val="18"/>
          <w:color w:val="auto"/>
        </w:rPr>
        <w:t>This difference will be multiplied by fifty percent (50%) of the annual rate per participant, resulting in either an additional or return premium.</w:t>
      </w:r>
    </w:p>
    <w:p>
      <w:pPr>
        <w:spacing w:after="0" w:line="200" w:lineRule="exact"/>
        <w:rPr>
          <w:sz w:val="20"/>
          <w:szCs w:val="20"/>
          <w:color w:val="auto"/>
        </w:rPr>
      </w:pPr>
    </w:p>
    <w:p>
      <w:pPr>
        <w:spacing w:after="0" w:line="356" w:lineRule="exact"/>
        <w:rPr>
          <w:sz w:val="20"/>
          <w:szCs w:val="20"/>
          <w:color w:val="auto"/>
        </w:rPr>
      </w:pPr>
    </w:p>
    <w:p>
      <w:pPr>
        <w:ind w:left="1300"/>
        <w:spacing w:after="0"/>
        <w:rPr>
          <w:sz w:val="20"/>
          <w:szCs w:val="20"/>
          <w:color w:val="auto"/>
        </w:rPr>
      </w:pPr>
      <w:r>
        <w:rPr>
          <w:rFonts w:ascii="Arial" w:cs="Arial" w:eastAsia="Arial" w:hAnsi="Arial"/>
          <w:sz w:val="17"/>
          <w:szCs w:val="17"/>
          <w:color w:val="333331"/>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436880</wp:posOffset>
            </wp:positionV>
            <wp:extent cx="1406525"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14065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i w:val="1"/>
          <w:iCs w:val="1"/>
          <w:color w:val="333331"/>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182880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0760"/>
          </w:cols>
          <w:pgMar w:left="900" w:top="581" w:right="239" w:bottom="1440" w:gutter="0" w:footer="0" w:header="0"/>
        </w:sectPr>
      </w:pPr>
    </w:p>
    <w:bookmarkStart w:id="306" w:name="page307"/>
    <w:bookmarkEnd w:id="306"/>
    <w:p>
      <w:pPr>
        <w:ind w:left="2900"/>
        <w:spacing w:after="0"/>
        <w:rPr>
          <w:sz w:val="20"/>
          <w:szCs w:val="20"/>
          <w:color w:val="auto"/>
        </w:rPr>
      </w:pPr>
      <w:r>
        <w:rPr>
          <w:rFonts w:ascii="Arial" w:cs="Arial" w:eastAsia="Arial" w:hAnsi="Arial"/>
          <w:sz w:val="25"/>
          <w:szCs w:val="25"/>
          <w:b w:val="1"/>
          <w:bCs w:val="1"/>
          <w:color w:val="41423F"/>
        </w:rPr>
        <w:drawing>
          <wp:anchor simplePos="0" relativeHeight="251657728" behindDoc="1" locked="0" layoutInCell="0" allowOverlap="1">
            <wp:simplePos x="0" y="0"/>
            <wp:positionH relativeFrom="page">
              <wp:posOffset>303530</wp:posOffset>
            </wp:positionH>
            <wp:positionV relativeFrom="page">
              <wp:posOffset>346075</wp:posOffset>
            </wp:positionV>
            <wp:extent cx="110617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46050"/>
                    </a:xfrm>
                    <a:prstGeom prst="rect">
                      <a:avLst/>
                    </a:prstGeom>
                    <a:noFill/>
                  </pic:spPr>
                </pic:pic>
              </a:graphicData>
            </a:graphic>
          </wp:anchor>
        </w:drawing>
        <w:t>GROUP PERSONAL EXCESS LIABILITY POLICY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20"/>
        <w:spacing w:after="0"/>
        <w:rPr>
          <w:sz w:val="20"/>
          <w:szCs w:val="20"/>
          <w:color w:val="auto"/>
        </w:rPr>
      </w:pPr>
      <w:r>
        <w:rPr>
          <w:rFonts w:ascii="Arial" w:cs="Arial" w:eastAsia="Arial" w:hAnsi="Arial"/>
          <w:sz w:val="23"/>
          <w:szCs w:val="23"/>
          <w:b w:val="1"/>
          <w:bCs w:val="1"/>
          <w:color w:val="31312F"/>
        </w:rPr>
        <w:t>ENDORSEMENT</w:t>
      </w:r>
    </w:p>
    <w:p>
      <w:pPr>
        <w:sectPr>
          <w:pgSz w:w="11900" w:h="16838" w:orient="portrait"/>
          <w:cols w:equalWidth="0" w:num="1">
            <w:col w:w="10220"/>
          </w:cols>
          <w:pgMar w:left="1440" w:top="582"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color w:val="333331"/>
        </w:rPr>
        <w:t>Policy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333331"/>
        </w:rPr>
        <w:t>JANUARY 01,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333331"/>
        </w:rPr>
        <w:t>JANUARY 01, 2019</w:t>
      </w:r>
    </w:p>
    <w:p>
      <w:pPr>
        <w:spacing w:after="0" w:line="228" w:lineRule="exact"/>
        <w:rPr>
          <w:sz w:val="20"/>
          <w:szCs w:val="20"/>
          <w:color w:val="auto"/>
        </w:rPr>
      </w:pPr>
    </w:p>
    <w:p>
      <w:pPr>
        <w:sectPr>
          <w:pgSz w:w="11900" w:h="16838" w:orient="portrait"/>
          <w:cols w:equalWidth="0" w:num="4">
            <w:col w:w="1800" w:space="720"/>
            <w:col w:w="2960" w:space="720"/>
            <w:col w:w="160" w:space="300"/>
            <w:col w:w="3560"/>
          </w:cols>
          <w:pgMar w:left="1440" w:top="582" w:right="23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1C1C1A"/>
        </w:rPr>
        <w:t xml:space="preserve">Effective </w:t>
      </w:r>
      <w:r>
        <w:rPr>
          <w:rFonts w:ascii="Arial" w:cs="Arial" w:eastAsia="Arial" w:hAnsi="Arial"/>
          <w:sz w:val="17"/>
          <w:szCs w:val="17"/>
          <w:color w:val="333331"/>
        </w:rPr>
        <w:t>Date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333331"/>
        </w:rPr>
        <w:t>JANUARY 01, 2018</w:t>
      </w:r>
    </w:p>
    <w:p>
      <w:pPr>
        <w:spacing w:after="0" w:line="211" w:lineRule="exact"/>
        <w:rPr>
          <w:sz w:val="20"/>
          <w:szCs w:val="20"/>
          <w:color w:val="auto"/>
        </w:rPr>
      </w:pPr>
    </w:p>
    <w:p>
      <w:pPr>
        <w:sectPr>
          <w:pgSz w:w="11900" w:h="16838" w:orient="portrait"/>
          <w:cols w:equalWidth="0" w:num="2">
            <w:col w:w="1800" w:space="720"/>
            <w:col w:w="7700"/>
          </w:cols>
          <w:pgMar w:left="1440" w:top="582" w:right="239" w:bottom="1440" w:gutter="0" w:footer="0" w:header="0"/>
          <w:type w:val="continuous"/>
        </w:sectPr>
      </w:pP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333331"/>
        </w:rPr>
        <w:t>Policy Number</w:t>
      </w:r>
    </w:p>
    <w:p>
      <w:pPr>
        <w:sectPr>
          <w:pgSz w:w="11900" w:h="16838" w:orient="portrait"/>
          <w:cols w:equalWidth="0" w:num="1">
            <w:col w:w="10220"/>
          </w:cols>
          <w:pgMar w:left="1440" w:top="582" w:right="239" w:bottom="1440" w:gutter="0" w:footer="0" w:header="0"/>
          <w:type w:val="continuous"/>
        </w:sect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333331"/>
        </w:rPr>
        <w:t>Insured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333331"/>
        </w:rPr>
        <w:t>BOOZ ALLEN HAMILTON INC</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333331"/>
        </w:rPr>
        <w:t>Group Personal Excess Program</w:t>
      </w:r>
    </w:p>
    <w:p>
      <w:pPr>
        <w:spacing w:after="0" w:line="200" w:lineRule="exact"/>
        <w:rPr>
          <w:sz w:val="20"/>
          <w:szCs w:val="20"/>
          <w:color w:val="auto"/>
        </w:rPr>
      </w:pPr>
    </w:p>
    <w:p>
      <w:pPr>
        <w:sectPr>
          <w:pgSz w:w="11900" w:h="16838" w:orient="portrait"/>
          <w:cols w:equalWidth="0" w:num="2">
            <w:col w:w="1800" w:space="720"/>
            <w:col w:w="7700"/>
          </w:cols>
          <w:pgMar w:left="1440" w:top="582" w:right="239" w:bottom="1440" w:gutter="0" w:footer="0" w:header="0"/>
          <w:type w:val="continuous"/>
        </w:sectPr>
      </w:pPr>
    </w:p>
    <w:p>
      <w:pPr>
        <w:spacing w:after="0" w:line="388" w:lineRule="exact"/>
        <w:rPr>
          <w:sz w:val="20"/>
          <w:szCs w:val="20"/>
          <w:color w:val="auto"/>
        </w:rPr>
      </w:pPr>
    </w:p>
    <w:p>
      <w:pPr>
        <w:ind w:left="120" w:right="260"/>
        <w:spacing w:after="0" w:line="442" w:lineRule="auto"/>
        <w:rPr>
          <w:sz w:val="20"/>
          <w:szCs w:val="20"/>
          <w:color w:val="auto"/>
        </w:rPr>
      </w:pPr>
      <w:r>
        <w:rPr>
          <w:rFonts w:ascii="Arial" w:cs="Arial" w:eastAsia="Arial" w:hAnsi="Arial"/>
          <w:sz w:val="17"/>
          <w:szCs w:val="17"/>
          <w:color w:val="333331"/>
        </w:rPr>
        <w:t>Name of Company Date Issued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1C1C1A"/>
        </w:rPr>
        <w:t xml:space="preserve">FEDERAL </w:t>
      </w:r>
      <w:r>
        <w:rPr>
          <w:rFonts w:ascii="Arial" w:cs="Arial" w:eastAsia="Arial" w:hAnsi="Arial"/>
          <w:sz w:val="17"/>
          <w:szCs w:val="17"/>
          <w:color w:val="333331"/>
        </w:rPr>
        <w:t>INSURANCE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333331"/>
        </w:rPr>
        <w:t>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908685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1800" w:space="720"/>
            <w:col w:w="7700"/>
          </w:cols>
          <w:pgMar w:left="1440" w:top="58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rPr>
          <w:sz w:val="20"/>
          <w:szCs w:val="20"/>
          <w:color w:val="auto"/>
        </w:rPr>
      </w:pPr>
      <w:r>
        <w:rPr>
          <w:rFonts w:ascii="Arial" w:cs="Arial" w:eastAsia="Arial" w:hAnsi="Arial"/>
          <w:sz w:val="20"/>
          <w:szCs w:val="20"/>
          <w:color w:val="31312F"/>
        </w:rPr>
        <w:t>UNDERLYING LIMITS ENDORSEMENT</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20"/>
          <w:szCs w:val="20"/>
          <w:color w:val="41413F"/>
        </w:rPr>
        <w:t xml:space="preserve">IT </w:t>
      </w:r>
      <w:r>
        <w:rPr>
          <w:rFonts w:ascii="Arial" w:cs="Arial" w:eastAsia="Arial" w:hAnsi="Arial"/>
          <w:sz w:val="20"/>
          <w:szCs w:val="20"/>
          <w:color w:val="31312F"/>
        </w:rPr>
        <w:t>IS HEREBY UNDERSTOOD AND AGREED THAT THE REQUIRED PRIMARY UNDERLYING</w:t>
      </w:r>
    </w:p>
    <w:p>
      <w:pPr>
        <w:ind w:left="1040"/>
        <w:spacing w:after="0"/>
        <w:rPr>
          <w:sz w:val="20"/>
          <w:szCs w:val="20"/>
          <w:color w:val="auto"/>
        </w:rPr>
      </w:pPr>
      <w:r>
        <w:rPr>
          <w:rFonts w:ascii="Arial" w:cs="Arial" w:eastAsia="Arial" w:hAnsi="Arial"/>
          <w:sz w:val="20"/>
          <w:szCs w:val="20"/>
          <w:color w:val="31312F"/>
        </w:rPr>
        <w:t>LIABILITY INSURANCE LIMITS ARE AMENDED TO:</w:t>
      </w:r>
    </w:p>
    <w:p>
      <w:pPr>
        <w:spacing w:after="0" w:line="113" w:lineRule="exact"/>
        <w:rPr>
          <w:sz w:val="20"/>
          <w:szCs w:val="20"/>
          <w:color w:val="auto"/>
        </w:rPr>
      </w:pPr>
    </w:p>
    <w:p>
      <w:pPr>
        <w:ind w:left="1060" w:right="340" w:hanging="26"/>
        <w:spacing w:after="0" w:line="235" w:lineRule="auto"/>
        <w:rPr>
          <w:sz w:val="20"/>
          <w:szCs w:val="20"/>
          <w:color w:val="auto"/>
        </w:rPr>
      </w:pPr>
      <w:r>
        <w:rPr>
          <w:rFonts w:ascii="Arial" w:cs="Arial" w:eastAsia="Arial" w:hAnsi="Arial"/>
          <w:sz w:val="19"/>
          <w:szCs w:val="19"/>
          <w:color w:val="31312F"/>
        </w:rPr>
        <w:t xml:space="preserve">Personal Liability (Homeowners) for personal injury and property damage in </w:t>
      </w:r>
      <w:r>
        <w:rPr>
          <w:rFonts w:ascii="Arial" w:cs="Arial" w:eastAsia="Arial" w:hAnsi="Arial"/>
          <w:sz w:val="19"/>
          <w:szCs w:val="19"/>
          <w:color w:val="41413F"/>
        </w:rPr>
        <w:t>the</w:t>
      </w:r>
      <w:r>
        <w:rPr>
          <w:rFonts w:ascii="Arial" w:cs="Arial" w:eastAsia="Arial" w:hAnsi="Arial"/>
          <w:sz w:val="19"/>
          <w:szCs w:val="19"/>
          <w:color w:val="31312F"/>
        </w:rPr>
        <w:t xml:space="preserve"> minimum amount of $300,000 each occurrence.</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w:t>
      </w:r>
      <w:r>
        <w:rPr>
          <w:rFonts w:ascii="Arial" w:cs="Arial" w:eastAsia="Arial" w:hAnsi="Arial"/>
          <w:sz w:val="19"/>
          <w:szCs w:val="19"/>
          <w:color w:val="31312F"/>
        </w:rPr>
        <w:t xml:space="preserve"> in the minimum amount of:</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9"/>
          <w:szCs w:val="19"/>
          <w:color w:val="31312F"/>
        </w:rPr>
        <w:t xml:space="preserve">$250,000/$500,000 bodily injury </w:t>
      </w:r>
      <w:r>
        <w:rPr>
          <w:rFonts w:ascii="Arial" w:cs="Arial" w:eastAsia="Arial" w:hAnsi="Arial"/>
          <w:sz w:val="19"/>
          <w:szCs w:val="19"/>
          <w:color w:val="41413F"/>
        </w:rPr>
        <w:t>and</w:t>
      </w:r>
      <w:r>
        <w:rPr>
          <w:rFonts w:ascii="Arial" w:cs="Arial" w:eastAsia="Arial" w:hAnsi="Arial"/>
          <w:sz w:val="19"/>
          <w:szCs w:val="19"/>
          <w:color w:val="31312F"/>
        </w:rPr>
        <w:t xml:space="preserve"> $100,000 property damage;</w:t>
      </w:r>
    </w:p>
    <w:p>
      <w:pPr>
        <w:ind w:left="1260" w:right="3820"/>
        <w:spacing w:after="0" w:line="234" w:lineRule="auto"/>
        <w:rPr>
          <w:sz w:val="20"/>
          <w:szCs w:val="20"/>
          <w:color w:val="auto"/>
        </w:rPr>
      </w:pPr>
      <w:r>
        <w:rPr>
          <w:rFonts w:ascii="Arial" w:cs="Arial" w:eastAsia="Arial" w:hAnsi="Arial"/>
          <w:sz w:val="19"/>
          <w:szCs w:val="19"/>
          <w:color w:val="31312F"/>
        </w:rPr>
        <w:t>$300,000/$300,000 bodily injury and $100,000 property damage; or $300,000 single limit each occurrence.</w:t>
      </w:r>
    </w:p>
    <w:p>
      <w:pPr>
        <w:spacing w:after="0" w:line="112" w:lineRule="exact"/>
        <w:rPr>
          <w:sz w:val="20"/>
          <w:szCs w:val="20"/>
          <w:color w:val="auto"/>
        </w:rPr>
      </w:pPr>
    </w:p>
    <w:p>
      <w:pPr>
        <w:ind w:left="1060"/>
        <w:spacing w:after="0"/>
        <w:rPr>
          <w:sz w:val="20"/>
          <w:szCs w:val="20"/>
          <w:color w:val="auto"/>
        </w:rPr>
      </w:pPr>
      <w:r>
        <w:rPr>
          <w:rFonts w:ascii="Arial" w:cs="Arial" w:eastAsia="Arial" w:hAnsi="Arial"/>
          <w:sz w:val="18"/>
          <w:szCs w:val="18"/>
          <w:color w:val="31312F"/>
        </w:rPr>
        <w:t xml:space="preserve">Unregistered </w:t>
      </w:r>
      <w:r>
        <w:rPr>
          <w:rFonts w:ascii="Arial" w:cs="Arial" w:eastAsia="Arial" w:hAnsi="Arial"/>
          <w:sz w:val="18"/>
          <w:szCs w:val="18"/>
          <w:color w:val="41413F"/>
        </w:rPr>
        <w:t>vehicles</w:t>
      </w:r>
      <w:r>
        <w:rPr>
          <w:rFonts w:ascii="Arial" w:cs="Arial" w:eastAsia="Arial" w:hAnsi="Arial"/>
          <w:sz w:val="18"/>
          <w:szCs w:val="18"/>
          <w:color w:val="31312F"/>
        </w:rPr>
        <w:t xml:space="preserve"> in the minimum amount of $300,000 bodily injury and property damage each </w:t>
      </w:r>
      <w:r>
        <w:rPr>
          <w:rFonts w:ascii="Arial" w:cs="Arial" w:eastAsia="Arial" w:hAnsi="Arial"/>
          <w:sz w:val="18"/>
          <w:szCs w:val="18"/>
          <w:color w:val="41413F"/>
        </w:rPr>
        <w:t>occurrence</w:t>
      </w:r>
      <w:r>
        <w:rPr>
          <w:rFonts w:ascii="Arial" w:cs="Arial" w:eastAsia="Arial" w:hAnsi="Arial"/>
          <w:sz w:val="18"/>
          <w:szCs w:val="18"/>
          <w:color w:val="626260"/>
        </w:rPr>
        <w:t>.</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 with</w:t>
      </w:r>
      <w:r>
        <w:rPr>
          <w:rFonts w:ascii="Arial" w:cs="Arial" w:eastAsia="Arial" w:hAnsi="Arial"/>
          <w:sz w:val="19"/>
          <w:szCs w:val="19"/>
          <w:color w:val="31312F"/>
        </w:rPr>
        <w:t xml:space="preserve"> less than four wheels and motorhomes </w:t>
      </w:r>
      <w:r>
        <w:rPr>
          <w:rFonts w:ascii="Arial" w:cs="Arial" w:eastAsia="Arial" w:hAnsi="Arial"/>
          <w:sz w:val="19"/>
          <w:szCs w:val="19"/>
          <w:color w:val="41413F"/>
        </w:rPr>
        <w:t>in</w:t>
      </w:r>
      <w:r>
        <w:rPr>
          <w:rFonts w:ascii="Arial" w:cs="Arial" w:eastAsia="Arial" w:hAnsi="Arial"/>
          <w:sz w:val="19"/>
          <w:szCs w:val="19"/>
          <w:color w:val="31312F"/>
        </w:rPr>
        <w:t xml:space="preserve"> the minimum amount of:</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9"/>
          <w:szCs w:val="19"/>
          <w:color w:val="31312F"/>
        </w:rPr>
        <w:t>$250,000/$500,000 bodily injury and $100,000 property damage;</w:t>
      </w:r>
    </w:p>
    <w:p>
      <w:pPr>
        <w:ind w:left="1260" w:right="3820" w:hanging="13"/>
        <w:spacing w:after="0" w:line="234" w:lineRule="auto"/>
        <w:rPr>
          <w:sz w:val="20"/>
          <w:szCs w:val="20"/>
          <w:color w:val="auto"/>
        </w:rPr>
      </w:pPr>
      <w:r>
        <w:rPr>
          <w:rFonts w:ascii="Arial" w:cs="Arial" w:eastAsia="Arial" w:hAnsi="Arial"/>
          <w:sz w:val="19"/>
          <w:szCs w:val="19"/>
          <w:color w:val="31312F"/>
        </w:rPr>
        <w:t xml:space="preserve">$300,000/$300,000 bodily injury and $100,000 property damage; </w:t>
      </w:r>
      <w:r>
        <w:rPr>
          <w:rFonts w:ascii="Arial" w:cs="Arial" w:eastAsia="Arial" w:hAnsi="Arial"/>
          <w:sz w:val="19"/>
          <w:szCs w:val="19"/>
          <w:color w:val="41413F"/>
        </w:rPr>
        <w:t>or</w:t>
      </w:r>
      <w:r>
        <w:rPr>
          <w:rFonts w:ascii="Arial" w:cs="Arial" w:eastAsia="Arial" w:hAnsi="Arial"/>
          <w:sz w:val="19"/>
          <w:szCs w:val="19"/>
          <w:color w:val="31312F"/>
        </w:rPr>
        <w:t xml:space="preserve"> $300,000 single </w:t>
      </w:r>
      <w:r>
        <w:rPr>
          <w:rFonts w:ascii="Arial" w:cs="Arial" w:eastAsia="Arial" w:hAnsi="Arial"/>
          <w:sz w:val="19"/>
          <w:szCs w:val="19"/>
          <w:color w:val="41413F"/>
        </w:rPr>
        <w:t>limit</w:t>
      </w:r>
      <w:r>
        <w:rPr>
          <w:rFonts w:ascii="Arial" w:cs="Arial" w:eastAsia="Arial" w:hAnsi="Arial"/>
          <w:sz w:val="19"/>
          <w:szCs w:val="19"/>
          <w:color w:val="31312F"/>
        </w:rPr>
        <w:t xml:space="preserve"> each </w:t>
      </w:r>
      <w:r>
        <w:rPr>
          <w:rFonts w:ascii="Arial" w:cs="Arial" w:eastAsia="Arial" w:hAnsi="Arial"/>
          <w:sz w:val="19"/>
          <w:szCs w:val="19"/>
          <w:color w:val="41413F"/>
        </w:rPr>
        <w:t>occurrence</w:t>
      </w:r>
      <w:r>
        <w:rPr>
          <w:rFonts w:ascii="Arial" w:cs="Arial" w:eastAsia="Arial" w:hAnsi="Arial"/>
          <w:sz w:val="19"/>
          <w:szCs w:val="19"/>
          <w:color w:val="626260"/>
        </w:rPr>
        <w:t>.</w:t>
      </w:r>
    </w:p>
    <w:p>
      <w:pPr>
        <w:spacing w:after="0" w:line="125" w:lineRule="exact"/>
        <w:rPr>
          <w:sz w:val="20"/>
          <w:szCs w:val="20"/>
          <w:color w:val="auto"/>
        </w:rPr>
      </w:pPr>
    </w:p>
    <w:p>
      <w:pPr>
        <w:ind w:left="1080" w:right="660"/>
        <w:spacing w:after="0" w:line="235" w:lineRule="auto"/>
        <w:rPr>
          <w:sz w:val="20"/>
          <w:szCs w:val="20"/>
          <w:color w:val="auto"/>
        </w:rPr>
      </w:pPr>
      <w:r>
        <w:rPr>
          <w:rFonts w:ascii="Arial" w:cs="Arial" w:eastAsia="Arial" w:hAnsi="Arial"/>
          <w:sz w:val="19"/>
          <w:szCs w:val="19"/>
          <w:color w:val="41413F"/>
        </w:rPr>
        <w:t xml:space="preserve">Watercraft </w:t>
      </w:r>
      <w:r>
        <w:rPr>
          <w:rFonts w:ascii="Arial" w:cs="Arial" w:eastAsia="Arial" w:hAnsi="Arial"/>
          <w:sz w:val="19"/>
          <w:szCs w:val="19"/>
          <w:color w:val="31312F"/>
        </w:rPr>
        <w:t>less than 26 feet and 50</w:t>
      </w:r>
      <w:r>
        <w:rPr>
          <w:rFonts w:ascii="Arial" w:cs="Arial" w:eastAsia="Arial" w:hAnsi="Arial"/>
          <w:sz w:val="19"/>
          <w:szCs w:val="19"/>
          <w:color w:val="41413F"/>
        </w:rPr>
        <w:t xml:space="preserve"> engine </w:t>
      </w:r>
      <w:r>
        <w:rPr>
          <w:rFonts w:ascii="Arial" w:cs="Arial" w:eastAsia="Arial" w:hAnsi="Arial"/>
          <w:sz w:val="19"/>
          <w:szCs w:val="19"/>
          <w:color w:val="31312F"/>
        </w:rPr>
        <w:t>rated horsepower</w:t>
      </w:r>
      <w:r>
        <w:rPr>
          <w:rFonts w:ascii="Arial" w:cs="Arial" w:eastAsia="Arial" w:hAnsi="Arial"/>
          <w:sz w:val="19"/>
          <w:szCs w:val="19"/>
          <w:color w:val="41413F"/>
        </w:rPr>
        <w:t xml:space="preserve"> or </w:t>
      </w:r>
      <w:r>
        <w:rPr>
          <w:rFonts w:ascii="Arial" w:cs="Arial" w:eastAsia="Arial" w:hAnsi="Arial"/>
          <w:sz w:val="19"/>
          <w:szCs w:val="19"/>
          <w:color w:val="31312F"/>
        </w:rPr>
        <w:t>less for bodily injury and property damage in the</w:t>
      </w:r>
      <w:r>
        <w:rPr>
          <w:rFonts w:ascii="Arial" w:cs="Arial" w:eastAsia="Arial" w:hAnsi="Arial"/>
          <w:sz w:val="19"/>
          <w:szCs w:val="19"/>
          <w:color w:val="41413F"/>
        </w:rPr>
        <w:t xml:space="preserve"> </w:t>
      </w:r>
      <w:r>
        <w:rPr>
          <w:rFonts w:ascii="Arial" w:cs="Arial" w:eastAsia="Arial" w:hAnsi="Arial"/>
          <w:sz w:val="19"/>
          <w:szCs w:val="19"/>
          <w:color w:val="31312F"/>
        </w:rPr>
        <w:t xml:space="preserve">minimum amount of </w:t>
      </w:r>
      <w:r>
        <w:rPr>
          <w:rFonts w:ascii="Arial" w:cs="Arial" w:eastAsia="Arial" w:hAnsi="Arial"/>
          <w:sz w:val="19"/>
          <w:szCs w:val="19"/>
          <w:color w:val="41413F"/>
        </w:rPr>
        <w:t>$300,000</w:t>
      </w:r>
      <w:r>
        <w:rPr>
          <w:rFonts w:ascii="Arial" w:cs="Arial" w:eastAsia="Arial" w:hAnsi="Arial"/>
          <w:sz w:val="19"/>
          <w:szCs w:val="19"/>
          <w:color w:val="31312F"/>
        </w:rPr>
        <w:t xml:space="preserve"> each occurrence.</w:t>
      </w:r>
    </w:p>
    <w:p>
      <w:pPr>
        <w:spacing w:after="0" w:line="99" w:lineRule="exact"/>
        <w:rPr>
          <w:sz w:val="20"/>
          <w:szCs w:val="20"/>
          <w:color w:val="auto"/>
        </w:rPr>
      </w:pPr>
    </w:p>
    <w:p>
      <w:pPr>
        <w:ind w:left="1080" w:right="480"/>
        <w:spacing w:after="0" w:line="238" w:lineRule="auto"/>
        <w:rPr>
          <w:sz w:val="20"/>
          <w:szCs w:val="20"/>
          <w:color w:val="auto"/>
        </w:rPr>
      </w:pPr>
      <w:r>
        <w:rPr>
          <w:rFonts w:ascii="Arial" w:cs="Arial" w:eastAsia="Arial" w:hAnsi="Arial"/>
          <w:sz w:val="19"/>
          <w:szCs w:val="19"/>
          <w:color w:val="31312F"/>
        </w:rPr>
        <w:t xml:space="preserve">Watercraft 26 feet or longer </w:t>
      </w:r>
      <w:r>
        <w:rPr>
          <w:rFonts w:ascii="Arial" w:cs="Arial" w:eastAsia="Arial" w:hAnsi="Arial"/>
          <w:sz w:val="19"/>
          <w:szCs w:val="19"/>
          <w:color w:val="41413F"/>
        </w:rPr>
        <w:t>or</w:t>
      </w:r>
      <w:r>
        <w:rPr>
          <w:rFonts w:ascii="Arial" w:cs="Arial" w:eastAsia="Arial" w:hAnsi="Arial"/>
          <w:sz w:val="19"/>
          <w:szCs w:val="19"/>
          <w:color w:val="31312F"/>
        </w:rPr>
        <w:t xml:space="preserve"> more than 50 engine rated horsepower for bodily injury and property damage in the minimum amount of</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9"/>
          <w:szCs w:val="19"/>
          <w:color w:val="31312F"/>
        </w:rPr>
        <w:t>$500,000 each occurrence.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9"/>
          <w:szCs w:val="19"/>
          <w:color w:val="31312F"/>
        </w:rPr>
        <w:t xml:space="preserve">Uninsured motorists </w:t>
      </w:r>
      <w:r>
        <w:rPr>
          <w:rFonts w:ascii="Arial" w:cs="Arial" w:eastAsia="Arial" w:hAnsi="Arial"/>
          <w:sz w:val="19"/>
          <w:szCs w:val="19"/>
          <w:color w:val="41413F"/>
        </w:rPr>
        <w:t>/underinsured</w:t>
      </w:r>
      <w:r>
        <w:rPr>
          <w:rFonts w:ascii="Arial" w:cs="Arial" w:eastAsia="Arial" w:hAnsi="Arial"/>
          <w:sz w:val="19"/>
          <w:szCs w:val="19"/>
          <w:color w:val="31312F"/>
        </w:rPr>
        <w:t xml:space="preserve"> motorist protection in the minimum amount of:</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9"/>
          <w:szCs w:val="19"/>
          <w:color w:val="31312F"/>
        </w:rPr>
        <w:t xml:space="preserve">$250,000/$500,000 bodily </w:t>
      </w:r>
      <w:r>
        <w:rPr>
          <w:rFonts w:ascii="Arial" w:cs="Arial" w:eastAsia="Arial" w:hAnsi="Arial"/>
          <w:sz w:val="19"/>
          <w:szCs w:val="19"/>
          <w:color w:val="41413F"/>
        </w:rPr>
        <w:t>injury</w:t>
      </w:r>
      <w:r>
        <w:rPr>
          <w:rFonts w:ascii="Arial" w:cs="Arial" w:eastAsia="Arial" w:hAnsi="Arial"/>
          <w:sz w:val="19"/>
          <w:szCs w:val="19"/>
          <w:color w:val="31312F"/>
        </w:rPr>
        <w:t xml:space="preserve"> and $100,000 property damage;</w:t>
      </w:r>
    </w:p>
    <w:p>
      <w:pPr>
        <w:ind w:left="1300"/>
        <w:spacing w:after="0"/>
        <w:rPr>
          <w:sz w:val="20"/>
          <w:szCs w:val="20"/>
          <w:color w:val="auto"/>
        </w:rPr>
      </w:pPr>
      <w:r>
        <w:rPr>
          <w:rFonts w:ascii="Arial" w:cs="Arial" w:eastAsia="Arial" w:hAnsi="Arial"/>
          <w:sz w:val="19"/>
          <w:szCs w:val="19"/>
          <w:color w:val="31312F"/>
        </w:rPr>
        <w:t>$300,000/$300,000 bodily injury and $100,000 property damage; or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20"/>
          </w:cols>
          <w:pgMar w:left="1440" w:top="582" w:right="239" w:bottom="1440" w:gutter="0" w:footer="0" w:header="0"/>
          <w:type w:val="continuous"/>
        </w:sectPr>
      </w:pPr>
    </w:p>
    <w:bookmarkStart w:id="307" w:name="page308"/>
    <w:bookmarkEnd w:id="307"/>
    <w:p>
      <w:pPr>
        <w:ind w:left="1360"/>
        <w:spacing w:after="0"/>
        <w:rPr>
          <w:sz w:val="20"/>
          <w:szCs w:val="20"/>
          <w:color w:val="auto"/>
        </w:rPr>
      </w:pPr>
      <w:r>
        <w:rPr>
          <w:rFonts w:ascii="Arial" w:cs="Arial" w:eastAsia="Arial" w:hAnsi="Arial"/>
          <w:sz w:val="19"/>
          <w:szCs w:val="19"/>
          <w:color w:val="383836"/>
        </w:rPr>
        <w:t>$</w:t>
      </w:r>
      <w:r>
        <w:rPr>
          <w:rFonts w:ascii="Arial" w:cs="Arial" w:eastAsia="Arial" w:hAnsi="Arial"/>
          <w:sz w:val="19"/>
          <w:szCs w:val="19"/>
          <w:color w:val="31312F"/>
        </w:rPr>
        <w:t>300,000</w:t>
      </w:r>
      <w:r>
        <w:rPr>
          <w:rFonts w:ascii="Arial" w:cs="Arial" w:eastAsia="Arial" w:hAnsi="Arial"/>
          <w:sz w:val="19"/>
          <w:szCs w:val="19"/>
          <w:color w:val="383836"/>
        </w:rPr>
        <w:t xml:space="preserve"> </w:t>
      </w:r>
      <w:r>
        <w:rPr>
          <w:rFonts w:ascii="Arial" w:cs="Arial" w:eastAsia="Arial" w:hAnsi="Arial"/>
          <w:sz w:val="18"/>
          <w:szCs w:val="18"/>
          <w:color w:val="383836"/>
        </w:rPr>
        <w:t>single</w:t>
      </w:r>
      <w:r>
        <w:rPr>
          <w:rFonts w:ascii="Arial" w:cs="Arial" w:eastAsia="Arial" w:hAnsi="Arial"/>
          <w:sz w:val="19"/>
          <w:szCs w:val="19"/>
          <w:color w:val="383836"/>
        </w:rPr>
        <w:t xml:space="preserve"> </w:t>
      </w:r>
      <w:r>
        <w:rPr>
          <w:rFonts w:ascii="Arial" w:cs="Arial" w:eastAsia="Arial" w:hAnsi="Arial"/>
          <w:sz w:val="18"/>
          <w:szCs w:val="18"/>
          <w:color w:val="494946"/>
        </w:rPr>
        <w:t>limit each occurrence</w:t>
      </w:r>
      <w:r>
        <w:rPr>
          <w:rFonts w:ascii="Arial" w:cs="Arial" w:eastAsia="Arial" w:hAnsi="Arial"/>
          <w:sz w:val="18"/>
          <w:szCs w:val="18"/>
          <w:color w:val="676664"/>
        </w:rPr>
        <w:t>.</w:t>
      </w:r>
    </w:p>
    <w:p>
      <w:pPr>
        <w:spacing w:after="0" w:line="200" w:lineRule="exact"/>
        <w:rPr>
          <w:sz w:val="20"/>
          <w:szCs w:val="20"/>
          <w:color w:val="auto"/>
        </w:rPr>
      </w:pPr>
    </w:p>
    <w:p>
      <w:pPr>
        <w:spacing w:after="0" w:line="378" w:lineRule="exact"/>
        <w:rPr>
          <w:sz w:val="20"/>
          <w:szCs w:val="20"/>
          <w:color w:val="auto"/>
        </w:rPr>
      </w:pPr>
    </w:p>
    <w:p>
      <w:pPr>
        <w:ind w:left="1140" w:right="740"/>
        <w:spacing w:after="0" w:line="235" w:lineRule="auto"/>
        <w:rPr>
          <w:sz w:val="20"/>
          <w:szCs w:val="20"/>
          <w:color w:val="auto"/>
        </w:rPr>
      </w:pPr>
      <w:r>
        <w:rPr>
          <w:rFonts w:ascii="Arial" w:cs="Arial" w:eastAsia="Arial" w:hAnsi="Arial"/>
          <w:sz w:val="19"/>
          <w:szCs w:val="19"/>
          <w:color w:val="494946"/>
        </w:rPr>
        <w:t xml:space="preserve">FAILURE TO COMPLY </w:t>
      </w:r>
      <w:r>
        <w:rPr>
          <w:rFonts w:ascii="Arial" w:cs="Arial" w:eastAsia="Arial" w:hAnsi="Arial"/>
          <w:sz w:val="19"/>
          <w:szCs w:val="19"/>
          <w:color w:val="383836"/>
        </w:rPr>
        <w:t>WITH</w:t>
      </w:r>
      <w:r>
        <w:rPr>
          <w:rFonts w:ascii="Arial" w:cs="Arial" w:eastAsia="Arial" w:hAnsi="Arial"/>
          <w:sz w:val="19"/>
          <w:szCs w:val="19"/>
          <w:color w:val="494946"/>
        </w:rPr>
        <w:t xml:space="preserve"> THE </w:t>
      </w:r>
      <w:r>
        <w:rPr>
          <w:rFonts w:ascii="Arial" w:cs="Arial" w:eastAsia="Arial" w:hAnsi="Arial"/>
          <w:sz w:val="19"/>
          <w:szCs w:val="19"/>
          <w:color w:val="383836"/>
        </w:rPr>
        <w:t>REQUIRED</w:t>
      </w:r>
      <w:r>
        <w:rPr>
          <w:rFonts w:ascii="Arial" w:cs="Arial" w:eastAsia="Arial" w:hAnsi="Arial"/>
          <w:sz w:val="19"/>
          <w:szCs w:val="19"/>
          <w:color w:val="494946"/>
        </w:rPr>
        <w:t xml:space="preserve"> PRIMARY </w:t>
      </w:r>
      <w:r>
        <w:rPr>
          <w:rFonts w:ascii="Arial" w:cs="Arial" w:eastAsia="Arial" w:hAnsi="Arial"/>
          <w:sz w:val="19"/>
          <w:szCs w:val="19"/>
          <w:color w:val="383836"/>
        </w:rPr>
        <w:t>UNDERLYING INSURANCE WILL RESULT</w:t>
      </w:r>
      <w:r>
        <w:rPr>
          <w:rFonts w:ascii="Arial" w:cs="Arial" w:eastAsia="Arial" w:hAnsi="Arial"/>
          <w:sz w:val="19"/>
          <w:szCs w:val="19"/>
          <w:color w:val="494946"/>
        </w:rPr>
        <w:t xml:space="preserve"> IN </w:t>
      </w:r>
      <w:r>
        <w:rPr>
          <w:rFonts w:ascii="Arial" w:cs="Arial" w:eastAsia="Arial" w:hAnsi="Arial"/>
          <w:sz w:val="19"/>
          <w:szCs w:val="19"/>
          <w:color w:val="383836"/>
        </w:rPr>
        <w:t>A GAP IN</w:t>
      </w:r>
      <w:r>
        <w:rPr>
          <w:rFonts w:ascii="Arial" w:cs="Arial" w:eastAsia="Arial" w:hAnsi="Arial"/>
          <w:sz w:val="19"/>
          <w:szCs w:val="19"/>
          <w:color w:val="494946"/>
        </w:rPr>
        <w:t xml:space="preserve"> </w:t>
      </w:r>
      <w:r>
        <w:rPr>
          <w:rFonts w:ascii="Arial" w:cs="Arial" w:eastAsia="Arial" w:hAnsi="Arial"/>
          <w:sz w:val="19"/>
          <w:szCs w:val="19"/>
          <w:color w:val="383836"/>
        </w:rPr>
        <w:t>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20"/>
        <w:spacing w:after="0"/>
        <w:rPr>
          <w:sz w:val="20"/>
          <w:szCs w:val="20"/>
          <w:color w:val="auto"/>
        </w:rPr>
      </w:pPr>
      <w:r>
        <w:rPr>
          <w:rFonts w:ascii="Arial" w:cs="Arial" w:eastAsia="Arial" w:hAnsi="Arial"/>
          <w:sz w:val="17"/>
          <w:szCs w:val="17"/>
          <w:color w:val="383836"/>
        </w:rPr>
        <w:t>ALL OTHER TERMS AND CONDITIONS REMAIN UNCHANGED</w:t>
      </w:r>
      <w:r>
        <w:rPr>
          <w:rFonts w:ascii="Arial" w:cs="Arial" w:eastAsia="Arial" w:hAnsi="Arial"/>
          <w:sz w:val="17"/>
          <w:szCs w:val="17"/>
          <w:color w:val="605E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146050</wp:posOffset>
            </wp:positionV>
            <wp:extent cx="1406525" cy="283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1406525" cy="2832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484846"/>
        </w:rPr>
        <w:t xml:space="preserve">Authorized </w:t>
      </w:r>
      <w:r>
        <w:rPr>
          <w:rFonts w:ascii="Arial" w:cs="Arial" w:eastAsia="Arial" w:hAnsi="Arial"/>
          <w:sz w:val="16"/>
          <w:szCs w:val="16"/>
          <w:i w:val="1"/>
          <w:iCs w:val="1"/>
          <w:color w:val="383836"/>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6637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60" w:top="428"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180340</wp:posOffset>
            </wp:positionV>
            <wp:extent cx="137223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137223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158623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15862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32"/>
          <w:szCs w:val="32"/>
          <w:color w:val="auto"/>
        </w:rPr>
        <w:t>Officer Annual Performance Bonus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SPONSORING ORGANIZATION</w:t>
      </w:r>
      <w:r>
        <w:rPr>
          <w:rFonts w:ascii="Arial" w:cs="Arial" w:eastAsia="Arial" w:hAnsi="Arial"/>
          <w:sz w:val="18"/>
          <w:szCs w:val="18"/>
          <w:color w:val="auto"/>
        </w:rPr>
        <w:t>: 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2"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A primary component of officer compensation at Booz Allen is the annual performance bonus. The purpose of this policy is to establish eligibility and methodology for delivering the officer annual performance bonus payment.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POLICIES</w:t>
      </w:r>
    </w:p>
    <w:p>
      <w:pPr>
        <w:spacing w:after="0" w:line="22" w:lineRule="exact"/>
        <w:rPr>
          <w:sz w:val="20"/>
          <w:szCs w:val="20"/>
          <w:color w:val="auto"/>
        </w:rPr>
      </w:pPr>
    </w:p>
    <w:p>
      <w:pPr>
        <w:ind w:left="660" w:hanging="328"/>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Officer Transition Policy (Details process for officer leaving under the Officer Transition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Officer Leave of Absence (Details process for officer leaving under the Officer Leave of Absence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Officer Retirement (Details process for officer leaving under the Officer Retirement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Officer Termination (Details process for officer leaving under the Officer Termination Policy)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SCOPE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officers of the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w:t>
      </w:r>
    </w:p>
    <w:p>
      <w:pPr>
        <w:spacing w:after="0" w:line="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officer annual performance bonus is based on annual firm performance and is paid to each officer after the close of a fiscal year, subject to approval by the Compensation Committee of the Board of Directors.</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Each officer is designated a number of points for the annual performance bonus which is based on their level. The designation of points does not in any way constitute or imply any guarantee or commitment by the firm to pay a bonus. At the end of the fiscal year, the Compensation Committee of the Board of Directors approves a U.S. dollar value per point which is multiplied by each officer’s designated points to determine the annual performance bonus amount.</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certain circumstances, an officer may be reassigned to a lower level which would result in the officer receiving a reduced point value. The Leadership Team may assign a salary that varies from the standard amount designated for that particular level (i.e., allow the officer to continue to receive their prior salary or some amount in excess of the salary for their new level). The Chief People Officer, in consultation with the Leadership Team, will determine and approve the effective date of the salary change and duration of the variance, as applicable. This variance in salary is considered an advance on bonus and thus, in these situations, the officer’s annual performance bonus will be adjusted to ensure that their total compensation matches that of the other officers in the same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Depending on the reason an officer leaves Booz Allen employment, they may be eligible for, but are not guaranteed, an annual performance bonus. Eligibility for an annual performance bonus to a terminating officer is determined on a case by case basis and is subject to approval by management and the Compensation Committee of the Board of Directors. Management and the Compensation Committee of the Board of Directors will consider the following when determining if an officer whose employment has terminated or is scheduled to terminate will receive an annual performance bonus:</w:t>
      </w:r>
    </w:p>
    <w:p>
      <w:pPr>
        <w:spacing w:after="0" w:line="206" w:lineRule="exact"/>
        <w:rPr>
          <w:sz w:val="20"/>
          <w:szCs w:val="20"/>
          <w:color w:val="auto"/>
        </w:rPr>
      </w:pPr>
    </w:p>
    <w:p>
      <w:pPr>
        <w:ind w:left="820" w:hanging="326"/>
        <w:spacing w:after="0"/>
        <w:tabs>
          <w:tab w:leader="none" w:pos="8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reason(s) which led to the termination of the officer’s employment.</w:t>
      </w:r>
    </w:p>
    <w:p>
      <w:pPr>
        <w:spacing w:after="0" w:line="225" w:lineRule="exact"/>
        <w:rPr>
          <w:rFonts w:ascii="Arial" w:cs="Arial" w:eastAsia="Arial" w:hAnsi="Arial"/>
          <w:sz w:val="18"/>
          <w:szCs w:val="18"/>
          <w:color w:val="auto"/>
        </w:rPr>
      </w:pPr>
    </w:p>
    <w:p>
      <w:pPr>
        <w:ind w:left="820" w:right="60" w:hanging="326"/>
        <w:spacing w:after="0" w:line="262" w:lineRule="auto"/>
        <w:tabs>
          <w:tab w:leader="none" w:pos="8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Whether responsibilities for existing or prospective client assignments were completed professionally and/or effectively transferred to another officer.</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Whether appropriate follow-up action was taken by the officer to collect any outstanding client receivables.</w:t>
      </w:r>
    </w:p>
    <w:p>
      <w:pPr>
        <w:spacing w:after="0" w:line="225"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Whether the former officer’s conduct prior to and following termination avoided disruption with respect to the firm’s relationships with its employees and its clients. If the former officer left to join a</w:t>
      </w:r>
    </w:p>
    <w:p>
      <w:pPr>
        <w:sectPr>
          <w:pgSz w:w="11900" w:h="16838" w:orient="portrait"/>
          <w:cols w:equalWidth="0" w:num="1">
            <w:col w:w="11420"/>
          </w:cols>
          <w:pgMar w:left="240" w:top="135"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180340</wp:posOffset>
            </wp:positionV>
            <wp:extent cx="137223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137223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right="480"/>
        <w:spacing w:after="0" w:line="309" w:lineRule="auto"/>
        <w:rPr>
          <w:sz w:val="20"/>
          <w:szCs w:val="20"/>
          <w:color w:val="auto"/>
        </w:rPr>
      </w:pPr>
      <w:r>
        <w:rPr>
          <w:rFonts w:ascii="Arial" w:cs="Arial" w:eastAsia="Arial" w:hAnsi="Arial"/>
          <w:sz w:val="18"/>
          <w:szCs w:val="18"/>
          <w:color w:val="auto"/>
        </w:rPr>
        <w:t>competitor, whether there had been any solicitation or encouragement of other employees to leave the firm or any solicitation of clients of the firm with whom the departed officer had established relationships while an employee of the firm.</w:t>
      </w:r>
    </w:p>
    <w:p>
      <w:pPr>
        <w:spacing w:after="0" w:line="169" w:lineRule="exact"/>
        <w:rPr>
          <w:sz w:val="20"/>
          <w:szCs w:val="20"/>
          <w:color w:val="auto"/>
        </w:rPr>
      </w:pPr>
    </w:p>
    <w:p>
      <w:pPr>
        <w:ind w:left="820" w:hanging="326"/>
        <w:spacing w:after="0"/>
        <w:tabs>
          <w:tab w:leader="none" w:pos="8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Whether information confidential to the firm or any of its clients has been maintained as confidential by the former officer.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Officers who are terminated For Cause are not eligible for an annual performance bonus.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annual performance bonus for officers whose employment has terminated will be paid at the same time as all active officers and will be prorated for the period of the performance for which the officer was employed. Ordinarily, no bonus for a fiscal year will be paid to officers whose employment terminates prior to June 1st of that fiscal year.</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officers placed into a transition period (see Officer Transition Policy), accrual for an annual performance bonus ceases on the day the transition period begins. For example, an officer who starts transition on October 1 will be eligible for bonus consideration during the period from April 1 through September 30.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Leave of Absence</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officers on an approved leave of absence, upon recommendation of management and with the approval of the Compensation Committee of the Board of Directors, a prorated bonus payment may be made based on performance during the fiscal year in which leave was taken. Officers on an approved leave of absence who qualify for bonuses during any fiscal year will receive bonus payments when that fiscal year’s bonuses are paid to active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Exceptions to this Policy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Any request for an exception to this policy must be reviewed and approved by the Chief People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VIOLATIONS OF POLICY, REPORTING, AND NO TOLERANCE FOR RETALIATION</w:t>
      </w:r>
    </w:p>
    <w:p>
      <w:pPr>
        <w:spacing w:after="0" w:line="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Any employee who violates this policy will be subject to disciplinary action (up to and including termination of employment), in accordance with our Disciplinary Action Policy.</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you observe or have reasonable suspicion of a violation of this policy, you have a duty to report those concerns. To report a possible violation of this policy or the Green Book, please contact your job or career manager, an Ethics Advisor, Ethics &amp; Compliance (ethics@bah.com), the appropriate Business Partner or Enterprise Solutions Group resource, the Legal Department, our Chief Ethics and Compliance Officer or the EthicsFirst Line at 800-501-8755 (US) or international, +1-888-475-0009, or https://boozallen.alertline.com.</w:t>
      </w:r>
    </w:p>
    <w:p>
      <w:pPr>
        <w:spacing w:after="0" w:line="2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take all allegations of misconduct seriously, and as stated in our Non-Retaliation Policy, we will not tolerate retaliation of any sort against any employee because they raise a good faith ethical or legal concern.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POINTS OF CONTACT AND ADDITIONAL RESOURCES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General questions regarding this policy can be directed to the Chief People Officer.</w:t>
      </w:r>
    </w:p>
    <w:p>
      <w:pPr>
        <w:sectPr>
          <w:pgSz w:w="11900" w:h="16838" w:orient="portrait"/>
          <w:cols w:equalWidth="0" w:num="1">
            <w:col w:w="11420"/>
          </w:cols>
          <w:pgMar w:left="240" w:top="134"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10.14</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254875" cy="266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254875" cy="26606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Transition</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SCOPE:</w:t>
      </w:r>
    </w:p>
    <w:p>
      <w:pPr>
        <w:spacing w:after="0" w:line="181" w:lineRule="exact"/>
        <w:rPr>
          <w:sz w:val="20"/>
          <w:szCs w:val="20"/>
          <w:color w:val="auto"/>
        </w:rPr>
      </w:pPr>
    </w:p>
    <w:p>
      <w:pPr>
        <w:ind w:right="360"/>
        <w:spacing w:after="0" w:line="289" w:lineRule="auto"/>
        <w:rPr>
          <w:sz w:val="20"/>
          <w:szCs w:val="20"/>
          <w:color w:val="auto"/>
        </w:rPr>
      </w:pPr>
      <w:r>
        <w:rPr>
          <w:rFonts w:ascii="Arial" w:cs="Arial" w:eastAsia="Arial" w:hAnsi="Arial"/>
          <w:sz w:val="20"/>
          <w:szCs w:val="20"/>
          <w:color w:val="auto"/>
        </w:rPr>
        <w:t>The firm will support the transition efforts of departing Officers when business conditions, changes in the firm's strategy, Officer performance, and other factors (other than misconduct) cause the firm to terminate an Officer's employment.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GENERAL POLICY STATEMENT: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Transition support may include one or more of the following as appropriate:</w:t>
      </w:r>
    </w:p>
    <w:p>
      <w:pPr>
        <w:spacing w:after="0" w:line="229" w:lineRule="exact"/>
        <w:rPr>
          <w:sz w:val="20"/>
          <w:szCs w:val="20"/>
          <w:color w:val="auto"/>
        </w:rPr>
      </w:pPr>
    </w:p>
    <w:p>
      <w:pPr>
        <w:ind w:left="340" w:right="120" w:hanging="170"/>
        <w:spacing w:after="0" w:line="247" w:lineRule="auto"/>
        <w:tabs>
          <w:tab w:leader="none" w:pos="302" w:val="left"/>
        </w:tabs>
        <w:numPr>
          <w:ilvl w:val="1"/>
          <w:numId w:val="489"/>
        </w:numPr>
        <w:rPr>
          <w:rFonts w:ascii="Arial" w:cs="Arial" w:eastAsia="Arial" w:hAnsi="Arial"/>
          <w:sz w:val="20"/>
          <w:szCs w:val="20"/>
          <w:color w:val="auto"/>
        </w:rPr>
      </w:pPr>
      <w:r>
        <w:rPr>
          <w:rFonts w:ascii="Arial" w:cs="Arial" w:eastAsia="Arial" w:hAnsi="Arial"/>
          <w:sz w:val="20"/>
          <w:szCs w:val="20"/>
          <w:color w:val="auto"/>
        </w:rPr>
        <w:t>A reasonable period of continued employment with reduced work requirements during which time the Officer can pursue other employment/business opportunities</w:t>
      </w:r>
    </w:p>
    <w:p>
      <w:pPr>
        <w:spacing w:after="0" w:line="39" w:lineRule="exact"/>
        <w:rPr>
          <w:rFonts w:ascii="Arial" w:cs="Arial" w:eastAsia="Arial" w:hAnsi="Arial"/>
          <w:sz w:val="20"/>
          <w:szCs w:val="20"/>
          <w:color w:val="auto"/>
        </w:rPr>
      </w:pPr>
    </w:p>
    <w:p>
      <w:pPr>
        <w:ind w:left="280" w:hanging="123"/>
        <w:spacing w:after="0"/>
        <w:tabs>
          <w:tab w:leader="none" w:pos="280" w:val="left"/>
        </w:tabs>
        <w:numPr>
          <w:ilvl w:val="0"/>
          <w:numId w:val="489"/>
        </w:numPr>
        <w:rPr>
          <w:rFonts w:ascii="Arial" w:cs="Arial" w:eastAsia="Arial" w:hAnsi="Arial"/>
          <w:sz w:val="20"/>
          <w:szCs w:val="20"/>
          <w:color w:val="auto"/>
        </w:rPr>
      </w:pPr>
      <w:r>
        <w:rPr>
          <w:rFonts w:ascii="Arial" w:cs="Arial" w:eastAsia="Arial" w:hAnsi="Arial"/>
          <w:sz w:val="20"/>
          <w:szCs w:val="20"/>
          <w:color w:val="auto"/>
        </w:rPr>
        <w:t>Written and personal referrals by other partners when requested</w:t>
      </w:r>
    </w:p>
    <w:p>
      <w:pPr>
        <w:spacing w:after="0" w:line="53" w:lineRule="exact"/>
        <w:rPr>
          <w:rFonts w:ascii="Arial" w:cs="Arial" w:eastAsia="Arial" w:hAnsi="Arial"/>
          <w:sz w:val="20"/>
          <w:szCs w:val="20"/>
          <w:color w:val="auto"/>
        </w:rPr>
      </w:pPr>
    </w:p>
    <w:p>
      <w:pPr>
        <w:ind w:left="280" w:hanging="123"/>
        <w:spacing w:after="0"/>
        <w:tabs>
          <w:tab w:leader="none" w:pos="280" w:val="left"/>
        </w:tabs>
        <w:numPr>
          <w:ilvl w:val="0"/>
          <w:numId w:val="489"/>
        </w:numPr>
        <w:rPr>
          <w:rFonts w:ascii="Arial" w:cs="Arial" w:eastAsia="Arial" w:hAnsi="Arial"/>
          <w:sz w:val="20"/>
          <w:szCs w:val="20"/>
          <w:color w:val="auto"/>
        </w:rPr>
      </w:pPr>
      <w:r>
        <w:rPr>
          <w:rFonts w:ascii="Arial" w:cs="Arial" w:eastAsia="Arial" w:hAnsi="Arial"/>
          <w:sz w:val="20"/>
          <w:szCs w:val="20"/>
          <w:color w:val="auto"/>
        </w:rPr>
        <w:t>Continued participation in normal Officer activities during the transition period</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Transition Period Guidelines</w:t>
      </w:r>
    </w:p>
    <w:p>
      <w:pPr>
        <w:spacing w:after="0" w:line="2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Officers with fewer than eight years of tenure as an Officer may receive four months of transition time to seek other employment. One additional month for each year as an Officer may be added to the transition period, not to exceed 11 months of total transition time.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Officers with eight or more years of tenure as an Officer may receive up to 12 months of transition time to seek other employment.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Payment(s) During Transition</w:t>
      </w:r>
    </w:p>
    <w:p>
      <w:pPr>
        <w:spacing w:after="0" w:line="24"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During the transition period, the Officer's compensation will be equal to his/her base salary in effect at the date of notification, unless otherwise determined by the CPO. Compensation will be paid monthly on the regular payroll date of each calendar month, beginning in the first full calendar month of the transition period. Each payment made pursuant to this policy shall be considered a separate payment within the meaning of Treasury Reg. § 1.409A-2(b)(2)(iii).</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Client and Administrative Obligations</w:t>
      </w:r>
    </w:p>
    <w:p>
      <w:pPr>
        <w:spacing w:after="0" w:line="24"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auto"/>
        </w:rPr>
        <w:t>During the transition period, the Officer is expected to complete/transfer all current and ongoing client responsibilities and or administrative duties during such time frame as designated by a supervising Officer. The Officer is not required to initiate new client assignments/duties. Officers will be expected to be available to work as directed by a designated supervising Officer but may not be required to perform any services during the transition period. If service level is expected to drop to 20% or less of the Officer’s prior service level, separation from service will be deemed to occur for purposes of compliance with IRS Section 409A.</w:t>
      </w:r>
    </w:p>
    <w:p>
      <w:pPr>
        <w:spacing w:after="0" w:line="208" w:lineRule="exact"/>
        <w:rPr>
          <w:sz w:val="20"/>
          <w:szCs w:val="20"/>
          <w:color w:val="auto"/>
        </w:rPr>
      </w:pPr>
    </w:p>
    <w:p>
      <w:pPr>
        <w:jc w:val="both"/>
        <w:ind w:right="660"/>
        <w:spacing w:after="0" w:line="243" w:lineRule="auto"/>
        <w:rPr>
          <w:sz w:val="20"/>
          <w:szCs w:val="20"/>
          <w:color w:val="auto"/>
        </w:rPr>
      </w:pPr>
      <w:r>
        <w:rPr>
          <w:rFonts w:ascii="Arial" w:cs="Arial" w:eastAsia="Arial" w:hAnsi="Arial"/>
          <w:sz w:val="20"/>
          <w:szCs w:val="20"/>
          <w:color w:val="auto"/>
        </w:rPr>
        <w:t>During the transition period, the Officer is expected to actively pursue other employment/business opportunities. However, employment with the firm will cease when the Officer becomes an employee of another organization and/or engages in any business development activities in competition with the firm.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4"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10.14</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Bonus eligibility will end on the day the transition period begins. At the sole discretion of the firm, upon recommendation of management, and with the approval of the Compensation Committee of the Board of Directors, a bonus payment for the portion of the fiscal year prior to the beginning of the transition period may be made to a departing Officer based on performance and in consideration of successful discharge/transfer of Officer-related responsibilities. (Refer to the </w:t>
      </w:r>
      <w:r>
        <w:rPr>
          <w:rFonts w:ascii="Arial" w:cs="Arial" w:eastAsia="Arial" w:hAnsi="Arial"/>
          <w:sz w:val="20"/>
          <w:szCs w:val="20"/>
          <w:i w:val="1"/>
          <w:iCs w:val="1"/>
          <w:color w:val="auto"/>
        </w:rPr>
        <w:t>Bonus Awards for Departing Officers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policy.) </w:t>
      </w:r>
      <w:r>
        <w:rPr>
          <w:rFonts w:ascii="Arial" w:cs="Arial" w:eastAsia="Arial" w:hAnsi="Arial"/>
          <w:sz w:val="20"/>
          <w:szCs w:val="20"/>
          <w:color w:val="auto"/>
        </w:rPr>
        <w:t>Departing Officers who qualify for bonuses during any fiscal year will receive bonus payments when that fiscal year's</w:t>
      </w:r>
      <w:r>
        <w:rPr>
          <w:rFonts w:ascii="Arial" w:cs="Arial" w:eastAsia="Arial" w:hAnsi="Arial"/>
          <w:sz w:val="20"/>
          <w:szCs w:val="20"/>
          <w:i w:val="1"/>
          <w:iCs w:val="1"/>
          <w:color w:val="auto"/>
        </w:rPr>
        <w:t xml:space="preserve"> </w:t>
      </w:r>
      <w:r>
        <w:rPr>
          <w:rFonts w:ascii="Arial" w:cs="Arial" w:eastAsia="Arial" w:hAnsi="Arial"/>
          <w:sz w:val="20"/>
          <w:szCs w:val="20"/>
          <w:color w:val="auto"/>
        </w:rPr>
        <w:t>bonuses are paid to active Officers. Bonus payments may be made entirely in cash and will not include an equity component unless approved by the requisite leadership.</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Outplacement</w:t>
      </w:r>
    </w:p>
    <w:p>
      <w:pPr>
        <w:spacing w:after="0" w:line="24"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Reasonable outplacement assistance may be provided up to a maximum cost of $30,000 with the approval of the Chief Personnel Officer.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Officer Perquisites</w:t>
      </w:r>
    </w:p>
    <w:p>
      <w:pPr>
        <w:spacing w:after="0" w:line="24"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Approved Officer perquisites (e.g., financial counseling, will and estate planning, club dues) will be continued for costs incurred up to 60 days prior to departure. Officers who are transitioning from the firm will not be eligible to expense initiation fees or monthly dues that are associated with membership to club that was joined during the transition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Retirement Plans</w:t>
      </w:r>
    </w:p>
    <w:p>
      <w:pPr>
        <w:spacing w:after="0" w:line="24"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In accordance with ECAP terms and provisions, the Officer will remain eligible for normal ECAP contributions and vesting during the transition period. All contributions and vesting will cease upon the Officer’s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Benefits</w:t>
      </w:r>
    </w:p>
    <w:p>
      <w:pPr>
        <w:spacing w:after="0" w:line="24"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Medical insurance, life insurance, and other benefits will continue according to the terms and provisions of the firm's insurance contracts until the date of departure. Upon departure, the Officer may elect conversion or COBRA continuation options, if applicable.</w:t>
      </w:r>
    </w:p>
    <w:p>
      <w:pPr>
        <w:spacing w:after="0" w:line="22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Matters related to equity in Booz Allen Hamilton Holding Corporation from terminated Officers shall be under the authority of the Compensation Committee of the Board of Directors of Booz Allen Hamilton Holding Corporation, and shall be governed generally by the Amended and Restated Stockholders Agreement, applicable Stock Option Agreements and Restricted Stock Agreements, Amended and Restated Equity Incentive Plan (EIP), Rollover Stock Option Agreement, and Officers’ Rollover Stock Plan,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Payments</w:t>
      </w:r>
    </w:p>
    <w:p>
      <w:pPr>
        <w:spacing w:after="0" w:line="24" w:lineRule="exact"/>
        <w:rPr>
          <w:sz w:val="20"/>
          <w:szCs w:val="20"/>
          <w:color w:val="auto"/>
        </w:rPr>
      </w:pPr>
    </w:p>
    <w:p>
      <w:pPr>
        <w:ind w:right="440"/>
        <w:spacing w:after="0" w:line="247" w:lineRule="auto"/>
        <w:rPr>
          <w:sz w:val="20"/>
          <w:szCs w:val="20"/>
          <w:color w:val="auto"/>
        </w:rPr>
      </w:pPr>
      <w:r>
        <w:rPr>
          <w:rFonts w:ascii="Arial" w:cs="Arial" w:eastAsia="Arial" w:hAnsi="Arial"/>
          <w:sz w:val="20"/>
          <w:szCs w:val="20"/>
          <w:color w:val="auto"/>
        </w:rPr>
        <w:t>Any payments and/or reimbursements in addition to those established by these guidelines must be approved by the CEO and Chief Personnel Officer.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 Allocation</w:t>
      </w:r>
    </w:p>
    <w:p>
      <w:pPr>
        <w:spacing w:after="0" w:line="24"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Costs associated with the continuation of work, fringe, and transition benefits are paid by the Officer's business unit. With CEO approval, the points of an Officer in transition status will be carried by Corporate.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5"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10.14</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OFFICER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-104775</wp:posOffset>
            </wp:positionV>
            <wp:extent cx="1132205"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11322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Transition payments and benefits shall be contingent upon the Officer’s execution and non-revocation of a release of claims in the form provided by the firm. Any payment (other than base salary during the Officer’s Transition Period) that would otherwise have been made during such execution and revocation period shall be paid in a lump sum on the first payment date to occur after the release becomes irrevocable, provided that, if such execution and revocation period spans more than one calendar year, no such payments shall be made until the first payroll date in the second calendar year. Failure by an Officer to execute an irrevocable release of claims within the time frame established by the firm will result in the Officer’s forfeiture of all payments and benefits otherwise due under this Policy.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POINTS OF CONTACT AND ADDITIONAL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Any request for variations from this policy must be reviewed and approved by the Chief Personnel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1845945</wp:posOffset>
            </wp:positionV>
            <wp:extent cx="7254875" cy="2032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333333"/>
        </w:rPr>
        <w:t>DISCLAIMER</w:t>
      </w:r>
    </w:p>
    <w:p>
      <w:pPr>
        <w:spacing w:after="0" w:line="187" w:lineRule="exact"/>
        <w:rPr>
          <w:sz w:val="20"/>
          <w:szCs w:val="20"/>
          <w:color w:val="auto"/>
        </w:rPr>
      </w:pPr>
    </w:p>
    <w:p>
      <w:pPr>
        <w:jc w:val="both"/>
        <w:ind w:left="40" w:right="180"/>
        <w:spacing w:after="0" w:line="262" w:lineRule="auto"/>
        <w:rPr>
          <w:sz w:val="20"/>
          <w:szCs w:val="20"/>
          <w:color w:val="auto"/>
        </w:rPr>
      </w:pPr>
      <w:r>
        <w:rPr>
          <w:rFonts w:ascii="Arial" w:cs="Arial" w:eastAsia="Arial" w:hAnsi="Arial"/>
          <w:sz w:val="16"/>
          <w:szCs w:val="16"/>
          <w:color w:val="333333"/>
        </w:rPr>
        <w:t>Please note that this policy and any other firm policies are not a contract and do not create any contractual relationship of any kind between the firm and any of its employees, including without limitation any right to continued employment for any period of time with the firm. Rather, this policy and other firm policies provide general guidance as to the firm's policies and procedures.</w:t>
      </w:r>
    </w:p>
    <w:p>
      <w:pPr>
        <w:spacing w:after="0" w:line="181" w:lineRule="exact"/>
        <w:rPr>
          <w:sz w:val="20"/>
          <w:szCs w:val="20"/>
          <w:color w:val="auto"/>
        </w:rPr>
      </w:pPr>
    </w:p>
    <w:p>
      <w:pPr>
        <w:ind w:left="40" w:right="280"/>
        <w:spacing w:after="0" w:line="278" w:lineRule="auto"/>
        <w:rPr>
          <w:sz w:val="20"/>
          <w:szCs w:val="20"/>
          <w:color w:val="auto"/>
        </w:rPr>
      </w:pPr>
      <w:r>
        <w:rPr>
          <w:rFonts w:ascii="Arial" w:cs="Arial" w:eastAsia="Arial" w:hAnsi="Arial"/>
          <w:sz w:val="16"/>
          <w:szCs w:val="16"/>
          <w:color w:val="333333"/>
        </w:rPr>
        <w:t>All employees are employed at all times "at-will," which means that either the employee or the firm has the right to terminate the employee's employment at any time for any or no reason with or without notice.</w:t>
      </w:r>
    </w:p>
    <w:p>
      <w:pPr>
        <w:spacing w:after="0" w:line="168" w:lineRule="exact"/>
        <w:rPr>
          <w:sz w:val="20"/>
          <w:szCs w:val="20"/>
          <w:color w:val="auto"/>
        </w:rPr>
      </w:pPr>
    </w:p>
    <w:p>
      <w:pPr>
        <w:ind w:left="40" w:right="140"/>
        <w:spacing w:after="0" w:line="257" w:lineRule="auto"/>
        <w:rPr>
          <w:sz w:val="20"/>
          <w:szCs w:val="20"/>
          <w:color w:val="auto"/>
        </w:rPr>
      </w:pPr>
      <w:r>
        <w:rPr>
          <w:rFonts w:ascii="Arial" w:cs="Arial" w:eastAsia="Arial" w:hAnsi="Arial"/>
          <w:sz w:val="16"/>
          <w:szCs w:val="16"/>
          <w:color w:val="333333"/>
        </w:rPr>
        <w:t>The policy applies to all directors, officers, and employees of the firm; the failure of any of these individuals to comply with the policy may result in disciplinary action up to and including termination of employment. In accordance with the Code of Business Ethics and Conduct (Green Book), all such individuals also are obligated to report any observed or reasonably suspected violations of this policy. The firm's non-retaliation policy applies to anyone making a report and is strictly enforced.</w:t>
      </w:r>
    </w:p>
    <w:p>
      <w:pPr>
        <w:spacing w:after="0" w:line="184" w:lineRule="exact"/>
        <w:rPr>
          <w:sz w:val="20"/>
          <w:szCs w:val="20"/>
          <w:color w:val="auto"/>
        </w:rPr>
      </w:pPr>
    </w:p>
    <w:p>
      <w:pPr>
        <w:jc w:val="both"/>
        <w:ind w:left="40" w:right="80"/>
        <w:spacing w:after="0" w:line="260" w:lineRule="auto"/>
        <w:rPr>
          <w:sz w:val="20"/>
          <w:szCs w:val="20"/>
          <w:color w:val="auto"/>
        </w:rPr>
      </w:pPr>
      <w:r>
        <w:rPr>
          <w:rFonts w:ascii="Arial" w:cs="Arial" w:eastAsia="Arial" w:hAnsi="Arial"/>
          <w:sz w:val="16"/>
          <w:szCs w:val="16"/>
          <w:color w:val="333333"/>
        </w:rPr>
        <w:t>This policy is proprietary and confidential. The firm reserves the right to change, amend, or discontinue any or all of its policies and procedures, at any time in its discretion with or without notice. This policy supersedes any and all previous such firm policies that may at any time have been applicable to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4"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This Restricted Stock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the Grant Date, between Booz Allen Hamilton Holding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(the “</w:t>
      </w:r>
      <w:r>
        <w:rPr>
          <w:rFonts w:ascii="Arial" w:cs="Arial" w:eastAsia="Arial" w:hAnsi="Arial"/>
          <w:sz w:val="21"/>
          <w:szCs w:val="21"/>
          <w:u w:val="single" w:color="auto"/>
          <w:color w:val="auto"/>
        </w:rPr>
        <w:t>Participant</w:t>
      </w:r>
      <w:r>
        <w:rPr>
          <w:rFonts w:ascii="Arial" w:cs="Arial" w:eastAsia="Arial" w:hAnsi="Arial"/>
          <w:sz w:val="21"/>
          <w:szCs w:val="21"/>
          <w:color w:val="auto"/>
        </w:rPr>
        <w:t>”), is being entered into pursuant to the Second Amended and Restated Equity Incentive Plan of Booz Allen Hamilton Holding Corporation (the “</w:t>
      </w:r>
      <w:r>
        <w:rPr>
          <w:rFonts w:ascii="Arial" w:cs="Arial" w:eastAsia="Arial" w:hAnsi="Arial"/>
          <w:sz w:val="21"/>
          <w:szCs w:val="21"/>
          <w:u w:val="single" w:color="auto"/>
          <w:color w:val="auto"/>
        </w:rPr>
        <w:t>Plan</w:t>
      </w:r>
      <w:r>
        <w:rPr>
          <w:rFonts w:ascii="Arial" w:cs="Arial" w:eastAsia="Arial" w:hAnsi="Arial"/>
          <w:sz w:val="21"/>
          <w:szCs w:val="21"/>
          <w:color w:val="auto"/>
        </w:rPr>
        <w:t>”). Capitalized terms used herein without definition have the meaning given in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Grant of Restricted Shares</w:t>
      </w:r>
      <w:r>
        <w:rPr>
          <w:rFonts w:ascii="Arial" w:cs="Arial" w:eastAsia="Arial" w:hAnsi="Arial"/>
          <w:sz w:val="19"/>
          <w:szCs w:val="19"/>
          <w:color w:val="auto"/>
        </w:rPr>
        <w:t>. Subject to the terms and conditions of this Agreement and the Plan, the Company hereby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evidences and confirms its grant to the Participant, effective as of the Grant Date a number of shares of restricted stock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Shares</w:t>
      </w:r>
      <w:r>
        <w:rPr>
          <w:rFonts w:ascii="Arial" w:cs="Arial" w:eastAsia="Arial" w:hAnsi="Arial"/>
          <w:sz w:val="19"/>
          <w:szCs w:val="19"/>
          <w:color w:val="auto"/>
        </w:rPr>
        <w:t>”). Upon grant, the Company shall record the Restricted Shares in the books and records of the Company or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certificate of Shares will be issued, which entry or certificate shall bear the legends set forth in Section 5(b). Any certificate issued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 respect of the Restricted Shares will be delivered on behalf of the Participant to the Secretary of the Company, to be held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custody until the later of the date (</w:t>
      </w:r>
      <w:r>
        <w:rPr>
          <w:rFonts w:ascii="Arial" w:cs="Arial" w:eastAsia="Arial" w:hAnsi="Arial"/>
          <w:sz w:val="19"/>
          <w:szCs w:val="19"/>
          <w:u w:val="single" w:color="auto"/>
          <w:color w:val="auto"/>
        </w:rPr>
        <w:t>i</w:t>
      </w:r>
      <w:r>
        <w:rPr>
          <w:rFonts w:ascii="Arial" w:cs="Arial" w:eastAsia="Arial" w:hAnsi="Arial"/>
          <w:sz w:val="19"/>
          <w:szCs w:val="19"/>
          <w:color w:val="auto"/>
        </w:rPr>
        <w:t>) they become vested in accordance with Section 3(a) and (</w:t>
      </w:r>
      <w:r>
        <w:rPr>
          <w:rFonts w:ascii="Arial" w:cs="Arial" w:eastAsia="Arial" w:hAnsi="Arial"/>
          <w:sz w:val="19"/>
          <w:szCs w:val="19"/>
          <w:u w:val="single" w:color="auto"/>
          <w:color w:val="auto"/>
        </w:rPr>
        <w:t>ii</w:t>
      </w:r>
      <w:r>
        <w:rPr>
          <w:rFonts w:ascii="Arial" w:cs="Arial" w:eastAsia="Arial" w:hAnsi="Arial"/>
          <w:sz w:val="19"/>
          <w:szCs w:val="19"/>
          <w:color w:val="auto"/>
        </w:rPr>
        <w:t>) the Participant requests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instrument from the Company.</w:t>
      </w:r>
    </w:p>
    <w:p>
      <w:pPr>
        <w:spacing w:after="0" w:line="20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u w:val="single" w:color="auto"/>
          <w:color w:val="auto"/>
        </w:rPr>
        <w:t>Forfeiture Risk</w:t>
      </w:r>
      <w:r>
        <w:rPr>
          <w:rFonts w:ascii="Arial" w:cs="Arial" w:eastAsia="Arial" w:hAnsi="Arial"/>
          <w:sz w:val="19"/>
          <w:szCs w:val="19"/>
          <w:color w:val="auto"/>
        </w:rPr>
        <w:t>. The Participant hereby (</w:t>
      </w:r>
      <w:r>
        <w:rPr>
          <w:rFonts w:ascii="Arial" w:cs="Arial" w:eastAsia="Arial" w:hAnsi="Arial"/>
          <w:sz w:val="19"/>
          <w:szCs w:val="19"/>
          <w:u w:val="single" w:color="auto"/>
          <w:color w:val="auto"/>
        </w:rPr>
        <w:t>i</w:t>
      </w:r>
      <w:r>
        <w:rPr>
          <w:rFonts w:ascii="Arial" w:cs="Arial" w:eastAsia="Arial" w:hAnsi="Arial"/>
          <w:sz w:val="19"/>
          <w:szCs w:val="19"/>
          <w:color w:val="auto"/>
        </w:rPr>
        <w:t>) appoints the Company as the limited attorney-in-fact of the Participant to take such actions as may be necessary or appropriate solely to effectuate a transfer of the record ownership of any such shares that are unvested and forfeited hereunder and (</w:t>
      </w:r>
      <w:r>
        <w:rPr>
          <w:rFonts w:ascii="Arial" w:cs="Arial" w:eastAsia="Arial" w:hAnsi="Arial"/>
          <w:sz w:val="19"/>
          <w:szCs w:val="19"/>
          <w:u w:val="single" w:color="auto"/>
          <w:color w:val="auto"/>
        </w:rPr>
        <w:t>ii</w:t>
      </w:r>
      <w:r>
        <w:rPr>
          <w:rFonts w:ascii="Arial" w:cs="Arial" w:eastAsia="Arial" w:hAnsi="Arial"/>
          <w:sz w:val="19"/>
          <w:szCs w:val="19"/>
          <w:color w:val="auto"/>
        </w:rPr>
        <w:t>) agrees to sign such stock powers and take such other actions as the Company may reasonably request to accomplish the transfer of any unvested Restricted Shares that are forfeited hereunder. The Company does hereby indemnify and hold harmless the Participant from any wrongful use of the power of attorney granted above.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of Restricted Shares</w:t>
      </w:r>
      <w:r>
        <w:rPr>
          <w:rFonts w:ascii="Arial" w:cs="Arial" w:eastAsia="Arial" w:hAnsi="Arial"/>
          <w:sz w:val="22"/>
          <w:szCs w:val="22"/>
          <w:color w:val="auto"/>
        </w:rPr>
        <w:t>.</w:t>
      </w:r>
    </w:p>
    <w:p>
      <w:pPr>
        <w:spacing w:after="0" w:line="220" w:lineRule="exact"/>
        <w:rPr>
          <w:sz w:val="20"/>
          <w:szCs w:val="20"/>
          <w:color w:val="auto"/>
        </w:rPr>
      </w:pPr>
    </w:p>
    <w:p>
      <w:pPr>
        <w:ind w:right="80" w:firstLine="656"/>
        <w:spacing w:after="0" w:line="260" w:lineRule="auto"/>
        <w:tabs>
          <w:tab w:leader="none" w:pos="1122" w:val="left"/>
        </w:tabs>
        <w:numPr>
          <w:ilvl w:val="0"/>
          <w:numId w:val="490"/>
        </w:numPr>
        <w:rPr>
          <w:rFonts w:ascii="Arial" w:cs="Arial" w:eastAsia="Arial" w:hAnsi="Arial"/>
          <w:sz w:val="22"/>
          <w:szCs w:val="22"/>
          <w:color w:val="auto"/>
        </w:rPr>
      </w:pPr>
      <w:r>
        <w:rPr>
          <w:rFonts w:ascii="Arial" w:cs="Arial" w:eastAsia="Arial" w:hAnsi="Arial"/>
          <w:sz w:val="22"/>
          <w:szCs w:val="22"/>
          <w:u w:val="single" w:color="auto"/>
          <w:color w:val="auto"/>
        </w:rPr>
        <w:t>Restricted Period</w:t>
      </w:r>
      <w:r>
        <w:rPr>
          <w:rFonts w:ascii="Arial" w:cs="Arial" w:eastAsia="Arial" w:hAnsi="Arial"/>
          <w:sz w:val="22"/>
          <w:szCs w:val="22"/>
          <w:color w:val="auto"/>
        </w:rPr>
        <w:t>. Subject to the continued service of the Participant as a Director of the Company through the applicable vesting date, the Restricted Shares granted pursuant to this Agreement shall vest as provided on the Fidelity NetBenefits website at www.netbenefits.com.</w:t>
      </w:r>
    </w:p>
    <w:p>
      <w:pPr>
        <w:spacing w:after="0" w:line="177" w:lineRule="exact"/>
        <w:rPr>
          <w:rFonts w:ascii="Arial" w:cs="Arial" w:eastAsia="Arial" w:hAnsi="Arial"/>
          <w:sz w:val="22"/>
          <w:szCs w:val="22"/>
          <w:color w:val="auto"/>
        </w:rPr>
      </w:pPr>
    </w:p>
    <w:p>
      <w:pPr>
        <w:ind w:right="580" w:firstLine="656"/>
        <w:spacing w:after="0" w:line="260" w:lineRule="auto"/>
        <w:tabs>
          <w:tab w:leader="none" w:pos="1134" w:val="left"/>
        </w:tabs>
        <w:numPr>
          <w:ilvl w:val="0"/>
          <w:numId w:val="49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anything contained in this Agreement to the contrary, if the Participant’s service as a director of the Company terminates for any reason prior to the applicable vesting date, any unvested Restricted Shares shall be forfeited.</w:t>
      </w:r>
    </w:p>
    <w:p>
      <w:pPr>
        <w:spacing w:after="0" w:line="177"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Unvested Restricted Shares may not be transferred, other than by will or by the laws of descent and distribution and provided that the deceased Participant’s beneficiary or the representative of his or her estate acknowledges</w:t>
      </w:r>
    </w:p>
    <w:p>
      <w:pPr>
        <w:sectPr>
          <w:pgSz w:w="11900" w:h="16838" w:orient="portrait"/>
          <w:cols w:equalWidth="0" w:num="1">
            <w:col w:w="11420"/>
          </w:cols>
          <w:pgMar w:left="240" w:top="135" w:right="239" w:bottom="1440" w:gutter="0" w:footer="0" w:header="0"/>
        </w:sectPr>
      </w:pPr>
    </w:p>
    <w:bookmarkStart w:id="314" w:name="page315"/>
    <w:bookmarkEnd w:id="314"/>
    <w:p>
      <w:pPr>
        <w:ind w:right="840"/>
        <w:spacing w:after="0" w:line="263" w:lineRule="auto"/>
        <w:rPr>
          <w:sz w:val="20"/>
          <w:szCs w:val="20"/>
          <w:color w:val="auto"/>
        </w:rPr>
      </w:pPr>
      <w:r>
        <w:rPr>
          <w:rFonts w:ascii="Arial" w:cs="Arial" w:eastAsia="Arial" w:hAnsi="Arial"/>
          <w:sz w:val="22"/>
          <w:szCs w:val="22"/>
          <w:color w:val="auto"/>
        </w:rPr>
        <w:t>and agrees in writing, in a form reasonably acceptable to the Company, to be bound by the provisions of the Plan and this Agreement as if such beneficiary or estate were the Participant.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94" w:lineRule="auto"/>
        <w:tabs>
          <w:tab w:leader="none" w:pos="1122" w:val="left"/>
        </w:tabs>
        <w:numPr>
          <w:ilvl w:val="0"/>
          <w:numId w:val="491"/>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a</w:t>
      </w:r>
      <w:r>
        <w:rPr>
          <w:rFonts w:ascii="Arial" w:cs="Arial" w:eastAsia="Arial" w:hAnsi="Arial"/>
          <w:sz w:val="19"/>
          <w:szCs w:val="19"/>
          <w:color w:val="auto"/>
        </w:rPr>
        <w:t>) materially conflict with or result in a material violation or breach of any term or provision of any Law applicable to either Participant or the Restricted Shares or, (</w:t>
      </w:r>
      <w:r>
        <w:rPr>
          <w:rFonts w:ascii="Arial" w:cs="Arial" w:eastAsia="Arial" w:hAnsi="Arial"/>
          <w:sz w:val="19"/>
          <w:szCs w:val="19"/>
          <w:u w:val="single" w:color="auto"/>
          <w:color w:val="auto"/>
        </w:rPr>
        <w:t>b</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152" w:lineRule="exact"/>
        <w:rPr>
          <w:rFonts w:ascii="Arial" w:cs="Arial" w:eastAsia="Arial" w:hAnsi="Arial"/>
          <w:sz w:val="19"/>
          <w:szCs w:val="19"/>
          <w:color w:val="auto"/>
        </w:rPr>
      </w:pPr>
    </w:p>
    <w:p>
      <w:pPr>
        <w:ind w:right="420" w:firstLine="656"/>
        <w:spacing w:after="0" w:line="276" w:lineRule="auto"/>
        <w:tabs>
          <w:tab w:leader="none" w:pos="1134" w:val="left"/>
        </w:tabs>
        <w:numPr>
          <w:ilvl w:val="0"/>
          <w:numId w:val="49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The Participant acknowledges and agrees that the Restricted Shares received hereby and represented by physical certificate(s) will bear the following legend (or one to substantially similar effect):</w:t>
      </w:r>
    </w:p>
    <w:p>
      <w:pPr>
        <w:spacing w:after="0" w:line="377" w:lineRule="exact"/>
        <w:rPr>
          <w:sz w:val="20"/>
          <w:szCs w:val="20"/>
          <w:color w:val="auto"/>
        </w:rPr>
      </w:pPr>
    </w:p>
    <w:p>
      <w:pPr>
        <w:ind w:left="1300" w:right="40"/>
        <w:spacing w:after="0" w:line="286" w:lineRule="auto"/>
        <w:rPr>
          <w:sz w:val="20"/>
          <w:szCs w:val="20"/>
          <w:color w:val="auto"/>
        </w:rPr>
      </w:pPr>
      <w:r>
        <w:rPr>
          <w:rFonts w:ascii="Arial" w:cs="Arial" w:eastAsia="Arial" w:hAnsi="Arial"/>
          <w:sz w:val="19"/>
          <w:szCs w:val="19"/>
          <w:color w:val="auto"/>
        </w:rPr>
        <w:t>“THE SECURITIES REPRESENTED HEREBY ARE SUBJECT TO ADDITIONAL RESTRICTIONS ON TRANSFER AND CERTAIN OTHER AGREEMENTS SET FORTH IN THE SECOND AMENDED AND RESTATED EQUITY INCENTIVE PLAN OF BOOZ ALLEN HAMILTON HOLDING CORPORATION AND A RESTRICTED STOCK AGREEMENT BETWEEN THE ISSUER AND THE HOLDER OF THIS CERTIFICATE</w:t>
      </w:r>
    </w:p>
    <w:p>
      <w:pPr>
        <w:spacing w:after="0" w:line="3" w:lineRule="exact"/>
        <w:rPr>
          <w:sz w:val="20"/>
          <w:szCs w:val="20"/>
          <w:color w:val="auto"/>
        </w:rPr>
      </w:pPr>
    </w:p>
    <w:p>
      <w:pPr>
        <w:ind w:left="1300" w:right="800"/>
        <w:spacing w:after="0" w:line="270" w:lineRule="auto"/>
        <w:rPr>
          <w:sz w:val="20"/>
          <w:szCs w:val="20"/>
          <w:color w:val="auto"/>
        </w:rPr>
      </w:pPr>
      <w:r>
        <w:rPr>
          <w:rFonts w:ascii="Arial" w:cs="Arial" w:eastAsia="Arial" w:hAnsi="Arial"/>
          <w:sz w:val="21"/>
          <w:szCs w:val="21"/>
          <w:color w:val="auto"/>
        </w:rPr>
        <w:t>DATED AS OF . A COPY OF SUCH PLAN AND AGREEMENT SHALL BE FURNISHED WITHOUT CHARGE BY THE ISSUER TO THE HOLDER HEREOF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-213360</wp:posOffset>
            </wp:positionV>
            <wp:extent cx="6858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48" w:lineRule="exact"/>
        <w:rPr>
          <w:sz w:val="20"/>
          <w:szCs w:val="20"/>
          <w:color w:val="auto"/>
        </w:rPr>
      </w:pPr>
    </w:p>
    <w:p>
      <w:pPr>
        <w:ind w:right="420" w:firstLine="656"/>
        <w:spacing w:after="0" w:line="358" w:lineRule="auto"/>
        <w:tabs>
          <w:tab w:leader="none" w:pos="1122" w:val="left"/>
        </w:tabs>
        <w:numPr>
          <w:ilvl w:val="0"/>
          <w:numId w:val="492"/>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of the Restricted Shares are to be disposed of in accordance with Rule 144, the Participant shall transmit to the Company an executed copy of Form 144 (if required by Rule 144) no later than</w:t>
      </w:r>
    </w:p>
    <w:p>
      <w:pPr>
        <w:spacing w:after="0" w:line="90" w:lineRule="exact"/>
        <w:rPr>
          <w:rFonts w:ascii="Arial" w:cs="Arial" w:eastAsia="Arial" w:hAnsi="Arial"/>
          <w:sz w:val="19"/>
          <w:szCs w:val="19"/>
          <w:color w:val="auto"/>
        </w:rPr>
      </w:pPr>
    </w:p>
    <w:p>
      <w:pPr>
        <w:ind w:right="420" w:firstLine="656"/>
        <w:spacing w:after="0" w:line="358" w:lineRule="auto"/>
        <w:tabs>
          <w:tab w:leader="none" w:pos="1080" w:val="left"/>
        </w:tabs>
        <w:numPr>
          <w:ilvl w:val="0"/>
          <w:numId w:val="492"/>
        </w:numPr>
        <w:rPr>
          <w:rFonts w:ascii="Arial" w:cs="Arial" w:eastAsia="Arial" w:hAnsi="Arial"/>
          <w:sz w:val="19"/>
          <w:szCs w:val="19"/>
          <w:color w:val="auto"/>
        </w:rPr>
      </w:pPr>
      <w:r>
        <w:rPr>
          <w:rFonts w:ascii="Arial" w:cs="Arial" w:eastAsia="Arial" w:hAnsi="Arial"/>
          <w:sz w:val="19"/>
          <w:szCs w:val="19"/>
          <w:color w:val="auto"/>
        </w:rPr>
        <w:t>the time such form is required to be transmitted to the Commission for filing and such other documentation as the Company may reasonably require to assure compliance with Rule 144 in connection with such disposition.</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40" w:top="374" w:right="319" w:bottom="1440" w:gutter="0" w:footer="0" w:header="0"/>
        </w:sectPr>
      </w:pPr>
    </w:p>
    <w:bookmarkStart w:id="315" w:name="page316"/>
    <w:bookmarkEnd w:id="315"/>
    <w:p>
      <w:pPr>
        <w:ind w:right="500" w:firstLine="656"/>
        <w:spacing w:after="0" w:line="276" w:lineRule="auto"/>
        <w:tabs>
          <w:tab w:leader="none" w:pos="1122" w:val="left"/>
        </w:tabs>
        <w:numPr>
          <w:ilvl w:val="0"/>
          <w:numId w:val="493"/>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or director of the Company or a Subsidiary.</w:t>
      </w:r>
    </w:p>
    <w:p>
      <w:pPr>
        <w:spacing w:after="0" w:line="160" w:lineRule="exact"/>
        <w:rPr>
          <w:rFonts w:ascii="Arial" w:cs="Arial" w:eastAsia="Arial" w:hAnsi="Arial"/>
          <w:sz w:val="22"/>
          <w:szCs w:val="22"/>
          <w:color w:val="auto"/>
        </w:rPr>
      </w:pPr>
    </w:p>
    <w:p>
      <w:pPr>
        <w:ind w:firstLine="656"/>
        <w:spacing w:after="0" w:line="300" w:lineRule="auto"/>
        <w:tabs>
          <w:tab w:leader="none" w:pos="1098" w:val="left"/>
        </w:tabs>
        <w:numPr>
          <w:ilvl w:val="0"/>
          <w:numId w:val="493"/>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The Participant agrees that, within 20 days of the date of this Agreement, the Participant shall give notice to the Company as to whether or not the Participant has made an election pursuant to Section 83(b) of the Internal Revenue Code of 1986, as amended, with respect to the Restricted Shares acquired hereunder (an “</w:t>
      </w:r>
      <w:r>
        <w:rPr>
          <w:rFonts w:ascii="Arial" w:cs="Arial" w:eastAsia="Arial" w:hAnsi="Arial"/>
          <w:sz w:val="19"/>
          <w:szCs w:val="19"/>
          <w:u w:val="single" w:color="auto"/>
          <w:color w:val="auto"/>
        </w:rPr>
        <w:t>83(b) election</w:t>
      </w:r>
      <w:r>
        <w:rPr>
          <w:rFonts w:ascii="Arial" w:cs="Arial" w:eastAsia="Arial" w:hAnsi="Arial"/>
          <w:sz w:val="19"/>
          <w:szCs w:val="19"/>
          <w:color w:val="auto"/>
        </w:rPr>
        <w:t>”). Any such 83(b) election shall use as the value of the Restricted Shares the Fair Market Value of the Restricted Shares on the Grant Date determined as provided in the Plan, and the Participant shall take a consistent position on the Participant’s tax returns.</w:t>
      </w:r>
    </w:p>
    <w:p>
      <w:pPr>
        <w:spacing w:after="0" w:line="14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u w:val="single" w:color="auto"/>
          <w:color w:val="auto"/>
        </w:rPr>
        <w:t>Dividends, etc</w:t>
      </w:r>
      <w:r>
        <w:rPr>
          <w:rFonts w:ascii="Arial" w:cs="Arial" w:eastAsia="Arial" w:hAnsi="Arial"/>
          <w:sz w:val="22"/>
          <w:szCs w:val="22"/>
          <w:color w:val="auto"/>
        </w:rPr>
        <w:t>. The Participant shall be entitled to (</w:t>
      </w:r>
      <w:r>
        <w:rPr>
          <w:rFonts w:ascii="Arial" w:cs="Arial" w:eastAsia="Arial" w:hAnsi="Arial"/>
          <w:sz w:val="22"/>
          <w:szCs w:val="22"/>
          <w:u w:val="single" w:color="auto"/>
          <w:color w:val="auto"/>
        </w:rPr>
        <w:t>i</w:t>
      </w:r>
      <w:r>
        <w:rPr>
          <w:rFonts w:ascii="Arial" w:cs="Arial" w:eastAsia="Arial" w:hAnsi="Arial"/>
          <w:sz w:val="22"/>
          <w:szCs w:val="22"/>
          <w:color w:val="auto"/>
        </w:rPr>
        <w:t>) receive all dividends or other distributions at the time (and in the same calendar year as) such dividends or distributions are paid with respect to those vested and unvested Restricted Shares of which the Participant is the record owner on the record date for such dividend or other distribution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vote any Restricted Shares of which the Participant is the record owner on the record date for such vote;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property (other than cash) distributed with respect to a Restricted Share (the “</w:t>
      </w:r>
      <w:r>
        <w:rPr>
          <w:rFonts w:ascii="Arial" w:cs="Arial" w:eastAsia="Arial" w:hAnsi="Arial"/>
          <w:sz w:val="22"/>
          <w:szCs w:val="22"/>
          <w:u w:val="single" w:color="auto"/>
          <w:color w:val="auto"/>
        </w:rPr>
        <w:t>Associated Share</w:t>
      </w:r>
      <w:r>
        <w:rPr>
          <w:rFonts w:ascii="Arial" w:cs="Arial" w:eastAsia="Arial" w:hAnsi="Arial"/>
          <w:sz w:val="22"/>
          <w:szCs w:val="22"/>
          <w:color w:val="auto"/>
        </w:rPr>
        <w:t>”) acquired hereunder, including without limitation a distribution of Restricted Shares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right="140" w:firstLine="656"/>
        <w:spacing w:after="0" w:line="260" w:lineRule="auto"/>
        <w:tabs>
          <w:tab w:leader="none" w:pos="1122" w:val="left"/>
        </w:tabs>
        <w:numPr>
          <w:ilvl w:val="0"/>
          <w:numId w:val="494"/>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xml:space="preserve">. Whenever any cash or other payment is to be made hereunder or with respect to the Restricted Shares, the Company or any Subsidiary shall have the power to withhold an amount (in cash or in Common Stock granted hereunder upon vesting) sufficient to satisfy federal, state, and local withholding tax requirements relating to such transaction and the Company or such Subsidiary may defer the payment of cash or other payment until such requirements are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Participant shall be responsible for all withholding taxes and other tax consequences of this award of Restricted Shares.</w:t>
      </w:r>
    </w:p>
    <w:p>
      <w:pPr>
        <w:spacing w:after="0" w:line="184" w:lineRule="exact"/>
        <w:rPr>
          <w:rFonts w:ascii="Arial" w:cs="Arial" w:eastAsia="Arial" w:hAnsi="Arial"/>
          <w:sz w:val="21"/>
          <w:szCs w:val="21"/>
          <w:color w:val="auto"/>
        </w:rPr>
      </w:pPr>
    </w:p>
    <w:p>
      <w:pPr>
        <w:ind w:firstLine="656"/>
        <w:spacing w:after="0" w:line="276" w:lineRule="auto"/>
        <w:tabs>
          <w:tab w:leader="none" w:pos="1134" w:val="left"/>
        </w:tabs>
        <w:numPr>
          <w:ilvl w:val="0"/>
          <w:numId w:val="494"/>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in the Plan or this Agreement shall interfere with or limit in any way the right of the Company or any of its Subsidiaries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4" w:right="259" w:bottom="1440" w:gutter="0" w:footer="0" w:header="0"/>
        </w:sectPr>
      </w:pPr>
    </w:p>
    <w:bookmarkStart w:id="316" w:name="page317"/>
    <w:bookmarkEnd w:id="316"/>
    <w:p>
      <w:pPr>
        <w:ind w:right="40"/>
        <w:spacing w:after="0" w:line="263" w:lineRule="auto"/>
        <w:rPr>
          <w:sz w:val="20"/>
          <w:szCs w:val="20"/>
          <w:color w:val="auto"/>
        </w:rPr>
      </w:pPr>
      <w:r>
        <w:rPr>
          <w:rFonts w:ascii="Arial" w:cs="Arial" w:eastAsia="Arial" w:hAnsi="Arial"/>
          <w:sz w:val="22"/>
          <w:szCs w:val="22"/>
          <w:color w:val="auto"/>
        </w:rPr>
        <w:t>to terminate the Participant’s service as a member of the Board at any time, or confer upon the Participant any right to continue as a member of the Board.</w:t>
      </w:r>
    </w:p>
    <w:p>
      <w:pPr>
        <w:spacing w:after="0" w:line="175" w:lineRule="exact"/>
        <w:rPr>
          <w:sz w:val="20"/>
          <w:szCs w:val="20"/>
          <w:color w:val="auto"/>
        </w:rPr>
      </w:pPr>
    </w:p>
    <w:p>
      <w:pPr>
        <w:ind w:right="40" w:firstLine="656"/>
        <w:spacing w:after="0" w:line="270" w:lineRule="auto"/>
        <w:tabs>
          <w:tab w:leader="none" w:pos="1122" w:val="left"/>
        </w:tabs>
        <w:numPr>
          <w:ilvl w:val="0"/>
          <w:numId w:val="495"/>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69" w:lineRule="exact"/>
        <w:rPr>
          <w:rFonts w:ascii="Arial" w:cs="Arial" w:eastAsia="Arial" w:hAnsi="Arial"/>
          <w:sz w:val="21"/>
          <w:szCs w:val="21"/>
          <w:color w:val="auto"/>
        </w:rPr>
      </w:pPr>
    </w:p>
    <w:p>
      <w:pPr>
        <w:ind w:right="40" w:firstLine="656"/>
        <w:spacing w:after="0" w:line="276" w:lineRule="auto"/>
        <w:tabs>
          <w:tab w:leader="none" w:pos="1134"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160" w:lineRule="exact"/>
        <w:rPr>
          <w:rFonts w:ascii="Arial" w:cs="Arial" w:eastAsia="Arial" w:hAnsi="Arial"/>
          <w:sz w:val="22"/>
          <w:szCs w:val="22"/>
          <w:color w:val="auto"/>
        </w:rPr>
      </w:pPr>
    </w:p>
    <w:p>
      <w:pPr>
        <w:ind w:right="160" w:firstLine="656"/>
        <w:spacing w:after="0" w:line="254" w:lineRule="auto"/>
        <w:tabs>
          <w:tab w:leader="none" w:pos="1122"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185" w:lineRule="exact"/>
        <w:rPr>
          <w:rFonts w:ascii="Arial" w:cs="Arial" w:eastAsia="Arial" w:hAnsi="Arial"/>
          <w:sz w:val="22"/>
          <w:szCs w:val="22"/>
          <w:color w:val="auto"/>
        </w:rPr>
      </w:pPr>
    </w:p>
    <w:p>
      <w:pPr>
        <w:jc w:val="both"/>
        <w:ind w:right="560" w:firstLine="656"/>
        <w:spacing w:after="0" w:line="260" w:lineRule="auto"/>
        <w:tabs>
          <w:tab w:leader="none" w:pos="1098"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construed in accordance with and governed by the laws of the State of Delaware, without reference to principles of conflict of laws which would give rise to the applicable of the substantive law of another jurisdiction.</w:t>
      </w:r>
    </w:p>
    <w:p>
      <w:pPr>
        <w:spacing w:after="0" w:line="177" w:lineRule="exact"/>
        <w:rPr>
          <w:rFonts w:ascii="Arial" w:cs="Arial" w:eastAsia="Arial" w:hAnsi="Arial"/>
          <w:sz w:val="22"/>
          <w:szCs w:val="22"/>
          <w:color w:val="auto"/>
        </w:rPr>
      </w:pPr>
    </w:p>
    <w:p>
      <w:pPr>
        <w:ind w:right="20" w:firstLine="656"/>
        <w:spacing w:after="0" w:line="260" w:lineRule="auto"/>
        <w:tabs>
          <w:tab w:leader="none" w:pos="1134"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77" w:lineRule="exact"/>
        <w:rPr>
          <w:rFonts w:ascii="Arial" w:cs="Arial" w:eastAsia="Arial" w:hAnsi="Arial"/>
          <w:sz w:val="22"/>
          <w:szCs w:val="22"/>
          <w:color w:val="auto"/>
        </w:rPr>
      </w:pPr>
    </w:p>
    <w:p>
      <w:pPr>
        <w:ind w:firstLine="656"/>
        <w:spacing w:after="0" w:line="254" w:lineRule="auto"/>
        <w:tabs>
          <w:tab w:leader="none" w:pos="1134"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Consent to Electronic Delivery</w:t>
      </w:r>
      <w:r>
        <w:rPr>
          <w:rFonts w:ascii="Arial" w:cs="Arial" w:eastAsia="Arial" w:hAnsi="Arial"/>
          <w:sz w:val="22"/>
          <w:szCs w:val="22"/>
          <w:color w:val="auto"/>
        </w:rPr>
        <w:t>. By executing this Agreement, the Participant hereby consents to the delivery of information (including, without limitation, information required to be delivered to the Participant pursuant to applicable securities laws) regarding the Company and the Subsidiaries, the Plan, and the Restricted Shares via the Company web site or other electronic delivery.</w:t>
      </w:r>
    </w:p>
    <w:p>
      <w:pPr>
        <w:spacing w:after="0" w:line="185" w:lineRule="exact"/>
        <w:rPr>
          <w:rFonts w:ascii="Arial" w:cs="Arial" w:eastAsia="Arial" w:hAnsi="Arial"/>
          <w:sz w:val="22"/>
          <w:szCs w:val="22"/>
          <w:color w:val="auto"/>
        </w:rPr>
      </w:pPr>
    </w:p>
    <w:p>
      <w:pPr>
        <w:ind w:right="760" w:firstLine="656"/>
        <w:spacing w:after="0" w:line="276" w:lineRule="auto"/>
        <w:tabs>
          <w:tab w:leader="none" w:pos="1086"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Section and Other Headings, etc</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160" w:lineRule="exact"/>
        <w:rPr>
          <w:rFonts w:ascii="Arial" w:cs="Arial" w:eastAsia="Arial" w:hAnsi="Arial"/>
          <w:sz w:val="22"/>
          <w:szCs w:val="22"/>
          <w:color w:val="auto"/>
        </w:rPr>
      </w:pPr>
    </w:p>
    <w:p>
      <w:pPr>
        <w:jc w:val="both"/>
        <w:ind w:right="280" w:firstLine="656"/>
        <w:spacing w:after="0" w:line="260" w:lineRule="auto"/>
        <w:tabs>
          <w:tab w:leader="none" w:pos="1086" w:val="left"/>
        </w:tabs>
        <w:numPr>
          <w:ilvl w:val="0"/>
          <w:numId w:val="49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claims, demands and other communications hereunder shall be in writing and shall be given or made (and shall be deemed to have been duly given or made upon receipt) by delivery in person, by courier service, by cable, by facsimile, by telegram, by telex or by registered or certified mail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317" w:name="page318"/>
    <w:bookmarkEnd w:id="317"/>
    <w:p>
      <w:pPr>
        <w:spacing w:after="0" w:line="263" w:lineRule="auto"/>
        <w:rPr>
          <w:sz w:val="20"/>
          <w:szCs w:val="20"/>
          <w:color w:val="auto"/>
        </w:rPr>
      </w:pPr>
      <w:r>
        <w:rPr>
          <w:rFonts w:ascii="Arial" w:cs="Arial" w:eastAsia="Arial" w:hAnsi="Arial"/>
          <w:sz w:val="22"/>
          <w:szCs w:val="22"/>
          <w:color w:val="auto"/>
        </w:rPr>
        <w:t xml:space="preserve">(postage prepaid, return receipt requested)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 7(j)</w:t>
      </w:r>
      <w:r>
        <w:rPr>
          <w:rFonts w:ascii="Arial" w:cs="Arial" w:eastAsia="Arial" w:hAnsi="Arial"/>
          <w:sz w:val="22"/>
          <w:szCs w:val="22"/>
          <w:color w:val="auto"/>
        </w:rPr>
        <w:t>):</w:t>
      </w:r>
    </w:p>
    <w:p>
      <w:pPr>
        <w:spacing w:after="0" w:line="175"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if to the Company:</w:t>
      </w:r>
    </w:p>
    <w:p>
      <w:pPr>
        <w:spacing w:after="0" w:line="200" w:lineRule="exact"/>
        <w:rPr>
          <w:sz w:val="20"/>
          <w:szCs w:val="20"/>
          <w:color w:val="auto"/>
        </w:rPr>
      </w:pPr>
    </w:p>
    <w:p>
      <w:pPr>
        <w:spacing w:after="0" w:line="24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Booz Allen Hamilton Holding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8283 Greensboro Drive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McLean, Virginia 22102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Law Department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(703) 902-3580</w:t>
      </w:r>
    </w:p>
    <w:p>
      <w:pPr>
        <w:spacing w:after="0" w:line="215" w:lineRule="exact"/>
        <w:rPr>
          <w:sz w:val="20"/>
          <w:szCs w:val="20"/>
          <w:color w:val="auto"/>
        </w:rPr>
      </w:pPr>
    </w:p>
    <w:p>
      <w:pPr>
        <w:ind w:left="1740" w:hanging="435"/>
        <w:spacing w:after="0"/>
        <w:tabs>
          <w:tab w:leader="none" w:pos="1740" w:val="left"/>
        </w:tabs>
        <w:numPr>
          <w:ilvl w:val="0"/>
          <w:numId w:val="496"/>
        </w:numPr>
        <w:rPr>
          <w:rFonts w:ascii="Arial" w:cs="Arial" w:eastAsia="Arial" w:hAnsi="Arial"/>
          <w:sz w:val="22"/>
          <w:szCs w:val="22"/>
          <w:color w:val="auto"/>
        </w:rPr>
      </w:pPr>
      <w:r>
        <w:rPr>
          <w:rFonts w:ascii="Arial" w:cs="Arial" w:eastAsia="Arial" w:hAnsi="Arial"/>
          <w:sz w:val="22"/>
          <w:szCs w:val="22"/>
          <w:color w:val="auto"/>
        </w:rPr>
        <w:t>if to the Participant, to the address set forth in the Company’s records.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55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4"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180340</wp:posOffset>
            </wp:positionV>
            <wp:extent cx="132080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1320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32"/>
          <w:szCs w:val="32"/>
          <w:color w:val="auto"/>
        </w:rPr>
        <w:t>Officer Perquisites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SPONSORING ORGANIZATION</w:t>
      </w:r>
      <w:r>
        <w:rPr>
          <w:rFonts w:ascii="Arial" w:cs="Arial" w:eastAsia="Arial" w:hAnsi="Arial"/>
          <w:sz w:val="18"/>
          <w:szCs w:val="18"/>
          <w:color w:val="auto"/>
        </w:rPr>
        <w:t>: 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this policy is to define the Officer Perquisites.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POLICIES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SCOPE</w:t>
      </w:r>
    </w:p>
    <w:p>
      <w:pPr>
        <w:spacing w:after="0" w:line="2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Booz Allen provides an extensive perquisite package to Officers, to include reimbursement of club memberships, financial counseling and estate planning, support for home office IT equipment, annual physical examinations, and Officer development.</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Club Memberships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Club memberships are an effective vehicle for promotion of physical health and developing and maintaining close relationships with executives in current and potential client organizations. Officers of the firm are therefore encouraged to join a luncheon/health/sport club and a country/special interest club that will provide them with opportunities to expand their business and professional relationships. (A special interest club is defined as any club used to promote client and market development.)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firm will support membership in one country/special interest club and one luncheon/sport/health club for each Officer as follows:</w:t>
      </w:r>
    </w:p>
    <w:p>
      <w:pPr>
        <w:spacing w:after="0" w:line="225" w:lineRule="exact"/>
        <w:rPr>
          <w:sz w:val="20"/>
          <w:szCs w:val="20"/>
          <w:color w:val="auto"/>
        </w:rPr>
      </w:pPr>
    </w:p>
    <w:p>
      <w:pPr>
        <w:ind w:left="980" w:right="20" w:hanging="324"/>
        <w:spacing w:after="0" w:line="256" w:lineRule="auto"/>
        <w:tabs>
          <w:tab w:leader="none" w:pos="9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firm will pay the reasonable annual dues and reasonable initiation fees for one country/special interest club. The Group Leader and the Chief Personnel Officer (CPO) will review club membership requests. Approval decisions will be based on the merits of each case.</w:t>
      </w:r>
    </w:p>
    <w:p>
      <w:pPr>
        <w:spacing w:after="0" w:line="201" w:lineRule="exact"/>
        <w:rPr>
          <w:rFonts w:ascii="Arial" w:cs="Arial" w:eastAsia="Arial" w:hAnsi="Arial"/>
          <w:sz w:val="18"/>
          <w:szCs w:val="18"/>
          <w:color w:val="auto"/>
        </w:rPr>
      </w:pPr>
    </w:p>
    <w:p>
      <w:pPr>
        <w:ind w:left="980" w:right="80" w:hanging="324"/>
        <w:spacing w:after="0" w:line="256" w:lineRule="auto"/>
        <w:tabs>
          <w:tab w:leader="none" w:pos="9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firm will pay the reasonable annual dues and the reasonable initiation fee for one luncheon/sport/health club. The initiation fee is limited to a maximum of $2,500. The Group Leader and the Chief Personnel Officer (CPO) will review club membership requests. Approval decisions will be based on the merits of each case.</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Reimbursed costs for club dues and initiation fees will be considered imputed income to the individual and is, therefore, subject to income tax withholding. Individuals will be taxed on all reimbursements related to club dues on a monthly basis. Club initiation fees will be taxed, but which can be done over the course of up to three pay periods.</w:t>
      </w:r>
    </w:p>
    <w:p>
      <w:pPr>
        <w:spacing w:after="0" w:line="202"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The firm will not reimburse any fees to a club that discriminates in its membership or guest policies; for more complete information regarding the firm’s policy against discrimination, refer to the Equal Employment Opportunity Policy located on people.bah.com. Officers seeking club membership approvals will be required to complete the Club Membership Approval form and sign a certification that they have no reason to believe that the club discriminates in its membership or guest policies. With respect to countries outside the United States, exceptions to this policy may be granted on a case-by-case basis only by the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Senior Partners and above are not eligible for reimbursement of club dues or initiation fees.</w:t>
      </w:r>
    </w:p>
    <w:p>
      <w:pPr>
        <w:sectPr>
          <w:pgSz w:w="11900" w:h="16838" w:orient="portrait"/>
          <w:cols w:equalWidth="0" w:num="1">
            <w:col w:w="11420"/>
          </w:cols>
          <w:pgMar w:left="240" w:top="134"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180340</wp:posOffset>
            </wp:positionV>
            <wp:extent cx="132080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1320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Obligation</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Officers who voluntarily resign from the firm within three years of receiving a club initiation payment in excess of $50,000 will be responsible for refunding a pro-rata portion to the firm unless waived in writing by the Chief Personnel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Transitioning Officers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Officers who are transitioning from the firm will not be eligible to expense initiation fees or monthly dues that are associated with membership to club that was joined during the transition period.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Counseling &amp; Estate Planning</w:t>
      </w:r>
    </w:p>
    <w:p>
      <w:pPr>
        <w:spacing w:after="0" w:line="3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Booz Allen assists Officers with their financial and estate planning by offering a flexible financial counseling and estate planning program. The intention of the program is to enable Officers to focus more effectively on their personal financial circumstances and objectives and to provide them with direct control over the responsiveness and quality of the professional services received.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Officer may select his/her own financial counselor, including a personal accountant or attorney, to provide:</w:t>
      </w:r>
    </w:p>
    <w:p>
      <w:pPr>
        <w:spacing w:after="0" w:line="225" w:lineRule="exact"/>
        <w:rPr>
          <w:sz w:val="20"/>
          <w:szCs w:val="20"/>
          <w:color w:val="auto"/>
        </w:rPr>
      </w:pPr>
    </w:p>
    <w:p>
      <w:pPr>
        <w:ind w:left="660" w:hanging="328"/>
        <w:spacing w:after="0"/>
        <w:tabs>
          <w:tab w:leader="none" w:pos="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Personal financial counseling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Personal tax preparation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Other tax or financial counseling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Estate planning services (i.e., preparation and updating of wills, trust agreements and other related documents)</w:t>
      </w:r>
    </w:p>
    <w:p>
      <w:pPr>
        <w:spacing w:after="0" w:line="22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The firm will reimburse each Officer up to $15,000 annually (determined by the date the services were rendered) for approved financial counseling and/or estate planning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firm will also reimburse the following periodic costs:</w:t>
      </w:r>
    </w:p>
    <w:p>
      <w:pPr>
        <w:spacing w:after="0" w:line="225" w:lineRule="exact"/>
        <w:rPr>
          <w:sz w:val="20"/>
          <w:szCs w:val="20"/>
          <w:color w:val="auto"/>
        </w:rPr>
      </w:pPr>
    </w:p>
    <w:p>
      <w:pPr>
        <w:ind w:left="660" w:right="560" w:hanging="328"/>
        <w:spacing w:after="0" w:line="262" w:lineRule="auto"/>
        <w:tabs>
          <w:tab w:leader="none" w:pos="6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Up to $10,000 in first-year service fees to establish a personal long-term financial strategy and estate plan. (Officers who elect to change financial counseling service firms will not be eligible for this additional reimbursement if it has been previously used.)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Up to $7,500 every three years to review and update the Officer’s estate plan</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Up to $3,000 for fees associated with preparing estate plans and related documents following relocation of an Officer by the firm to a new tax jurisdiction (i.e., different state or country)</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Reimbursed costs for financial planning and estate planning will be considered imputed income to the individual and is, therefore, subject to income tax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Pre-Retirement Financial Counseling</w:t>
      </w:r>
    </w:p>
    <w:p>
      <w:pPr>
        <w:spacing w:after="0" w:line="31"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As part of its financial counseling benefits program, the firm will provide a one-time reimbursement of up to $5,000 for retirement financial counseling and planning for those close to retirement. The primary purpose of this provision is to provide Officers with an opportunity to determine their annual financial needs in retirement and how best to fund their retirement income through individual and firm-sponsored retirement income and wealth-accumulation programs. This counseling should occur close to the planned date of retirement.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Procedures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Requests for reimbursement should be directed to the Total Rewards team. All requests must be accompanied by the service provider's original invoice, which should clearly state what service was performed. Reimbursement can be made directly to the Officer or service provider.</w:t>
      </w:r>
    </w:p>
    <w:p>
      <w:pPr>
        <w:sectPr>
          <w:pgSz w:w="11900" w:h="16838" w:orient="portrait"/>
          <w:cols w:equalWidth="0" w:num="1">
            <w:col w:w="11420"/>
          </w:cols>
          <w:pgMar w:left="240" w:top="135"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180340</wp:posOffset>
            </wp:positionV>
            <wp:extent cx="132080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1320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financial counseling and estate planning will be charged to the Officer’s business unit.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Office IT Equipment</w:t>
      </w:r>
    </w:p>
    <w:p>
      <w:pPr>
        <w:spacing w:after="0" w:line="3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To provide Officers the flexibility to conduct business remotely when necessary, the firm may provide hardware, software and broadband services to Officers who wish to equip a home office. This policy identifies the purchasing protocols established to protect the security and integrity of the firm’s information systems and to provide a cost-effective customer support model.</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firm will provide up to $3,000 every three years for the purchase of firm standard business-related software and hardware, including computers, printers, network routers, modems to provide broadband network access, etc. Equipment must be purchased through Information Services from the firm’s standard product list. The monthly usage fee for broadband service and an additional phone line to support fax capabilities will also be reimbursed, and their cost will not count towards the $3,000 stipend. Communication devices (e.g., pagers, cell phones) are not covered under this policy.</w:t>
      </w:r>
    </w:p>
    <w:p>
      <w:pPr>
        <w:spacing w:after="0" w:line="9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Costs associated with the purchase of home equipment will be charged to the Officer’s business unit. Since the equipment purchased is for business purposes, costs are not considered taxable income to the Officer.</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firm will only provide support for products purchased from Information Services using the standard products list. Support can include in-home visits during normal business hours to install equipment at the Officer’s primary residence if the primary residence is within 50 miles of a supported Booz Allen office. Four hours of in-home support services is available each year thereafter. Telephonic and remote support is available for Officers living beyond this distance.</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broadband service, Information Services will pre-qualify and assist in the procurement of the best service available based on home location for homes located within 50 miles of a supported Booz Allen office. Only broadband service or a substitute of equivalent cost will be reimbursed. Officers are responsible for securing the additional phone line to support fax capabilities, to include installation and maintenance.</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Upon termination (voluntary or involuntary) from the firm, ownership of all software/hardware (except system access hardware) may, at the sole discretion of the firm, be transferred to the Officer after all proprietary information is removed and/or returned to the firm. Unless a request for transfer of ownership is approved by the Chief Personnel Officer, all software and hardware must be returned by the Officer to the firm. In addition, no further PHO funding will be available for hardware/software purchases. PHO is authorized, however, to provide “best effort” remote and onsite home office support (not to exceed four hours a year of in-home visits during normal business hours) to executives who have retired in “good standing” or retired officers who are actively serving in a Senior Executive Advisor (SEA) role to the firm. Support is based on the PHO team’s availability with active partners taking precedence. Booz Allen email accounts will be disabled on the last day of work with the option to enable an automated Out of Office message for ninety days that will provide redirection information and/or personal contact information. The Chief Personnel Officer must approve any change and or extension to one’s Booz Allen email account.</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Services is responsible for monitoring expenses subject to the three-year allowance and for establishing a process for ordering equipment as well as terminating service once an Officer leaves the firm. Information Services is also responsible for maintaining the list of firm-approved standard products; for assisting Officers with product purchases; and for determining the times, type and scheduling of firm-provided equipment service.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Finance is responsible for establishing appropriate charge numbers and account codes to record expenses.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Officers are responsible for the installation and maintenance of an extra phone line for fax capabilities, requesting reimbursement of monthly usage fees for fax use and broadband services through the expense report process if central billing services are not available, and for returning any firm-provided software or hardware upon request at the time of termination.</w:t>
      </w:r>
    </w:p>
    <w:p>
      <w:pPr>
        <w:sectPr>
          <w:pgSz w:w="11900" w:h="16838" w:orient="portrait"/>
          <w:cols w:equalWidth="0" w:num="1">
            <w:col w:w="11420"/>
          </w:cols>
          <w:pgMar w:left="240" w:top="135"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180340</wp:posOffset>
            </wp:positionV>
            <wp:extent cx="132080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1320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Examinations</w:t>
      </w:r>
    </w:p>
    <w:p>
      <w:pPr>
        <w:spacing w:after="0" w:line="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full-time and part-time Officers are eligible to participate in an annual executive physical. The results of the exam are strictly confidential and will only be shared between the Officer and his/her physician.</w:t>
      </w:r>
    </w:p>
    <w:p>
      <w:pPr>
        <w:spacing w:after="0" w:line="1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Officers may use a physician of his/her choice or use one of the firm-identified medical administrators. The cost of the physical examination (excluding transportation to the physician's office and related expenses) is reimbursed to the Officer through his/her firm-sponsored medical plan. If annual physicals are not covered, the firm will reimburse the cost. The costs will be charged to the Officer’s administrative charge number. Invoices not covered by the Officer’s firm-sponsored medical plan should be sent to the Total Rewards team for payment.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Development Fund</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Officer Development Fund (ODF) program is designed to provide Officers with opportunities to broaden their knowledge and skills in areas of value to them and to our clients. It provides Officers with a vehicle for initiating self-improvement activities tailored to meet their individual professional and personal needs.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program provides Officers with opportunities to:</w:t>
      </w:r>
    </w:p>
    <w:p>
      <w:pPr>
        <w:spacing w:after="0" w:line="118" w:lineRule="exact"/>
        <w:rPr>
          <w:sz w:val="20"/>
          <w:szCs w:val="20"/>
          <w:color w:val="auto"/>
        </w:rPr>
      </w:pPr>
    </w:p>
    <w:p>
      <w:pPr>
        <w:ind w:left="500" w:hanging="262"/>
        <w:spacing w:after="0"/>
        <w:tabs>
          <w:tab w:leader="none" w:pos="500" w:val="left"/>
        </w:tabs>
        <w:numPr>
          <w:ilvl w:val="0"/>
          <w:numId w:val="500"/>
        </w:numPr>
        <w:rPr>
          <w:rFonts w:ascii="Arial" w:cs="Arial" w:eastAsia="Arial" w:hAnsi="Arial"/>
          <w:sz w:val="20"/>
          <w:szCs w:val="20"/>
          <w:color w:val="auto"/>
        </w:rPr>
      </w:pPr>
      <w:r>
        <w:rPr>
          <w:rFonts w:ascii="Arial" w:cs="Arial" w:eastAsia="Arial" w:hAnsi="Arial"/>
          <w:sz w:val="18"/>
          <w:szCs w:val="18"/>
          <w:color w:val="auto"/>
        </w:rPr>
        <w:t>Maintain/improve their functional skills and/or develop increased knowledge of specific topics (e.g., industry trends)</w:t>
      </w:r>
    </w:p>
    <w:p>
      <w:pPr>
        <w:spacing w:after="0" w:line="107" w:lineRule="exact"/>
        <w:rPr>
          <w:rFonts w:ascii="Arial" w:cs="Arial" w:eastAsia="Arial" w:hAnsi="Arial"/>
          <w:sz w:val="20"/>
          <w:szCs w:val="20"/>
          <w:color w:val="auto"/>
        </w:rPr>
      </w:pPr>
    </w:p>
    <w:p>
      <w:pPr>
        <w:ind w:left="500" w:hanging="262"/>
        <w:spacing w:after="0"/>
        <w:tabs>
          <w:tab w:leader="none" w:pos="5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Become familiar with new ideas from research and academia and participate in the exchange of professional views on these ideas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Learn from distinguished academics and leading business professionals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Address specific personal development needs in areas of importance to professional consultants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Development activities can include both formal and informal programs. Formal programs may be offered by leading universities, professional associations, and/or training organizations and would also include developmental coaching. Informal programs could include activities such as original research or working on a book. The prime consideration in determining what is an appropriate activity is that it serve to develop, maintain, or enhance the skills and knowledge of the Officer in areas of potential success of the firm. Moreover, such activities should have a logical place in the overall development of the individual Officer and of the entire Officer corps.</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an Officer's participation in development activities covered by this program, his or her regular compensation, fringe benefits, and Officer perquisites will remain in force. The firm will reimburse up to $15,000 in expenses over a three-year period, provided expenses are directly related to an approved activity such as:</w:t>
      </w:r>
    </w:p>
    <w:p>
      <w:pPr>
        <w:spacing w:after="0" w:line="94" w:lineRule="exact"/>
        <w:rPr>
          <w:sz w:val="20"/>
          <w:szCs w:val="20"/>
          <w:color w:val="auto"/>
        </w:rPr>
      </w:pPr>
    </w:p>
    <w:p>
      <w:pPr>
        <w:ind w:left="500" w:hanging="262"/>
        <w:spacing w:after="0"/>
        <w:tabs>
          <w:tab w:leader="none" w:pos="500" w:val="left"/>
        </w:tabs>
        <w:numPr>
          <w:ilvl w:val="0"/>
          <w:numId w:val="501"/>
        </w:numPr>
        <w:rPr>
          <w:rFonts w:ascii="Arial" w:cs="Arial" w:eastAsia="Arial" w:hAnsi="Arial"/>
          <w:sz w:val="20"/>
          <w:szCs w:val="20"/>
          <w:color w:val="auto"/>
        </w:rPr>
      </w:pPr>
      <w:r>
        <w:rPr>
          <w:rFonts w:ascii="Arial" w:cs="Arial" w:eastAsia="Arial" w:hAnsi="Arial"/>
          <w:sz w:val="18"/>
          <w:szCs w:val="18"/>
          <w:color w:val="auto"/>
        </w:rPr>
        <w:t>Tuition and/or fees</w:t>
      </w:r>
    </w:p>
    <w:p>
      <w:pPr>
        <w:spacing w:after="0" w:line="107" w:lineRule="exact"/>
        <w:rPr>
          <w:rFonts w:ascii="Arial" w:cs="Arial" w:eastAsia="Arial" w:hAnsi="Arial"/>
          <w:sz w:val="20"/>
          <w:szCs w:val="20"/>
          <w:color w:val="auto"/>
        </w:rPr>
      </w:pPr>
    </w:p>
    <w:p>
      <w:pPr>
        <w:ind w:left="500" w:hanging="26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Travel</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Living expenses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Study/course materials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Miscellaneous out-of-pocket costs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Officers have no vested interest in the development fund and are not entitled to any portion of any unexpended amount. If at the end of a three-year period the total accrual for an individual Officer has not been expended, the amount will not be carried forward.</w:t>
      </w:r>
    </w:p>
    <w:p>
      <w:pPr>
        <w:spacing w:after="0" w:line="8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Program costs will be budgeted at the corporate level, carried in a Corporate account for each fiscal year, and will be available for development activity purposes as of April 1 of each year. An Officer elected subsequent to the beginning of any fiscal year will not be eligible to participate in the program until the start of the fiscal year following his or her election.</w:t>
      </w:r>
    </w:p>
    <w:p>
      <w:pPr>
        <w:spacing w:after="0" w:line="1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Proposed development activities must be approved in advance by the appropriate Group Leader and Chief Personnel Officer. (Note: Costs should not be incurred by an Officer until all necessary approvals have been</w:t>
      </w:r>
    </w:p>
    <w:p>
      <w:pPr>
        <w:sectPr>
          <w:pgSz w:w="11900" w:h="16838" w:orient="portrait"/>
          <w:cols w:equalWidth="0" w:num="1">
            <w:col w:w="11420"/>
          </w:cols>
          <w:pgMar w:left="240" w:top="135"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180340</wp:posOffset>
            </wp:positionV>
            <wp:extent cx="132080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3208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received by the Talent Development Team). A written description of the proposed activity, with supporting rationale, must be submitted for any development program activity in order for the expenditure to be considered eligible for reimbursement. The form for this purpose is available from the people.bah.com website.</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reimbursements for approved ODF program activities should be charged to the corporate account. Invoices and all supporting documents should be sent to the Learning and Development Team.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VIOLATIONS OF POLICY, REPORTING, AND ZERO TOLERANCE FOR RETALIATION</w:t>
      </w:r>
    </w:p>
    <w:p>
      <w:pPr>
        <w:spacing w:after="0" w:line="22"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Any Booz Allen person who violates this policy will be subject to disciplinary action (up to and including termination of employment), in accordance with our Disciplinary Action Policy.</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you observe or have reasonable suspicion of a violation of this policy you have a duty to report those concerns. To report a possible violation of this policy or the Green Book, please contact your job or career manager, an Ethics Advisor, Ethics &amp; Compliance (ethics@bah.com), the appropriate Business Partner or Enterprise Solutions Group resource, the Legal Department, our Chief Ethics and Compliance Officer or the Ethics Helpline at 800-501-8755 (US) or +1-888-475-0009 (international), or https://boozallen.alertline.com.</w:t>
      </w:r>
    </w:p>
    <w:p>
      <w:pPr>
        <w:spacing w:after="0" w:line="2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take all allegations of misconduct seriously, and as stated in our Non-Retaliation Policy, we will not tolerate retaliation of any sort against any person because they raise a good faith ethical or legal concern.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POINTS OF CONTACT AND ADDITIONAL RESOURCES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General questions regarding this policy can be directed to the Chief People Officer.</w:t>
      </w:r>
    </w:p>
    <w:p>
      <w:pPr>
        <w:sectPr>
          <w:pgSz w:w="11900" w:h="16838" w:orient="portrait"/>
          <w:cols w:equalWidth="0" w:num="1">
            <w:col w:w="11420"/>
          </w:cols>
          <w:pgMar w:left="240" w:top="134"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List of Subsidiaries of Booz Allen Hamilton Holding Corporation</w:t>
      </w:r>
    </w:p>
    <w:p>
      <w:pPr>
        <w:sectPr>
          <w:pgSz w:w="11900" w:h="16838" w:orient="portrait"/>
          <w:cols w:equalWidth="0" w:num="1">
            <w:col w:w="11420"/>
          </w:cols>
          <w:pgMar w:left="240" w:top="589" w:right="2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171" w:lineRule="exact"/>
        <w:rPr>
          <w:sz w:val="20"/>
          <w:szCs w:val="20"/>
          <w:color w:val="auto"/>
        </w:rPr>
      </w:pPr>
    </w:p>
    <w:p>
      <w:pPr>
        <w:sectPr>
          <w:pgSz w:w="11900" w:h="16838" w:orient="portrait"/>
          <w:cols w:equalWidth="0" w:num="2">
            <w:col w:w="6720" w:space="720"/>
            <w:col w:w="3980"/>
          </w:cols>
          <w:pgMar w:left="240" w:top="589"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Booz Allen Cyber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Consulting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(Dubai)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Egypt,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Holding Co.,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Services,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Lebanon S.a.r.l.</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Intellectual Property Holding,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(U.K.)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Investor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Philippines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Saudi Arabia,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Booz Allen Hamilton Singapore Holding Company Pte. Ltd.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Singapore LLP</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Tanzania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Epidemico,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Epidemico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PT Booz Allen Hamilton Indonesia</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SDI Technology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Morphick,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eGov Holdings,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Aquilent,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Cloud Solutions Group,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Epic Acquisition Software,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Harborview Technologies,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II,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Riverside Engineering,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Dubai, UAE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720" w:space="720"/>
            <w:col w:w="3980"/>
          </w:cols>
          <w:pgMar w:left="240" w:top="589" w:right="239" w:bottom="1440" w:gutter="0" w:footer="0" w:header="0"/>
          <w:type w:val="continuous"/>
        </w:sectPr>
      </w:pPr>
    </w:p>
    <w:bookmarkStart w:id="324" w:name="page325"/>
    <w:bookmarkEnd w:id="324"/>
    <w:p>
      <w:pPr>
        <w:jc w:val="right"/>
        <w:spacing w:after="0"/>
        <w:rPr>
          <w:sz w:val="20"/>
          <w:szCs w:val="20"/>
          <w:color w:val="auto"/>
        </w:rPr>
      </w:pPr>
      <w:r>
        <w:rPr>
          <w:rFonts w:ascii="Arial" w:cs="Arial" w:eastAsia="Arial" w:hAnsi="Arial"/>
          <w:sz w:val="20"/>
          <w:szCs w:val="20"/>
          <w:b w:val="1"/>
          <w:bCs w:val="1"/>
          <w:color w:val="auto"/>
        </w:rPr>
        <w:t>Exhibit 23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Ernst &amp; Young LLP,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Independent Registered Public Accounting Firm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310" w:lineRule="exact"/>
        <w:rPr>
          <w:sz w:val="20"/>
          <w:szCs w:val="20"/>
          <w:color w:val="auto"/>
        </w:rPr>
      </w:pPr>
    </w:p>
    <w:p>
      <w:pPr>
        <w:ind w:left="660" w:right="280" w:hanging="328"/>
        <w:spacing w:after="0" w:line="281" w:lineRule="auto"/>
        <w:tabs>
          <w:tab w:leader="none" w:pos="66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Form S-8 (No 333-205956) pertaining to the Second Amended and Restated Equity Incentive Plan of Booz Allen Hamilton Holding Corporation</w:t>
      </w:r>
    </w:p>
    <w:p>
      <w:pPr>
        <w:spacing w:after="0" w:line="1" w:lineRule="exact"/>
        <w:rPr>
          <w:rFonts w:ascii="Arial" w:cs="Arial" w:eastAsia="Arial" w:hAnsi="Arial"/>
          <w:sz w:val="20"/>
          <w:szCs w:val="20"/>
          <w:color w:val="auto"/>
        </w:rPr>
      </w:pPr>
    </w:p>
    <w:p>
      <w:pPr>
        <w:ind w:left="660" w:right="60" w:hanging="328"/>
        <w:spacing w:after="0" w:line="280" w:lineRule="auto"/>
        <w:tabs>
          <w:tab w:leader="none" w:pos="66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ind w:left="660" w:right="600" w:hanging="328"/>
        <w:spacing w:after="0" w:line="338" w:lineRule="auto"/>
        <w:tabs>
          <w:tab w:leader="none" w:pos="66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 xml:space="preserve">Form S-3 (No </w:t>
      </w:r>
      <w:r>
        <w:rPr>
          <w:rFonts w:ascii="Arial" w:cs="Arial" w:eastAsia="Arial" w:hAnsi="Arial"/>
          <w:sz w:val="21"/>
          <w:szCs w:val="21"/>
          <w:u w:val="single" w:color="auto"/>
          <w:color w:val="auto"/>
        </w:rPr>
        <w:t>333-214855</w:t>
      </w:r>
      <w:r>
        <w:rPr>
          <w:rFonts w:ascii="Arial" w:cs="Arial" w:eastAsia="Arial" w:hAnsi="Arial"/>
          <w:sz w:val="20"/>
          <w:szCs w:val="20"/>
          <w:color w:val="auto"/>
          <w:highlight w:val="white"/>
        </w:rPr>
        <w:t>) pertaining to the registration of shares of Class A Common Stock of Booz Allen Hamilton Holding</w:t>
      </w:r>
      <w:r>
        <w:rPr>
          <w:rFonts w:ascii="Arial" w:cs="Arial" w:eastAsia="Arial" w:hAnsi="Arial"/>
          <w:sz w:val="20"/>
          <w:szCs w:val="20"/>
          <w:color w:val="auto"/>
        </w:rPr>
        <w:t xml:space="preserve"> Corporation</w:t>
      </w:r>
    </w:p>
    <w:p>
      <w:pPr>
        <w:spacing w:after="0" w:line="205" w:lineRule="exact"/>
        <w:rPr>
          <w:sz w:val="20"/>
          <w:szCs w:val="20"/>
          <w:color w:val="auto"/>
        </w:rPr>
      </w:pPr>
    </w:p>
    <w:p>
      <w:pPr>
        <w:jc w:val="both"/>
        <w:ind w:right="180"/>
        <w:spacing w:after="0" w:line="292" w:lineRule="auto"/>
        <w:rPr>
          <w:sz w:val="20"/>
          <w:szCs w:val="20"/>
          <w:color w:val="auto"/>
        </w:rPr>
      </w:pPr>
      <w:r>
        <w:rPr>
          <w:rFonts w:ascii="Arial" w:cs="Arial" w:eastAsia="Arial" w:hAnsi="Arial"/>
          <w:sz w:val="20"/>
          <w:szCs w:val="20"/>
          <w:color w:val="auto"/>
        </w:rPr>
        <w:t>of our reports dated May 29, 2018,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2018.</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Tysons, Virginia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May 29, 2018</w:t>
      </w:r>
    </w:p>
    <w:p>
      <w:pPr>
        <w:sectPr>
          <w:pgSz w:w="11900" w:h="16838" w:orient="portrait"/>
          <w:cols w:equalWidth="0" w:num="1">
            <w:col w:w="11420"/>
          </w:cols>
          <w:pgMar w:left="240" w:top="1062"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May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May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2018,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May 29, 2018</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2018,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29, 2018</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95AE95"/>
    <w:multiLevelType w:val="hybridMultilevel"/>
    <w:lvl w:ilvl="0">
      <w:lvlJc w:val="left"/>
      <w:lvlText w:val="☒"/>
      <w:numFmt w:val="bullet"/>
      <w:start w:val="1"/>
    </w:lvl>
  </w:abstractNum>
  <w:abstractNum w:abstractNumId="1">
    <w:nsid w:val="777A4EAA"/>
    <w:multiLevelType w:val="hybridMultilevel"/>
    <w:lvl w:ilvl="0">
      <w:lvlJc w:val="left"/>
      <w:lvlText w:val="☐"/>
      <w:numFmt w:val="bullet"/>
      <w:start w:val="1"/>
    </w:lvl>
  </w:abstractNum>
  <w:abstractNum w:abstractNumId="2">
    <w:nsid w:val="3F48B982"/>
    <w:multiLevelType w:val="hybridMultilevel"/>
    <w:lvl w:ilvl="0">
      <w:lvlJc w:val="left"/>
      <w:lvlText w:val="%1."/>
      <w:numFmt w:val="upperLetter"/>
      <w:start w:val="11"/>
    </w:lvl>
  </w:abstractNum>
  <w:abstractNum w:abstractNumId="3">
    <w:nsid w:val="46BA8FCA"/>
    <w:multiLevelType w:val="hybridMultilevel"/>
    <w:lvl w:ilvl="0">
      <w:lvlJc w:val="left"/>
      <w:lvlText w:val="(%1)"/>
      <w:numFmt w:val="lowerRoman"/>
      <w:start w:val="1"/>
    </w:lvl>
  </w:abstractNum>
  <w:abstractNum w:abstractNumId="4">
    <w:nsid w:val="7835626C"/>
    <w:multiLevelType w:val="hybridMultilevel"/>
    <w:lvl w:ilvl="0">
      <w:lvlJc w:val="left"/>
      <w:lvlText w:val="•"/>
      <w:numFmt w:val="bullet"/>
      <w:start w:val="1"/>
    </w:lvl>
  </w:abstractNum>
  <w:abstractNum w:abstractNumId="5">
    <w:nsid w:val="665ACA49"/>
    <w:multiLevelType w:val="hybridMultilevel"/>
    <w:lvl w:ilvl="0">
      <w:lvlJc w:val="left"/>
      <w:lvlText w:val="•"/>
      <w:numFmt w:val="bullet"/>
      <w:start w:val="1"/>
    </w:lvl>
  </w:abstractNum>
  <w:abstractNum w:abstractNumId="6">
    <w:nsid w:val="6835B2AE"/>
    <w:multiLevelType w:val="hybridMultilevel"/>
    <w:lvl w:ilvl="0">
      <w:lvlJc w:val="left"/>
      <w:lvlText w:val="•"/>
      <w:numFmt w:val="bullet"/>
      <w:start w:val="1"/>
    </w:lvl>
  </w:abstractNum>
  <w:abstractNum w:abstractNumId="7">
    <w:nsid w:val="4C187C90"/>
    <w:multiLevelType w:val="hybridMultilevel"/>
    <w:lvl w:ilvl="0">
      <w:lvlJc w:val="left"/>
      <w:lvlText w:val="•"/>
      <w:numFmt w:val="bullet"/>
      <w:start w:val="1"/>
    </w:lvl>
  </w:abstractNum>
  <w:abstractNum w:abstractNumId="8">
    <w:nsid w:val="541F28CD"/>
    <w:multiLevelType w:val="hybridMultilevel"/>
    <w:lvl w:ilvl="0">
      <w:lvlJc w:val="left"/>
      <w:lvlText w:val="•"/>
      <w:numFmt w:val="bullet"/>
      <w:start w:val="1"/>
    </w:lvl>
  </w:abstractNum>
  <w:abstractNum w:abstractNumId="9">
    <w:nsid w:val="7F65FD16"/>
    <w:multiLevelType w:val="hybridMultilevel"/>
    <w:lvl w:ilvl="0">
      <w:lvlJc w:val="left"/>
      <w:lvlText w:val="•"/>
      <w:numFmt w:val="bullet"/>
      <w:start w:val="1"/>
    </w:lvl>
  </w:abstractNum>
  <w:abstractNum w:abstractNumId="10">
    <w:nsid w:val="77C9FD68"/>
    <w:multiLevelType w:val="hybridMultilevel"/>
    <w:lvl w:ilvl="0">
      <w:lvlJc w:val="left"/>
      <w:lvlText w:val="•"/>
      <w:numFmt w:val="bullet"/>
      <w:start w:val="1"/>
    </w:lvl>
  </w:abstractNum>
  <w:abstractNum w:abstractNumId="11">
    <w:nsid w:val="298A92BA"/>
    <w:multiLevelType w:val="hybridMultilevel"/>
    <w:lvl w:ilvl="0">
      <w:lvlJc w:val="left"/>
      <w:lvlText w:val="•"/>
      <w:numFmt w:val="bullet"/>
      <w:start w:val="1"/>
    </w:lvl>
  </w:abstractNum>
  <w:abstractNum w:abstractNumId="12">
    <w:nsid w:val="6FE95EAC"/>
    <w:multiLevelType w:val="hybridMultilevel"/>
    <w:lvl w:ilvl="0">
      <w:lvlJc w:val="left"/>
      <w:lvlText w:val="•"/>
      <w:numFmt w:val="bullet"/>
      <w:start w:val="1"/>
    </w:lvl>
  </w:abstractNum>
  <w:abstractNum w:abstractNumId="13">
    <w:nsid w:val="4B697C7A"/>
    <w:multiLevelType w:val="hybridMultilevel"/>
    <w:lvl w:ilvl="0">
      <w:lvlJc w:val="left"/>
      <w:lvlText w:val="•"/>
      <w:numFmt w:val="bullet"/>
      <w:start w:val="1"/>
    </w:lvl>
  </w:abstractNum>
  <w:abstractNum w:abstractNumId="14">
    <w:nsid w:val="51A27AA6"/>
    <w:multiLevelType w:val="hybridMultilevel"/>
    <w:lvl w:ilvl="0">
      <w:lvlJc w:val="left"/>
      <w:lvlText w:val="•"/>
      <w:numFmt w:val="bullet"/>
      <w:start w:val="1"/>
    </w:lvl>
  </w:abstractNum>
  <w:abstractNum w:abstractNumId="15">
    <w:nsid w:val="613183F2"/>
    <w:multiLevelType w:val="hybridMultilevel"/>
    <w:lvl w:ilvl="0">
      <w:lvlJc w:val="left"/>
      <w:lvlText w:val="•"/>
      <w:numFmt w:val="bullet"/>
      <w:start w:val="1"/>
    </w:lvl>
  </w:abstractNum>
  <w:abstractNum w:abstractNumId="16">
    <w:nsid w:val="634102B4"/>
    <w:multiLevelType w:val="hybridMultilevel"/>
    <w:lvl w:ilvl="0">
      <w:lvlJc w:val="left"/>
      <w:lvlText w:val="•"/>
      <w:numFmt w:val="bullet"/>
      <w:start w:val="1"/>
    </w:lvl>
  </w:abstractNum>
  <w:abstractNum w:abstractNumId="17">
    <w:nsid w:val="65BF9DA8"/>
    <w:multiLevelType w:val="hybridMultilevel"/>
    <w:lvl w:ilvl="0">
      <w:lvlJc w:val="left"/>
      <w:lvlText w:val="•"/>
      <w:numFmt w:val="bullet"/>
      <w:start w:val="1"/>
    </w:lvl>
  </w:abstractNum>
  <w:abstractNum w:abstractNumId="18">
    <w:nsid w:val="21A2ECCA"/>
    <w:multiLevelType w:val="hybridMultilevel"/>
    <w:lvl w:ilvl="0">
      <w:lvlJc w:val="left"/>
      <w:lvlText w:val="•"/>
      <w:numFmt w:val="bullet"/>
      <w:start w:val="1"/>
    </w:lvl>
  </w:abstractNum>
  <w:abstractNum w:abstractNumId="19">
    <w:nsid w:val="4D5C4899"/>
    <w:multiLevelType w:val="hybridMultilevel"/>
    <w:lvl w:ilvl="0">
      <w:lvlJc w:val="left"/>
      <w:lvlText w:val="•"/>
      <w:numFmt w:val="bullet"/>
      <w:start w:val="1"/>
    </w:lvl>
  </w:abstractNum>
  <w:abstractNum w:abstractNumId="20">
    <w:nsid w:val="3C3B72B2"/>
    <w:multiLevelType w:val="hybridMultilevel"/>
    <w:lvl w:ilvl="0">
      <w:lvlJc w:val="left"/>
      <w:lvlText w:val="•"/>
      <w:numFmt w:val="bullet"/>
      <w:start w:val="1"/>
    </w:lvl>
  </w:abstractNum>
  <w:abstractNum w:abstractNumId="21">
    <w:nsid w:val="155EC4C2"/>
    <w:multiLevelType w:val="hybridMultilevel"/>
    <w:lvl w:ilvl="0">
      <w:lvlJc w:val="left"/>
      <w:lvlText w:val="•"/>
      <w:numFmt w:val="bullet"/>
      <w:start w:val="1"/>
    </w:lvl>
  </w:abstractNum>
  <w:abstractNum w:abstractNumId="22">
    <w:nsid w:val="65D2A137"/>
    <w:multiLevelType w:val="hybridMultilevel"/>
    <w:lvl w:ilvl="0">
      <w:lvlJc w:val="left"/>
      <w:lvlText w:val="•"/>
      <w:numFmt w:val="bullet"/>
      <w:start w:val="1"/>
    </w:lvl>
  </w:abstractNum>
  <w:abstractNum w:abstractNumId="23">
    <w:nsid w:val="6EBB1F2A"/>
    <w:multiLevelType w:val="hybridMultilevel"/>
    <w:lvl w:ilvl="0">
      <w:lvlJc w:val="left"/>
      <w:lvlText w:val="•"/>
      <w:numFmt w:val="bullet"/>
      <w:start w:val="1"/>
    </w:lvl>
  </w:abstractNum>
  <w:abstractNum w:abstractNumId="24">
    <w:nsid w:val="6FBF29CB"/>
    <w:multiLevelType w:val="hybridMultilevel"/>
    <w:lvl w:ilvl="0">
      <w:lvlJc w:val="left"/>
      <w:lvlText w:val="•"/>
      <w:numFmt w:val="bullet"/>
      <w:start w:val="1"/>
    </w:lvl>
  </w:abstractNum>
  <w:abstractNum w:abstractNumId="25">
    <w:nsid w:val="550B8808"/>
    <w:multiLevelType w:val="hybridMultilevel"/>
    <w:lvl w:ilvl="0">
      <w:lvlJc w:val="left"/>
      <w:lvlText w:val="•"/>
      <w:numFmt w:val="bullet"/>
      <w:start w:val="1"/>
    </w:lvl>
  </w:abstractNum>
  <w:abstractNum w:abstractNumId="26">
    <w:nsid w:val="34CC3ACF"/>
    <w:multiLevelType w:val="hybridMultilevel"/>
    <w:lvl w:ilvl="0">
      <w:lvlJc w:val="left"/>
      <w:lvlText w:val="•"/>
      <w:numFmt w:val="bullet"/>
      <w:start w:val="1"/>
    </w:lvl>
  </w:abstractNum>
  <w:abstractNum w:abstractNumId="27">
    <w:nsid w:val="4E556261"/>
    <w:multiLevelType w:val="hybridMultilevel"/>
    <w:lvl w:ilvl="0">
      <w:lvlJc w:val="left"/>
      <w:lvlText w:val="•"/>
      <w:numFmt w:val="bullet"/>
      <w:start w:val="1"/>
    </w:lvl>
  </w:abstractNum>
  <w:abstractNum w:abstractNumId="28">
    <w:nsid w:val="4C672FC9"/>
    <w:multiLevelType w:val="hybridMultilevel"/>
    <w:lvl w:ilvl="0">
      <w:lvlJc w:val="left"/>
      <w:lvlText w:val="•"/>
      <w:numFmt w:val="bullet"/>
      <w:start w:val="1"/>
    </w:lvl>
  </w:abstractNum>
  <w:abstractNum w:abstractNumId="29">
    <w:nsid w:val="52A311C3"/>
    <w:multiLevelType w:val="hybridMultilevel"/>
    <w:lvl w:ilvl="0">
      <w:lvlJc w:val="left"/>
      <w:lvlText w:val="•"/>
      <w:numFmt w:val="bullet"/>
      <w:start w:val="1"/>
    </w:lvl>
  </w:abstractNum>
  <w:abstractNum w:abstractNumId="30">
    <w:nsid w:val="44EF6B80"/>
    <w:multiLevelType w:val="hybridMultilevel"/>
    <w:lvl w:ilvl="0">
      <w:lvlJc w:val="left"/>
      <w:lvlText w:val="▪"/>
      <w:numFmt w:val="bullet"/>
      <w:start w:val="1"/>
    </w:lvl>
  </w:abstractNum>
  <w:abstractNum w:abstractNumId="31">
    <w:nsid w:val="12FCDE5E"/>
    <w:multiLevelType w:val="hybridMultilevel"/>
    <w:lvl w:ilvl="0">
      <w:lvlJc w:val="left"/>
      <w:lvlText w:val="▪"/>
      <w:numFmt w:val="bullet"/>
      <w:start w:val="1"/>
    </w:lvl>
  </w:abstractNum>
  <w:abstractNum w:abstractNumId="32">
    <w:nsid w:val="4A1D606E"/>
    <w:multiLevelType w:val="hybridMultilevel"/>
    <w:lvl w:ilvl="0">
      <w:lvlJc w:val="left"/>
      <w:lvlText w:val="▪"/>
      <w:numFmt w:val="bullet"/>
      <w:start w:val="1"/>
    </w:lvl>
  </w:abstractNum>
  <w:abstractNum w:abstractNumId="33">
    <w:nsid w:val="4382503"/>
    <w:multiLevelType w:val="hybridMultilevel"/>
    <w:lvl w:ilvl="0">
      <w:lvlJc w:val="left"/>
      <w:lvlText w:val="•"/>
      <w:numFmt w:val="bullet"/>
      <w:start w:val="1"/>
    </w:lvl>
  </w:abstractNum>
  <w:abstractNum w:abstractNumId="34">
    <w:nsid w:val="59B76E28"/>
    <w:multiLevelType w:val="hybridMultilevel"/>
    <w:lvl w:ilvl="0">
      <w:lvlJc w:val="left"/>
      <w:lvlText w:val="•"/>
      <w:numFmt w:val="bullet"/>
      <w:start w:val="1"/>
    </w:lvl>
  </w:abstractNum>
  <w:abstractNum w:abstractNumId="35">
    <w:nsid w:val="4252C2DA"/>
    <w:multiLevelType w:val="hybridMultilevel"/>
    <w:lvl w:ilvl="0">
      <w:lvlJc w:val="left"/>
      <w:lvlText w:val="•"/>
      <w:numFmt w:val="bullet"/>
      <w:start w:val="1"/>
    </w:lvl>
  </w:abstractNum>
  <w:abstractNum w:abstractNumId="36">
    <w:nsid w:val="6A92EF4C"/>
    <w:multiLevelType w:val="hybridMultilevel"/>
    <w:lvl w:ilvl="0">
      <w:lvlJc w:val="left"/>
      <w:lvlText w:val="•"/>
      <w:numFmt w:val="bullet"/>
      <w:start w:val="1"/>
    </w:lvl>
  </w:abstractNum>
  <w:abstractNum w:abstractNumId="37">
    <w:nsid w:val="41ED20D7"/>
    <w:multiLevelType w:val="hybridMultilevel"/>
    <w:lvl w:ilvl="0">
      <w:lvlJc w:val="left"/>
      <w:lvlText w:val="(%1)"/>
      <w:numFmt w:val="decimal"/>
      <w:start w:val="1"/>
    </w:lvl>
  </w:abstractNum>
  <w:abstractNum w:abstractNumId="38">
    <w:nsid w:val="E6B3F6A"/>
    <w:multiLevelType w:val="hybridMultilevel"/>
    <w:lvl w:ilvl="0">
      <w:lvlJc w:val="left"/>
      <w:lvlText w:val="(%1)"/>
      <w:numFmt w:val="decimal"/>
      <w:start w:val="1"/>
    </w:lvl>
  </w:abstractNum>
  <w:abstractNum w:abstractNumId="39">
    <w:nsid w:val="3EB21819"/>
    <w:multiLevelType w:val="hybridMultilevel"/>
    <w:lvl w:ilvl="0">
      <w:lvlJc w:val="left"/>
      <w:lvlText w:val="•"/>
      <w:numFmt w:val="bullet"/>
      <w:start w:val="1"/>
    </w:lvl>
  </w:abstractNum>
  <w:abstractNum w:abstractNumId="40">
    <w:nsid w:val="41531DED"/>
    <w:multiLevelType w:val="hybridMultilevel"/>
    <w:lvl w:ilvl="0">
      <w:lvlJc w:val="left"/>
      <w:lvlText w:val="•"/>
      <w:numFmt w:val="bullet"/>
      <w:start w:val="1"/>
    </w:lvl>
  </w:abstractNum>
  <w:abstractNum w:abstractNumId="41">
    <w:nsid w:val="6353CD2"/>
    <w:multiLevelType w:val="hybridMultilevel"/>
    <w:lvl w:ilvl="0">
      <w:lvlJc w:val="left"/>
      <w:lvlText w:val="(%1)"/>
      <w:numFmt w:val="lowerLetter"/>
      <w:start w:val="1"/>
    </w:lvl>
  </w:abstractNum>
  <w:abstractNum w:abstractNumId="42">
    <w:nsid w:val="683CAAD3"/>
    <w:multiLevelType w:val="hybridMultilevel"/>
    <w:lvl w:ilvl="0">
      <w:lvlJc w:val="left"/>
      <w:lvlText w:val="(%1)"/>
      <w:numFmt w:val="lowerLetter"/>
      <w:start w:val="3"/>
    </w:lvl>
  </w:abstractNum>
  <w:abstractNum w:abstractNumId="43">
    <w:nsid w:val="313C7C99"/>
    <w:multiLevelType w:val="hybridMultilevel"/>
    <w:lvl w:ilvl="0">
      <w:lvlJc w:val="left"/>
      <w:lvlText w:val="•"/>
      <w:numFmt w:val="bullet"/>
      <w:start w:val="1"/>
    </w:lvl>
  </w:abstractNum>
  <w:abstractNum w:abstractNumId="44">
    <w:nsid w:val="519EB94C"/>
    <w:multiLevelType w:val="hybridMultilevel"/>
    <w:lvl w:ilvl="0">
      <w:lvlJc w:val="left"/>
      <w:lvlText w:val="•"/>
      <w:numFmt w:val="bullet"/>
      <w:start w:val="1"/>
    </w:lvl>
  </w:abstractNum>
  <w:abstractNum w:abstractNumId="45">
    <w:nsid w:val="39DF2579"/>
    <w:multiLevelType w:val="hybridMultilevel"/>
    <w:lvl w:ilvl="0">
      <w:lvlJc w:val="left"/>
      <w:lvlText w:val="•"/>
      <w:numFmt w:val="bullet"/>
      <w:start w:val="1"/>
    </w:lvl>
  </w:abstractNum>
  <w:abstractNum w:abstractNumId="46">
    <w:nsid w:val="126E008B"/>
    <w:multiLevelType w:val="hybridMultilevel"/>
    <w:lvl w:ilvl="0">
      <w:lvlJc w:val="left"/>
      <w:lvlText w:val="(%1)"/>
      <w:numFmt w:val="decimal"/>
      <w:start w:val="1"/>
    </w:lvl>
  </w:abstractNum>
  <w:abstractNum w:abstractNumId="47">
    <w:nsid w:val="34DFBC00"/>
    <w:multiLevelType w:val="hybridMultilevel"/>
    <w:lvl w:ilvl="0">
      <w:lvlJc w:val="left"/>
      <w:lvlText w:val="•"/>
      <w:numFmt w:val="bullet"/>
      <w:start w:val="1"/>
    </w:lvl>
  </w:abstractNum>
  <w:abstractNum w:abstractNumId="48">
    <w:nsid w:val="1F9EC322"/>
    <w:multiLevelType w:val="hybridMultilevel"/>
    <w:lvl w:ilvl="0">
      <w:lvlJc w:val="left"/>
      <w:lvlText w:val="•"/>
      <w:numFmt w:val="bullet"/>
      <w:start w:val="1"/>
    </w:lvl>
  </w:abstractNum>
  <w:abstractNum w:abstractNumId="49">
    <w:nsid w:val="3410ED56"/>
    <w:multiLevelType w:val="hybridMultilevel"/>
    <w:lvl w:ilvl="0">
      <w:lvlJc w:val="left"/>
      <w:lvlText w:val="•"/>
      <w:numFmt w:val="bullet"/>
      <w:start w:val="1"/>
    </w:lvl>
  </w:abstractNum>
  <w:abstractNum w:abstractNumId="50">
    <w:nsid w:val="23C049A"/>
    <w:multiLevelType w:val="hybridMultilevel"/>
    <w:lvl w:ilvl="0">
      <w:lvlJc w:val="left"/>
      <w:lvlText w:val="•"/>
      <w:numFmt w:val="bullet"/>
      <w:start w:val="1"/>
    </w:lvl>
  </w:abstractNum>
  <w:abstractNum w:abstractNumId="51">
    <w:nsid w:val="5BDA35D4"/>
    <w:multiLevelType w:val="hybridMultilevel"/>
    <w:lvl w:ilvl="0">
      <w:lvlJc w:val="left"/>
      <w:lvlText w:val="(%1)"/>
      <w:numFmt w:val="decimal"/>
      <w:start w:val="1"/>
    </w:lvl>
  </w:abstractNum>
  <w:abstractNum w:abstractNumId="52">
    <w:nsid w:val="496FB218"/>
    <w:multiLevelType w:val="hybridMultilevel"/>
    <w:lvl w:ilvl="0">
      <w:lvlJc w:val="left"/>
      <w:lvlText w:val="(%1)"/>
      <w:numFmt w:val="lowerLetter"/>
      <w:start w:val="22"/>
    </w:lvl>
  </w:abstractNum>
  <w:abstractNum w:abstractNumId="53">
    <w:nsid w:val="680EA5D1"/>
    <w:multiLevelType w:val="hybridMultilevel"/>
    <w:lvl w:ilvl="0">
      <w:lvlJc w:val="left"/>
      <w:lvlText w:val="(%1)"/>
      <w:numFmt w:val="lowerLetter"/>
      <w:start w:val="1"/>
    </w:lvl>
  </w:abstractNum>
  <w:abstractNum w:abstractNumId="54">
    <w:nsid w:val="4A9554FE"/>
    <w:multiLevelType w:val="hybridMultilevel"/>
    <w:lvl w:ilvl="0">
      <w:lvlJc w:val="left"/>
      <w:lvlText w:val="(%1)"/>
      <w:numFmt w:val="lowerLetter"/>
      <w:start w:val="1"/>
    </w:lvl>
  </w:abstractNum>
  <w:abstractNum w:abstractNumId="55">
    <w:nsid w:val="392EDBE4"/>
    <w:multiLevelType w:val="hybridMultilevel"/>
    <w:lvl w:ilvl="0">
      <w:lvlJc w:val="left"/>
      <w:lvlText w:val="%1."/>
      <w:numFmt w:val="decimal"/>
      <w:start w:val="1"/>
    </w:lvl>
  </w:abstractNum>
  <w:abstractNum w:abstractNumId="56">
    <w:nsid w:val="3D1A2DD9"/>
    <w:multiLevelType w:val="hybridMultilevel"/>
    <w:lvl w:ilvl="0">
      <w:lvlJc w:val="left"/>
      <w:lvlText w:val="•"/>
      <w:numFmt w:val="bullet"/>
      <w:start w:val="1"/>
    </w:lvl>
  </w:abstractNum>
  <w:abstractNum w:abstractNumId="57">
    <w:nsid w:val="7F618FCD"/>
    <w:multiLevelType w:val="hybridMultilevel"/>
    <w:lvl w:ilvl="0">
      <w:lvlJc w:val="left"/>
      <w:lvlText w:val="•"/>
      <w:numFmt w:val="bullet"/>
      <w:start w:val="1"/>
    </w:lvl>
  </w:abstractNum>
  <w:abstractNum w:abstractNumId="58">
    <w:nsid w:val="7843E45"/>
    <w:multiLevelType w:val="hybridMultilevel"/>
    <w:lvl w:ilvl="0">
      <w:lvlJc w:val="left"/>
      <w:lvlText w:val="(%1)"/>
      <w:numFmt w:val="decimal"/>
      <w:start w:val="1"/>
    </w:lvl>
  </w:abstractNum>
  <w:abstractNum w:abstractNumId="59">
    <w:nsid w:val="9815DA3"/>
    <w:multiLevelType w:val="hybridMultilevel"/>
    <w:lvl w:ilvl="0">
      <w:lvlJc w:val="left"/>
      <w:lvlText w:val="%1."/>
      <w:numFmt w:val="decimal"/>
      <w:start w:val="5"/>
    </w:lvl>
  </w:abstractNum>
  <w:abstractNum w:abstractNumId="60">
    <w:nsid w:val="5204A191"/>
    <w:multiLevelType w:val="hybridMultilevel"/>
    <w:lvl w:ilvl="0">
      <w:lvlJc w:val="left"/>
      <w:lvlText w:val="%1."/>
      <w:numFmt w:val="decimal"/>
      <w:start w:val="6"/>
    </w:lvl>
  </w:abstractNum>
  <w:abstractNum w:abstractNumId="61">
    <w:nsid w:val="4C73A9C6"/>
    <w:multiLevelType w:val="hybridMultilevel"/>
    <w:lvl w:ilvl="0">
      <w:lvlJc w:val="left"/>
      <w:lvlText w:val="%1."/>
      <w:numFmt w:val="decimal"/>
      <w:start w:val="8"/>
    </w:lvl>
  </w:abstractNum>
  <w:abstractNum w:abstractNumId="62">
    <w:nsid w:val="1C7E3C01"/>
    <w:multiLevelType w:val="hybridMultilevel"/>
    <w:lvl w:ilvl="0">
      <w:lvlJc w:val="left"/>
      <w:lvlText w:val="(%1)"/>
      <w:numFmt w:val="lowerLetter"/>
      <w:start w:val="22"/>
    </w:lvl>
  </w:abstractNum>
  <w:abstractNum w:abstractNumId="63">
    <w:nsid w:val="1C2201FF"/>
    <w:multiLevelType w:val="hybridMultilevel"/>
    <w:lvl w:ilvl="0">
      <w:lvlJc w:val="left"/>
      <w:lvlText w:val="(%1)"/>
      <w:numFmt w:val="lowerLetter"/>
      <w:start w:val="1"/>
    </w:lvl>
  </w:abstractNum>
  <w:abstractNum w:abstractNumId="64">
    <w:nsid w:val="50ABCEC9"/>
    <w:multiLevelType w:val="hybridMultilevel"/>
    <w:lvl w:ilvl="0">
      <w:lvlJc w:val="left"/>
      <w:lvlText w:val="(%1)"/>
      <w:numFmt w:val="lowerLetter"/>
      <w:start w:val="8"/>
    </w:lvl>
  </w:abstractNum>
  <w:abstractNum w:abstractNumId="65">
    <w:nsid w:val="7635AA2A"/>
    <w:multiLevelType w:val="hybridMultilevel"/>
    <w:lvl w:ilvl="0">
      <w:lvlJc w:val="left"/>
      <w:lvlText w:val="1"/>
      <w:numFmt w:val="bullet"/>
      <w:start w:val="1"/>
    </w:lvl>
  </w:abstractNum>
  <w:abstractNum w:abstractNumId="66">
    <w:nsid w:val="5E74C4D9"/>
    <w:multiLevelType w:val="hybridMultilevel"/>
    <w:lvl w:ilvl="0">
      <w:lvlJc w:val="left"/>
      <w:lvlText w:val="2"/>
      <w:numFmt w:val="bullet"/>
      <w:start w:val="1"/>
    </w:lvl>
  </w:abstractNum>
  <w:abstractNum w:abstractNumId="67">
    <w:nsid w:val="3B3EBE15"/>
    <w:multiLevelType w:val="hybridMultilevel"/>
    <w:lvl w:ilvl="0">
      <w:lvlJc w:val="left"/>
      <w:lvlText w:val="(%1)"/>
      <w:numFmt w:val="decimal"/>
      <w:start w:val="1"/>
    </w:lvl>
  </w:abstractNum>
  <w:abstractNum w:abstractNumId="68">
    <w:nsid w:val="3822CB01"/>
    <w:multiLevelType w:val="hybridMultilevel"/>
    <w:lvl w:ilvl="0">
      <w:lvlJc w:val="left"/>
      <w:lvlText w:val="%1."/>
      <w:numFmt w:val="decimal"/>
      <w:start w:val="14"/>
    </w:lvl>
  </w:abstractNum>
  <w:abstractNum w:abstractNumId="69">
    <w:nsid w:val="6CE00443"/>
    <w:multiLevelType w:val="hybridMultilevel"/>
    <w:lvl w:ilvl="0">
      <w:lvlJc w:val="left"/>
      <w:lvlText w:val="(%1)"/>
      <w:numFmt w:val="decimal"/>
      <w:start w:val="1"/>
    </w:lvl>
  </w:abstractNum>
  <w:abstractNum w:abstractNumId="70">
    <w:nsid w:val="79F0D62F"/>
    <w:multiLevelType w:val="hybridMultilevel"/>
    <w:lvl w:ilvl="0">
      <w:lvlJc w:val="left"/>
      <w:lvlText w:val="(%1)"/>
      <w:numFmt w:val="decimal"/>
      <w:start w:val="1"/>
    </w:lvl>
  </w:abstractNum>
  <w:abstractNum w:abstractNumId="71">
    <w:nsid w:val="7975E8EE"/>
    <w:multiLevelType w:val="hybridMultilevel"/>
    <w:lvl w:ilvl="0">
      <w:lvlJc w:val="left"/>
      <w:lvlText w:val="(%1)"/>
      <w:numFmt w:val="decimal"/>
      <w:start w:val="1"/>
    </w:lvl>
  </w:abstractNum>
  <w:abstractNum w:abstractNumId="72">
    <w:nsid w:val="73154115"/>
    <w:multiLevelType w:val="hybridMultilevel"/>
    <w:lvl w:ilvl="0">
      <w:lvlJc w:val="left"/>
      <w:lvlText w:val="(%1)"/>
      <w:numFmt w:val="decimal"/>
      <w:start w:val="1"/>
    </w:lvl>
  </w:abstractNum>
  <w:abstractNum w:abstractNumId="73">
    <w:nsid w:val="622D8102"/>
    <w:multiLevelType w:val="hybridMultilevel"/>
    <w:lvl w:ilvl="0">
      <w:lvlJc w:val="left"/>
      <w:lvlText w:val="%1"/>
      <w:numFmt w:val="decimal"/>
      <w:start w:val="1"/>
    </w:lvl>
    <w:lvl w:ilvl="1">
      <w:lvlJc w:val="left"/>
      <w:lvlText w:val="(%2)"/>
      <w:numFmt w:val="decimal"/>
      <w:start w:val="1"/>
    </w:lvl>
  </w:abstractNum>
  <w:abstractNum w:abstractNumId="74">
    <w:nsid w:val="2AB26587"/>
    <w:multiLevelType w:val="hybridMultilevel"/>
    <w:lvl w:ilvl="0">
      <w:lvlJc w:val="left"/>
      <w:lvlText w:val="%1."/>
      <w:numFmt w:val="decimal"/>
      <w:start w:val="24"/>
    </w:lvl>
    <w:lvl w:ilvl="1">
      <w:lvlJc w:val="left"/>
      <w:lvlText w:val="%2"/>
      <w:numFmt w:val="decimal"/>
      <w:start w:val="1"/>
    </w:lvl>
  </w:abstractNum>
  <w:abstractNum w:abstractNumId="75">
    <w:nsid w:val="44B3FA61"/>
    <w:multiLevelType w:val="hybridMultilevel"/>
    <w:lvl w:ilvl="0">
      <w:lvlJc w:val="left"/>
      <w:lvlText w:val="(%1)"/>
      <w:numFmt w:val="decimal"/>
      <w:start w:val="1"/>
    </w:lvl>
  </w:abstractNum>
  <w:abstractNum w:abstractNumId="76">
    <w:nsid w:val="1C0CA67C"/>
    <w:multiLevelType w:val="hybridMultilevel"/>
    <w:lvl w:ilvl="0">
      <w:lvlJc w:val="left"/>
      <w:lvlText w:val="(%1)"/>
      <w:numFmt w:val="lowerLetter"/>
      <w:start w:val="1"/>
    </w:lvl>
    <w:lvl w:ilvl="1">
      <w:lvlJc w:val="left"/>
      <w:lvlText w:val="(%2)"/>
      <w:numFmt w:val="decimal"/>
      <w:start w:val="1"/>
    </w:lvl>
  </w:abstractNum>
  <w:abstractNum w:abstractNumId="77">
    <w:nsid w:val="3D206613"/>
    <w:multiLevelType w:val="hybridMultilevel"/>
    <w:lvl w:ilvl="0">
      <w:lvlJc w:val="left"/>
      <w:lvlText w:val="(%1)"/>
      <w:numFmt w:val="decimal"/>
      <w:start w:val="2"/>
    </w:lvl>
  </w:abstractNum>
  <w:abstractNum w:abstractNumId="78">
    <w:nsid w:val="7993B662"/>
    <w:multiLevelType w:val="hybridMultilevel"/>
    <w:lvl w:ilvl="0">
      <w:lvlJc w:val="left"/>
      <w:lvlText w:val="(%1)"/>
      <w:numFmt w:val="decimal"/>
      <w:start w:val="3"/>
    </w:lvl>
  </w:abstractNum>
  <w:abstractNum w:abstractNumId="79">
    <w:nsid w:val="3BAB699E"/>
    <w:multiLevelType w:val="hybridMultilevel"/>
    <w:lvl w:ilvl="0">
      <w:lvlJc w:val="left"/>
      <w:lvlText w:val="%1"/>
      <w:numFmt w:val="decimal"/>
      <w:start w:val="21"/>
    </w:lvl>
  </w:abstractNum>
  <w:abstractNum w:abstractNumId="80">
    <w:nsid w:val="71315369"/>
    <w:multiLevelType w:val="hybridMultilevel"/>
    <w:lvl w:ilvl="0">
      <w:lvlJc w:val="left"/>
      <w:lvlText w:val="%1"/>
      <w:numFmt w:val="decimal"/>
      <w:start w:val="23"/>
    </w:lvl>
  </w:abstractNum>
  <w:abstractNum w:abstractNumId="81">
    <w:nsid w:val="7BCFBAFC"/>
    <w:multiLevelType w:val="hybridMultilevel"/>
    <w:lvl w:ilvl="0">
      <w:lvlJc w:val="left"/>
      <w:lvlText w:val="%1"/>
      <w:numFmt w:val="decimal"/>
      <w:start w:val="101"/>
    </w:lvl>
  </w:abstractNum>
  <w:abstractNum w:abstractNumId="82">
    <w:nsid w:val="17859F72"/>
    <w:multiLevelType w:val="hybridMultilevel"/>
    <w:lvl w:ilvl="0">
      <w:lvlJc w:val="left"/>
      <w:lvlText w:val="*"/>
      <w:numFmt w:val="bullet"/>
      <w:start w:val="1"/>
    </w:lvl>
  </w:abstractNum>
  <w:abstractNum w:abstractNumId="83">
    <w:nsid w:val="3AA10581"/>
    <w:multiLevelType w:val="hybridMultilevel"/>
    <w:lvl w:ilvl="0">
      <w:lvlJc w:val="left"/>
      <w:lvlText w:val="†"/>
      <w:numFmt w:val="bullet"/>
      <w:start w:val="1"/>
    </w:lvl>
  </w:abstractNum>
  <w:abstractNum w:abstractNumId="84">
    <w:nsid w:val="63DE60CD"/>
    <w:multiLevelType w:val="hybridMultilevel"/>
    <w:lvl w:ilvl="0">
      <w:lvlJc w:val="left"/>
      <w:lvlText w:val="•"/>
      <w:numFmt w:val="bullet"/>
      <w:start w:val="1"/>
    </w:lvl>
  </w:abstractNum>
  <w:abstractNum w:abstractNumId="85">
    <w:nsid w:val="621AF471"/>
    <w:multiLevelType w:val="hybridMultilevel"/>
    <w:lvl w:ilvl="0">
      <w:lvlJc w:val="left"/>
      <w:lvlText w:val="•"/>
      <w:numFmt w:val="bullet"/>
      <w:start w:val="1"/>
    </w:lvl>
  </w:abstractNum>
  <w:abstractNum w:abstractNumId="86">
    <w:nsid w:val="73CFE165"/>
    <w:multiLevelType w:val="hybridMultilevel"/>
    <w:lvl w:ilvl="0">
      <w:lvlJc w:val="left"/>
      <w:lvlText w:val="•"/>
      <w:numFmt w:val="bullet"/>
      <w:start w:val="1"/>
    </w:lvl>
  </w:abstractNum>
  <w:abstractNum w:abstractNumId="87">
    <w:nsid w:val="20F88EA6"/>
    <w:multiLevelType w:val="hybridMultilevel"/>
    <w:lvl w:ilvl="0">
      <w:lvlJc w:val="left"/>
      <w:lvlText w:val="•"/>
      <w:numFmt w:val="bullet"/>
      <w:start w:val="1"/>
    </w:lvl>
  </w:abstractNum>
  <w:abstractNum w:abstractNumId="88">
    <w:nsid w:val="617C843E"/>
    <w:multiLevelType w:val="hybridMultilevel"/>
    <w:lvl w:ilvl="0">
      <w:lvlJc w:val="left"/>
      <w:lvlText w:val="•"/>
      <w:numFmt w:val="bullet"/>
      <w:start w:val="1"/>
    </w:lvl>
  </w:abstractNum>
  <w:abstractNum w:abstractNumId="89">
    <w:nsid w:val="7B541FAB"/>
    <w:multiLevelType w:val="hybridMultilevel"/>
    <w:lvl w:ilvl="0">
      <w:lvlJc w:val="left"/>
      <w:lvlText w:val="•"/>
      <w:numFmt w:val="bullet"/>
      <w:start w:val="1"/>
    </w:lvl>
  </w:abstractNum>
  <w:abstractNum w:abstractNumId="90">
    <w:nsid w:val="2A79EC49"/>
    <w:multiLevelType w:val="hybridMultilevel"/>
    <w:lvl w:ilvl="0">
      <w:lvlJc w:val="left"/>
      <w:lvlText w:val="%1)"/>
      <w:numFmt w:val="decimal"/>
      <w:start w:val="1"/>
    </w:lvl>
  </w:abstractNum>
  <w:abstractNum w:abstractNumId="91">
    <w:nsid w:val="338125CF"/>
    <w:multiLevelType w:val="hybridMultilevel"/>
    <w:lvl w:ilvl="0">
      <w:lvlJc w:val="left"/>
      <w:lvlText w:val="•"/>
      <w:numFmt w:val="bullet"/>
      <w:start w:val="1"/>
    </w:lvl>
  </w:abstractNum>
  <w:abstractNum w:abstractNumId="92">
    <w:nsid w:val="47C7C971"/>
    <w:multiLevelType w:val="hybridMultilevel"/>
    <w:lvl w:ilvl="0">
      <w:lvlJc w:val="left"/>
      <w:lvlText w:val="•"/>
      <w:numFmt w:val="bullet"/>
      <w:start w:val="1"/>
    </w:lvl>
  </w:abstractNum>
  <w:abstractNum w:abstractNumId="93">
    <w:nsid w:val="46F8284B"/>
    <w:multiLevelType w:val="hybridMultilevel"/>
    <w:lvl w:ilvl="0">
      <w:lvlJc w:val="left"/>
      <w:lvlText w:val="•"/>
      <w:numFmt w:val="bullet"/>
      <w:start w:val="1"/>
    </w:lvl>
  </w:abstractNum>
  <w:abstractNum w:abstractNumId="94">
    <w:nsid w:val="4FA327CE"/>
    <w:multiLevelType w:val="hybridMultilevel"/>
    <w:lvl w:ilvl="0">
      <w:lvlJc w:val="left"/>
      <w:lvlText w:val="•"/>
      <w:numFmt w:val="bullet"/>
      <w:start w:val="1"/>
    </w:lvl>
    <w:lvl w:ilvl="1">
      <w:lvlJc w:val="left"/>
      <w:lvlText w:val="-"/>
      <w:numFmt w:val="bullet"/>
      <w:start w:val="1"/>
    </w:lvl>
  </w:abstractNum>
  <w:abstractNum w:abstractNumId="95">
    <w:nsid w:val="1873983A"/>
    <w:multiLevelType w:val="hybridMultilevel"/>
    <w:lvl w:ilvl="0">
      <w:lvlJc w:val="left"/>
      <w:lvlText w:val="•"/>
      <w:numFmt w:val="bullet"/>
      <w:start w:val="1"/>
    </w:lvl>
  </w:abstractNum>
  <w:abstractNum w:abstractNumId="96">
    <w:nsid w:val="3D2DD275"/>
    <w:multiLevelType w:val="hybridMultilevel"/>
    <w:lvl w:ilvl="0">
      <w:lvlJc w:val="left"/>
      <w:lvlText w:val="**"/>
      <w:numFmt w:val="bullet"/>
      <w:start w:val="1"/>
    </w:lvl>
  </w:abstractNum>
  <w:abstractNum w:abstractNumId="97">
    <w:nsid w:val="2E17ECA7"/>
    <w:multiLevelType w:val="hybridMultilevel"/>
    <w:lvl w:ilvl="0">
      <w:lvlJc w:val="left"/>
      <w:lvlText w:val="%1)"/>
      <w:numFmt w:val="decimal"/>
      <w:start w:val="1"/>
    </w:lvl>
  </w:abstractNum>
  <w:abstractNum w:abstractNumId="98">
    <w:nsid w:val="53B2564F"/>
    <w:multiLevelType w:val="hybridMultilevel"/>
    <w:lvl w:ilvl="0">
      <w:lvlJc w:val="left"/>
      <w:lvlText w:val="•"/>
      <w:numFmt w:val="bullet"/>
      <w:start w:val="1"/>
    </w:lvl>
  </w:abstractNum>
  <w:abstractNum w:abstractNumId="99">
    <w:nsid w:val="75509D76"/>
    <w:multiLevelType w:val="hybridMultilevel"/>
    <w:lvl w:ilvl="0">
      <w:lvlJc w:val="left"/>
      <w:lvlText w:val="•"/>
      <w:numFmt w:val="bullet"/>
      <w:start w:val="1"/>
    </w:lvl>
  </w:abstractNum>
  <w:abstractNum w:abstractNumId="100">
    <w:nsid w:val="1AF7F0EA"/>
    <w:multiLevelType w:val="hybridMultilevel"/>
    <w:lvl w:ilvl="0">
      <w:lvlJc w:val="left"/>
      <w:lvlText w:val="•"/>
      <w:numFmt w:val="bullet"/>
      <w:start w:val="1"/>
    </w:lvl>
  </w:abstractNum>
  <w:abstractNum w:abstractNumId="101">
    <w:nsid w:val="4DA32C7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2">
    <w:nsid w:val="6EC68664"/>
    <w:multiLevelType w:val="hybridMultilevel"/>
    <w:lvl w:ilvl="0">
      <w:lvlJc w:val="left"/>
      <w:lvlText w:val="•"/>
      <w:numFmt w:val="bullet"/>
      <w:start w:val="1"/>
    </w:lvl>
    <w:lvl w:ilvl="1">
      <w:lvlJc w:val="left"/>
      <w:lvlText w:val="-"/>
      <w:numFmt w:val="bullet"/>
      <w:start w:val="1"/>
    </w:lvl>
  </w:abstractNum>
  <w:abstractNum w:abstractNumId="103">
    <w:nsid w:val="E0D31FF"/>
    <w:multiLevelType w:val="hybridMultilevel"/>
    <w:lvl w:ilvl="0">
      <w:lvlJc w:val="left"/>
      <w:lvlText w:val="•"/>
      <w:numFmt w:val="bullet"/>
      <w:start w:val="1"/>
    </w:lvl>
  </w:abstractNum>
  <w:abstractNum w:abstractNumId="104">
    <w:nsid w:val="2FD0AD81"/>
    <w:multiLevelType w:val="hybridMultilevel"/>
    <w:lvl w:ilvl="0">
      <w:lvlJc w:val="left"/>
      <w:lvlText w:val="%1)"/>
      <w:numFmt w:val="decimal"/>
      <w:start w:val="1"/>
    </w:lvl>
  </w:abstractNum>
  <w:abstractNum w:abstractNumId="105">
    <w:nsid w:val="1978EBEB"/>
    <w:multiLevelType w:val="hybridMultilevel"/>
    <w:lvl w:ilvl="0">
      <w:lvlJc w:val="left"/>
      <w:lvlText w:val="•"/>
      <w:numFmt w:val="bullet"/>
      <w:start w:val="1"/>
    </w:lvl>
  </w:abstractNum>
  <w:abstractNum w:abstractNumId="106">
    <w:nsid w:val="52C12C61"/>
    <w:multiLevelType w:val="hybridMultilevel"/>
    <w:lvl w:ilvl="0">
      <w:lvlJc w:val="left"/>
      <w:lvlText w:val="•"/>
      <w:numFmt w:val="bullet"/>
      <w:start w:val="1"/>
    </w:lvl>
  </w:abstractNum>
  <w:abstractNum w:abstractNumId="107">
    <w:nsid w:val="4BDD53FD"/>
    <w:multiLevelType w:val="hybridMultilevel"/>
    <w:lvl w:ilvl="0">
      <w:lvlJc w:val="left"/>
      <w:lvlText w:val="•"/>
      <w:numFmt w:val="bullet"/>
      <w:start w:val="1"/>
    </w:lvl>
  </w:abstractNum>
  <w:abstractNum w:abstractNumId="108">
    <w:nsid w:val="569951FE"/>
    <w:multiLevelType w:val="hybridMultilevel"/>
    <w:lvl w:ilvl="0">
      <w:lvlJc w:val="left"/>
      <w:lvlText w:val="•"/>
      <w:numFmt w:val="bullet"/>
      <w:start w:val="1"/>
    </w:lvl>
  </w:abstractNum>
  <w:abstractNum w:abstractNumId="109">
    <w:nsid w:val="4C54E2C3"/>
    <w:multiLevelType w:val="hybridMultilevel"/>
    <w:lvl w:ilvl="0">
      <w:lvlJc w:val="left"/>
      <w:lvlText w:val="•"/>
      <w:numFmt w:val="bullet"/>
      <w:start w:val="1"/>
    </w:lvl>
    <w:lvl w:ilvl="1">
      <w:lvlJc w:val="left"/>
      <w:lvlText w:val="-"/>
      <w:numFmt w:val="bullet"/>
      <w:start w:val="1"/>
    </w:lvl>
  </w:abstractNum>
  <w:abstractNum w:abstractNumId="110">
    <w:nsid w:val="788BD9B"/>
    <w:multiLevelType w:val="hybridMultilevel"/>
    <w:lvl w:ilvl="0">
      <w:lvlJc w:val="left"/>
      <w:lvlText w:val="•"/>
      <w:numFmt w:val="bullet"/>
      <w:start w:val="1"/>
    </w:lvl>
  </w:abstractNum>
  <w:abstractNum w:abstractNumId="111">
    <w:nsid w:val="47CAA567"/>
    <w:multiLevelType w:val="hybridMultilevel"/>
    <w:lvl w:ilvl="0">
      <w:lvlJc w:val="left"/>
      <w:lvlText w:val="•"/>
      <w:numFmt w:val="bullet"/>
      <w:start w:val="1"/>
    </w:lvl>
  </w:abstractNum>
  <w:abstractNum w:abstractNumId="112">
    <w:nsid w:val="48249DBF"/>
    <w:multiLevelType w:val="hybridMultilevel"/>
    <w:lvl w:ilvl="0">
      <w:lvlJc w:val="left"/>
      <w:lvlText w:val="•"/>
      <w:numFmt w:val="bullet"/>
      <w:start w:val="1"/>
    </w:lvl>
  </w:abstractNum>
  <w:abstractNum w:abstractNumId="113">
    <w:nsid w:val="1F0E5D0D"/>
    <w:multiLevelType w:val="hybridMultilevel"/>
    <w:lvl w:ilvl="0">
      <w:lvlJc w:val="left"/>
      <w:lvlText w:val="%1)"/>
      <w:numFmt w:val="decimal"/>
      <w:start w:val="1"/>
    </w:lvl>
  </w:abstractNum>
  <w:abstractNum w:abstractNumId="114">
    <w:nsid w:val="26BAAE9"/>
    <w:multiLevelType w:val="hybridMultilevel"/>
    <w:lvl w:ilvl="0">
      <w:lvlJc w:val="left"/>
      <w:lvlText w:val="•"/>
      <w:numFmt w:val="bullet"/>
      <w:start w:val="1"/>
    </w:lvl>
  </w:abstractNum>
  <w:abstractNum w:abstractNumId="115">
    <w:nsid w:val="2C02FE8C"/>
    <w:multiLevelType w:val="hybridMultilevel"/>
    <w:lvl w:ilvl="0">
      <w:lvlJc w:val="left"/>
      <w:lvlText w:val="•"/>
      <w:numFmt w:val="bullet"/>
      <w:start w:val="1"/>
    </w:lvl>
  </w:abstractNum>
  <w:abstractNum w:abstractNumId="116">
    <w:nsid w:val="129517E"/>
    <w:multiLevelType w:val="hybridMultilevel"/>
    <w:lvl w:ilvl="0">
      <w:lvlJc w:val="left"/>
      <w:lvlText w:val="•"/>
      <w:numFmt w:val="bullet"/>
      <w:start w:val="1"/>
    </w:lvl>
  </w:abstractNum>
  <w:abstractNum w:abstractNumId="117">
    <w:nsid w:val="763B8C4E"/>
    <w:multiLevelType w:val="hybridMultilevel"/>
    <w:lvl w:ilvl="0">
      <w:lvlJc w:val="left"/>
      <w:lvlText w:val="•"/>
      <w:numFmt w:val="bullet"/>
      <w:start w:val="1"/>
    </w:lvl>
  </w:abstractNum>
  <w:abstractNum w:abstractNumId="118">
    <w:nsid w:val="4CFB8D32"/>
    <w:multiLevelType w:val="hybridMultilevel"/>
    <w:lvl w:ilvl="0">
      <w:lvlJc w:val="left"/>
      <w:lvlText w:val="%1)"/>
      <w:numFmt w:val="decimal"/>
      <w:start w:val="1"/>
    </w:lvl>
  </w:abstractNum>
  <w:abstractNum w:abstractNumId="119">
    <w:nsid w:val="62A5D5BD"/>
    <w:multiLevelType w:val="hybridMultilevel"/>
    <w:lvl w:ilvl="0">
      <w:lvlJc w:val="left"/>
      <w:lvlText w:val="%1)"/>
      <w:numFmt w:val="decimal"/>
      <w:start w:val="2"/>
    </w:lvl>
    <w:lvl w:ilvl="1">
      <w:lvlJc w:val="left"/>
      <w:lvlText w:val="%2)"/>
      <w:numFmt w:val="lowerLetter"/>
      <w:start w:val="1"/>
    </w:lvl>
  </w:abstractNum>
  <w:abstractNum w:abstractNumId="120">
    <w:nsid w:val="718FABF9"/>
    <w:multiLevelType w:val="hybridMultilevel"/>
    <w:lvl w:ilvl="0">
      <w:lvlJc w:val="left"/>
      <w:lvlText w:val="%1)"/>
      <w:numFmt w:val="decimal"/>
      <w:start w:val="1"/>
    </w:lvl>
  </w:abstractNum>
  <w:abstractNum w:abstractNumId="121">
    <w:nsid w:val="7775797C"/>
    <w:multiLevelType w:val="hybridMultilevel"/>
    <w:lvl w:ilvl="0">
      <w:lvlJc w:val="left"/>
      <w:lvlText w:val="%1)"/>
      <w:numFmt w:val="decimal"/>
      <w:start w:val="1"/>
    </w:lvl>
  </w:abstractNum>
  <w:abstractNum w:abstractNumId="122">
    <w:nsid w:val="1626FB8C"/>
    <w:multiLevelType w:val="hybridMultilevel"/>
    <w:lvl w:ilvl="0">
      <w:lvlJc w:val="left"/>
      <w:lvlText w:val="%1)"/>
      <w:numFmt w:val="decimal"/>
      <w:start w:val="4"/>
    </w:lvl>
    <w:lvl w:ilvl="1">
      <w:lvlJc w:val="left"/>
      <w:lvlText w:val="%2)"/>
      <w:numFmt w:val="lowerLetter"/>
      <w:start w:val="1"/>
    </w:lvl>
  </w:abstractNum>
  <w:abstractNum w:abstractNumId="123">
    <w:nsid w:val="3957756A"/>
    <w:multiLevelType w:val="hybridMultilevel"/>
    <w:lvl w:ilvl="0">
      <w:lvlJc w:val="left"/>
      <w:lvlText w:val="%1)"/>
      <w:numFmt w:val="decimal"/>
      <w:start w:val="7"/>
    </w:lvl>
  </w:abstractNum>
  <w:abstractNum w:abstractNumId="124">
    <w:nsid w:val="3E6DA1C7"/>
    <w:multiLevelType w:val="hybridMultilevel"/>
    <w:lvl w:ilvl="0">
      <w:lvlJc w:val="left"/>
      <w:lvlText w:val="•"/>
      <w:numFmt w:val="bullet"/>
      <w:start w:val="1"/>
    </w:lvl>
  </w:abstractNum>
  <w:abstractNum w:abstractNumId="125">
    <w:nsid w:val="65CA235B"/>
    <w:multiLevelType w:val="hybridMultilevel"/>
    <w:lvl w:ilvl="0">
      <w:lvlJc w:val="left"/>
      <w:lvlText w:val="•"/>
      <w:numFmt w:val="bullet"/>
      <w:start w:val="1"/>
    </w:lvl>
  </w:abstractNum>
  <w:abstractNum w:abstractNumId="126">
    <w:nsid w:val="51CB0DA4"/>
    <w:multiLevelType w:val="hybridMultilevel"/>
    <w:lvl w:ilvl="0">
      <w:lvlJc w:val="left"/>
      <w:lvlText w:val="•"/>
      <w:numFmt w:val="bullet"/>
      <w:start w:val="1"/>
    </w:lvl>
  </w:abstractNum>
  <w:abstractNum w:abstractNumId="127">
    <w:nsid w:val="7B9B743C"/>
    <w:multiLevelType w:val="hybridMultilevel"/>
    <w:lvl w:ilvl="0">
      <w:lvlJc w:val="left"/>
      <w:lvlText w:val="%1)"/>
      <w:numFmt w:val="decimal"/>
      <w:start w:val="1"/>
    </w:lvl>
  </w:abstractNum>
  <w:abstractNum w:abstractNumId="128">
    <w:nsid w:val="13E21002"/>
    <w:multiLevelType w:val="hybridMultilevel"/>
    <w:lvl w:ilvl="0">
      <w:lvlJc w:val="left"/>
      <w:lvlText w:val="(%1)"/>
      <w:numFmt w:val="decimal"/>
      <w:start w:val="1"/>
    </w:lvl>
  </w:abstractNum>
  <w:abstractNum w:abstractNumId="129">
    <w:nsid w:val="257D63F4"/>
    <w:multiLevelType w:val="hybridMultilevel"/>
    <w:lvl w:ilvl="0">
      <w:lvlJc w:val="left"/>
      <w:lvlText w:val="%1)"/>
      <w:numFmt w:val="decimal"/>
      <w:start w:val="1"/>
    </w:lvl>
  </w:abstractNum>
  <w:abstractNum w:abstractNumId="130">
    <w:nsid w:val="70EC11B2"/>
    <w:multiLevelType w:val="hybridMultilevel"/>
    <w:lvl w:ilvl="0">
      <w:lvlJc w:val="left"/>
      <w:lvlText w:val="•"/>
      <w:numFmt w:val="bullet"/>
      <w:start w:val="1"/>
    </w:lvl>
  </w:abstractNum>
  <w:abstractNum w:abstractNumId="131">
    <w:nsid w:val="2EDA00ED"/>
    <w:multiLevelType w:val="hybridMultilevel"/>
    <w:lvl w:ilvl="0">
      <w:lvlJc w:val="left"/>
      <w:lvlText w:val="•"/>
      <w:numFmt w:val="bullet"/>
      <w:start w:val="1"/>
    </w:lvl>
  </w:abstractNum>
  <w:abstractNum w:abstractNumId="132">
    <w:nsid w:val="73209072"/>
    <w:multiLevelType w:val="hybridMultilevel"/>
    <w:lvl w:ilvl="0">
      <w:lvlJc w:val="left"/>
      <w:lvlText w:val="•"/>
      <w:numFmt w:val="bullet"/>
      <w:start w:val="1"/>
    </w:lvl>
  </w:abstractNum>
  <w:abstractNum w:abstractNumId="133">
    <w:nsid w:val="5FB29816"/>
    <w:multiLevelType w:val="hybridMultilevel"/>
    <w:lvl w:ilvl="0">
      <w:lvlJc w:val="left"/>
      <w:lvlText w:val="•"/>
      <w:numFmt w:val="bullet"/>
      <w:start w:val="1"/>
    </w:lvl>
  </w:abstractNum>
  <w:abstractNum w:abstractNumId="134">
    <w:nsid w:val="3CE732EC"/>
    <w:multiLevelType w:val="hybridMultilevel"/>
    <w:lvl w:ilvl="0">
      <w:lvlJc w:val="left"/>
      <w:lvlText w:val="•"/>
      <w:numFmt w:val="bullet"/>
      <w:start w:val="1"/>
    </w:lvl>
  </w:abstractNum>
  <w:abstractNum w:abstractNumId="135">
    <w:nsid w:val="22F13DF3"/>
    <w:multiLevelType w:val="hybridMultilevel"/>
    <w:lvl w:ilvl="0">
      <w:lvlJc w:val="left"/>
      <w:lvlText w:val="•"/>
      <w:numFmt w:val="bullet"/>
      <w:start w:val="1"/>
    </w:lvl>
  </w:abstractNum>
  <w:abstractNum w:abstractNumId="136">
    <w:nsid w:val="792B8401"/>
    <w:multiLevelType w:val="hybridMultilevel"/>
    <w:lvl w:ilvl="0">
      <w:lvlJc w:val="left"/>
      <w:lvlText w:val="•"/>
      <w:numFmt w:val="bullet"/>
      <w:start w:val="1"/>
    </w:lvl>
  </w:abstractNum>
  <w:abstractNum w:abstractNumId="137">
    <w:nsid w:val="FA85F4D"/>
    <w:multiLevelType w:val="hybridMultilevel"/>
    <w:lvl w:ilvl="0">
      <w:lvlJc w:val="left"/>
      <w:lvlText w:val="•"/>
      <w:numFmt w:val="bullet"/>
      <w:start w:val="1"/>
    </w:lvl>
  </w:abstractNum>
  <w:abstractNum w:abstractNumId="138">
    <w:nsid w:val="6ECE91F0"/>
    <w:multiLevelType w:val="hybridMultilevel"/>
    <w:lvl w:ilvl="0">
      <w:lvlJc w:val="left"/>
      <w:lvlText w:val="•"/>
      <w:numFmt w:val="bullet"/>
      <w:start w:val="1"/>
    </w:lvl>
  </w:abstractNum>
  <w:abstractNum w:abstractNumId="139">
    <w:nsid w:val="4FC4D600"/>
    <w:multiLevelType w:val="hybridMultilevel"/>
    <w:lvl w:ilvl="0">
      <w:lvlJc w:val="left"/>
      <w:lvlText w:val="•"/>
      <w:numFmt w:val="bullet"/>
      <w:start w:val="1"/>
    </w:lvl>
  </w:abstractNum>
  <w:abstractNum w:abstractNumId="140">
    <w:nsid w:val="5BFD4210"/>
    <w:multiLevelType w:val="hybridMultilevel"/>
    <w:lvl w:ilvl="0">
      <w:lvlJc w:val="left"/>
      <w:lvlText w:val="•"/>
      <w:numFmt w:val="bullet"/>
      <w:start w:val="1"/>
    </w:lvl>
  </w:abstractNum>
  <w:abstractNum w:abstractNumId="141">
    <w:nsid w:val="76574F8B"/>
    <w:multiLevelType w:val="hybridMultilevel"/>
    <w:lvl w:ilvl="0">
      <w:lvlJc w:val="left"/>
      <w:lvlText w:val="%1)"/>
      <w:numFmt w:val="decimal"/>
      <w:start w:val="1"/>
    </w:lvl>
  </w:abstractNum>
  <w:abstractNum w:abstractNumId="142">
    <w:nsid w:val="178F7B67"/>
    <w:multiLevelType w:val="hybridMultilevel"/>
    <w:lvl w:ilvl="0">
      <w:lvlJc w:val="left"/>
      <w:lvlText w:val="•"/>
      <w:numFmt w:val="bullet"/>
      <w:start w:val="1"/>
    </w:lvl>
  </w:abstractNum>
  <w:abstractNum w:abstractNumId="143">
    <w:nsid w:val="2421DFCF"/>
    <w:multiLevelType w:val="hybridMultilevel"/>
    <w:lvl w:ilvl="0">
      <w:lvlJc w:val="left"/>
      <w:lvlText w:val="%1)"/>
      <w:numFmt w:val="decimal"/>
      <w:start w:val="1"/>
    </w:lvl>
    <w:lvl w:ilvl="1">
      <w:lvlJc w:val="left"/>
      <w:lvlText w:val="%2)"/>
      <w:numFmt w:val="lowerLetter"/>
      <w:start w:val="1"/>
    </w:lvl>
  </w:abstractNum>
  <w:abstractNum w:abstractNumId="144">
    <w:nsid w:val="1565AC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5">
    <w:nsid w:val="19FB265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6">
    <w:nsid w:val="5024DE5B"/>
    <w:multiLevelType w:val="hybridMultilevel"/>
    <w:lvl w:ilvl="0">
      <w:lvlJc w:val="left"/>
      <w:lvlText w:val="•"/>
      <w:numFmt w:val="bullet"/>
      <w:start w:val="1"/>
    </w:lvl>
  </w:abstractNum>
  <w:abstractNum w:abstractNumId="147">
    <w:nsid w:val="168EFE17"/>
    <w:multiLevelType w:val="hybridMultilevel"/>
    <w:lvl w:ilvl="0">
      <w:lvlJc w:val="left"/>
      <w:lvlText w:val="•"/>
      <w:numFmt w:val="bullet"/>
      <w:start w:val="1"/>
    </w:lvl>
  </w:abstractNum>
  <w:abstractNum w:abstractNumId="148">
    <w:nsid w:val="1036B29F"/>
    <w:multiLevelType w:val="hybridMultilevel"/>
    <w:lvl w:ilvl="0">
      <w:lvlJc w:val="left"/>
      <w:lvlText w:val="•"/>
      <w:numFmt w:val="bullet"/>
      <w:start w:val="1"/>
    </w:lvl>
  </w:abstractNum>
  <w:abstractNum w:abstractNumId="149">
    <w:nsid w:val="1D206B8E"/>
    <w:multiLevelType w:val="hybridMultilevel"/>
    <w:lvl w:ilvl="0">
      <w:lvlJc w:val="left"/>
      <w:lvlText w:val="•"/>
      <w:numFmt w:val="bullet"/>
      <w:start w:val="1"/>
    </w:lvl>
  </w:abstractNum>
  <w:abstractNum w:abstractNumId="150">
    <w:nsid w:val="7934D3D4"/>
    <w:multiLevelType w:val="hybridMultilevel"/>
    <w:lvl w:ilvl="0">
      <w:lvlJc w:val="left"/>
      <w:lvlText w:val="%1)"/>
      <w:numFmt w:val="decimal"/>
      <w:start w:val="1"/>
    </w:lvl>
  </w:abstractNum>
  <w:abstractNum w:abstractNumId="151">
    <w:nsid w:val="1C65E98"/>
    <w:multiLevelType w:val="hybridMultilevel"/>
    <w:lvl w:ilvl="0">
      <w:lvlJc w:val="left"/>
      <w:lvlText w:val="%1)"/>
      <w:numFmt w:val="decimal"/>
      <w:start w:val="1"/>
    </w:lvl>
  </w:abstractNum>
  <w:abstractNum w:abstractNumId="152">
    <w:nsid w:val="1495E50A"/>
    <w:multiLevelType w:val="hybridMultilevel"/>
    <w:lvl w:ilvl="0">
      <w:lvlJc w:val="left"/>
      <w:lvlText w:val="%1)"/>
      <w:numFmt w:val="decimal"/>
      <w:start w:val="1"/>
    </w:lvl>
  </w:abstractNum>
  <w:abstractNum w:abstractNumId="153">
    <w:nsid w:val="F5BCF61"/>
    <w:multiLevelType w:val="hybridMultilevel"/>
    <w:lvl w:ilvl="0">
      <w:lvlJc w:val="left"/>
      <w:lvlText w:val="**"/>
      <w:numFmt w:val="bullet"/>
      <w:start w:val="1"/>
    </w:lvl>
  </w:abstractNum>
  <w:abstractNum w:abstractNumId="154">
    <w:nsid w:val="3B1DD403"/>
    <w:multiLevelType w:val="hybridMultilevel"/>
    <w:lvl w:ilvl="0">
      <w:lvlJc w:val="left"/>
      <w:lvlText w:val="%1)"/>
      <w:numFmt w:val="decimal"/>
      <w:start w:val="4"/>
    </w:lvl>
  </w:abstractNum>
  <w:abstractNum w:abstractNumId="155">
    <w:nsid w:val="530386D1"/>
    <w:multiLevelType w:val="hybridMultilevel"/>
    <w:lvl w:ilvl="0">
      <w:lvlJc w:val="left"/>
      <w:lvlText w:val="%1)"/>
      <w:numFmt w:val="decimal"/>
      <w:start w:val="1"/>
    </w:lvl>
  </w:abstractNum>
  <w:abstractNum w:abstractNumId="156">
    <w:nsid w:val="7525F2BC"/>
    <w:multiLevelType w:val="hybridMultilevel"/>
    <w:lvl w:ilvl="0">
      <w:lvlJc w:val="left"/>
      <w:lvlText w:val="%1)"/>
      <w:numFmt w:val="decimal"/>
      <w:start w:val="1"/>
    </w:lvl>
  </w:abstractNum>
  <w:abstractNum w:abstractNumId="157">
    <w:nsid w:val="CE8E1A7"/>
    <w:multiLevelType w:val="hybridMultilevel"/>
    <w:lvl w:ilvl="0">
      <w:lvlJc w:val="left"/>
      <w:lvlText w:val="%1)"/>
      <w:numFmt w:val="decimal"/>
      <w:start w:val="4"/>
    </w:lvl>
  </w:abstractNum>
  <w:abstractNum w:abstractNumId="158">
    <w:nsid w:val="4E9EFB0D"/>
    <w:multiLevelType w:val="hybridMultilevel"/>
    <w:lvl w:ilvl="0">
      <w:lvlJc w:val="left"/>
      <w:lvlText w:val="•"/>
      <w:numFmt w:val="bullet"/>
      <w:start w:val="1"/>
    </w:lvl>
  </w:abstractNum>
  <w:abstractNum w:abstractNumId="159">
    <w:nsid w:val="90802BE"/>
    <w:multiLevelType w:val="hybridMultilevel"/>
    <w:lvl w:ilvl="0">
      <w:lvlJc w:val="left"/>
      <w:lvlText w:val="•"/>
      <w:numFmt w:val="bullet"/>
      <w:start w:val="1"/>
    </w:lvl>
  </w:abstractNum>
  <w:abstractNum w:abstractNumId="160">
    <w:nsid w:val="3266459B"/>
    <w:multiLevelType w:val="hybridMultilevel"/>
    <w:lvl w:ilvl="0">
      <w:lvlJc w:val="left"/>
      <w:lvlText w:val="•"/>
      <w:numFmt w:val="bullet"/>
      <w:start w:val="1"/>
    </w:lvl>
  </w:abstractNum>
  <w:abstractNum w:abstractNumId="161">
    <w:nsid w:val="3F8B0CBF"/>
    <w:multiLevelType w:val="hybridMultilevel"/>
    <w:lvl w:ilvl="0">
      <w:lvlJc w:val="left"/>
      <w:lvlText w:val="•"/>
      <w:numFmt w:val="bullet"/>
      <w:start w:val="1"/>
    </w:lvl>
  </w:abstractNum>
  <w:abstractNum w:abstractNumId="162">
    <w:nsid w:val="37E203AB"/>
    <w:multiLevelType w:val="hybridMultilevel"/>
    <w:lvl w:ilvl="0">
      <w:lvlJc w:val="left"/>
      <w:lvlText w:val="•"/>
      <w:numFmt w:val="bullet"/>
      <w:start w:val="1"/>
    </w:lvl>
  </w:abstractNum>
  <w:abstractNum w:abstractNumId="163">
    <w:nsid w:val="2586D60E"/>
    <w:multiLevelType w:val="hybridMultilevel"/>
    <w:lvl w:ilvl="0">
      <w:lvlJc w:val="left"/>
      <w:lvlText w:val="•"/>
      <w:numFmt w:val="bullet"/>
      <w:start w:val="1"/>
    </w:lvl>
  </w:abstractNum>
  <w:abstractNum w:abstractNumId="164">
    <w:nsid w:val="1F3DA4D5"/>
    <w:multiLevelType w:val="hybridMultilevel"/>
    <w:lvl w:ilvl="0">
      <w:lvlJc w:val="left"/>
      <w:lvlText w:val="•"/>
      <w:numFmt w:val="bullet"/>
      <w:start w:val="1"/>
    </w:lvl>
  </w:abstractNum>
  <w:abstractNum w:abstractNumId="165">
    <w:nsid w:val="74C93698"/>
    <w:multiLevelType w:val="hybridMultilevel"/>
    <w:lvl w:ilvl="0">
      <w:lvlJc w:val="left"/>
      <w:lvlText w:val="•"/>
      <w:numFmt w:val="bullet"/>
      <w:start w:val="1"/>
    </w:lvl>
  </w:abstractNum>
  <w:abstractNum w:abstractNumId="166">
    <w:nsid w:val="48781401"/>
    <w:multiLevelType w:val="hybridMultilevel"/>
    <w:lvl w:ilvl="0">
      <w:lvlJc w:val="left"/>
      <w:lvlText w:val="•"/>
      <w:numFmt w:val="bullet"/>
      <w:start w:val="1"/>
    </w:lvl>
  </w:abstractNum>
  <w:abstractNum w:abstractNumId="167">
    <w:nsid w:val="186928D6"/>
    <w:multiLevelType w:val="hybridMultilevel"/>
    <w:lvl w:ilvl="0">
      <w:lvlJc w:val="left"/>
      <w:lvlText w:val="•"/>
      <w:numFmt w:val="bullet"/>
      <w:start w:val="1"/>
    </w:lvl>
  </w:abstractNum>
  <w:abstractNum w:abstractNumId="168">
    <w:nsid w:val="47195E5"/>
    <w:multiLevelType w:val="hybridMultilevel"/>
    <w:lvl w:ilvl="0">
      <w:lvlJc w:val="left"/>
      <w:lvlText w:val="•"/>
      <w:numFmt w:val="bullet"/>
      <w:start w:val="1"/>
    </w:lvl>
  </w:abstractNum>
  <w:abstractNum w:abstractNumId="169">
    <w:nsid w:val="3746A5F2"/>
    <w:multiLevelType w:val="hybridMultilevel"/>
    <w:lvl w:ilvl="0">
      <w:lvlJc w:val="left"/>
      <w:lvlText w:val="•"/>
      <w:numFmt w:val="bullet"/>
      <w:start w:val="1"/>
    </w:lvl>
  </w:abstractNum>
  <w:abstractNum w:abstractNumId="170">
    <w:nsid w:val="682DFED6"/>
    <w:multiLevelType w:val="hybridMultilevel"/>
    <w:lvl w:ilvl="0">
      <w:lvlJc w:val="left"/>
      <w:lvlText w:val="•"/>
      <w:numFmt w:val="bullet"/>
      <w:start w:val="1"/>
    </w:lvl>
  </w:abstractNum>
  <w:abstractNum w:abstractNumId="171">
    <w:nsid w:val="606ED7F6"/>
    <w:multiLevelType w:val="hybridMultilevel"/>
    <w:lvl w:ilvl="0">
      <w:lvlJc w:val="left"/>
      <w:lvlText w:val="•"/>
      <w:numFmt w:val="bullet"/>
      <w:start w:val="1"/>
    </w:lvl>
  </w:abstractNum>
  <w:abstractNum w:abstractNumId="172">
    <w:nsid w:val="2D9DF57D"/>
    <w:multiLevelType w:val="hybridMultilevel"/>
    <w:lvl w:ilvl="0">
      <w:lvlJc w:val="left"/>
      <w:lvlText w:val="•"/>
      <w:numFmt w:val="bullet"/>
      <w:start w:val="1"/>
    </w:lvl>
  </w:abstractNum>
  <w:abstractNum w:abstractNumId="173">
    <w:nsid w:val="7FBD7A3E"/>
    <w:multiLevelType w:val="hybridMultilevel"/>
    <w:lvl w:ilvl="0">
      <w:lvlJc w:val="left"/>
      <w:lvlText w:val="•"/>
      <w:numFmt w:val="bullet"/>
      <w:start w:val="1"/>
    </w:lvl>
  </w:abstractNum>
  <w:abstractNum w:abstractNumId="174">
    <w:nsid w:val="490B7C5"/>
    <w:multiLevelType w:val="hybridMultilevel"/>
    <w:lvl w:ilvl="0">
      <w:lvlJc w:val="left"/>
      <w:lvlText w:val="•"/>
      <w:numFmt w:val="bullet"/>
      <w:start w:val="1"/>
    </w:lvl>
  </w:abstractNum>
  <w:abstractNum w:abstractNumId="175">
    <w:nsid w:val="4303A216"/>
    <w:multiLevelType w:val="hybridMultilevel"/>
    <w:lvl w:ilvl="0">
      <w:lvlJc w:val="left"/>
      <w:lvlText w:val="•"/>
      <w:numFmt w:val="bullet"/>
      <w:start w:val="1"/>
    </w:lvl>
  </w:abstractNum>
  <w:abstractNum w:abstractNumId="176">
    <w:nsid w:val="19B8A08E"/>
    <w:multiLevelType w:val="hybridMultilevel"/>
    <w:lvl w:ilvl="0">
      <w:lvlJc w:val="left"/>
      <w:lvlText w:val="•"/>
      <w:numFmt w:val="bullet"/>
      <w:start w:val="1"/>
    </w:lvl>
  </w:abstractNum>
  <w:abstractNum w:abstractNumId="177">
    <w:nsid w:val="54B59621"/>
    <w:multiLevelType w:val="hybridMultilevel"/>
    <w:lvl w:ilvl="0">
      <w:lvlJc w:val="left"/>
      <w:lvlText w:val="•"/>
      <w:numFmt w:val="bullet"/>
      <w:start w:val="1"/>
    </w:lvl>
  </w:abstractNum>
  <w:abstractNum w:abstractNumId="178">
    <w:nsid w:val="5992A02E"/>
    <w:multiLevelType w:val="hybridMultilevel"/>
    <w:lvl w:ilvl="0">
      <w:lvlJc w:val="left"/>
      <w:lvlText w:val="•"/>
      <w:numFmt w:val="bullet"/>
      <w:start w:val="1"/>
    </w:lvl>
  </w:abstractNum>
  <w:abstractNum w:abstractNumId="179">
    <w:nsid w:val="29EF532D"/>
    <w:multiLevelType w:val="hybridMultilevel"/>
    <w:lvl w:ilvl="0">
      <w:lvlJc w:val="left"/>
      <w:lvlText w:val="▪"/>
      <w:numFmt w:val="bullet"/>
      <w:start w:val="1"/>
    </w:lvl>
  </w:abstractNum>
  <w:abstractNum w:abstractNumId="180">
    <w:nsid w:val="71D601AF"/>
    <w:multiLevelType w:val="hybridMultilevel"/>
    <w:lvl w:ilvl="0">
      <w:lvlJc w:val="left"/>
      <w:lvlText w:val="▪"/>
      <w:numFmt w:val="bullet"/>
      <w:start w:val="1"/>
    </w:lvl>
    <w:lvl w:ilvl="1">
      <w:lvlJc w:val="left"/>
      <w:lvlText w:val="-"/>
      <w:numFmt w:val="bullet"/>
      <w:start w:val="1"/>
    </w:lvl>
  </w:abstractNum>
  <w:abstractNum w:abstractNumId="181">
    <w:nsid w:val="52C77402"/>
    <w:multiLevelType w:val="hybridMultilevel"/>
    <w:lvl w:ilvl="0">
      <w:lvlJc w:val="left"/>
      <w:lvlText w:val="▪"/>
      <w:numFmt w:val="bullet"/>
      <w:start w:val="1"/>
    </w:lvl>
  </w:abstractNum>
  <w:abstractNum w:abstractNumId="182">
    <w:nsid w:val="2BB5B1C6"/>
    <w:multiLevelType w:val="hybridMultilevel"/>
    <w:lvl w:ilvl="0">
      <w:lvlJc w:val="left"/>
      <w:lvlText w:val="▪"/>
      <w:numFmt w:val="bullet"/>
      <w:start w:val="1"/>
    </w:lvl>
  </w:abstractNum>
  <w:abstractNum w:abstractNumId="183">
    <w:nsid w:val="66BE6B9"/>
    <w:multiLevelType w:val="hybridMultilevel"/>
    <w:lvl w:ilvl="0">
      <w:lvlJc w:val="left"/>
      <w:lvlText w:val="▪"/>
      <w:numFmt w:val="bullet"/>
      <w:start w:val="1"/>
    </w:lvl>
  </w:abstractNum>
  <w:abstractNum w:abstractNumId="184">
    <w:nsid w:val="62234363"/>
    <w:multiLevelType w:val="hybridMultilevel"/>
    <w:lvl w:ilvl="0">
      <w:lvlJc w:val="left"/>
      <w:lvlText w:val="▪"/>
      <w:numFmt w:val="bullet"/>
      <w:start w:val="1"/>
    </w:lvl>
  </w:abstractNum>
  <w:abstractNum w:abstractNumId="185">
    <w:nsid w:val="66D385C9"/>
    <w:multiLevelType w:val="hybridMultilevel"/>
    <w:lvl w:ilvl="0">
      <w:lvlJc w:val="left"/>
      <w:lvlText w:val="▪"/>
      <w:numFmt w:val="bullet"/>
      <w:start w:val="1"/>
    </w:lvl>
  </w:abstractNum>
  <w:abstractNum w:abstractNumId="186">
    <w:nsid w:val="596F6D8A"/>
    <w:multiLevelType w:val="hybridMultilevel"/>
    <w:lvl w:ilvl="0">
      <w:lvlJc w:val="left"/>
      <w:lvlText w:val="▪"/>
      <w:numFmt w:val="bullet"/>
      <w:start w:val="1"/>
    </w:lvl>
  </w:abstractNum>
  <w:abstractNum w:abstractNumId="187">
    <w:nsid w:val="5749361F"/>
    <w:multiLevelType w:val="hybridMultilevel"/>
    <w:lvl w:ilvl="0">
      <w:lvlJc w:val="left"/>
      <w:lvlText w:val="§"/>
      <w:numFmt w:val="bullet"/>
      <w:start w:val="1"/>
    </w:lvl>
  </w:abstractNum>
  <w:abstractNum w:abstractNumId="188">
    <w:nsid w:val="73BC6770"/>
    <w:multiLevelType w:val="hybridMultilevel"/>
    <w:lvl w:ilvl="0">
      <w:lvlJc w:val="left"/>
      <w:lvlText w:val="▪"/>
      <w:numFmt w:val="bullet"/>
      <w:start w:val="1"/>
    </w:lvl>
  </w:abstractNum>
  <w:abstractNum w:abstractNumId="189">
    <w:nsid w:val="280E6897"/>
    <w:multiLevelType w:val="hybridMultilevel"/>
    <w:lvl w:ilvl="0">
      <w:lvlJc w:val="left"/>
      <w:lvlText w:val="§"/>
      <w:numFmt w:val="bullet"/>
      <w:start w:val="1"/>
    </w:lvl>
  </w:abstractNum>
  <w:abstractNum w:abstractNumId="190">
    <w:nsid w:val="605138DE"/>
    <w:multiLevelType w:val="hybridMultilevel"/>
    <w:lvl w:ilvl="0">
      <w:lvlJc w:val="left"/>
      <w:lvlText w:val="▪"/>
      <w:numFmt w:val="bullet"/>
      <w:start w:val="1"/>
    </w:lvl>
  </w:abstractNum>
  <w:abstractNum w:abstractNumId="191">
    <w:nsid w:val="2622AD0C"/>
    <w:multiLevelType w:val="hybridMultilevel"/>
    <w:lvl w:ilvl="0">
      <w:lvlJc w:val="left"/>
      <w:lvlText w:val="▪"/>
      <w:numFmt w:val="bullet"/>
      <w:start w:val="1"/>
    </w:lvl>
  </w:abstractNum>
  <w:abstractNum w:abstractNumId="192">
    <w:nsid w:val="67997556"/>
    <w:multiLevelType w:val="hybridMultilevel"/>
    <w:lvl w:ilvl="0">
      <w:lvlJc w:val="left"/>
      <w:lvlText w:val="▪"/>
      <w:numFmt w:val="bullet"/>
      <w:start w:val="1"/>
    </w:lvl>
  </w:abstractNum>
  <w:abstractNum w:abstractNumId="193">
    <w:nsid w:val="18333C89"/>
    <w:multiLevelType w:val="hybridMultilevel"/>
    <w:lvl w:ilvl="0">
      <w:lvlJc w:val="left"/>
      <w:lvlText w:val="▪"/>
      <w:numFmt w:val="bullet"/>
      <w:start w:val="1"/>
    </w:lvl>
  </w:abstractNum>
  <w:abstractNum w:abstractNumId="194">
    <w:nsid w:val="4BA9831A"/>
    <w:multiLevelType w:val="hybridMultilevel"/>
    <w:lvl w:ilvl="0">
      <w:lvlJc w:val="left"/>
      <w:lvlText w:val="▪"/>
      <w:numFmt w:val="bullet"/>
      <w:start w:val="1"/>
    </w:lvl>
  </w:abstractNum>
  <w:abstractNum w:abstractNumId="195">
    <w:nsid w:val="6D71A2B"/>
    <w:multiLevelType w:val="hybridMultilevel"/>
    <w:lvl w:ilvl="0">
      <w:lvlJc w:val="left"/>
      <w:lvlText w:val="▪"/>
      <w:numFmt w:val="bullet"/>
      <w:start w:val="1"/>
    </w:lvl>
  </w:abstractNum>
  <w:abstractNum w:abstractNumId="196">
    <w:nsid w:val="CFC7321"/>
    <w:multiLevelType w:val="hybridMultilevel"/>
    <w:lvl w:ilvl="0">
      <w:lvlJc w:val="left"/>
      <w:lvlText w:val="%1."/>
      <w:numFmt w:val="decimal"/>
      <w:start w:val="1"/>
    </w:lvl>
    <w:lvl w:ilvl="1">
      <w:lvlJc w:val="left"/>
      <w:lvlText w:val="§"/>
      <w:numFmt w:val="bullet"/>
      <w:start w:val="1"/>
    </w:lvl>
  </w:abstractNum>
  <w:abstractNum w:abstractNumId="197">
    <w:nsid w:val="1421971B"/>
    <w:multiLevelType w:val="hybridMultilevel"/>
    <w:lvl w:ilvl="0">
      <w:lvlJc w:val="left"/>
      <w:lvlText w:val="§"/>
      <w:numFmt w:val="bullet"/>
      <w:start w:val="1"/>
    </w:lvl>
  </w:abstractNum>
  <w:abstractNum w:abstractNumId="198">
    <w:nsid w:val="1F404301"/>
    <w:multiLevelType w:val="hybridMultilevel"/>
    <w:lvl w:ilvl="0">
      <w:lvlJc w:val="left"/>
      <w:lvlText w:val="§"/>
      <w:numFmt w:val="bullet"/>
      <w:start w:val="1"/>
    </w:lvl>
  </w:abstractNum>
  <w:abstractNum w:abstractNumId="199">
    <w:nsid w:val="116E0907"/>
    <w:multiLevelType w:val="hybridMultilevel"/>
    <w:lvl w:ilvl="0">
      <w:lvlJc w:val="left"/>
      <w:lvlText w:val="§"/>
      <w:numFmt w:val="bullet"/>
      <w:start w:val="1"/>
    </w:lvl>
  </w:abstractNum>
  <w:abstractNum w:abstractNumId="200">
    <w:nsid w:val="4B683D0D"/>
    <w:multiLevelType w:val="hybridMultilevel"/>
    <w:lvl w:ilvl="0">
      <w:lvlJc w:val="left"/>
      <w:lvlText w:val="▪"/>
      <w:numFmt w:val="bullet"/>
      <w:start w:val="1"/>
    </w:lvl>
  </w:abstractNum>
  <w:abstractNum w:abstractNumId="201">
    <w:nsid w:val="76E41D8"/>
    <w:multiLevelType w:val="hybridMultilevel"/>
    <w:lvl w:ilvl="0">
      <w:lvlJc w:val="left"/>
      <w:lvlText w:val="▪"/>
      <w:numFmt w:val="bullet"/>
      <w:start w:val="1"/>
    </w:lvl>
    <w:lvl w:ilvl="1">
      <w:lvlJc w:val="left"/>
      <w:lvlText w:val="•"/>
      <w:numFmt w:val="bullet"/>
      <w:start w:val="1"/>
    </w:lvl>
  </w:abstractNum>
  <w:abstractNum w:abstractNumId="202">
    <w:nsid w:val="71DCE0FD"/>
    <w:multiLevelType w:val="hybridMultilevel"/>
    <w:lvl w:ilvl="0">
      <w:lvlJc w:val="left"/>
      <w:lvlText w:val="▪"/>
      <w:numFmt w:val="bullet"/>
      <w:start w:val="1"/>
    </w:lvl>
  </w:abstractNum>
  <w:abstractNum w:abstractNumId="203">
    <w:nsid w:val="7906328B"/>
    <w:multiLevelType w:val="hybridMultilevel"/>
    <w:lvl w:ilvl="0">
      <w:lvlJc w:val="left"/>
      <w:lvlText w:val="▪"/>
      <w:numFmt w:val="bullet"/>
      <w:start w:val="1"/>
    </w:lvl>
  </w:abstractNum>
  <w:abstractNum w:abstractNumId="204">
    <w:nsid w:val="72BBC16"/>
    <w:multiLevelType w:val="hybridMultilevel"/>
    <w:lvl w:ilvl="0">
      <w:lvlJc w:val="left"/>
      <w:lvlText w:val="▪"/>
      <w:numFmt w:val="bullet"/>
      <w:start w:val="1"/>
    </w:lvl>
  </w:abstractNum>
  <w:abstractNum w:abstractNumId="205">
    <w:nsid w:val="766D98C2"/>
    <w:multiLevelType w:val="hybridMultilevel"/>
    <w:lvl w:ilvl="0">
      <w:lvlJc w:val="left"/>
      <w:lvlText w:val="▪"/>
      <w:numFmt w:val="bullet"/>
      <w:start w:val="1"/>
    </w:lvl>
    <w:lvl w:ilvl="1">
      <w:lvlJc w:val="left"/>
      <w:lvlText w:val="•"/>
      <w:numFmt w:val="bullet"/>
      <w:start w:val="1"/>
    </w:lvl>
  </w:abstractNum>
  <w:abstractNum w:abstractNumId="206">
    <w:nsid w:val="3C09D4A1"/>
    <w:multiLevelType w:val="hybridMultilevel"/>
    <w:lvl w:ilvl="0">
      <w:lvlJc w:val="left"/>
      <w:lvlText w:val="▪"/>
      <w:numFmt w:val="bullet"/>
      <w:start w:val="1"/>
    </w:lvl>
  </w:abstractNum>
  <w:abstractNum w:abstractNumId="207">
    <w:nsid w:val="20E45CA4"/>
    <w:multiLevelType w:val="hybridMultilevel"/>
    <w:lvl w:ilvl="0">
      <w:lvlJc w:val="left"/>
      <w:lvlText w:val="▪"/>
      <w:numFmt w:val="bullet"/>
      <w:start w:val="1"/>
    </w:lvl>
  </w:abstractNum>
  <w:abstractNum w:abstractNumId="208">
    <w:nsid w:val="4B232EE3"/>
    <w:multiLevelType w:val="hybridMultilevel"/>
    <w:lvl w:ilvl="0">
      <w:lvlJc w:val="left"/>
      <w:lvlText w:val="▪"/>
      <w:numFmt w:val="bullet"/>
      <w:start w:val="1"/>
    </w:lvl>
  </w:abstractNum>
  <w:abstractNum w:abstractNumId="209">
    <w:nsid w:val="159C74CF"/>
    <w:multiLevelType w:val="hybridMultilevel"/>
    <w:lvl w:ilvl="0">
      <w:lvlJc w:val="left"/>
      <w:lvlText w:val="▪"/>
      <w:numFmt w:val="bullet"/>
      <w:start w:val="1"/>
    </w:lvl>
  </w:abstractNum>
  <w:abstractNum w:abstractNumId="210">
    <w:nsid w:val="4AD3AFD2"/>
    <w:multiLevelType w:val="hybridMultilevel"/>
    <w:lvl w:ilvl="0">
      <w:lvlJc w:val="left"/>
      <w:lvlText w:val="▪"/>
      <w:numFmt w:val="bullet"/>
      <w:start w:val="1"/>
    </w:lvl>
  </w:abstractNum>
  <w:abstractNum w:abstractNumId="211">
    <w:nsid w:val="3CF93092"/>
    <w:multiLevelType w:val="hybridMultilevel"/>
    <w:lvl w:ilvl="0">
      <w:lvlJc w:val="left"/>
      <w:lvlText w:val="▪"/>
      <w:numFmt w:val="bullet"/>
      <w:start w:val="1"/>
    </w:lvl>
  </w:abstractNum>
  <w:abstractNum w:abstractNumId="212">
    <w:nsid w:val="6863E8D2"/>
    <w:multiLevelType w:val="hybridMultilevel"/>
    <w:lvl w:ilvl="0">
      <w:lvlJc w:val="left"/>
      <w:lvlText w:val="▪"/>
      <w:numFmt w:val="bullet"/>
      <w:start w:val="1"/>
    </w:lvl>
  </w:abstractNum>
  <w:abstractNum w:abstractNumId="213">
    <w:nsid w:val="76896198"/>
    <w:multiLevelType w:val="hybridMultilevel"/>
    <w:lvl w:ilvl="0">
      <w:lvlJc w:val="left"/>
      <w:lvlText w:val="▪"/>
      <w:numFmt w:val="bullet"/>
      <w:start w:val="1"/>
    </w:lvl>
  </w:abstractNum>
  <w:abstractNum w:abstractNumId="214">
    <w:nsid w:val="4365174B"/>
    <w:multiLevelType w:val="hybridMultilevel"/>
    <w:lvl w:ilvl="0">
      <w:lvlJc w:val="left"/>
      <w:lvlText w:val="▪"/>
      <w:numFmt w:val="bullet"/>
      <w:start w:val="1"/>
    </w:lvl>
  </w:abstractNum>
  <w:abstractNum w:abstractNumId="215">
    <w:nsid w:val="4A872C35"/>
    <w:multiLevelType w:val="hybridMultilevel"/>
    <w:lvl w:ilvl="0">
      <w:lvlJc w:val="left"/>
      <w:lvlText w:val="▪"/>
      <w:numFmt w:val="bullet"/>
      <w:start w:val="1"/>
    </w:lvl>
  </w:abstractNum>
  <w:abstractNum w:abstractNumId="216">
    <w:nsid w:val="5D5CE761"/>
    <w:multiLevelType w:val="hybridMultilevel"/>
    <w:lvl w:ilvl="0">
      <w:lvlJc w:val="left"/>
      <w:lvlText w:val="▪"/>
      <w:numFmt w:val="bullet"/>
      <w:start w:val="1"/>
    </w:lvl>
  </w:abstractNum>
  <w:abstractNum w:abstractNumId="217">
    <w:nsid w:val="1CD484D5"/>
    <w:multiLevelType w:val="hybridMultilevel"/>
    <w:lvl w:ilvl="0">
      <w:lvlJc w:val="left"/>
      <w:lvlText w:val="▪"/>
      <w:numFmt w:val="bullet"/>
      <w:start w:val="1"/>
    </w:lvl>
  </w:abstractNum>
  <w:abstractNum w:abstractNumId="218">
    <w:nsid w:val="21D06255"/>
    <w:multiLevelType w:val="hybridMultilevel"/>
    <w:lvl w:ilvl="0">
      <w:lvlJc w:val="left"/>
      <w:lvlText w:val="▪"/>
      <w:numFmt w:val="bullet"/>
      <w:start w:val="1"/>
    </w:lvl>
  </w:abstractNum>
  <w:abstractNum w:abstractNumId="219">
    <w:nsid w:val="51194ED1"/>
    <w:multiLevelType w:val="hybridMultilevel"/>
    <w:lvl w:ilvl="0">
      <w:lvlJc w:val="left"/>
      <w:lvlText w:val="▪"/>
      <w:numFmt w:val="bullet"/>
      <w:start w:val="1"/>
    </w:lvl>
  </w:abstractNum>
  <w:abstractNum w:abstractNumId="220">
    <w:nsid w:val="44E2ED6C"/>
    <w:multiLevelType w:val="hybridMultilevel"/>
    <w:lvl w:ilvl="0">
      <w:lvlJc w:val="left"/>
      <w:lvlText w:val="▪"/>
      <w:numFmt w:val="bullet"/>
      <w:start w:val="1"/>
    </w:lvl>
  </w:abstractNum>
  <w:abstractNum w:abstractNumId="221">
    <w:nsid w:val="2219B33"/>
    <w:multiLevelType w:val="hybridMultilevel"/>
    <w:lvl w:ilvl="0">
      <w:lvlJc w:val="left"/>
      <w:lvlText w:val="▪"/>
      <w:numFmt w:val="bullet"/>
      <w:start w:val="1"/>
    </w:lvl>
  </w:abstractNum>
  <w:abstractNum w:abstractNumId="222">
    <w:nsid w:val="773BFBDD"/>
    <w:multiLevelType w:val="hybridMultilevel"/>
    <w:lvl w:ilvl="0">
      <w:lvlJc w:val="left"/>
      <w:lvlText w:val="▪"/>
      <w:numFmt w:val="bullet"/>
      <w:start w:val="1"/>
    </w:lvl>
  </w:abstractNum>
  <w:abstractNum w:abstractNumId="223">
    <w:nsid w:val="2C7C62C2"/>
    <w:multiLevelType w:val="hybridMultilevel"/>
    <w:lvl w:ilvl="0">
      <w:lvlJc w:val="left"/>
      <w:lvlText w:val="▪"/>
      <w:numFmt w:val="bullet"/>
      <w:start w:val="1"/>
    </w:lvl>
  </w:abstractNum>
  <w:abstractNum w:abstractNumId="224">
    <w:nsid w:val="1A54D7BC"/>
    <w:multiLevelType w:val="hybridMultilevel"/>
    <w:lvl w:ilvl="0">
      <w:lvlJc w:val="left"/>
      <w:lvlText w:val="▪"/>
      <w:numFmt w:val="bullet"/>
      <w:start w:val="1"/>
    </w:lvl>
    <w:lvl w:ilvl="1">
      <w:lvlJc w:val="left"/>
      <w:lvlText w:val="•"/>
      <w:numFmt w:val="bullet"/>
      <w:start w:val="1"/>
    </w:lvl>
  </w:abstractNum>
  <w:abstractNum w:abstractNumId="225">
    <w:nsid w:val="42E57EF7"/>
    <w:multiLevelType w:val="hybridMultilevel"/>
    <w:lvl w:ilvl="0">
      <w:lvlJc w:val="left"/>
      <w:lvlText w:val="▪"/>
      <w:numFmt w:val="bullet"/>
      <w:start w:val="1"/>
    </w:lvl>
    <w:lvl w:ilvl="1">
      <w:lvlJc w:val="left"/>
      <w:lvlText w:val="•"/>
      <w:numFmt w:val="bullet"/>
      <w:start w:val="1"/>
    </w:lvl>
  </w:abstractNum>
  <w:abstractNum w:abstractNumId="226">
    <w:nsid w:val="33537CED"/>
    <w:multiLevelType w:val="hybridMultilevel"/>
    <w:lvl w:ilvl="0">
      <w:lvlJc w:val="left"/>
      <w:lvlText w:val="▪"/>
      <w:numFmt w:val="bullet"/>
      <w:start w:val="1"/>
    </w:lvl>
  </w:abstractNum>
  <w:abstractNum w:abstractNumId="227">
    <w:nsid w:val="27514ADE"/>
    <w:multiLevelType w:val="hybridMultilevel"/>
    <w:lvl w:ilvl="0">
      <w:lvlJc w:val="left"/>
      <w:lvlText w:val="▪"/>
      <w:numFmt w:val="bullet"/>
      <w:start w:val="1"/>
    </w:lvl>
    <w:lvl w:ilvl="1">
      <w:lvlJc w:val="left"/>
      <w:lvlText w:val="•"/>
      <w:numFmt w:val="bullet"/>
      <w:start w:val="1"/>
    </w:lvl>
  </w:abstractNum>
  <w:abstractNum w:abstractNumId="228">
    <w:nsid w:val="57071613"/>
    <w:multiLevelType w:val="hybridMultilevel"/>
    <w:lvl w:ilvl="0">
      <w:lvlJc w:val="left"/>
      <w:lvlText w:val="▪"/>
      <w:numFmt w:val="bullet"/>
      <w:start w:val="1"/>
    </w:lvl>
    <w:lvl w:ilvl="1">
      <w:lvlJc w:val="left"/>
      <w:lvlText w:val="•"/>
      <w:numFmt w:val="bullet"/>
      <w:start w:val="1"/>
    </w:lvl>
  </w:abstractNum>
  <w:abstractNum w:abstractNumId="229">
    <w:nsid w:val="5293BFEF"/>
    <w:multiLevelType w:val="hybridMultilevel"/>
    <w:lvl w:ilvl="0">
      <w:lvlJc w:val="left"/>
      <w:lvlText w:val="▪"/>
      <w:numFmt w:val="bullet"/>
      <w:start w:val="1"/>
    </w:lvl>
  </w:abstractNum>
  <w:abstractNum w:abstractNumId="230">
    <w:nsid w:val="38BF53E5"/>
    <w:multiLevelType w:val="hybridMultilevel"/>
    <w:lvl w:ilvl="0">
      <w:lvlJc w:val="left"/>
      <w:lvlText w:val="▪"/>
      <w:numFmt w:val="bullet"/>
      <w:start w:val="1"/>
    </w:lvl>
    <w:lvl w:ilvl="1">
      <w:lvlJc w:val="left"/>
      <w:lvlText w:val="•"/>
      <w:numFmt w:val="bullet"/>
      <w:start w:val="1"/>
    </w:lvl>
  </w:abstractNum>
  <w:abstractNum w:abstractNumId="231">
    <w:nsid w:val="226F5320"/>
    <w:multiLevelType w:val="hybridMultilevel"/>
    <w:lvl w:ilvl="0">
      <w:lvlJc w:val="left"/>
      <w:lvlText w:val="▪"/>
      <w:numFmt w:val="bullet"/>
      <w:start w:val="1"/>
    </w:lvl>
    <w:lvl w:ilvl="1">
      <w:lvlJc w:val="left"/>
      <w:lvlText w:val="•"/>
      <w:numFmt w:val="bullet"/>
      <w:start w:val="1"/>
    </w:lvl>
  </w:abstractNum>
  <w:abstractNum w:abstractNumId="232">
    <w:nsid w:val="5A0201C7"/>
    <w:multiLevelType w:val="hybridMultilevel"/>
    <w:lvl w:ilvl="0">
      <w:lvlJc w:val="left"/>
      <w:lvlText w:val="▪"/>
      <w:numFmt w:val="bullet"/>
      <w:start w:val="1"/>
    </w:lvl>
  </w:abstractNum>
  <w:abstractNum w:abstractNumId="233">
    <w:nsid w:val="2A9C34E2"/>
    <w:multiLevelType w:val="hybridMultilevel"/>
    <w:lvl w:ilvl="0">
      <w:lvlJc w:val="left"/>
      <w:lvlText w:val="▪"/>
      <w:numFmt w:val="bullet"/>
      <w:start w:val="1"/>
    </w:lvl>
  </w:abstractNum>
  <w:abstractNum w:abstractNumId="234">
    <w:nsid w:val="1B7585AB"/>
    <w:multiLevelType w:val="hybridMultilevel"/>
    <w:lvl w:ilvl="0">
      <w:lvlJc w:val="left"/>
      <w:lvlText w:val="▪"/>
      <w:numFmt w:val="bullet"/>
      <w:start w:val="1"/>
    </w:lvl>
  </w:abstractNum>
  <w:abstractNum w:abstractNumId="235">
    <w:nsid w:val="612DBDDD"/>
    <w:multiLevelType w:val="hybridMultilevel"/>
    <w:lvl w:ilvl="0">
      <w:lvlJc w:val="left"/>
      <w:lvlText w:val="▪"/>
      <w:numFmt w:val="bullet"/>
      <w:start w:val="1"/>
    </w:lvl>
  </w:abstractNum>
  <w:abstractNum w:abstractNumId="236">
    <w:nsid w:val="2109CDA4"/>
    <w:multiLevelType w:val="hybridMultilevel"/>
    <w:lvl w:ilvl="0">
      <w:lvlJc w:val="left"/>
      <w:lvlText w:val="▪"/>
      <w:numFmt w:val="bullet"/>
      <w:start w:val="1"/>
    </w:lvl>
  </w:abstractNum>
  <w:abstractNum w:abstractNumId="237">
    <w:nsid w:val="577F5A4D"/>
    <w:multiLevelType w:val="hybridMultilevel"/>
    <w:lvl w:ilvl="0">
      <w:lvlJc w:val="left"/>
      <w:lvlText w:val="(%1)"/>
      <w:numFmt w:val="lowerRoman"/>
      <w:start w:val="6"/>
    </w:lvl>
  </w:abstractNum>
  <w:abstractNum w:abstractNumId="238">
    <w:nsid w:val="2121A81"/>
    <w:multiLevelType w:val="hybridMultilevel"/>
    <w:lvl w:ilvl="0">
      <w:lvlJc w:val="left"/>
      <w:lvlText w:val="▪"/>
      <w:numFmt w:val="bullet"/>
      <w:start w:val="1"/>
    </w:lvl>
  </w:abstractNum>
  <w:abstractNum w:abstractNumId="239">
    <w:nsid w:val="6C2CFC88"/>
    <w:multiLevelType w:val="hybridMultilevel"/>
    <w:lvl w:ilvl="0">
      <w:lvlJc w:val="left"/>
      <w:lvlText w:val="▪"/>
      <w:numFmt w:val="bullet"/>
      <w:start w:val="1"/>
    </w:lvl>
  </w:abstractNum>
  <w:abstractNum w:abstractNumId="240">
    <w:nsid w:val="6D1BCF1C"/>
    <w:multiLevelType w:val="hybridMultilevel"/>
    <w:lvl w:ilvl="0">
      <w:lvlJc w:val="left"/>
      <w:lvlText w:val="▪"/>
      <w:numFmt w:val="bullet"/>
      <w:start w:val="1"/>
    </w:lvl>
  </w:abstractNum>
  <w:abstractNum w:abstractNumId="241">
    <w:nsid w:val="4CE5CA53"/>
    <w:multiLevelType w:val="hybridMultilevel"/>
    <w:lvl w:ilvl="0">
      <w:lvlJc w:val="left"/>
      <w:lvlText w:val="▪"/>
      <w:numFmt w:val="bullet"/>
      <w:start w:val="1"/>
    </w:lvl>
  </w:abstractNum>
  <w:abstractNum w:abstractNumId="242">
    <w:nsid w:val="29262D1A"/>
    <w:multiLevelType w:val="hybridMultilevel"/>
    <w:lvl w:ilvl="0">
      <w:lvlJc w:val="left"/>
      <w:lvlText w:val="▪"/>
      <w:numFmt w:val="bullet"/>
      <w:start w:val="1"/>
    </w:lvl>
  </w:abstractNum>
  <w:abstractNum w:abstractNumId="243">
    <w:nsid w:val="557FB7EE"/>
    <w:multiLevelType w:val="hybridMultilevel"/>
    <w:lvl w:ilvl="0">
      <w:lvlJc w:val="left"/>
      <w:lvlText w:val="▪"/>
      <w:numFmt w:val="bullet"/>
      <w:start w:val="1"/>
    </w:lvl>
  </w:abstractNum>
  <w:abstractNum w:abstractNumId="244">
    <w:nsid w:val="436F2BEB"/>
    <w:multiLevelType w:val="hybridMultilevel"/>
    <w:lvl w:ilvl="0">
      <w:lvlJc w:val="left"/>
      <w:lvlText w:val="▪"/>
      <w:numFmt w:val="bullet"/>
      <w:start w:val="1"/>
    </w:lvl>
  </w:abstractNum>
  <w:abstractNum w:abstractNumId="245">
    <w:nsid w:val="6C8B4466"/>
    <w:multiLevelType w:val="hybridMultilevel"/>
    <w:lvl w:ilvl="0">
      <w:lvlJc w:val="left"/>
      <w:lvlText w:val="▪"/>
      <w:numFmt w:val="bullet"/>
      <w:start w:val="1"/>
    </w:lvl>
  </w:abstractNum>
  <w:abstractNum w:abstractNumId="246">
    <w:nsid w:val="2006E424"/>
    <w:multiLevelType w:val="hybridMultilevel"/>
    <w:lvl w:ilvl="0">
      <w:lvlJc w:val="left"/>
      <w:lvlText w:val="▪"/>
      <w:numFmt w:val="bullet"/>
      <w:start w:val="1"/>
    </w:lvl>
  </w:abstractNum>
  <w:abstractNum w:abstractNumId="247">
    <w:nsid w:val="20CC134C"/>
    <w:multiLevelType w:val="hybridMultilevel"/>
    <w:lvl w:ilvl="0">
      <w:lvlJc w:val="left"/>
      <w:lvlText w:val="▪"/>
      <w:numFmt w:val="bullet"/>
      <w:start w:val="1"/>
    </w:lvl>
  </w:abstractNum>
  <w:abstractNum w:abstractNumId="248">
    <w:nsid w:val="95FC93B"/>
    <w:multiLevelType w:val="hybridMultilevel"/>
    <w:lvl w:ilvl="0">
      <w:lvlJc w:val="left"/>
      <w:lvlText w:val="▪"/>
      <w:numFmt w:val="bullet"/>
      <w:start w:val="1"/>
    </w:lvl>
  </w:abstractNum>
  <w:abstractNum w:abstractNumId="249">
    <w:nsid w:val="41D74679"/>
    <w:multiLevelType w:val="hybridMultilevel"/>
    <w:lvl w:ilvl="0">
      <w:lvlJc w:val="left"/>
      <w:lvlText w:val="▪"/>
      <w:numFmt w:val="bullet"/>
      <w:start w:val="1"/>
    </w:lvl>
  </w:abstractNum>
  <w:abstractNum w:abstractNumId="250">
    <w:nsid w:val="71E5621E"/>
    <w:multiLevelType w:val="hybridMultilevel"/>
    <w:lvl w:ilvl="0">
      <w:lvlJc w:val="left"/>
      <w:lvlText w:val="▪"/>
      <w:numFmt w:val="bullet"/>
      <w:start w:val="1"/>
    </w:lvl>
  </w:abstractNum>
  <w:abstractNum w:abstractNumId="251">
    <w:nsid w:val="4E42B6A8"/>
    <w:multiLevelType w:val="hybridMultilevel"/>
    <w:lvl w:ilvl="0">
      <w:lvlJc w:val="left"/>
      <w:lvlText w:val="▪"/>
      <w:numFmt w:val="bullet"/>
      <w:start w:val="1"/>
    </w:lvl>
  </w:abstractNum>
  <w:abstractNum w:abstractNumId="252">
    <w:nsid w:val="43F8E1AC"/>
    <w:multiLevelType w:val="hybridMultilevel"/>
    <w:lvl w:ilvl="0">
      <w:lvlJc w:val="left"/>
      <w:lvlText w:val="▪"/>
      <w:numFmt w:val="bullet"/>
      <w:start w:val="1"/>
    </w:lvl>
  </w:abstractNum>
  <w:abstractNum w:abstractNumId="253">
    <w:nsid w:val="69215DFB"/>
    <w:multiLevelType w:val="hybridMultilevel"/>
    <w:lvl w:ilvl="0">
      <w:lvlJc w:val="left"/>
      <w:lvlText w:val="▪"/>
      <w:numFmt w:val="bullet"/>
      <w:start w:val="1"/>
    </w:lvl>
  </w:abstractNum>
  <w:abstractNum w:abstractNumId="254">
    <w:nsid w:val="7ABF196A"/>
    <w:multiLevelType w:val="hybridMultilevel"/>
    <w:lvl w:ilvl="0">
      <w:lvlJc w:val="left"/>
      <w:lvlText w:val="▪"/>
      <w:numFmt w:val="bullet"/>
      <w:start w:val="1"/>
    </w:lvl>
  </w:abstractNum>
  <w:abstractNum w:abstractNumId="255">
    <w:nsid w:val="5E4DB968"/>
    <w:multiLevelType w:val="hybridMultilevel"/>
    <w:lvl w:ilvl="0">
      <w:lvlJc w:val="left"/>
      <w:lvlText w:val="▪"/>
      <w:numFmt w:val="bullet"/>
      <w:start w:val="1"/>
    </w:lvl>
  </w:abstractNum>
  <w:abstractNum w:abstractNumId="256">
    <w:nsid w:val="2C06DCF3"/>
    <w:multiLevelType w:val="hybridMultilevel"/>
    <w:lvl w:ilvl="0">
      <w:lvlJc w:val="left"/>
      <w:lvlText w:val="▪"/>
      <w:numFmt w:val="bullet"/>
      <w:start w:val="1"/>
    </w:lvl>
    <w:lvl w:ilvl="1">
      <w:lvlJc w:val="left"/>
      <w:lvlText w:val="§"/>
      <w:numFmt w:val="bullet"/>
      <w:start w:val="1"/>
    </w:lvl>
  </w:abstractNum>
  <w:abstractNum w:abstractNumId="257">
    <w:nsid w:val="2E1296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8">
    <w:nsid w:val="59F0446"/>
    <w:multiLevelType w:val="hybridMultilevel"/>
    <w:lvl w:ilvl="0">
      <w:lvlJc w:val="left"/>
      <w:lvlText w:val="•"/>
      <w:numFmt w:val="bullet"/>
      <w:start w:val="1"/>
    </w:lvl>
    <w:lvl w:ilvl="1">
      <w:lvlJc w:val="left"/>
      <w:lvlText w:val="•"/>
      <w:numFmt w:val="bullet"/>
      <w:start w:val="1"/>
    </w:lvl>
  </w:abstractNum>
  <w:abstractNum w:abstractNumId="259">
    <w:nsid w:val="30DF306"/>
    <w:multiLevelType w:val="hybridMultilevel"/>
    <w:lvl w:ilvl="0">
      <w:lvlJc w:val="left"/>
      <w:lvlText w:val="▪"/>
      <w:numFmt w:val="bullet"/>
      <w:start w:val="1"/>
    </w:lvl>
  </w:abstractNum>
  <w:abstractNum w:abstractNumId="260">
    <w:nsid w:val="A65647"/>
    <w:multiLevelType w:val="hybridMultilevel"/>
    <w:lvl w:ilvl="0">
      <w:lvlJc w:val="left"/>
      <w:lvlText w:val="▪"/>
      <w:numFmt w:val="bullet"/>
      <w:start w:val="1"/>
    </w:lvl>
  </w:abstractNum>
  <w:abstractNum w:abstractNumId="261">
    <w:nsid w:val="3E5E582B"/>
    <w:multiLevelType w:val="hybridMultilevel"/>
    <w:lvl w:ilvl="0">
      <w:lvlJc w:val="left"/>
      <w:lvlText w:val="▪"/>
      <w:numFmt w:val="bullet"/>
      <w:start w:val="1"/>
    </w:lvl>
  </w:abstractNum>
  <w:abstractNum w:abstractNumId="262">
    <w:nsid w:val="257D4626"/>
    <w:multiLevelType w:val="hybridMultilevel"/>
    <w:lvl w:ilvl="0">
      <w:lvlJc w:val="left"/>
      <w:lvlText w:val="▪"/>
      <w:numFmt w:val="bullet"/>
      <w:start w:val="1"/>
    </w:lvl>
  </w:abstractNum>
  <w:abstractNum w:abstractNumId="263">
    <w:nsid w:val="5AA8580E"/>
    <w:multiLevelType w:val="hybridMultilevel"/>
    <w:lvl w:ilvl="0">
      <w:lvlJc w:val="left"/>
      <w:lvlText w:val="▪"/>
      <w:numFmt w:val="bullet"/>
      <w:start w:val="1"/>
    </w:lvl>
  </w:abstractNum>
  <w:abstractNum w:abstractNumId="264">
    <w:nsid w:val="68FA8D0D"/>
    <w:multiLevelType w:val="hybridMultilevel"/>
    <w:lvl w:ilvl="0">
      <w:lvlJc w:val="left"/>
      <w:lvlText w:val="▪"/>
      <w:numFmt w:val="bullet"/>
      <w:start w:val="1"/>
    </w:lvl>
  </w:abstractNum>
  <w:abstractNum w:abstractNumId="265">
    <w:nsid w:val="40F2CBD2"/>
    <w:multiLevelType w:val="hybridMultilevel"/>
    <w:lvl w:ilvl="0">
      <w:lvlJc w:val="left"/>
      <w:lvlText w:val="▪"/>
      <w:numFmt w:val="bullet"/>
      <w:start w:val="1"/>
    </w:lvl>
  </w:abstractNum>
  <w:abstractNum w:abstractNumId="266">
    <w:nsid w:val="3BD615EB"/>
    <w:multiLevelType w:val="hybridMultilevel"/>
    <w:lvl w:ilvl="0">
      <w:lvlJc w:val="left"/>
      <w:lvlText w:val="▪"/>
      <w:numFmt w:val="bullet"/>
      <w:start w:val="1"/>
    </w:lvl>
  </w:abstractNum>
  <w:abstractNum w:abstractNumId="267">
    <w:nsid w:val="A045AB2"/>
    <w:multiLevelType w:val="hybridMultilevel"/>
    <w:lvl w:ilvl="0">
      <w:lvlJc w:val="left"/>
      <w:lvlText w:val="▪"/>
      <w:numFmt w:val="bullet"/>
      <w:start w:val="1"/>
    </w:lvl>
  </w:abstractNum>
  <w:abstractNum w:abstractNumId="268">
    <w:nsid w:val="1872261F"/>
    <w:multiLevelType w:val="hybridMultilevel"/>
    <w:lvl w:ilvl="0">
      <w:lvlJc w:val="left"/>
      <w:lvlText w:val="▪"/>
      <w:numFmt w:val="bullet"/>
      <w:start w:val="1"/>
    </w:lvl>
  </w:abstractNum>
  <w:abstractNum w:abstractNumId="269">
    <w:nsid w:val="3DE8306C"/>
    <w:multiLevelType w:val="hybridMultilevel"/>
    <w:lvl w:ilvl="0">
      <w:lvlJc w:val="left"/>
      <w:lvlText w:val="▪"/>
      <w:numFmt w:val="bullet"/>
      <w:start w:val="1"/>
    </w:lvl>
  </w:abstractNum>
  <w:abstractNum w:abstractNumId="270">
    <w:nsid w:val="7631573A"/>
    <w:multiLevelType w:val="hybridMultilevel"/>
    <w:lvl w:ilvl="0">
      <w:lvlJc w:val="left"/>
      <w:lvlText w:val="▪"/>
      <w:numFmt w:val="bullet"/>
      <w:start w:val="1"/>
    </w:lvl>
  </w:abstractNum>
  <w:abstractNum w:abstractNumId="271">
    <w:nsid w:val="58DF53B"/>
    <w:multiLevelType w:val="hybridMultilevel"/>
    <w:lvl w:ilvl="0">
      <w:lvlJc w:val="left"/>
      <w:lvlText w:val="▪"/>
      <w:numFmt w:val="bullet"/>
      <w:start w:val="1"/>
    </w:lvl>
  </w:abstractNum>
  <w:abstractNum w:abstractNumId="272">
    <w:nsid w:val="ACDFAC0"/>
    <w:multiLevelType w:val="hybridMultilevel"/>
    <w:lvl w:ilvl="0">
      <w:lvlJc w:val="left"/>
      <w:lvlText w:val="▪"/>
      <w:numFmt w:val="bullet"/>
      <w:start w:val="1"/>
    </w:lvl>
  </w:abstractNum>
  <w:abstractNum w:abstractNumId="273">
    <w:nsid w:val="1F578454"/>
    <w:multiLevelType w:val="hybridMultilevel"/>
    <w:lvl w:ilvl="0">
      <w:lvlJc w:val="left"/>
      <w:lvlText w:val="▪"/>
      <w:numFmt w:val="bullet"/>
      <w:start w:val="1"/>
    </w:lvl>
  </w:abstractNum>
  <w:abstractNum w:abstractNumId="274">
    <w:nsid w:val="5B0DAD2A"/>
    <w:multiLevelType w:val="hybridMultilevel"/>
    <w:lvl w:ilvl="0">
      <w:lvlJc w:val="left"/>
      <w:lvlText w:val="▪"/>
      <w:numFmt w:val="bullet"/>
      <w:start w:val="1"/>
    </w:lvl>
  </w:abstractNum>
  <w:abstractNum w:abstractNumId="275">
    <w:nsid w:val="4E3D26AB"/>
    <w:multiLevelType w:val="hybridMultilevel"/>
    <w:lvl w:ilvl="0">
      <w:lvlJc w:val="left"/>
      <w:lvlText w:val="▪"/>
      <w:numFmt w:val="bullet"/>
      <w:start w:val="1"/>
    </w:lvl>
  </w:abstractNum>
  <w:abstractNum w:abstractNumId="276">
    <w:nsid w:val="BE2C8BA"/>
    <w:multiLevelType w:val="hybridMultilevel"/>
    <w:lvl w:ilvl="0">
      <w:lvlJc w:val="left"/>
      <w:lvlText w:val="▪"/>
      <w:numFmt w:val="bullet"/>
      <w:start w:val="1"/>
    </w:lvl>
  </w:abstractNum>
  <w:abstractNum w:abstractNumId="277">
    <w:nsid w:val="7B14914E"/>
    <w:multiLevelType w:val="hybridMultilevel"/>
    <w:lvl w:ilvl="0">
      <w:lvlJc w:val="left"/>
      <w:lvlText w:val="▪"/>
      <w:numFmt w:val="bullet"/>
      <w:start w:val="1"/>
    </w:lvl>
  </w:abstractNum>
  <w:abstractNum w:abstractNumId="278">
    <w:nsid w:val="6F0939F8"/>
    <w:multiLevelType w:val="hybridMultilevel"/>
    <w:lvl w:ilvl="0">
      <w:lvlJc w:val="left"/>
      <w:lvlText w:val="▪"/>
      <w:numFmt w:val="bullet"/>
      <w:start w:val="1"/>
    </w:lvl>
  </w:abstractNum>
  <w:abstractNum w:abstractNumId="279">
    <w:nsid w:val="154291F6"/>
    <w:multiLevelType w:val="hybridMultilevel"/>
    <w:lvl w:ilvl="0">
      <w:lvlJc w:val="left"/>
      <w:lvlText w:val="%1."/>
      <w:numFmt w:val="decimal"/>
      <w:start w:val="1"/>
    </w:lvl>
  </w:abstractNum>
  <w:abstractNum w:abstractNumId="280">
    <w:nsid w:val="3CEBD7C7"/>
    <w:multiLevelType w:val="hybridMultilevel"/>
    <w:lvl w:ilvl="0">
      <w:lvlJc w:val="left"/>
      <w:lvlText w:val="▪"/>
      <w:numFmt w:val="bullet"/>
      <w:start w:val="1"/>
    </w:lvl>
  </w:abstractNum>
  <w:abstractNum w:abstractNumId="281">
    <w:nsid w:val="60EE9C16"/>
    <w:multiLevelType w:val="hybridMultilevel"/>
    <w:lvl w:ilvl="0">
      <w:lvlJc w:val="left"/>
      <w:lvlText w:val="▪"/>
      <w:numFmt w:val="bullet"/>
      <w:start w:val="1"/>
    </w:lvl>
  </w:abstractNum>
  <w:abstractNum w:abstractNumId="282">
    <w:nsid w:val="6385489E"/>
    <w:multiLevelType w:val="hybridMultilevel"/>
    <w:lvl w:ilvl="0">
      <w:lvlJc w:val="left"/>
      <w:lvlText w:val="▪"/>
      <w:numFmt w:val="bullet"/>
      <w:start w:val="1"/>
    </w:lvl>
  </w:abstractNum>
  <w:abstractNum w:abstractNumId="283">
    <w:nsid w:val="E4B973"/>
    <w:multiLevelType w:val="hybridMultilevel"/>
    <w:lvl w:ilvl="0">
      <w:lvlJc w:val="left"/>
      <w:lvlText w:val="▪"/>
      <w:numFmt w:val="bullet"/>
      <w:start w:val="1"/>
    </w:lvl>
  </w:abstractNum>
  <w:abstractNum w:abstractNumId="284">
    <w:nsid w:val="4A0FFA11"/>
    <w:multiLevelType w:val="hybridMultilevel"/>
    <w:lvl w:ilvl="0">
      <w:lvlJc w:val="left"/>
      <w:lvlText w:val="▪"/>
      <w:numFmt w:val="bullet"/>
      <w:start w:val="1"/>
    </w:lvl>
  </w:abstractNum>
  <w:abstractNum w:abstractNumId="285">
    <w:nsid w:val="5E446208"/>
    <w:multiLevelType w:val="hybridMultilevel"/>
    <w:lvl w:ilvl="0">
      <w:lvlJc w:val="left"/>
      <w:lvlText w:val="▪"/>
      <w:numFmt w:val="bullet"/>
      <w:start w:val="1"/>
    </w:lvl>
    <w:lvl w:ilvl="1">
      <w:lvlJc w:val="left"/>
      <w:lvlText w:val="•"/>
      <w:numFmt w:val="bullet"/>
      <w:start w:val="1"/>
    </w:lvl>
  </w:abstractNum>
  <w:abstractNum w:abstractNumId="286">
    <w:nsid w:val="5F3272DB"/>
    <w:multiLevelType w:val="hybridMultilevel"/>
    <w:lvl w:ilvl="0">
      <w:lvlJc w:val="left"/>
      <w:lvlText w:val="▪"/>
      <w:numFmt w:val="bullet"/>
      <w:start w:val="1"/>
    </w:lvl>
  </w:abstractNum>
  <w:abstractNum w:abstractNumId="287">
    <w:nsid w:val="7616D704"/>
    <w:multiLevelType w:val="hybridMultilevel"/>
    <w:lvl w:ilvl="0">
      <w:lvlJc w:val="left"/>
      <w:lvlText w:val="▪"/>
      <w:numFmt w:val="bullet"/>
      <w:start w:val="1"/>
    </w:lvl>
  </w:abstractNum>
  <w:abstractNum w:abstractNumId="288">
    <w:nsid w:val="C56F860"/>
    <w:multiLevelType w:val="hybridMultilevel"/>
    <w:lvl w:ilvl="0">
      <w:lvlJc w:val="left"/>
      <w:lvlText w:val="▪"/>
      <w:numFmt w:val="bullet"/>
      <w:start w:val="1"/>
    </w:lvl>
  </w:abstractNum>
  <w:abstractNum w:abstractNumId="289">
    <w:nsid w:val="64D17722"/>
    <w:multiLevelType w:val="hybridMultilevel"/>
    <w:lvl w:ilvl="0">
      <w:lvlJc w:val="left"/>
      <w:lvlText w:val="(%1)"/>
      <w:numFmt w:val="lowerLetter"/>
      <w:start w:val="1"/>
    </w:lvl>
  </w:abstractNum>
  <w:abstractNum w:abstractNumId="290">
    <w:nsid w:val="7924CA0A"/>
    <w:multiLevelType w:val="hybridMultilevel"/>
    <w:lvl w:ilvl="0">
      <w:lvlJc w:val="left"/>
      <w:lvlText w:val="▪"/>
      <w:numFmt w:val="bullet"/>
      <w:start w:val="1"/>
    </w:lvl>
  </w:abstractNum>
  <w:abstractNum w:abstractNumId="291">
    <w:nsid w:val="CFD4EA7"/>
    <w:multiLevelType w:val="hybridMultilevel"/>
    <w:lvl w:ilvl="0">
      <w:lvlJc w:val="left"/>
      <w:lvlText w:val="▪"/>
      <w:numFmt w:val="bullet"/>
      <w:start w:val="1"/>
    </w:lvl>
  </w:abstractNum>
  <w:abstractNum w:abstractNumId="292">
    <w:nsid w:val="232FCF4D"/>
    <w:multiLevelType w:val="hybridMultilevel"/>
    <w:lvl w:ilvl="0">
      <w:lvlJc w:val="left"/>
      <w:lvlText w:val="▪"/>
      <w:numFmt w:val="bullet"/>
      <w:start w:val="1"/>
    </w:lvl>
    <w:lvl w:ilvl="1">
      <w:lvlJc w:val="left"/>
      <w:lvlText w:val="•"/>
      <w:numFmt w:val="bullet"/>
      <w:start w:val="1"/>
    </w:lvl>
  </w:abstractNum>
  <w:abstractNum w:abstractNumId="293">
    <w:nsid w:val="1EA21031"/>
    <w:multiLevelType w:val="hybridMultilevel"/>
    <w:lvl w:ilvl="0">
      <w:lvlJc w:val="left"/>
      <w:lvlText w:val="%1."/>
      <w:numFmt w:val="lowerRoman"/>
      <w:start w:val="1"/>
    </w:lvl>
  </w:abstractNum>
  <w:abstractNum w:abstractNumId="294">
    <w:nsid w:val="67A5A6B5"/>
    <w:multiLevelType w:val="hybridMultilevel"/>
    <w:lvl w:ilvl="0">
      <w:lvlJc w:val="left"/>
      <w:lvlText w:val="▪"/>
      <w:numFmt w:val="bullet"/>
      <w:start w:val="1"/>
    </w:lvl>
  </w:abstractNum>
  <w:abstractNum w:abstractNumId="295">
    <w:nsid w:val="C2A5C5B"/>
    <w:multiLevelType w:val="hybridMultilevel"/>
    <w:lvl w:ilvl="0">
      <w:lvlJc w:val="left"/>
      <w:lvlText w:val="▪"/>
      <w:numFmt w:val="bullet"/>
      <w:start w:val="1"/>
    </w:lvl>
  </w:abstractNum>
  <w:abstractNum w:abstractNumId="296">
    <w:nsid w:val="5F94DC03"/>
    <w:multiLevelType w:val="hybridMultilevel"/>
    <w:lvl w:ilvl="0">
      <w:lvlJc w:val="left"/>
      <w:lvlText w:val="▪"/>
      <w:numFmt w:val="bullet"/>
      <w:start w:val="1"/>
    </w:lvl>
  </w:abstractNum>
  <w:abstractNum w:abstractNumId="297">
    <w:nsid w:val="237BBCA0"/>
    <w:multiLevelType w:val="hybridMultilevel"/>
    <w:lvl w:ilvl="0">
      <w:lvlJc w:val="left"/>
      <w:lvlText w:val="▪"/>
      <w:numFmt w:val="bullet"/>
      <w:start w:val="1"/>
    </w:lvl>
  </w:abstractNum>
  <w:abstractNum w:abstractNumId="298">
    <w:nsid w:val="162EB70D"/>
    <w:multiLevelType w:val="hybridMultilevel"/>
    <w:lvl w:ilvl="0">
      <w:lvlJc w:val="left"/>
      <w:lvlText w:val="▪"/>
      <w:numFmt w:val="bullet"/>
      <w:start w:val="1"/>
    </w:lvl>
  </w:abstractNum>
  <w:abstractNum w:abstractNumId="299">
    <w:nsid w:val="78070222"/>
    <w:multiLevelType w:val="hybridMultilevel"/>
    <w:lvl w:ilvl="0">
      <w:lvlJc w:val="left"/>
      <w:lvlText w:val="▪"/>
      <w:numFmt w:val="bullet"/>
      <w:start w:val="1"/>
    </w:lvl>
  </w:abstractNum>
  <w:abstractNum w:abstractNumId="300">
    <w:nsid w:val="6163ED0D"/>
    <w:multiLevelType w:val="hybridMultilevel"/>
    <w:lvl w:ilvl="0">
      <w:lvlJc w:val="left"/>
      <w:lvlText w:val="▪"/>
      <w:numFmt w:val="bullet"/>
      <w:start w:val="1"/>
    </w:lvl>
  </w:abstractNum>
  <w:abstractNum w:abstractNumId="301">
    <w:nsid w:val="C600E47"/>
    <w:multiLevelType w:val="hybridMultilevel"/>
    <w:lvl w:ilvl="0">
      <w:lvlJc w:val="left"/>
      <w:lvlText w:val="▪"/>
      <w:numFmt w:val="bullet"/>
      <w:start w:val="1"/>
    </w:lvl>
  </w:abstractNum>
  <w:abstractNum w:abstractNumId="302">
    <w:nsid w:val="7D94F75D"/>
    <w:multiLevelType w:val="hybridMultilevel"/>
    <w:lvl w:ilvl="0">
      <w:lvlJc w:val="left"/>
      <w:lvlText w:val="▪"/>
      <w:numFmt w:val="bullet"/>
      <w:start w:val="1"/>
    </w:lvl>
  </w:abstractNum>
  <w:abstractNum w:abstractNumId="303">
    <w:nsid w:val="6C31E7CD"/>
    <w:multiLevelType w:val="hybridMultilevel"/>
    <w:lvl w:ilvl="0">
      <w:lvlJc w:val="left"/>
      <w:lvlText w:val="▪"/>
      <w:numFmt w:val="bullet"/>
      <w:start w:val="1"/>
    </w:lvl>
  </w:abstractNum>
  <w:abstractNum w:abstractNumId="304">
    <w:nsid w:val="2BB7929B"/>
    <w:multiLevelType w:val="hybridMultilevel"/>
    <w:lvl w:ilvl="0">
      <w:lvlJc w:val="left"/>
      <w:lvlText w:val="▪"/>
      <w:numFmt w:val="bullet"/>
      <w:start w:val="1"/>
    </w:lvl>
  </w:abstractNum>
  <w:abstractNum w:abstractNumId="305">
    <w:nsid w:val="58A2A487"/>
    <w:multiLevelType w:val="hybridMultilevel"/>
    <w:lvl w:ilvl="0">
      <w:lvlJc w:val="left"/>
      <w:lvlText w:val="▪"/>
      <w:numFmt w:val="bullet"/>
      <w:start w:val="1"/>
    </w:lvl>
  </w:abstractNum>
  <w:abstractNum w:abstractNumId="306">
    <w:nsid w:val="3A6F0E78"/>
    <w:multiLevelType w:val="hybridMultilevel"/>
    <w:lvl w:ilvl="0">
      <w:lvlJc w:val="left"/>
      <w:lvlText w:val="▪"/>
      <w:numFmt w:val="bullet"/>
      <w:start w:val="1"/>
    </w:lvl>
    <w:lvl w:ilvl="1">
      <w:lvlJc w:val="left"/>
      <w:lvlText w:val="•"/>
      <w:numFmt w:val="bullet"/>
      <w:start w:val="1"/>
    </w:lvl>
  </w:abstractNum>
  <w:abstractNum w:abstractNumId="307">
    <w:nsid w:val="379A5B56"/>
    <w:multiLevelType w:val="hybridMultilevel"/>
    <w:lvl w:ilvl="0">
      <w:lvlJc w:val="left"/>
      <w:lvlText w:val="▪"/>
      <w:numFmt w:val="bullet"/>
      <w:start w:val="1"/>
    </w:lvl>
  </w:abstractNum>
  <w:abstractNum w:abstractNumId="308">
    <w:nsid w:val="53B735D5"/>
    <w:multiLevelType w:val="hybridMultilevel"/>
    <w:lvl w:ilvl="0">
      <w:lvlJc w:val="left"/>
      <w:lvlText w:val="▪"/>
      <w:numFmt w:val="bullet"/>
      <w:start w:val="1"/>
    </w:lvl>
  </w:abstractNum>
  <w:abstractNum w:abstractNumId="309">
    <w:nsid w:val="29784870"/>
    <w:multiLevelType w:val="hybridMultilevel"/>
    <w:lvl w:ilvl="0">
      <w:lvlJc w:val="left"/>
      <w:lvlText w:val="▪"/>
      <w:numFmt w:val="bullet"/>
      <w:start w:val="1"/>
    </w:lvl>
  </w:abstractNum>
  <w:abstractNum w:abstractNumId="310">
    <w:nsid w:val="4CDCED4C"/>
    <w:multiLevelType w:val="hybridMultilevel"/>
    <w:lvl w:ilvl="0">
      <w:lvlJc w:val="left"/>
      <w:lvlText w:val="▪"/>
      <w:numFmt w:val="bullet"/>
      <w:start w:val="1"/>
    </w:lvl>
  </w:abstractNum>
  <w:abstractNum w:abstractNumId="311">
    <w:nsid w:val="10A30D9C"/>
    <w:multiLevelType w:val="hybridMultilevel"/>
    <w:lvl w:ilvl="0">
      <w:lvlJc w:val="left"/>
      <w:lvlText w:val="▪"/>
      <w:numFmt w:val="bullet"/>
      <w:start w:val="1"/>
    </w:lvl>
  </w:abstractNum>
  <w:abstractNum w:abstractNumId="312">
    <w:nsid w:val="A66E486"/>
    <w:multiLevelType w:val="hybridMultilevel"/>
    <w:lvl w:ilvl="0">
      <w:lvlJc w:val="left"/>
      <w:lvlText w:val="▪"/>
      <w:numFmt w:val="bullet"/>
      <w:start w:val="1"/>
    </w:lvl>
  </w:abstractNum>
  <w:abstractNum w:abstractNumId="313">
    <w:nsid w:val="306235EA"/>
    <w:multiLevelType w:val="hybridMultilevel"/>
    <w:lvl w:ilvl="0">
      <w:lvlJc w:val="left"/>
      <w:lvlText w:val="▪"/>
      <w:numFmt w:val="bullet"/>
      <w:start w:val="1"/>
    </w:lvl>
    <w:lvl w:ilvl="1">
      <w:lvlJc w:val="left"/>
      <w:lvlText w:val="•"/>
      <w:numFmt w:val="bullet"/>
      <w:start w:val="1"/>
    </w:lvl>
  </w:abstractNum>
  <w:abstractNum w:abstractNumId="314">
    <w:nsid w:val="1187C70F"/>
    <w:multiLevelType w:val="hybridMultilevel"/>
    <w:lvl w:ilvl="0">
      <w:lvlJc w:val="left"/>
      <w:lvlText w:val="▪"/>
      <w:numFmt w:val="bullet"/>
      <w:start w:val="1"/>
    </w:lvl>
  </w:abstractNum>
  <w:abstractNum w:abstractNumId="315">
    <w:nsid w:val="5476DE98"/>
    <w:multiLevelType w:val="hybridMultilevel"/>
    <w:lvl w:ilvl="0">
      <w:lvlJc w:val="left"/>
      <w:lvlText w:val="▪"/>
      <w:numFmt w:val="bullet"/>
      <w:start w:val="1"/>
    </w:lvl>
  </w:abstractNum>
  <w:abstractNum w:abstractNumId="316">
    <w:nsid w:val="EA697F2"/>
    <w:multiLevelType w:val="hybridMultilevel"/>
    <w:lvl w:ilvl="0">
      <w:lvlJc w:val="left"/>
      <w:lvlText w:val="▪"/>
      <w:numFmt w:val="bullet"/>
      <w:start w:val="1"/>
    </w:lvl>
  </w:abstractNum>
  <w:abstractNum w:abstractNumId="317">
    <w:nsid w:val="70BA39EB"/>
    <w:multiLevelType w:val="hybridMultilevel"/>
    <w:lvl w:ilvl="0">
      <w:lvlJc w:val="left"/>
      <w:lvlText w:val="▪"/>
      <w:numFmt w:val="bullet"/>
      <w:start w:val="1"/>
    </w:lvl>
  </w:abstractNum>
  <w:abstractNum w:abstractNumId="318">
    <w:nsid w:val="4A8DB59C"/>
    <w:multiLevelType w:val="hybridMultilevel"/>
    <w:lvl w:ilvl="0">
      <w:lvlJc w:val="left"/>
      <w:lvlText w:val="▪"/>
      <w:numFmt w:val="bullet"/>
      <w:start w:val="1"/>
    </w:lvl>
  </w:abstractNum>
  <w:abstractNum w:abstractNumId="319">
    <w:nsid w:val="1AFD9053"/>
    <w:multiLevelType w:val="hybridMultilevel"/>
    <w:lvl w:ilvl="0">
      <w:lvlJc w:val="left"/>
      <w:lvlText w:val="▪"/>
      <w:numFmt w:val="bullet"/>
      <w:start w:val="1"/>
    </w:lvl>
  </w:abstractNum>
  <w:abstractNum w:abstractNumId="320">
    <w:nsid w:val="558BB10D"/>
    <w:multiLevelType w:val="hybridMultilevel"/>
    <w:lvl w:ilvl="0">
      <w:lvlJc w:val="left"/>
      <w:lvlText w:val="▪"/>
      <w:numFmt w:val="bullet"/>
      <w:start w:val="1"/>
    </w:lvl>
  </w:abstractNum>
  <w:abstractNum w:abstractNumId="321">
    <w:nsid w:val="43B27FA7"/>
    <w:multiLevelType w:val="hybridMultilevel"/>
    <w:lvl w:ilvl="0">
      <w:lvlJc w:val="left"/>
      <w:lvlText w:val="▪"/>
      <w:numFmt w:val="bullet"/>
      <w:start w:val="1"/>
    </w:lvl>
  </w:abstractNum>
  <w:abstractNum w:abstractNumId="322">
    <w:nsid w:val="27FADEFA"/>
    <w:multiLevelType w:val="hybridMultilevel"/>
    <w:lvl w:ilvl="0">
      <w:lvlJc w:val="left"/>
      <w:lvlText w:val="▪"/>
      <w:numFmt w:val="bullet"/>
      <w:start w:val="1"/>
    </w:lvl>
  </w:abstractNum>
  <w:abstractNum w:abstractNumId="323">
    <w:nsid w:val="78BB805A"/>
    <w:multiLevelType w:val="hybridMultilevel"/>
    <w:lvl w:ilvl="0">
      <w:lvlJc w:val="left"/>
      <w:lvlText w:val="▪"/>
      <w:numFmt w:val="bullet"/>
      <w:start w:val="1"/>
    </w:lvl>
  </w:abstractNum>
  <w:abstractNum w:abstractNumId="324">
    <w:nsid w:val="62548FD8"/>
    <w:multiLevelType w:val="hybridMultilevel"/>
    <w:lvl w:ilvl="0">
      <w:lvlJc w:val="left"/>
      <w:lvlText w:val="▪"/>
      <w:numFmt w:val="bullet"/>
      <w:start w:val="1"/>
    </w:lvl>
  </w:abstractNum>
  <w:abstractNum w:abstractNumId="325">
    <w:nsid w:val="FA085B0"/>
    <w:multiLevelType w:val="hybridMultilevel"/>
    <w:lvl w:ilvl="0">
      <w:lvlJc w:val="left"/>
      <w:lvlText w:val="▪"/>
      <w:numFmt w:val="bullet"/>
      <w:start w:val="1"/>
    </w:lvl>
  </w:abstractNum>
  <w:abstractNum w:abstractNumId="326">
    <w:nsid w:val="4E5DCB5"/>
    <w:multiLevelType w:val="hybridMultilevel"/>
    <w:lvl w:ilvl="0">
      <w:lvlJc w:val="left"/>
      <w:lvlText w:val="▪"/>
      <w:numFmt w:val="bullet"/>
      <w:start w:val="1"/>
    </w:lvl>
  </w:abstractNum>
  <w:abstractNum w:abstractNumId="327">
    <w:nsid w:val="41E96BDB"/>
    <w:multiLevelType w:val="hybridMultilevel"/>
    <w:lvl w:ilvl="0">
      <w:lvlJc w:val="left"/>
      <w:lvlText w:val="▪"/>
      <w:numFmt w:val="bullet"/>
      <w:start w:val="1"/>
    </w:lvl>
  </w:abstractNum>
  <w:abstractNum w:abstractNumId="328">
    <w:nsid w:val="331C4250"/>
    <w:multiLevelType w:val="hybridMultilevel"/>
    <w:lvl w:ilvl="0">
      <w:lvlJc w:val="left"/>
      <w:lvlText w:val="▪"/>
      <w:numFmt w:val="bullet"/>
      <w:start w:val="1"/>
    </w:lvl>
  </w:abstractNum>
  <w:abstractNum w:abstractNumId="329">
    <w:nsid w:val="1B1493C2"/>
    <w:multiLevelType w:val="hybridMultilevel"/>
    <w:lvl w:ilvl="0">
      <w:lvlJc w:val="left"/>
      <w:lvlText w:val="▪"/>
      <w:numFmt w:val="bullet"/>
      <w:start w:val="1"/>
    </w:lvl>
  </w:abstractNum>
  <w:abstractNum w:abstractNumId="330">
    <w:nsid w:val="39F06DFD"/>
    <w:multiLevelType w:val="hybridMultilevel"/>
    <w:lvl w:ilvl="0">
      <w:lvlJc w:val="left"/>
      <w:lvlText w:val="▪"/>
      <w:numFmt w:val="bullet"/>
      <w:start w:val="1"/>
    </w:lvl>
  </w:abstractNum>
  <w:abstractNum w:abstractNumId="331">
    <w:nsid w:val="14802F5D"/>
    <w:multiLevelType w:val="hybridMultilevel"/>
    <w:lvl w:ilvl="0">
      <w:lvlJc w:val="left"/>
      <w:lvlText w:val="▪"/>
      <w:numFmt w:val="bullet"/>
      <w:start w:val="1"/>
    </w:lvl>
    <w:lvl w:ilvl="1">
      <w:lvlJc w:val="left"/>
      <w:lvlText w:val="§"/>
      <w:numFmt w:val="bullet"/>
      <w:start w:val="1"/>
    </w:lvl>
  </w:abstractNum>
  <w:abstractNum w:abstractNumId="332">
    <w:nsid w:val="2774A209"/>
    <w:multiLevelType w:val="hybridMultilevel"/>
    <w:lvl w:ilvl="0">
      <w:lvlJc w:val="left"/>
      <w:lvlText w:val="§"/>
      <w:numFmt w:val="bullet"/>
      <w:start w:val="1"/>
    </w:lvl>
  </w:abstractNum>
  <w:abstractNum w:abstractNumId="333">
    <w:nsid w:val="3785655A"/>
    <w:multiLevelType w:val="hybridMultilevel"/>
    <w:lvl w:ilvl="0">
      <w:lvlJc w:val="left"/>
      <w:lvlText w:val="▪"/>
      <w:numFmt w:val="bullet"/>
      <w:start w:val="1"/>
    </w:lvl>
  </w:abstractNum>
  <w:abstractNum w:abstractNumId="334">
    <w:nsid w:val="B2172A"/>
    <w:multiLevelType w:val="hybridMultilevel"/>
    <w:lvl w:ilvl="0">
      <w:lvlJc w:val="left"/>
      <w:lvlText w:val="▪"/>
      <w:numFmt w:val="bullet"/>
      <w:start w:val="1"/>
    </w:lvl>
  </w:abstractNum>
  <w:abstractNum w:abstractNumId="335">
    <w:nsid w:val="532C34A5"/>
    <w:multiLevelType w:val="hybridMultilevel"/>
    <w:lvl w:ilvl="0">
      <w:lvlJc w:val="left"/>
      <w:lvlText w:val="▪"/>
      <w:numFmt w:val="bullet"/>
      <w:start w:val="1"/>
    </w:lvl>
  </w:abstractNum>
  <w:abstractNum w:abstractNumId="336">
    <w:nsid w:val="102809E2"/>
    <w:multiLevelType w:val="hybridMultilevel"/>
    <w:lvl w:ilvl="0">
      <w:lvlJc w:val="left"/>
      <w:lvlText w:val="▪"/>
      <w:numFmt w:val="bullet"/>
      <w:start w:val="1"/>
    </w:lvl>
  </w:abstractNum>
  <w:abstractNum w:abstractNumId="337">
    <w:nsid w:val="3B2125A3"/>
    <w:multiLevelType w:val="hybridMultilevel"/>
    <w:lvl w:ilvl="0">
      <w:lvlJc w:val="left"/>
      <w:lvlText w:val="▪"/>
      <w:numFmt w:val="bullet"/>
      <w:start w:val="1"/>
    </w:lvl>
  </w:abstractNum>
  <w:abstractNum w:abstractNumId="338">
    <w:nsid w:val="AC68FFB"/>
    <w:multiLevelType w:val="hybridMultilevel"/>
    <w:lvl w:ilvl="0">
      <w:lvlJc w:val="left"/>
      <w:lvlText w:val="▪"/>
      <w:numFmt w:val="bullet"/>
      <w:start w:val="1"/>
    </w:lvl>
  </w:abstractNum>
  <w:abstractNum w:abstractNumId="339">
    <w:nsid w:val="63DF3FB7"/>
    <w:multiLevelType w:val="hybridMultilevel"/>
    <w:lvl w:ilvl="0">
      <w:lvlJc w:val="left"/>
      <w:lvlText w:val="▪"/>
      <w:numFmt w:val="bullet"/>
      <w:start w:val="1"/>
    </w:lvl>
  </w:abstractNum>
  <w:abstractNum w:abstractNumId="340">
    <w:nsid w:val="64996E13"/>
    <w:multiLevelType w:val="hybridMultilevel"/>
    <w:lvl w:ilvl="0">
      <w:lvlJc w:val="left"/>
      <w:lvlText w:val="▪"/>
      <w:numFmt w:val="bullet"/>
      <w:start w:val="1"/>
    </w:lvl>
  </w:abstractNum>
  <w:abstractNum w:abstractNumId="341">
    <w:nsid w:val="57A37D47"/>
    <w:multiLevelType w:val="hybridMultilevel"/>
    <w:lvl w:ilvl="0">
      <w:lvlJc w:val="left"/>
      <w:lvlText w:val="▪"/>
      <w:numFmt w:val="bullet"/>
      <w:start w:val="1"/>
    </w:lvl>
  </w:abstractNum>
  <w:abstractNum w:abstractNumId="342">
    <w:nsid w:val="74824D54"/>
    <w:multiLevelType w:val="hybridMultilevel"/>
    <w:lvl w:ilvl="0">
      <w:lvlJc w:val="left"/>
      <w:lvlText w:val="▪"/>
      <w:numFmt w:val="bullet"/>
      <w:start w:val="1"/>
    </w:lvl>
  </w:abstractNum>
  <w:abstractNum w:abstractNumId="343">
    <w:nsid w:val="6F00529A"/>
    <w:multiLevelType w:val="hybridMultilevel"/>
    <w:lvl w:ilvl="0">
      <w:lvlJc w:val="left"/>
      <w:lvlText w:val="▪"/>
      <w:numFmt w:val="bullet"/>
      <w:start w:val="1"/>
    </w:lvl>
  </w:abstractNum>
  <w:abstractNum w:abstractNumId="344">
    <w:nsid w:val="805B331"/>
    <w:multiLevelType w:val="hybridMultilevel"/>
    <w:lvl w:ilvl="0">
      <w:lvlJc w:val="left"/>
      <w:lvlText w:val="▪"/>
      <w:numFmt w:val="bullet"/>
      <w:start w:val="1"/>
    </w:lvl>
  </w:abstractNum>
  <w:abstractNum w:abstractNumId="345">
    <w:nsid w:val="60A1463"/>
    <w:multiLevelType w:val="hybridMultilevel"/>
    <w:lvl w:ilvl="0">
      <w:lvlJc w:val="left"/>
      <w:lvlText w:val="▪"/>
      <w:numFmt w:val="bullet"/>
      <w:start w:val="1"/>
    </w:lvl>
  </w:abstractNum>
  <w:abstractNum w:abstractNumId="346">
    <w:nsid w:val="43773132"/>
    <w:multiLevelType w:val="hybridMultilevel"/>
    <w:lvl w:ilvl="0">
      <w:lvlJc w:val="left"/>
      <w:lvlText w:val="▪"/>
      <w:numFmt w:val="bullet"/>
      <w:start w:val="1"/>
    </w:lvl>
  </w:abstractNum>
  <w:abstractNum w:abstractNumId="347">
    <w:nsid w:val="16AC4B23"/>
    <w:multiLevelType w:val="hybridMultilevel"/>
    <w:lvl w:ilvl="0">
      <w:lvlJc w:val="left"/>
      <w:lvlText w:val="▪"/>
      <w:numFmt w:val="bullet"/>
      <w:start w:val="1"/>
    </w:lvl>
  </w:abstractNum>
  <w:abstractNum w:abstractNumId="348">
    <w:nsid w:val="76C44E4E"/>
    <w:multiLevelType w:val="hybridMultilevel"/>
    <w:lvl w:ilvl="0">
      <w:lvlJc w:val="left"/>
      <w:lvlText w:val="▪"/>
      <w:numFmt w:val="bullet"/>
      <w:start w:val="1"/>
    </w:lvl>
  </w:abstractNum>
  <w:abstractNum w:abstractNumId="349">
    <w:nsid w:val="E04E6CE"/>
    <w:multiLevelType w:val="hybridMultilevel"/>
    <w:lvl w:ilvl="0">
      <w:lvlJc w:val="left"/>
      <w:lvlText w:val="▪"/>
      <w:numFmt w:val="bullet"/>
      <w:start w:val="1"/>
    </w:lvl>
  </w:abstractNum>
  <w:abstractNum w:abstractNumId="350">
    <w:nsid w:val="31A9DB76"/>
    <w:multiLevelType w:val="hybridMultilevel"/>
    <w:lvl w:ilvl="0">
      <w:lvlJc w:val="left"/>
      <w:lvlText w:val="▪"/>
      <w:numFmt w:val="bullet"/>
      <w:start w:val="1"/>
    </w:lvl>
  </w:abstractNum>
  <w:abstractNum w:abstractNumId="351">
    <w:nsid w:val="4C4FFF5B"/>
    <w:multiLevelType w:val="hybridMultilevel"/>
    <w:lvl w:ilvl="0">
      <w:lvlJc w:val="left"/>
      <w:lvlText w:val="▪"/>
      <w:numFmt w:val="bullet"/>
      <w:start w:val="1"/>
    </w:lvl>
  </w:abstractNum>
  <w:abstractNum w:abstractNumId="352">
    <w:nsid w:val="51B76675"/>
    <w:multiLevelType w:val="hybridMultilevel"/>
    <w:lvl w:ilvl="0">
      <w:lvlJc w:val="left"/>
      <w:lvlText w:val="▪"/>
      <w:numFmt w:val="bullet"/>
      <w:start w:val="1"/>
    </w:lvl>
  </w:abstractNum>
  <w:abstractNum w:abstractNumId="353">
    <w:nsid w:val="59A4BA71"/>
    <w:multiLevelType w:val="hybridMultilevel"/>
    <w:lvl w:ilvl="0">
      <w:lvlJc w:val="left"/>
      <w:lvlText w:val="▪"/>
      <w:numFmt w:val="bullet"/>
      <w:start w:val="1"/>
    </w:lvl>
  </w:abstractNum>
  <w:abstractNum w:abstractNumId="354">
    <w:nsid w:val="450B7FB6"/>
    <w:multiLevelType w:val="hybridMultilevel"/>
    <w:lvl w:ilvl="0">
      <w:lvlJc w:val="left"/>
      <w:lvlText w:val="▪"/>
      <w:numFmt w:val="bullet"/>
      <w:start w:val="1"/>
    </w:lvl>
  </w:abstractNum>
  <w:abstractNum w:abstractNumId="355">
    <w:nsid w:val="340BF64D"/>
    <w:multiLevelType w:val="hybridMultilevel"/>
    <w:lvl w:ilvl="0">
      <w:lvlJc w:val="left"/>
      <w:lvlText w:val="▪"/>
      <w:numFmt w:val="bullet"/>
      <w:start w:val="1"/>
    </w:lvl>
    <w:lvl w:ilvl="1">
      <w:lvlJc w:val="left"/>
      <w:lvlText w:val="•"/>
      <w:numFmt w:val="bullet"/>
      <w:start w:val="1"/>
    </w:lvl>
  </w:abstractNum>
  <w:abstractNum w:abstractNumId="356">
    <w:nsid w:val="69454021"/>
    <w:multiLevelType w:val="hybridMultilevel"/>
    <w:lvl w:ilvl="0">
      <w:lvlJc w:val="left"/>
      <w:lvlText w:val="▪"/>
      <w:numFmt w:val="bullet"/>
      <w:start w:val="1"/>
    </w:lvl>
  </w:abstractNum>
  <w:abstractNum w:abstractNumId="357">
    <w:nsid w:val="49F15C6B"/>
    <w:multiLevelType w:val="hybridMultilevel"/>
    <w:lvl w:ilvl="0">
      <w:lvlJc w:val="left"/>
      <w:lvlText w:val="%1."/>
      <w:numFmt w:val="decimal"/>
      <w:start w:val="1"/>
    </w:lvl>
  </w:abstractNum>
  <w:abstractNum w:abstractNumId="358">
    <w:nsid w:val="75F56228"/>
    <w:multiLevelType w:val="hybridMultilevel"/>
    <w:lvl w:ilvl="0">
      <w:lvlJc w:val="left"/>
      <w:lvlText w:val="▪"/>
      <w:numFmt w:val="bullet"/>
      <w:start w:val="1"/>
    </w:lvl>
  </w:abstractNum>
  <w:abstractNum w:abstractNumId="359">
    <w:nsid w:val="1C618271"/>
    <w:multiLevelType w:val="hybridMultilevel"/>
    <w:lvl w:ilvl="0">
      <w:lvlJc w:val="left"/>
      <w:lvlText w:val="▪"/>
      <w:numFmt w:val="bullet"/>
      <w:start w:val="1"/>
    </w:lvl>
  </w:abstractNum>
  <w:abstractNum w:abstractNumId="360">
    <w:nsid w:val="6505F02E"/>
    <w:multiLevelType w:val="hybridMultilevel"/>
    <w:lvl w:ilvl="0">
      <w:lvlJc w:val="left"/>
      <w:lvlText w:val="%1."/>
      <w:numFmt w:val="decimal"/>
      <w:start w:val="1"/>
    </w:lvl>
  </w:abstractNum>
  <w:abstractNum w:abstractNumId="361">
    <w:nsid w:val="2FE5D025"/>
    <w:multiLevelType w:val="hybridMultilevel"/>
    <w:lvl w:ilvl="0">
      <w:lvlJc w:val="left"/>
      <w:lvlText w:val="%1."/>
      <w:numFmt w:val="lowerRoman"/>
      <w:start w:val="1"/>
    </w:lvl>
  </w:abstractNum>
  <w:abstractNum w:abstractNumId="362">
    <w:nsid w:val="30E1B1CF"/>
    <w:multiLevelType w:val="hybridMultilevel"/>
    <w:lvl w:ilvl="0">
      <w:lvlJc w:val="left"/>
      <w:lvlText w:val="%1"/>
      <w:numFmt w:val="upperLetter"/>
      <w:start w:val="1"/>
    </w:lvl>
    <w:lvl w:ilvl="1">
      <w:lvlJc w:val="left"/>
      <w:lvlText w:val="•"/>
      <w:numFmt w:val="bullet"/>
      <w:start w:val="1"/>
    </w:lvl>
    <w:lvl w:ilvl="2">
      <w:lvlJc w:val="left"/>
      <w:lvlText w:val="%3."/>
      <w:numFmt w:val="lowerRoman"/>
      <w:start w:val="2"/>
    </w:lvl>
  </w:abstractNum>
  <w:abstractNum w:abstractNumId="363">
    <w:nsid w:val="C7A9237"/>
    <w:multiLevelType w:val="hybridMultilevel"/>
    <w:lvl w:ilvl="0">
      <w:lvlJc w:val="left"/>
      <w:lvlText w:val="%1."/>
      <w:numFmt w:val="upperLetter"/>
      <w:start w:val="2"/>
    </w:lvl>
    <w:lvl w:ilvl="1">
      <w:lvlJc w:val="left"/>
      <w:lvlText w:val="•"/>
      <w:numFmt w:val="bullet"/>
      <w:start w:val="1"/>
    </w:lvl>
    <w:lvl w:ilvl="2">
      <w:lvlJc w:val="left"/>
      <w:lvlText w:val="%3"/>
      <w:numFmt w:val="lowerRoman"/>
      <w:start w:val="1"/>
    </w:lvl>
  </w:abstractNum>
  <w:abstractNum w:abstractNumId="364">
    <w:nsid w:val="676B3580"/>
    <w:multiLevelType w:val="hybridMultilevel"/>
    <w:lvl w:ilvl="0">
      <w:lvlJc w:val="left"/>
      <w:lvlText w:val="%1."/>
      <w:numFmt w:val="decimal"/>
      <w:start w:val="3"/>
    </w:lvl>
  </w:abstractNum>
  <w:abstractNum w:abstractNumId="365">
    <w:nsid w:val="3193C8F9"/>
    <w:multiLevelType w:val="hybridMultilevel"/>
    <w:lvl w:ilvl="0">
      <w:lvlJc w:val="left"/>
      <w:lvlText w:val="▪"/>
      <w:numFmt w:val="bullet"/>
      <w:start w:val="1"/>
    </w:lvl>
    <w:lvl w:ilvl="1">
      <w:lvlJc w:val="left"/>
      <w:lvlText w:val="%2."/>
      <w:numFmt w:val="decimal"/>
      <w:start w:val="1"/>
    </w:lvl>
  </w:abstractNum>
  <w:abstractNum w:abstractNumId="366">
    <w:nsid w:val="5FA6C6DC"/>
    <w:multiLevelType w:val="hybridMultilevel"/>
    <w:lvl w:ilvl="0">
      <w:lvlJc w:val="left"/>
      <w:lvlText w:val="▪"/>
      <w:numFmt w:val="bullet"/>
      <w:start w:val="1"/>
    </w:lvl>
  </w:abstractNum>
  <w:abstractNum w:abstractNumId="367">
    <w:nsid w:val="77933F62"/>
    <w:multiLevelType w:val="hybridMultilevel"/>
    <w:lvl w:ilvl="0">
      <w:lvlJc w:val="left"/>
      <w:lvlText w:val="▪"/>
      <w:numFmt w:val="bullet"/>
      <w:start w:val="1"/>
    </w:lvl>
  </w:abstractNum>
  <w:abstractNum w:abstractNumId="368">
    <w:nsid w:val="6CB4EE9C"/>
    <w:multiLevelType w:val="hybridMultilevel"/>
    <w:lvl w:ilvl="0">
      <w:lvlJc w:val="left"/>
      <w:lvlText w:val="▪"/>
      <w:numFmt w:val="bullet"/>
      <w:start w:val="1"/>
    </w:lvl>
  </w:abstractNum>
  <w:abstractNum w:abstractNumId="369">
    <w:nsid w:val="6A6D56D7"/>
    <w:multiLevelType w:val="hybridMultilevel"/>
    <w:lvl w:ilvl="0">
      <w:lvlJc w:val="left"/>
      <w:lvlText w:val="▪"/>
      <w:numFmt w:val="bullet"/>
      <w:start w:val="1"/>
    </w:lvl>
  </w:abstractNum>
  <w:abstractNum w:abstractNumId="370">
    <w:nsid w:val="5B727F19"/>
    <w:multiLevelType w:val="hybridMultilevel"/>
    <w:lvl w:ilvl="0">
      <w:lvlJc w:val="left"/>
      <w:lvlText w:val="▪"/>
      <w:numFmt w:val="bullet"/>
      <w:start w:val="1"/>
    </w:lvl>
  </w:abstractNum>
  <w:abstractNum w:abstractNumId="371">
    <w:nsid w:val="514E5CB0"/>
    <w:multiLevelType w:val="hybridMultilevel"/>
    <w:lvl w:ilvl="0">
      <w:lvlJc w:val="left"/>
      <w:lvlText w:val="▪"/>
      <w:numFmt w:val="bullet"/>
      <w:start w:val="1"/>
    </w:lvl>
  </w:abstractNum>
  <w:abstractNum w:abstractNumId="372">
    <w:nsid w:val="4210D41E"/>
    <w:multiLevelType w:val="hybridMultilevel"/>
    <w:lvl w:ilvl="0">
      <w:lvlJc w:val="left"/>
      <w:lvlText w:val="▪"/>
      <w:numFmt w:val="bullet"/>
      <w:start w:val="1"/>
    </w:lvl>
  </w:abstractNum>
  <w:abstractNum w:abstractNumId="373">
    <w:nsid w:val="4FF4CC6D"/>
    <w:multiLevelType w:val="hybridMultilevel"/>
    <w:lvl w:ilvl="0">
      <w:lvlJc w:val="left"/>
      <w:lvlText w:val="▪"/>
      <w:numFmt w:val="bullet"/>
      <w:start w:val="1"/>
    </w:lvl>
  </w:abstractNum>
  <w:abstractNum w:abstractNumId="374">
    <w:nsid w:val="404EAF4A"/>
    <w:multiLevelType w:val="hybridMultilevel"/>
    <w:lvl w:ilvl="0">
      <w:lvlJc w:val="left"/>
      <w:lvlText w:val="▪"/>
      <w:numFmt w:val="bullet"/>
      <w:start w:val="1"/>
    </w:lvl>
  </w:abstractNum>
  <w:abstractNum w:abstractNumId="375">
    <w:nsid w:val="4A16874F"/>
    <w:multiLevelType w:val="hybridMultilevel"/>
    <w:lvl w:ilvl="0">
      <w:lvlJc w:val="left"/>
      <w:lvlText w:val="▪"/>
      <w:numFmt w:val="bullet"/>
      <w:start w:val="1"/>
    </w:lvl>
  </w:abstractNum>
  <w:abstractNum w:abstractNumId="376">
    <w:nsid w:val="55FEE0D1"/>
    <w:multiLevelType w:val="hybridMultilevel"/>
    <w:lvl w:ilvl="0">
      <w:lvlJc w:val="left"/>
      <w:lvlText w:val="A"/>
      <w:numFmt w:val="bullet"/>
      <w:start w:val="1"/>
    </w:lvl>
  </w:abstractNum>
  <w:abstractNum w:abstractNumId="377">
    <w:nsid w:val="3C5E07C"/>
    <w:multiLevelType w:val="hybridMultilevel"/>
    <w:lvl w:ilvl="0">
      <w:lvlJc w:val="left"/>
      <w:lvlText w:val="B"/>
      <w:numFmt w:val="bullet"/>
      <w:start w:val="1"/>
    </w:lvl>
  </w:abstractNum>
  <w:abstractNum w:abstractNumId="378">
    <w:nsid w:val="60C2D273"/>
    <w:multiLevelType w:val="hybridMultilevel"/>
    <w:lvl w:ilvl="0">
      <w:lvlJc w:val="left"/>
      <w:lvlText w:val="▪"/>
      <w:numFmt w:val="bullet"/>
      <w:start w:val="1"/>
    </w:lvl>
    <w:lvl w:ilvl="1">
      <w:lvlJc w:val="left"/>
      <w:lvlText w:val="•"/>
      <w:numFmt w:val="bullet"/>
      <w:start w:val="1"/>
    </w:lvl>
  </w:abstractNum>
  <w:abstractNum w:abstractNumId="379">
    <w:nsid w:val="4CC32F1F"/>
    <w:multiLevelType w:val="hybridMultilevel"/>
    <w:lvl w:ilvl="0">
      <w:lvlJc w:val="left"/>
      <w:lvlText w:val="C"/>
      <w:numFmt w:val="bullet"/>
      <w:start w:val="1"/>
    </w:lvl>
  </w:abstractNum>
  <w:abstractNum w:abstractNumId="380">
    <w:nsid w:val="11CAC74A"/>
    <w:multiLevelType w:val="hybridMultilevel"/>
    <w:lvl w:ilvl="0">
      <w:lvlJc w:val="left"/>
      <w:lvlText w:val="▪"/>
      <w:numFmt w:val="bullet"/>
      <w:start w:val="1"/>
    </w:lvl>
  </w:abstractNum>
  <w:abstractNum w:abstractNumId="381">
    <w:nsid w:val="126CADE9"/>
    <w:multiLevelType w:val="hybridMultilevel"/>
    <w:lvl w:ilvl="0">
      <w:lvlJc w:val="left"/>
      <w:lvlText w:val="▪"/>
      <w:numFmt w:val="bullet"/>
      <w:start w:val="1"/>
    </w:lvl>
  </w:abstractNum>
  <w:abstractNum w:abstractNumId="382">
    <w:nsid w:val="19132E7B"/>
    <w:multiLevelType w:val="hybridMultilevel"/>
    <w:lvl w:ilvl="0">
      <w:lvlJc w:val="left"/>
      <w:lvlText w:val="D"/>
      <w:numFmt w:val="bullet"/>
      <w:start w:val="1"/>
    </w:lvl>
  </w:abstractNum>
  <w:abstractNum w:abstractNumId="383">
    <w:nsid w:val="63822DC0"/>
    <w:multiLevelType w:val="hybridMultilevel"/>
    <w:lvl w:ilvl="0">
      <w:lvlJc w:val="left"/>
      <w:lvlText w:val="▪"/>
      <w:numFmt w:val="bullet"/>
      <w:start w:val="1"/>
    </w:lvl>
  </w:abstractNum>
  <w:abstractNum w:abstractNumId="384">
    <w:nsid w:val="6C11685A"/>
    <w:multiLevelType w:val="hybridMultilevel"/>
    <w:lvl w:ilvl="0">
      <w:lvlJc w:val="left"/>
      <w:lvlText w:val="▪"/>
      <w:numFmt w:val="bullet"/>
      <w:start w:val="1"/>
    </w:lvl>
  </w:abstractNum>
  <w:abstractNum w:abstractNumId="385">
    <w:nsid w:val="5E1EAE31"/>
    <w:multiLevelType w:val="hybridMultilevel"/>
    <w:lvl w:ilvl="0">
      <w:lvlJc w:val="left"/>
      <w:lvlText w:val="E"/>
      <w:numFmt w:val="bullet"/>
      <w:start w:val="1"/>
    </w:lvl>
  </w:abstractNum>
  <w:abstractNum w:abstractNumId="386">
    <w:nsid w:val="178E240D"/>
    <w:multiLevelType w:val="hybridMultilevel"/>
    <w:lvl w:ilvl="0">
      <w:lvlJc w:val="left"/>
      <w:lvlText w:val="▪"/>
      <w:numFmt w:val="bullet"/>
      <w:start w:val="1"/>
    </w:lvl>
  </w:abstractNum>
  <w:abstractNum w:abstractNumId="387">
    <w:nsid w:val="5556A87B"/>
    <w:multiLevelType w:val="hybridMultilevel"/>
    <w:lvl w:ilvl="0">
      <w:lvlJc w:val="left"/>
      <w:lvlText w:val="▪"/>
      <w:numFmt w:val="bullet"/>
      <w:start w:val="1"/>
    </w:lvl>
    <w:lvl w:ilvl="1">
      <w:lvlJc w:val="left"/>
      <w:lvlText w:val="•"/>
      <w:numFmt w:val="bullet"/>
      <w:start w:val="1"/>
    </w:lvl>
  </w:abstractNum>
  <w:abstractNum w:abstractNumId="388">
    <w:nsid w:val="28100A9C"/>
    <w:multiLevelType w:val="hybridMultilevel"/>
    <w:lvl w:ilvl="0">
      <w:lvlJc w:val="left"/>
      <w:lvlText w:val="•"/>
      <w:numFmt w:val="bullet"/>
      <w:start w:val="1"/>
    </w:lvl>
  </w:abstractNum>
  <w:abstractNum w:abstractNumId="389">
    <w:nsid w:val="D838636"/>
    <w:multiLevelType w:val="hybridMultilevel"/>
    <w:lvl w:ilvl="0">
      <w:lvlJc w:val="left"/>
      <w:lvlText w:val="▪"/>
      <w:numFmt w:val="bullet"/>
      <w:start w:val="1"/>
    </w:lvl>
    <w:lvl w:ilvl="1">
      <w:lvlJc w:val="left"/>
      <w:lvlText w:val="•"/>
      <w:numFmt w:val="bullet"/>
      <w:start w:val="1"/>
    </w:lvl>
  </w:abstractNum>
  <w:abstractNum w:abstractNumId="390">
    <w:nsid w:val="71B82AED"/>
    <w:multiLevelType w:val="hybridMultilevel"/>
    <w:lvl w:ilvl="0">
      <w:lvlJc w:val="left"/>
      <w:lvlText w:val="G"/>
      <w:numFmt w:val="bullet"/>
      <w:start w:val="1"/>
    </w:lvl>
  </w:abstractNum>
  <w:abstractNum w:abstractNumId="391">
    <w:nsid w:val="D15FACA"/>
    <w:multiLevelType w:val="hybridMultilevel"/>
    <w:lvl w:ilvl="0">
      <w:lvlJc w:val="left"/>
      <w:lvlText w:val="▪"/>
      <w:numFmt w:val="bullet"/>
      <w:start w:val="1"/>
    </w:lvl>
  </w:abstractNum>
  <w:abstractNum w:abstractNumId="392">
    <w:nsid w:val="3D69565B"/>
    <w:multiLevelType w:val="hybridMultilevel"/>
    <w:lvl w:ilvl="0">
      <w:lvlJc w:val="left"/>
      <w:lvlText w:val="H"/>
      <w:numFmt w:val="bullet"/>
      <w:start w:val="1"/>
    </w:lvl>
  </w:abstractNum>
  <w:abstractNum w:abstractNumId="393">
    <w:nsid w:val="2299DCBC"/>
    <w:multiLevelType w:val="hybridMultilevel"/>
    <w:lvl w:ilvl="0">
      <w:lvlJc w:val="left"/>
      <w:lvlText w:val="▪"/>
      <w:numFmt w:val="bullet"/>
      <w:start w:val="1"/>
    </w:lvl>
  </w:abstractNum>
  <w:abstractNum w:abstractNumId="394">
    <w:nsid w:val="19908D02"/>
    <w:multiLevelType w:val="hybridMultilevel"/>
    <w:lvl w:ilvl="0">
      <w:lvlJc w:val="left"/>
      <w:lvlText w:val="▪"/>
      <w:numFmt w:val="bullet"/>
      <w:start w:val="1"/>
    </w:lvl>
  </w:abstractNum>
  <w:abstractNum w:abstractNumId="395">
    <w:nsid w:val="24D48BDB"/>
    <w:multiLevelType w:val="hybridMultilevel"/>
    <w:lvl w:ilvl="0">
      <w:lvlJc w:val="left"/>
      <w:lvlText w:val="▪"/>
      <w:numFmt w:val="bullet"/>
      <w:start w:val="1"/>
    </w:lvl>
  </w:abstractNum>
  <w:abstractNum w:abstractNumId="396">
    <w:nsid w:val="542DA5B5"/>
    <w:multiLevelType w:val="hybridMultilevel"/>
    <w:lvl w:ilvl="0">
      <w:lvlJc w:val="left"/>
      <w:lvlText w:val="▪"/>
      <w:numFmt w:val="bullet"/>
      <w:start w:val="1"/>
    </w:lvl>
  </w:abstractNum>
  <w:abstractNum w:abstractNumId="397">
    <w:nsid w:val="793753DE"/>
    <w:multiLevelType w:val="hybridMultilevel"/>
    <w:lvl w:ilvl="0">
      <w:lvlJc w:val="left"/>
      <w:lvlText w:val="▪"/>
      <w:numFmt w:val="bullet"/>
      <w:start w:val="1"/>
    </w:lvl>
    <w:lvl w:ilvl="1">
      <w:lvlJc w:val="left"/>
      <w:lvlText w:val="•"/>
      <w:numFmt w:val="bullet"/>
      <w:start w:val="1"/>
    </w:lvl>
  </w:abstractNum>
  <w:abstractNum w:abstractNumId="398">
    <w:nsid w:val="1C67CB3D"/>
    <w:multiLevelType w:val="hybridMultilevel"/>
    <w:lvl w:ilvl="0">
      <w:lvlJc w:val="left"/>
      <w:lvlText w:val="▪"/>
      <w:numFmt w:val="bullet"/>
      <w:start w:val="1"/>
    </w:lvl>
  </w:abstractNum>
  <w:abstractNum w:abstractNumId="399">
    <w:nsid w:val="40E29452"/>
    <w:multiLevelType w:val="hybridMultilevel"/>
    <w:lvl w:ilvl="0">
      <w:lvlJc w:val="left"/>
      <w:lvlText w:val="▪"/>
      <w:numFmt w:val="bullet"/>
      <w:start w:val="1"/>
    </w:lvl>
  </w:abstractNum>
  <w:abstractNum w:abstractNumId="400">
    <w:nsid w:val="63A4AAB6"/>
    <w:multiLevelType w:val="hybridMultilevel"/>
    <w:lvl w:ilvl="0">
      <w:lvlJc w:val="left"/>
      <w:lvlText w:val="▪"/>
      <w:numFmt w:val="bullet"/>
      <w:start w:val="1"/>
    </w:lvl>
  </w:abstractNum>
  <w:abstractNum w:abstractNumId="401">
    <w:nsid w:val="77DA4A57"/>
    <w:multiLevelType w:val="hybridMultilevel"/>
    <w:lvl w:ilvl="0">
      <w:lvlJc w:val="left"/>
      <w:lvlText w:val="I"/>
      <w:numFmt w:val="bullet"/>
      <w:start w:val="1"/>
    </w:lvl>
  </w:abstractNum>
  <w:abstractNum w:abstractNumId="402">
    <w:nsid w:val="1230F102"/>
    <w:multiLevelType w:val="hybridMultilevel"/>
    <w:lvl w:ilvl="0">
      <w:lvlJc w:val="left"/>
      <w:lvlText w:val="▪"/>
      <w:numFmt w:val="bullet"/>
      <w:start w:val="1"/>
    </w:lvl>
  </w:abstractNum>
  <w:abstractNum w:abstractNumId="403">
    <w:nsid w:val="25B57ED4"/>
    <w:multiLevelType w:val="hybridMultilevel"/>
    <w:lvl w:ilvl="0">
      <w:lvlJc w:val="left"/>
      <w:lvlText w:val="▪"/>
      <w:numFmt w:val="bullet"/>
      <w:start w:val="1"/>
    </w:lvl>
  </w:abstractNum>
  <w:abstractNum w:abstractNumId="404">
    <w:nsid w:val="47CF16C4"/>
    <w:multiLevelType w:val="hybridMultilevel"/>
    <w:lvl w:ilvl="0">
      <w:lvlJc w:val="left"/>
      <w:lvlText w:val="J"/>
      <w:numFmt w:val="bullet"/>
      <w:start w:val="1"/>
    </w:lvl>
  </w:abstractNum>
  <w:abstractNum w:abstractNumId="405">
    <w:nsid w:val="527FA04C"/>
    <w:multiLevelType w:val="hybridMultilevel"/>
    <w:lvl w:ilvl="0">
      <w:lvlJc w:val="left"/>
      <w:lvlText w:val="▪"/>
      <w:numFmt w:val="bullet"/>
      <w:start w:val="1"/>
    </w:lvl>
  </w:abstractNum>
  <w:abstractNum w:abstractNumId="406">
    <w:nsid w:val="6FCC0624"/>
    <w:multiLevelType w:val="hybridMultilevel"/>
    <w:lvl w:ilvl="0">
      <w:lvlJc w:val="left"/>
      <w:lvlText w:val="L"/>
      <w:numFmt w:val="bullet"/>
      <w:start w:val="1"/>
    </w:lvl>
  </w:abstractNum>
  <w:abstractNum w:abstractNumId="407">
    <w:nsid w:val="1DCDF795"/>
    <w:multiLevelType w:val="hybridMultilevel"/>
    <w:lvl w:ilvl="0">
      <w:lvlJc w:val="left"/>
      <w:lvlText w:val="M"/>
      <w:numFmt w:val="bullet"/>
      <w:start w:val="1"/>
    </w:lvl>
  </w:abstractNum>
  <w:abstractNum w:abstractNumId="408">
    <w:nsid w:val="564580C8"/>
    <w:multiLevelType w:val="hybridMultilevel"/>
    <w:lvl w:ilvl="0">
      <w:lvlJc w:val="left"/>
      <w:lvlText w:val="▪"/>
      <w:numFmt w:val="bullet"/>
      <w:start w:val="1"/>
    </w:lvl>
  </w:abstractNum>
  <w:abstractNum w:abstractNumId="409">
    <w:nsid w:val="508ED897"/>
    <w:multiLevelType w:val="hybridMultilevel"/>
    <w:lvl w:ilvl="0">
      <w:lvlJc w:val="left"/>
      <w:lvlText w:val="▪"/>
      <w:numFmt w:val="bullet"/>
      <w:start w:val="1"/>
    </w:lvl>
    <w:lvl w:ilvl="1">
      <w:lvlJc w:val="left"/>
      <w:lvlText w:val="•"/>
      <w:numFmt w:val="bullet"/>
      <w:start w:val="1"/>
    </w:lvl>
  </w:abstractNum>
  <w:abstractNum w:abstractNumId="410">
    <w:nsid w:val="6A9126B5"/>
    <w:multiLevelType w:val="hybridMultilevel"/>
    <w:lvl w:ilvl="0">
      <w:lvlJc w:val="left"/>
      <w:lvlText w:val="%1)"/>
      <w:numFmt w:val="lowerLetter"/>
      <w:start w:val="1"/>
    </w:lvl>
  </w:abstractNum>
  <w:abstractNum w:abstractNumId="411">
    <w:nsid w:val="68104812"/>
    <w:multiLevelType w:val="hybridMultilevel"/>
    <w:lvl w:ilvl="0">
      <w:lvlJc w:val="left"/>
      <w:lvlText w:val="▪"/>
      <w:numFmt w:val="bullet"/>
      <w:start w:val="1"/>
    </w:lvl>
  </w:abstractNum>
  <w:abstractNum w:abstractNumId="412">
    <w:nsid w:val="62FB8680"/>
    <w:multiLevelType w:val="hybridMultilevel"/>
    <w:lvl w:ilvl="0">
      <w:lvlJc w:val="left"/>
      <w:lvlText w:val="N"/>
      <w:numFmt w:val="bullet"/>
      <w:start w:val="1"/>
    </w:lvl>
  </w:abstractNum>
  <w:abstractNum w:abstractNumId="413">
    <w:nsid w:val="3A45530"/>
    <w:multiLevelType w:val="hybridMultilevel"/>
    <w:lvl w:ilvl="0">
      <w:lvlJc w:val="left"/>
      <w:lvlText w:val="▪"/>
      <w:numFmt w:val="bullet"/>
      <w:start w:val="1"/>
    </w:lvl>
  </w:abstractNum>
  <w:abstractNum w:abstractNumId="414">
    <w:nsid w:val="4B9275D2"/>
    <w:multiLevelType w:val="hybridMultilevel"/>
    <w:lvl w:ilvl="0">
      <w:lvlJc w:val="left"/>
      <w:lvlText w:val="▪"/>
      <w:numFmt w:val="bullet"/>
      <w:start w:val="1"/>
    </w:lvl>
  </w:abstractNum>
  <w:abstractNum w:abstractNumId="415">
    <w:nsid w:val="4F0CEEDB"/>
    <w:multiLevelType w:val="hybridMultilevel"/>
    <w:lvl w:ilvl="0">
      <w:lvlJc w:val="left"/>
      <w:lvlText w:val="▪"/>
      <w:numFmt w:val="bullet"/>
      <w:start w:val="1"/>
    </w:lvl>
  </w:abstractNum>
  <w:abstractNum w:abstractNumId="416">
    <w:nsid w:val="61C30361"/>
    <w:multiLevelType w:val="hybridMultilevel"/>
    <w:lvl w:ilvl="0">
      <w:lvlJc w:val="left"/>
      <w:lvlText w:val="▪"/>
      <w:numFmt w:val="bullet"/>
      <w:start w:val="1"/>
    </w:lvl>
  </w:abstractNum>
  <w:abstractNum w:abstractNumId="417">
    <w:nsid w:val="632099E0"/>
    <w:multiLevelType w:val="hybridMultilevel"/>
    <w:lvl w:ilvl="0">
      <w:lvlJc w:val="left"/>
      <w:lvlText w:val="▪"/>
      <w:numFmt w:val="bullet"/>
      <w:start w:val="1"/>
    </w:lvl>
  </w:abstractNum>
  <w:abstractNum w:abstractNumId="418">
    <w:nsid w:val="24639756"/>
    <w:multiLevelType w:val="hybridMultilevel"/>
    <w:lvl w:ilvl="0">
      <w:lvlJc w:val="left"/>
      <w:lvlText w:val="O"/>
      <w:numFmt w:val="bullet"/>
      <w:start w:val="1"/>
    </w:lvl>
  </w:abstractNum>
  <w:abstractNum w:abstractNumId="419">
    <w:nsid w:val="9D30DFD"/>
    <w:multiLevelType w:val="hybridMultilevel"/>
    <w:lvl w:ilvl="0">
      <w:lvlJc w:val="left"/>
      <w:lvlText w:val="▪"/>
      <w:numFmt w:val="bullet"/>
      <w:start w:val="1"/>
    </w:lvl>
  </w:abstractNum>
  <w:abstractNum w:abstractNumId="420">
    <w:nsid w:val="70A42016"/>
    <w:multiLevelType w:val="hybridMultilevel"/>
    <w:lvl w:ilvl="0">
      <w:lvlJc w:val="left"/>
      <w:lvlText w:val="▪"/>
      <w:numFmt w:val="bullet"/>
      <w:start w:val="1"/>
    </w:lvl>
  </w:abstractNum>
  <w:abstractNum w:abstractNumId="421">
    <w:nsid w:val="161BC243"/>
    <w:multiLevelType w:val="hybridMultilevel"/>
    <w:lvl w:ilvl="0">
      <w:lvlJc w:val="left"/>
      <w:lvlText w:val="▪"/>
      <w:numFmt w:val="bullet"/>
      <w:start w:val="1"/>
    </w:lvl>
  </w:abstractNum>
  <w:abstractNum w:abstractNumId="422">
    <w:nsid w:val="16E908C8"/>
    <w:multiLevelType w:val="hybridMultilevel"/>
    <w:lvl w:ilvl="0">
      <w:lvlJc w:val="left"/>
      <w:lvlText w:val="▪"/>
      <w:numFmt w:val="bullet"/>
      <w:start w:val="1"/>
    </w:lvl>
  </w:abstractNum>
  <w:abstractNum w:abstractNumId="423">
    <w:nsid w:val="2E0D7671"/>
    <w:multiLevelType w:val="hybridMultilevel"/>
    <w:lvl w:ilvl="0">
      <w:lvlJc w:val="left"/>
      <w:lvlText w:val="P"/>
      <w:numFmt w:val="bullet"/>
      <w:start w:val="1"/>
    </w:lvl>
  </w:abstractNum>
  <w:abstractNum w:abstractNumId="424">
    <w:nsid w:val="38B59EFF"/>
    <w:multiLevelType w:val="hybridMultilevel"/>
    <w:lvl w:ilvl="0">
      <w:lvlJc w:val="left"/>
      <w:lvlText w:val="▪"/>
      <w:numFmt w:val="bullet"/>
      <w:start w:val="1"/>
    </w:lvl>
  </w:abstractNum>
  <w:abstractNum w:abstractNumId="425">
    <w:nsid w:val="307995CA"/>
    <w:multiLevelType w:val="hybridMultilevel"/>
    <w:lvl w:ilvl="0">
      <w:lvlJc w:val="left"/>
      <w:lvlText w:val="▪"/>
      <w:numFmt w:val="bullet"/>
      <w:start w:val="1"/>
    </w:lvl>
  </w:abstractNum>
  <w:abstractNum w:abstractNumId="426">
    <w:nsid w:val="52E2024D"/>
    <w:multiLevelType w:val="hybridMultilevel"/>
    <w:lvl w:ilvl="0">
      <w:lvlJc w:val="left"/>
      <w:lvlText w:val="▪"/>
      <w:numFmt w:val="bullet"/>
      <w:start w:val="1"/>
    </w:lvl>
  </w:abstractNum>
  <w:abstractNum w:abstractNumId="427">
    <w:nsid w:val="CE344B5"/>
    <w:multiLevelType w:val="hybridMultilevel"/>
    <w:lvl w:ilvl="0">
      <w:lvlJc w:val="left"/>
      <w:lvlText w:val="▪"/>
      <w:numFmt w:val="bullet"/>
      <w:start w:val="1"/>
    </w:lvl>
  </w:abstractNum>
  <w:abstractNum w:abstractNumId="428">
    <w:nsid w:val="29B0E9A8"/>
    <w:multiLevelType w:val="hybridMultilevel"/>
    <w:lvl w:ilvl="0">
      <w:lvlJc w:val="left"/>
      <w:lvlText w:val="▪"/>
      <w:numFmt w:val="bullet"/>
      <w:start w:val="1"/>
    </w:lvl>
  </w:abstractNum>
  <w:abstractNum w:abstractNumId="429">
    <w:nsid w:val="6F49CD8A"/>
    <w:multiLevelType w:val="hybridMultilevel"/>
    <w:lvl w:ilvl="0">
      <w:lvlJc w:val="left"/>
      <w:lvlText w:val="▪"/>
      <w:numFmt w:val="bullet"/>
      <w:start w:val="1"/>
    </w:lvl>
  </w:abstractNum>
  <w:abstractNum w:abstractNumId="430">
    <w:nsid w:val="4DC5D907"/>
    <w:multiLevelType w:val="hybridMultilevel"/>
    <w:lvl w:ilvl="0">
      <w:lvlJc w:val="left"/>
      <w:lvlText w:val="R"/>
      <w:numFmt w:val="bullet"/>
      <w:start w:val="1"/>
    </w:lvl>
  </w:abstractNum>
  <w:abstractNum w:abstractNumId="431">
    <w:nsid w:val="D55945E"/>
    <w:multiLevelType w:val="hybridMultilevel"/>
    <w:lvl w:ilvl="0">
      <w:lvlJc w:val="left"/>
      <w:lvlText w:val="▪"/>
      <w:numFmt w:val="bullet"/>
      <w:start w:val="1"/>
    </w:lvl>
  </w:abstractNum>
  <w:abstractNum w:abstractNumId="432">
    <w:nsid w:val="672417E1"/>
    <w:multiLevelType w:val="hybridMultilevel"/>
    <w:lvl w:ilvl="0">
      <w:lvlJc w:val="left"/>
      <w:lvlText w:val="▪"/>
      <w:numFmt w:val="bullet"/>
      <w:start w:val="1"/>
    </w:lvl>
  </w:abstractNum>
  <w:abstractNum w:abstractNumId="433">
    <w:nsid w:val="5FF6CA09"/>
    <w:multiLevelType w:val="hybridMultilevel"/>
    <w:lvl w:ilvl="0">
      <w:lvlJc w:val="left"/>
      <w:lvlText w:val="▪"/>
      <w:numFmt w:val="bullet"/>
      <w:start w:val="1"/>
    </w:lvl>
  </w:abstractNum>
  <w:abstractNum w:abstractNumId="434">
    <w:nsid w:val="330B1333"/>
    <w:multiLevelType w:val="hybridMultilevel"/>
    <w:lvl w:ilvl="0">
      <w:lvlJc w:val="left"/>
      <w:lvlText w:val="S"/>
      <w:numFmt w:val="bullet"/>
      <w:start w:val="1"/>
    </w:lvl>
  </w:abstractNum>
  <w:abstractNum w:abstractNumId="435">
    <w:nsid w:val="2EF32EA6"/>
    <w:multiLevelType w:val="hybridMultilevel"/>
    <w:lvl w:ilvl="0">
      <w:lvlJc w:val="left"/>
      <w:lvlText w:val="▪"/>
      <w:numFmt w:val="bullet"/>
      <w:start w:val="1"/>
    </w:lvl>
    <w:lvl w:ilvl="1">
      <w:lvlJc w:val="left"/>
      <w:lvlText w:val="•"/>
      <w:numFmt w:val="bullet"/>
      <w:start w:val="1"/>
    </w:lvl>
  </w:abstractNum>
  <w:abstractNum w:abstractNumId="436">
    <w:nsid w:val="32766A55"/>
    <w:multiLevelType w:val="hybridMultilevel"/>
    <w:lvl w:ilvl="0">
      <w:lvlJc w:val="left"/>
      <w:lvlText w:val="▪"/>
      <w:numFmt w:val="bullet"/>
      <w:start w:val="1"/>
    </w:lvl>
  </w:abstractNum>
  <w:abstractNum w:abstractNumId="437">
    <w:nsid w:val="22D71957"/>
    <w:multiLevelType w:val="hybridMultilevel"/>
    <w:lvl w:ilvl="0">
      <w:lvlJc w:val="left"/>
      <w:lvlText w:val="▪"/>
      <w:numFmt w:val="bullet"/>
      <w:start w:val="1"/>
    </w:lvl>
  </w:abstractNum>
  <w:abstractNum w:abstractNumId="438">
    <w:nsid w:val="4CC1263B"/>
    <w:multiLevelType w:val="hybridMultilevel"/>
    <w:lvl w:ilvl="0">
      <w:lvlJc w:val="left"/>
      <w:lvlText w:val="▪"/>
      <w:numFmt w:val="bullet"/>
      <w:start w:val="1"/>
    </w:lvl>
  </w:abstractNum>
  <w:abstractNum w:abstractNumId="439">
    <w:nsid w:val="8BBEB1D"/>
    <w:multiLevelType w:val="hybridMultilevel"/>
    <w:lvl w:ilvl="0">
      <w:lvlJc w:val="left"/>
      <w:lvlText w:val="▪"/>
      <w:numFmt w:val="bullet"/>
      <w:start w:val="1"/>
    </w:lvl>
    <w:lvl w:ilvl="1">
      <w:lvlJc w:val="left"/>
      <w:lvlText w:val="•"/>
      <w:numFmt w:val="bullet"/>
      <w:start w:val="1"/>
    </w:lvl>
  </w:abstractNum>
  <w:abstractNum w:abstractNumId="440">
    <w:nsid w:val="7365F1EE"/>
    <w:multiLevelType w:val="hybridMultilevel"/>
    <w:lvl w:ilvl="0">
      <w:lvlJc w:val="left"/>
      <w:lvlText w:val="▪"/>
      <w:numFmt w:val="bullet"/>
      <w:start w:val="1"/>
    </w:lvl>
  </w:abstractNum>
  <w:abstractNum w:abstractNumId="441">
    <w:nsid w:val="37524CF0"/>
    <w:multiLevelType w:val="hybridMultilevel"/>
    <w:lvl w:ilvl="0">
      <w:lvlJc w:val="left"/>
      <w:lvlText w:val="T"/>
      <w:numFmt w:val="bullet"/>
      <w:start w:val="1"/>
    </w:lvl>
  </w:abstractNum>
  <w:abstractNum w:abstractNumId="442">
    <w:nsid w:val="70CC332F"/>
    <w:multiLevelType w:val="hybridMultilevel"/>
    <w:lvl w:ilvl="0">
      <w:lvlJc w:val="left"/>
      <w:lvlText w:val="U"/>
      <w:numFmt w:val="bullet"/>
      <w:start w:val="1"/>
    </w:lvl>
  </w:abstractNum>
  <w:abstractNum w:abstractNumId="443">
    <w:nsid w:val="5661786E"/>
    <w:multiLevelType w:val="hybridMultilevel"/>
    <w:lvl w:ilvl="0">
      <w:lvlJc w:val="left"/>
      <w:lvlText w:val="▪"/>
      <w:numFmt w:val="bullet"/>
      <w:start w:val="1"/>
    </w:lvl>
  </w:abstractNum>
  <w:abstractNum w:abstractNumId="444">
    <w:nsid w:val="3AF6A220"/>
    <w:multiLevelType w:val="hybridMultilevel"/>
    <w:lvl w:ilvl="0">
      <w:lvlJc w:val="left"/>
      <w:lvlText w:val="▪"/>
      <w:numFmt w:val="bullet"/>
      <w:start w:val="1"/>
    </w:lvl>
    <w:lvl w:ilvl="1">
      <w:lvlJc w:val="left"/>
      <w:lvlText w:val="•"/>
      <w:numFmt w:val="bullet"/>
      <w:start w:val="1"/>
    </w:lvl>
  </w:abstractNum>
  <w:abstractNum w:abstractNumId="445">
    <w:nsid w:val="3C5EA902"/>
    <w:multiLevelType w:val="hybridMultilevel"/>
    <w:lvl w:ilvl="0">
      <w:lvlJc w:val="left"/>
      <w:lvlText w:val="▪"/>
      <w:numFmt w:val="bullet"/>
      <w:start w:val="1"/>
    </w:lvl>
  </w:abstractNum>
  <w:abstractNum w:abstractNumId="446">
    <w:nsid w:val="256E6749"/>
    <w:multiLevelType w:val="hybridMultilevel"/>
    <w:lvl w:ilvl="0">
      <w:lvlJc w:val="left"/>
      <w:lvlText w:val="▪"/>
      <w:numFmt w:val="bullet"/>
      <w:start w:val="1"/>
    </w:lvl>
  </w:abstractNum>
  <w:abstractNum w:abstractNumId="447">
    <w:nsid w:val="1CB9A581"/>
    <w:multiLevelType w:val="hybridMultilevel"/>
    <w:lvl w:ilvl="0">
      <w:lvlJc w:val="left"/>
      <w:lvlText w:val="(%1)"/>
      <w:numFmt w:val="decimal"/>
      <w:start w:val="1"/>
    </w:lvl>
  </w:abstractNum>
  <w:abstractNum w:abstractNumId="448">
    <w:nsid w:val="1F7F42E2"/>
    <w:multiLevelType w:val="hybridMultilevel"/>
    <w:lvl w:ilvl="0">
      <w:lvlJc w:val="left"/>
      <w:lvlText w:val="•"/>
      <w:numFmt w:val="bullet"/>
      <w:start w:val="1"/>
    </w:lvl>
  </w:abstractNum>
  <w:abstractNum w:abstractNumId="449">
    <w:nsid w:val="49D1FEA0"/>
    <w:multiLevelType w:val="hybridMultilevel"/>
    <w:lvl w:ilvl="0">
      <w:lvlJc w:val="left"/>
      <w:lvlText w:val="•"/>
      <w:numFmt w:val="bullet"/>
      <w:start w:val="1"/>
    </w:lvl>
  </w:abstractNum>
  <w:abstractNum w:abstractNumId="450">
    <w:nsid w:val="268CB37F"/>
    <w:multiLevelType w:val="hybridMultilevel"/>
    <w:lvl w:ilvl="0">
      <w:lvlJc w:val="left"/>
      <w:lvlText w:val="•"/>
      <w:numFmt w:val="bullet"/>
      <w:start w:val="1"/>
    </w:lvl>
  </w:abstractNum>
  <w:abstractNum w:abstractNumId="451">
    <w:nsid w:val="102362F8"/>
    <w:multiLevelType w:val="hybridMultilevel"/>
    <w:lvl w:ilvl="0">
      <w:lvlJc w:val="left"/>
      <w:lvlText w:val="•"/>
      <w:numFmt w:val="bullet"/>
      <w:start w:val="1"/>
    </w:lvl>
  </w:abstractNum>
  <w:abstractNum w:abstractNumId="452">
    <w:nsid w:val="5FEDC0E3"/>
    <w:multiLevelType w:val="hybridMultilevel"/>
    <w:lvl w:ilvl="0">
      <w:lvlJc w:val="left"/>
      <w:lvlText w:val="•"/>
      <w:numFmt w:val="bullet"/>
      <w:start w:val="1"/>
    </w:lvl>
  </w:abstractNum>
  <w:abstractNum w:abstractNumId="453">
    <w:nsid w:val="3D75BC47"/>
    <w:multiLevelType w:val="hybridMultilevel"/>
    <w:lvl w:ilvl="0">
      <w:lvlJc w:val="left"/>
      <w:lvlText w:val="•"/>
      <w:numFmt w:val="bullet"/>
      <w:start w:val="1"/>
    </w:lvl>
  </w:abstractNum>
  <w:abstractNum w:abstractNumId="454">
    <w:nsid w:val="3E30D969"/>
    <w:multiLevelType w:val="hybridMultilevel"/>
    <w:lvl w:ilvl="0">
      <w:lvlJc w:val="left"/>
      <w:lvlText w:val="•"/>
      <w:numFmt w:val="bullet"/>
      <w:start w:val="1"/>
    </w:lvl>
  </w:abstractNum>
  <w:abstractNum w:abstractNumId="455">
    <w:nsid w:val="18A35FE3"/>
    <w:multiLevelType w:val="hybridMultilevel"/>
    <w:lvl w:ilvl="0">
      <w:lvlJc w:val="left"/>
      <w:lvlText w:val="•"/>
      <w:numFmt w:val="bullet"/>
      <w:start w:val="1"/>
    </w:lvl>
  </w:abstractNum>
  <w:abstractNum w:abstractNumId="456">
    <w:nsid w:val="6DEF5211"/>
    <w:multiLevelType w:val="hybridMultilevel"/>
    <w:lvl w:ilvl="0">
      <w:lvlJc w:val="left"/>
      <w:lvlText w:val="•"/>
      <w:numFmt w:val="bullet"/>
      <w:start w:val="1"/>
    </w:lvl>
  </w:abstractNum>
  <w:abstractNum w:abstractNumId="457">
    <w:nsid w:val="1112DBB6"/>
    <w:multiLevelType w:val="hybridMultilevel"/>
    <w:lvl w:ilvl="0">
      <w:lvlJc w:val="left"/>
      <w:lvlText w:val="•"/>
      <w:numFmt w:val="bullet"/>
      <w:start w:val="1"/>
    </w:lvl>
  </w:abstractNum>
  <w:abstractNum w:abstractNumId="458">
    <w:nsid w:val="2586A498"/>
    <w:multiLevelType w:val="hybridMultilevel"/>
    <w:lvl w:ilvl="0">
      <w:lvlJc w:val="left"/>
      <w:lvlText w:val="•"/>
      <w:numFmt w:val="bullet"/>
      <w:start w:val="1"/>
    </w:lvl>
    <w:lvl w:ilvl="1">
      <w:lvlJc w:val="left"/>
      <w:lvlText w:val="•"/>
      <w:numFmt w:val="bullet"/>
      <w:start w:val="1"/>
    </w:lvl>
  </w:abstractNum>
  <w:abstractNum w:abstractNumId="459">
    <w:nsid w:val="17A03BB9"/>
    <w:multiLevelType w:val="hybridMultilevel"/>
    <w:lvl w:ilvl="0">
      <w:lvlJc w:val="left"/>
      <w:lvlText w:val="•"/>
      <w:numFmt w:val="bullet"/>
      <w:start w:val="1"/>
    </w:lvl>
  </w:abstractNum>
  <w:abstractNum w:abstractNumId="460">
    <w:nsid w:val="5CA941"/>
    <w:multiLevelType w:val="hybridMultilevel"/>
    <w:lvl w:ilvl="0">
      <w:lvlJc w:val="left"/>
      <w:lvlText w:val="•"/>
      <w:numFmt w:val="bullet"/>
      <w:start w:val="1"/>
    </w:lvl>
  </w:abstractNum>
  <w:abstractNum w:abstractNumId="461">
    <w:nsid w:val="734C7D9F"/>
    <w:multiLevelType w:val="hybridMultilevel"/>
    <w:lvl w:ilvl="0">
      <w:lvlJc w:val="left"/>
      <w:lvlText w:val="•"/>
      <w:numFmt w:val="bullet"/>
      <w:start w:val="1"/>
    </w:lvl>
    <w:lvl w:ilvl="1">
      <w:lvlJc w:val="left"/>
      <w:lvlText w:val="•"/>
      <w:numFmt w:val="bullet"/>
      <w:start w:val="1"/>
    </w:lvl>
  </w:abstractNum>
  <w:abstractNum w:abstractNumId="462">
    <w:nsid w:val="24F5D018"/>
    <w:multiLevelType w:val="hybridMultilevel"/>
    <w:lvl w:ilvl="0">
      <w:lvlJc w:val="left"/>
      <w:lvlText w:val="•"/>
      <w:numFmt w:val="bullet"/>
      <w:start w:val="1"/>
    </w:lvl>
  </w:abstractNum>
  <w:abstractNum w:abstractNumId="463">
    <w:nsid w:val="6780C122"/>
    <w:multiLevelType w:val="hybridMultilevel"/>
    <w:lvl w:ilvl="0">
      <w:lvlJc w:val="left"/>
      <w:lvlText w:val="•"/>
      <w:numFmt w:val="bullet"/>
      <w:start w:val="1"/>
    </w:lvl>
  </w:abstractNum>
  <w:abstractNum w:abstractNumId="464">
    <w:nsid w:val="534347A8"/>
    <w:multiLevelType w:val="hybridMultilevel"/>
    <w:lvl w:ilvl="0">
      <w:lvlJc w:val="left"/>
      <w:lvlText w:val="•"/>
      <w:numFmt w:val="bullet"/>
      <w:start w:val="1"/>
    </w:lvl>
  </w:abstractNum>
  <w:abstractNum w:abstractNumId="465">
    <w:nsid w:val="5800E34B"/>
    <w:multiLevelType w:val="hybridMultilevel"/>
    <w:lvl w:ilvl="0">
      <w:lvlJc w:val="left"/>
      <w:lvlText w:val="•"/>
      <w:numFmt w:val="bullet"/>
      <w:start w:val="1"/>
    </w:lvl>
  </w:abstractNum>
  <w:abstractNum w:abstractNumId="466">
    <w:nsid w:val="1673EFC8"/>
    <w:multiLevelType w:val="hybridMultilevel"/>
    <w:lvl w:ilvl="0">
      <w:lvlJc w:val="left"/>
      <w:lvlText w:val="•"/>
      <w:numFmt w:val="bullet"/>
      <w:start w:val="1"/>
    </w:lvl>
    <w:lvl w:ilvl="1">
      <w:lvlJc w:val="left"/>
      <w:lvlText w:val="•"/>
      <w:numFmt w:val="bullet"/>
      <w:start w:val="1"/>
    </w:lvl>
  </w:abstractNum>
  <w:abstractNum w:abstractNumId="467">
    <w:nsid w:val="5B9B1FD"/>
    <w:multiLevelType w:val="hybridMultilevel"/>
    <w:lvl w:ilvl="0">
      <w:lvlJc w:val="left"/>
      <w:lvlText w:val="•"/>
      <w:numFmt w:val="bullet"/>
      <w:start w:val="1"/>
    </w:lvl>
    <w:lvl w:ilvl="1">
      <w:lvlJc w:val="left"/>
      <w:lvlText w:val="•"/>
      <w:numFmt w:val="bullet"/>
      <w:start w:val="1"/>
    </w:lvl>
  </w:abstractNum>
  <w:abstractNum w:abstractNumId="468">
    <w:nsid w:val="7AD7FCA2"/>
    <w:multiLevelType w:val="hybridMultilevel"/>
    <w:lvl w:ilvl="0">
      <w:lvlJc w:val="left"/>
      <w:lvlText w:val="•"/>
      <w:numFmt w:val="bullet"/>
      <w:start w:val="1"/>
    </w:lvl>
  </w:abstractNum>
  <w:abstractNum w:abstractNumId="469">
    <w:nsid w:val="63351604"/>
    <w:multiLevelType w:val="hybridMultilevel"/>
    <w:lvl w:ilvl="0">
      <w:lvlJc w:val="left"/>
      <w:lvlText w:val="•"/>
      <w:numFmt w:val="bullet"/>
      <w:start w:val="1"/>
    </w:lvl>
  </w:abstractNum>
  <w:abstractNum w:abstractNumId="470">
    <w:nsid w:val="E759D1A"/>
    <w:multiLevelType w:val="hybridMultilevel"/>
    <w:lvl w:ilvl="0">
      <w:lvlJc w:val="left"/>
      <w:lvlText w:val="•"/>
      <w:numFmt w:val="bullet"/>
      <w:start w:val="1"/>
    </w:lvl>
  </w:abstractNum>
  <w:abstractNum w:abstractNumId="471">
    <w:nsid w:val="6E3DEE90"/>
    <w:multiLevelType w:val="hybridMultilevel"/>
    <w:lvl w:ilvl="0">
      <w:lvlJc w:val="left"/>
      <w:lvlText w:val="•"/>
      <w:numFmt w:val="bullet"/>
      <w:start w:val="1"/>
    </w:lvl>
  </w:abstractNum>
  <w:abstractNum w:abstractNumId="472">
    <w:nsid w:val="1A8762F4"/>
    <w:multiLevelType w:val="hybridMultilevel"/>
    <w:lvl w:ilvl="0">
      <w:lvlJc w:val="left"/>
      <w:lvlText w:val="•"/>
      <w:numFmt w:val="bullet"/>
      <w:start w:val="1"/>
    </w:lvl>
  </w:abstractNum>
  <w:abstractNum w:abstractNumId="473">
    <w:nsid w:val="7F41D049"/>
    <w:multiLevelType w:val="hybridMultilevel"/>
    <w:lvl w:ilvl="0">
      <w:lvlJc w:val="left"/>
      <w:lvlText w:val="•"/>
      <w:numFmt w:val="bullet"/>
      <w:start w:val="1"/>
    </w:lvl>
  </w:abstractNum>
  <w:abstractNum w:abstractNumId="474">
    <w:nsid w:val="449F66FE"/>
    <w:multiLevelType w:val="hybridMultilevel"/>
    <w:lvl w:ilvl="0">
      <w:lvlJc w:val="left"/>
      <w:lvlText w:val="•"/>
      <w:numFmt w:val="bullet"/>
      <w:start w:val="1"/>
    </w:lvl>
  </w:abstractNum>
  <w:abstractNum w:abstractNumId="475">
    <w:nsid w:val="557E0515"/>
    <w:multiLevelType w:val="hybridMultilevel"/>
    <w:lvl w:ilvl="0">
      <w:lvlJc w:val="left"/>
      <w:lvlText w:val="•"/>
      <w:numFmt w:val="bullet"/>
      <w:start w:val="1"/>
    </w:lvl>
  </w:abstractNum>
  <w:abstractNum w:abstractNumId="476">
    <w:nsid w:val="3BA0794B"/>
    <w:multiLevelType w:val="hybridMultilevel"/>
    <w:lvl w:ilvl="0">
      <w:lvlJc w:val="left"/>
      <w:lvlText w:val="•"/>
      <w:numFmt w:val="bullet"/>
      <w:start w:val="1"/>
    </w:lvl>
  </w:abstractNum>
  <w:abstractNum w:abstractNumId="477">
    <w:nsid w:val="6A0DCE48"/>
    <w:multiLevelType w:val="hybridMultilevel"/>
    <w:lvl w:ilvl="0">
      <w:lvlJc w:val="left"/>
      <w:lvlText w:val="•"/>
      <w:numFmt w:val="bullet"/>
      <w:start w:val="1"/>
    </w:lvl>
  </w:abstractNum>
  <w:abstractNum w:abstractNumId="478">
    <w:nsid w:val="7237AA96"/>
    <w:multiLevelType w:val="hybridMultilevel"/>
    <w:lvl w:ilvl="0">
      <w:lvlJc w:val="left"/>
      <w:lvlText w:val="•"/>
      <w:numFmt w:val="bullet"/>
      <w:start w:val="1"/>
    </w:lvl>
  </w:abstractNum>
  <w:abstractNum w:abstractNumId="479">
    <w:nsid w:val="5B1FBC2D"/>
    <w:multiLevelType w:val="hybridMultilevel"/>
    <w:lvl w:ilvl="0">
      <w:lvlJc w:val="left"/>
      <w:lvlText w:val="•"/>
      <w:numFmt w:val="bullet"/>
      <w:start w:val="1"/>
    </w:lvl>
  </w:abstractNum>
  <w:abstractNum w:abstractNumId="480">
    <w:nsid w:val="33DFCCE8"/>
    <w:multiLevelType w:val="hybridMultilevel"/>
    <w:lvl w:ilvl="0">
      <w:lvlJc w:val="left"/>
      <w:lvlText w:val="•"/>
      <w:numFmt w:val="bullet"/>
      <w:start w:val="1"/>
    </w:lvl>
  </w:abstractNum>
  <w:abstractNum w:abstractNumId="481">
    <w:nsid w:val="18C45E15"/>
    <w:multiLevelType w:val="hybridMultilevel"/>
    <w:lvl w:ilvl="0">
      <w:lvlJc w:val="left"/>
      <w:lvlText w:val="•"/>
      <w:numFmt w:val="bullet"/>
      <w:start w:val="1"/>
    </w:lvl>
  </w:abstractNum>
  <w:abstractNum w:abstractNumId="482">
    <w:nsid w:val="6B431F25"/>
    <w:multiLevelType w:val="hybridMultilevel"/>
    <w:lvl w:ilvl="0">
      <w:lvlJc w:val="left"/>
      <w:lvlText w:val="•"/>
      <w:numFmt w:val="bullet"/>
      <w:start w:val="1"/>
    </w:lvl>
  </w:abstractNum>
  <w:abstractNum w:abstractNumId="483">
    <w:nsid w:val="13CD8DCB"/>
    <w:multiLevelType w:val="hybridMultilevel"/>
    <w:lvl w:ilvl="0">
      <w:lvlJc w:val="left"/>
      <w:lvlText w:val="•"/>
      <w:numFmt w:val="bullet"/>
      <w:start w:val="1"/>
    </w:lvl>
  </w:abstractNum>
  <w:abstractNum w:abstractNumId="484">
    <w:nsid w:val="563A1A5C"/>
    <w:multiLevelType w:val="hybridMultilevel"/>
    <w:lvl w:ilvl="0">
      <w:lvlJc w:val="left"/>
      <w:lvlText w:val="*"/>
      <w:numFmt w:val="bullet"/>
      <w:start w:val="1"/>
    </w:lvl>
  </w:abstractNum>
  <w:abstractNum w:abstractNumId="485">
    <w:nsid w:val="2973F88F"/>
    <w:multiLevelType w:val="hybridMultilevel"/>
    <w:lvl w:ilvl="0">
      <w:lvlJc w:val="left"/>
      <w:lvlText w:val="•"/>
      <w:numFmt w:val="bullet"/>
      <w:start w:val="1"/>
    </w:lvl>
  </w:abstractNum>
  <w:abstractNum w:abstractNumId="486">
    <w:nsid w:val="2C70EDAE"/>
    <w:multiLevelType w:val="hybridMultilevel"/>
    <w:lvl w:ilvl="0">
      <w:lvlJc w:val="left"/>
      <w:lvlText w:val="•"/>
      <w:numFmt w:val="bullet"/>
      <w:start w:val="1"/>
    </w:lvl>
  </w:abstractNum>
  <w:abstractNum w:abstractNumId="487">
    <w:nsid w:val="44296C6D"/>
    <w:multiLevelType w:val="hybridMultilevel"/>
    <w:lvl w:ilvl="0">
      <w:lvlJc w:val="left"/>
      <w:lvlText w:val="•"/>
      <w:numFmt w:val="bullet"/>
      <w:start w:val="1"/>
    </w:lvl>
  </w:abstractNum>
  <w:abstractNum w:abstractNumId="488">
    <w:nsid w:val="3A86D445"/>
    <w:multiLevelType w:val="hybridMultilevel"/>
    <w:lvl w:ilvl="0">
      <w:lvlJc w:val="left"/>
      <w:lvlText w:val="•"/>
      <w:numFmt w:val="bullet"/>
      <w:start w:val="1"/>
    </w:lvl>
    <w:lvl w:ilvl="1">
      <w:lvlJc w:val="left"/>
      <w:lvlText w:val="•"/>
      <w:numFmt w:val="bullet"/>
      <w:start w:val="1"/>
    </w:lvl>
  </w:abstractNum>
  <w:abstractNum w:abstractNumId="489">
    <w:nsid w:val="51F79246"/>
    <w:multiLevelType w:val="hybridMultilevel"/>
    <w:lvl w:ilvl="0">
      <w:lvlJc w:val="left"/>
      <w:lvlText w:val="(%1)"/>
      <w:numFmt w:val="lowerLetter"/>
      <w:start w:val="1"/>
    </w:lvl>
  </w:abstractNum>
  <w:abstractNum w:abstractNumId="490">
    <w:nsid w:val="5BC9A827"/>
    <w:multiLevelType w:val="hybridMultilevel"/>
    <w:lvl w:ilvl="0">
      <w:lvlJc w:val="left"/>
      <w:lvlText w:val="(%1)"/>
      <w:numFmt w:val="lowerLetter"/>
      <w:start w:val="1"/>
    </w:lvl>
  </w:abstractNum>
  <w:abstractNum w:abstractNumId="491">
    <w:nsid w:val="3AE37D86"/>
    <w:multiLevelType w:val="hybridMultilevel"/>
    <w:lvl w:ilvl="0">
      <w:lvlJc w:val="left"/>
      <w:lvlText w:val="(%1)"/>
      <w:numFmt w:val="lowerLetter"/>
      <w:start w:val="3"/>
    </w:lvl>
  </w:abstractNum>
  <w:abstractNum w:abstractNumId="492">
    <w:nsid w:val="45440FE5"/>
    <w:multiLevelType w:val="hybridMultilevel"/>
    <w:lvl w:ilvl="0">
      <w:lvlJc w:val="left"/>
      <w:lvlText w:val="(%1)"/>
      <w:numFmt w:val="lowerLetter"/>
      <w:start w:val="5"/>
    </w:lvl>
  </w:abstractNum>
  <w:abstractNum w:abstractNumId="493">
    <w:nsid w:val="BF783F"/>
    <w:multiLevelType w:val="hybridMultilevel"/>
    <w:lvl w:ilvl="0">
      <w:lvlJc w:val="left"/>
      <w:lvlText w:val="(%1)"/>
      <w:numFmt w:val="lowerLetter"/>
      <w:start w:val="1"/>
    </w:lvl>
  </w:abstractNum>
  <w:abstractNum w:abstractNumId="494">
    <w:nsid w:val="22643EA9"/>
    <w:multiLevelType w:val="hybridMultilevel"/>
    <w:lvl w:ilvl="0">
      <w:lvlJc w:val="left"/>
      <w:lvlText w:val="(%1)"/>
      <w:numFmt w:val="lowerLetter"/>
      <w:start w:val="3"/>
    </w:lvl>
  </w:abstractNum>
  <w:abstractNum w:abstractNumId="495">
    <w:nsid w:val="1887578D"/>
    <w:multiLevelType w:val="hybridMultilevel"/>
    <w:lvl w:ilvl="0">
      <w:lvlJc w:val="left"/>
      <w:lvlText w:val="(%1)"/>
      <w:numFmt w:val="lowerRoman"/>
      <w:start w:val="2"/>
    </w:lvl>
  </w:abstractNum>
  <w:abstractNum w:abstractNumId="496">
    <w:nsid w:val="58C05B8A"/>
    <w:multiLevelType w:val="hybridMultilevel"/>
    <w:lvl w:ilvl="0">
      <w:lvlJc w:val="left"/>
      <w:lvlText w:val="•"/>
      <w:numFmt w:val="bullet"/>
      <w:start w:val="1"/>
    </w:lvl>
  </w:abstractNum>
  <w:abstractNum w:abstractNumId="497">
    <w:nsid w:val="38D82E71"/>
    <w:multiLevelType w:val="hybridMultilevel"/>
    <w:lvl w:ilvl="0">
      <w:lvlJc w:val="left"/>
      <w:lvlText w:val="•"/>
      <w:numFmt w:val="bullet"/>
      <w:start w:val="1"/>
    </w:lvl>
  </w:abstractNum>
  <w:abstractNum w:abstractNumId="498">
    <w:nsid w:val="1E41098A"/>
    <w:multiLevelType w:val="hybridMultilevel"/>
    <w:lvl w:ilvl="0">
      <w:lvlJc w:val="left"/>
      <w:lvlText w:val="•"/>
      <w:numFmt w:val="bullet"/>
      <w:start w:val="1"/>
    </w:lvl>
  </w:abstractNum>
  <w:abstractNum w:abstractNumId="499">
    <w:nsid w:val="5398582C"/>
    <w:multiLevelType w:val="hybridMultilevel"/>
    <w:lvl w:ilvl="0">
      <w:lvlJc w:val="left"/>
      <w:lvlText w:val="•"/>
      <w:numFmt w:val="bullet"/>
      <w:start w:val="1"/>
    </w:lvl>
  </w:abstractNum>
  <w:abstractNum w:abstractNumId="500">
    <w:nsid w:val="1C0D4475"/>
    <w:multiLevelType w:val="hybridMultilevel"/>
    <w:lvl w:ilvl="0">
      <w:lvlJc w:val="left"/>
      <w:lvlText w:val="•"/>
      <w:numFmt w:val="bullet"/>
      <w:start w:val="1"/>
    </w:lvl>
  </w:abstractNum>
  <w:abstractNum w:abstractNumId="501">
    <w:nsid w:val="2CB6A6A4"/>
    <w:multiLevelType w:val="hybridMultilevel"/>
    <w:lvl w:ilvl="0">
      <w:lvlJc w:val="left"/>
      <w:lvlText w:val="•"/>
      <w:numFmt w:val="bullet"/>
      <w:start w:val="1"/>
    </w:lvl>
  </w:abstractNum>
  <w:abstractNum w:abstractNumId="502">
    <w:nsid w:val="41D646BC"/>
    <w:multiLevelType w:val="hybridMultilevel"/>
    <w:lvl w:ilvl="0">
      <w:lvlJc w:val="left"/>
      <w:lvlText w:val="%1."/>
      <w:numFmt w:val="decimal"/>
      <w:start w:val="1"/>
    </w:lvl>
  </w:abstractNum>
  <w:abstractNum w:abstractNumId="503">
    <w:nsid w:val="3694A76A"/>
    <w:multiLevelType w:val="hybridMultilevel"/>
    <w:lvl w:ilvl="0">
      <w:lvlJc w:val="left"/>
      <w:lvlText w:val="(%1)"/>
      <w:numFmt w:val="lowerLetter"/>
      <w:start w:val="1"/>
    </w:lvl>
  </w:abstractNum>
  <w:abstractNum w:abstractNumId="504">
    <w:nsid w:val="2BF876EE"/>
    <w:multiLevelType w:val="hybridMultilevel"/>
    <w:lvl w:ilvl="0">
      <w:lvlJc w:val="left"/>
      <w:lvlText w:val="%1."/>
      <w:numFmt w:val="decimal"/>
      <w:start w:val="5"/>
    </w:lvl>
  </w:abstractNum>
  <w:abstractNum w:abstractNumId="505">
    <w:nsid w:val="675ADBA"/>
    <w:multiLevelType w:val="hybridMultilevel"/>
    <w:lvl w:ilvl="0">
      <w:lvlJc w:val="left"/>
      <w:lvlText w:val="(%1)"/>
      <w:numFmt w:val="lowerLetter"/>
      <w:start w:val="1"/>
    </w:lvl>
  </w:abstractNum>
  <w:abstractNum w:abstractNumId="506">
    <w:nsid w:val="C12AC7F"/>
    <w:multiLevelType w:val="hybridMultilevel"/>
    <w:lvl w:ilvl="0">
      <w:lvlJc w:val="left"/>
      <w:lvlText w:val="%1."/>
      <w:numFmt w:val="decimal"/>
      <w:start w:val="1"/>
    </w:lvl>
  </w:abstractNum>
  <w:abstractNum w:abstractNumId="507">
    <w:nsid w:val="6798F039"/>
    <w:multiLevelType w:val="hybridMultilevel"/>
    <w:lvl w:ilvl="0">
      <w:lvlJc w:val="left"/>
      <w:lvlText w:val="(%1)"/>
      <w:numFmt w:val="lowerLetter"/>
      <w:start w:val="1"/>
    </w:lvl>
  </w:abstractNum>
  <w:abstractNum w:abstractNumId="508">
    <w:nsid w:val="70837C02"/>
    <w:multiLevelType w:val="hybridMultilevel"/>
    <w:lvl w:ilvl="0">
      <w:lvlJc w:val="left"/>
      <w:lvlText w:val="%1."/>
      <w:numFmt w:val="decimal"/>
      <w:start w:val="5"/>
    </w:lvl>
  </w:abstractNum>
  <w:abstractNum w:abstractNumId="509">
    <w:nsid w:val="7E4A5715"/>
    <w:multiLevelType w:val="hybridMultilevel"/>
    <w:lvl w:ilvl="0">
      <w:lvlJc w:val="left"/>
      <w:lvlText w:val="(%1)"/>
      <w:numFmt w:val="lowerLetter"/>
      <w:start w:val="1"/>
    </w:lvl>
  </w:abstractNum>
  <w:abstractNum w:abstractNumId="510">
    <w:nsid w:val="42B8AC67"/>
    <w:multiLevelType w:val="hybridMultilevel"/>
    <w:lvl w:ilvl="0">
      <w:lvlJc w:val="left"/>
      <w:lvlText w:val="(%1)"/>
      <w:numFmt w:val="decimal"/>
      <w:start w:val="1"/>
    </w:lvl>
  </w:abstractNum>
  <w:abstractNum w:abstractNumId="511">
    <w:nsid w:val="246348E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77" Type="http://schemas.openxmlformats.org/officeDocument/2006/relationships/image" Target="media/image25.png"/><Relationship Id="rId78" Type="http://schemas.openxmlformats.org/officeDocument/2006/relationships/image" Target="media/image26.png"/><Relationship Id="rId79" Type="http://schemas.openxmlformats.org/officeDocument/2006/relationships/image" Target="media/image27.png"/><Relationship Id="rId80" Type="http://schemas.openxmlformats.org/officeDocument/2006/relationships/image" Target="media/image28.jpeg"/><Relationship Id="rId81" Type="http://schemas.openxmlformats.org/officeDocument/2006/relationships/image" Target="media/image29.png"/><Relationship Id="rId82" Type="http://schemas.openxmlformats.org/officeDocument/2006/relationships/image" Target="media/image30.png"/><Relationship Id="rId83" Type="http://schemas.openxmlformats.org/officeDocument/2006/relationships/image" Target="media/image31.jpeg"/><Relationship Id="rId84" Type="http://schemas.openxmlformats.org/officeDocument/2006/relationships/image" Target="media/image32.png"/><Relationship Id="rId85" Type="http://schemas.openxmlformats.org/officeDocument/2006/relationships/image" Target="media/image33.png"/><Relationship Id="rId86" Type="http://schemas.openxmlformats.org/officeDocument/2006/relationships/image" Target="media/image34.jpeg"/><Relationship Id="rId87" Type="http://schemas.openxmlformats.org/officeDocument/2006/relationships/image" Target="media/image35.png"/><Relationship Id="rId88" Type="http://schemas.openxmlformats.org/officeDocument/2006/relationships/image" Target="media/image36.png"/><Relationship Id="rId89" Type="http://schemas.openxmlformats.org/officeDocument/2006/relationships/image" Target="media/image37.jpeg"/><Relationship Id="rId90" Type="http://schemas.openxmlformats.org/officeDocument/2006/relationships/image" Target="media/image38.png"/><Relationship Id="rId91" Type="http://schemas.openxmlformats.org/officeDocument/2006/relationships/image" Target="media/image39.png"/><Relationship Id="rId92" Type="http://schemas.openxmlformats.org/officeDocument/2006/relationships/image" Target="media/image40.png"/><Relationship Id="rId93" Type="http://schemas.openxmlformats.org/officeDocument/2006/relationships/image" Target="media/image41.png"/><Relationship Id="rId94" Type="http://schemas.openxmlformats.org/officeDocument/2006/relationships/image" Target="media/image42.png"/><Relationship Id="rId95" Type="http://schemas.openxmlformats.org/officeDocument/2006/relationships/image" Target="media/image43.png"/><Relationship Id="rId96" Type="http://schemas.openxmlformats.org/officeDocument/2006/relationships/image" Target="media/image44.png"/><Relationship Id="rId97" Type="http://schemas.openxmlformats.org/officeDocument/2006/relationships/image" Target="media/image45.png"/><Relationship Id="rId98" Type="http://schemas.openxmlformats.org/officeDocument/2006/relationships/image" Target="media/image46.png"/><Relationship Id="rId99" Type="http://schemas.openxmlformats.org/officeDocument/2006/relationships/image" Target="media/image47.png"/><Relationship Id="rId100" Type="http://schemas.openxmlformats.org/officeDocument/2006/relationships/image" Target="media/image48.png"/><Relationship Id="rId101" Type="http://schemas.openxmlformats.org/officeDocument/2006/relationships/image" Target="media/image49.png"/><Relationship Id="rId102" Type="http://schemas.openxmlformats.org/officeDocument/2006/relationships/image" Target="media/image50.png"/><Relationship Id="rId103" Type="http://schemas.openxmlformats.org/officeDocument/2006/relationships/image" Target="media/image51.png"/><Relationship Id="rId104" Type="http://schemas.openxmlformats.org/officeDocument/2006/relationships/image" Target="media/image52.png"/><Relationship Id="rId105" Type="http://schemas.openxmlformats.org/officeDocument/2006/relationships/image" Target="media/image53.png"/><Relationship Id="rId106" Type="http://schemas.openxmlformats.org/officeDocument/2006/relationships/image" Target="media/image54.png"/><Relationship Id="rId107" Type="http://schemas.openxmlformats.org/officeDocument/2006/relationships/image" Target="media/image55.png"/><Relationship Id="rId108" Type="http://schemas.openxmlformats.org/officeDocument/2006/relationships/image" Target="media/image56.png"/><Relationship Id="rId109" Type="http://schemas.openxmlformats.org/officeDocument/2006/relationships/image" Target="media/image57.png"/><Relationship Id="rId110" Type="http://schemas.openxmlformats.org/officeDocument/2006/relationships/image" Target="media/image58.png"/><Relationship Id="rId111" Type="http://schemas.openxmlformats.org/officeDocument/2006/relationships/image" Target="media/image59.png"/><Relationship Id="rId112" Type="http://schemas.openxmlformats.org/officeDocument/2006/relationships/image" Target="media/image60.jpeg"/><Relationship Id="rId113" Type="http://schemas.openxmlformats.org/officeDocument/2006/relationships/image" Target="media/image61.png"/><Relationship Id="rId114" Type="http://schemas.openxmlformats.org/officeDocument/2006/relationships/image" Target="media/image62.png"/><Relationship Id="rId115" Type="http://schemas.openxmlformats.org/officeDocument/2006/relationships/image" Target="media/image63.jpeg"/><Relationship Id="rId116" Type="http://schemas.openxmlformats.org/officeDocument/2006/relationships/image" Target="media/image64.png"/><Relationship Id="rId117" Type="http://schemas.openxmlformats.org/officeDocument/2006/relationships/image" Target="media/image65.png"/><Relationship Id="rId118" Type="http://schemas.openxmlformats.org/officeDocument/2006/relationships/image" Target="media/image66.png"/><Relationship Id="rId119" Type="http://schemas.openxmlformats.org/officeDocument/2006/relationships/image" Target="media/image67.png"/><Relationship Id="rId120" Type="http://schemas.openxmlformats.org/officeDocument/2006/relationships/image" Target="media/image68.png"/><Relationship Id="rId121"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24" Type="http://schemas.openxmlformats.org/officeDocument/2006/relationships/image" Target="media/image72.jpeg"/><Relationship Id="rId125" Type="http://schemas.openxmlformats.org/officeDocument/2006/relationships/image" Target="media/image73.png"/><Relationship Id="rId126" Type="http://schemas.openxmlformats.org/officeDocument/2006/relationships/image" Target="media/image74.png"/><Relationship Id="rId127" Type="http://schemas.openxmlformats.org/officeDocument/2006/relationships/image" Target="media/image75.jpeg"/><Relationship Id="rId128" Type="http://schemas.openxmlformats.org/officeDocument/2006/relationships/image" Target="media/image76.jpeg"/><Relationship Id="rId129" Type="http://schemas.openxmlformats.org/officeDocument/2006/relationships/image" Target="media/image77.png"/><Relationship Id="rId130" Type="http://schemas.openxmlformats.org/officeDocument/2006/relationships/image" Target="media/image78.jpeg"/><Relationship Id="rId131" Type="http://schemas.openxmlformats.org/officeDocument/2006/relationships/image" Target="media/image79.png"/><Relationship Id="rId132" Type="http://schemas.openxmlformats.org/officeDocument/2006/relationships/image" Target="media/image80.jpeg"/><Relationship Id="rId133" Type="http://schemas.openxmlformats.org/officeDocument/2006/relationships/image" Target="media/image81.jpeg"/><Relationship Id="rId134" Type="http://schemas.openxmlformats.org/officeDocument/2006/relationships/image" Target="media/image82.jpeg"/><Relationship Id="rId135" Type="http://schemas.openxmlformats.org/officeDocument/2006/relationships/image" Target="media/image83.jpeg"/><Relationship Id="rId136" Type="http://schemas.openxmlformats.org/officeDocument/2006/relationships/image" Target="media/image84.jpeg"/><Relationship Id="rId137" Type="http://schemas.openxmlformats.org/officeDocument/2006/relationships/image" Target="media/image85.jpeg"/><Relationship Id="rId138" Type="http://schemas.openxmlformats.org/officeDocument/2006/relationships/image" Target="media/image86.jpeg"/><Relationship Id="rId139" Type="http://schemas.openxmlformats.org/officeDocument/2006/relationships/image" Target="media/image87.jpeg"/><Relationship Id="rId140" Type="http://schemas.openxmlformats.org/officeDocument/2006/relationships/image" Target="media/image88.png"/><Relationship Id="rId141" Type="http://schemas.openxmlformats.org/officeDocument/2006/relationships/image" Target="media/image89.jpeg"/><Relationship Id="rId142" Type="http://schemas.openxmlformats.org/officeDocument/2006/relationships/image" Target="media/image90.png"/><Relationship Id="rId143" Type="http://schemas.openxmlformats.org/officeDocument/2006/relationships/image" Target="media/image91.jpeg"/><Relationship Id="rId144" Type="http://schemas.openxmlformats.org/officeDocument/2006/relationships/image" Target="media/image92.png"/><Relationship Id="rId145" Type="http://schemas.openxmlformats.org/officeDocument/2006/relationships/image" Target="media/image93.jpeg"/><Relationship Id="rId146" Type="http://schemas.openxmlformats.org/officeDocument/2006/relationships/image" Target="media/image94.png"/><Relationship Id="rId147" Type="http://schemas.openxmlformats.org/officeDocument/2006/relationships/image" Target="media/image95.jpeg"/><Relationship Id="rId148" Type="http://schemas.openxmlformats.org/officeDocument/2006/relationships/image" Target="media/image96.jpeg"/><Relationship Id="rId149" Type="http://schemas.openxmlformats.org/officeDocument/2006/relationships/image" Target="media/image97.png"/><Relationship Id="rId150" Type="http://schemas.openxmlformats.org/officeDocument/2006/relationships/image" Target="media/image98.jpe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jpe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jpe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jpe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jpeg"/><Relationship Id="rId164" Type="http://schemas.openxmlformats.org/officeDocument/2006/relationships/image" Target="media/image112.png"/><Relationship Id="rId165" Type="http://schemas.openxmlformats.org/officeDocument/2006/relationships/image" Target="media/image113.jpeg"/><Relationship Id="rId166" Type="http://schemas.openxmlformats.org/officeDocument/2006/relationships/image" Target="media/image114.jpeg"/><Relationship Id="rId167" Type="http://schemas.openxmlformats.org/officeDocument/2006/relationships/image" Target="media/image115.jpeg"/><Relationship Id="rId168" Type="http://schemas.openxmlformats.org/officeDocument/2006/relationships/image" Target="media/image116.jpe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32" Type="http://schemas.openxmlformats.org/officeDocument/2006/relationships/hyperlink" Target="http://www.sec.gov/Archives/edgar/data/1443646/000095012310059548/w77668exv2w1.htm" TargetMode="External"/><Relationship Id="rId33" Type="http://schemas.openxmlformats.org/officeDocument/2006/relationships/hyperlink" Target="http://www.sec.gov/Archives/edgar/data/1443646/000095012310059548/w77668exv2w2.htm" TargetMode="External"/><Relationship Id="rId34" Type="http://schemas.openxmlformats.org/officeDocument/2006/relationships/hyperlink" Target="http://www.sec.gov/Archives/edgar/data/1443646/000095012310059548/w77668exv2w3.htm" TargetMode="External"/><Relationship Id="rId35" Type="http://schemas.openxmlformats.org/officeDocument/2006/relationships/hyperlink" Target="http://www.sec.gov/Archives/edgar/data/1443646/000144364614000040/thirdarcertificateofincorp.htm" TargetMode="External"/><Relationship Id="rId36" Type="http://schemas.openxmlformats.org/officeDocument/2006/relationships/hyperlink" Target="http://www.sec.gov/Archives/edgar/data/1443646/000144364618000018/bah-20171231xex32.htm" TargetMode="External"/><Relationship Id="rId37" Type="http://schemas.openxmlformats.org/officeDocument/2006/relationships/hyperlink" Target="http://www.sec.gov/Archives/edgar/data/1443646/000095012310090358/w77668a3exv4w5.htm" TargetMode="External"/><Relationship Id="rId38" Type="http://schemas.openxmlformats.org/officeDocument/2006/relationships/hyperlink" Target="http://www.sec.gov/Archives/edgar/data/1443646/000119312517136816/d346355dex41.htm" TargetMode="External"/><Relationship Id="rId39" Type="http://schemas.openxmlformats.org/officeDocument/2006/relationships/hyperlink" Target="http://www.sec.gov/Archives/edgar/data/1443646/000119312517136816/d346355dex42.htm" TargetMode="External"/><Relationship Id="rId40" Type="http://schemas.openxmlformats.org/officeDocument/2006/relationships/hyperlink" Target="http://www.sec.gov/Archives/edgar/data/1443646/000144364614000040/secondamendedandrestatedei.htm" TargetMode="External"/><Relationship Id="rId41" Type="http://schemas.openxmlformats.org/officeDocument/2006/relationships/hyperlink" Target="http://www.sec.gov/Archives/edgar/data/1443646/000095012310070415/w77668a1exv10w10.htm" TargetMode="External"/><Relationship Id="rId42" Type="http://schemas.openxmlformats.org/officeDocument/2006/relationships/hyperlink" Target="http://www.sec.gov/Archives/edgar/data/1443646/000095012310070415/w77668a1exv10w11.htm" TargetMode="External"/><Relationship Id="rId43" Type="http://schemas.openxmlformats.org/officeDocument/2006/relationships/hyperlink" Target="http://www.sec.gov/Archives/edgar/data/1443646/000095012310082535/w77668a2exv10w12.htm" TargetMode="External"/><Relationship Id="rId44" Type="http://schemas.openxmlformats.org/officeDocument/2006/relationships/hyperlink" Target="http://www.sec.gov/Archives/edgar/data/1443646/000144364614000040/amendedandrestatedaip-ex10.htm" TargetMode="External"/><Relationship Id="rId45" Type="http://schemas.openxmlformats.org/officeDocument/2006/relationships/hyperlink" Target="http://www.sec.gov/Archives/edgar/data/1443646/000144364615000018/bah-20150331xex1014.htm" TargetMode="External"/><Relationship Id="rId46" Type="http://schemas.openxmlformats.org/officeDocument/2006/relationships/hyperlink" Target="http://www.sec.gov/Archives/edgar/data/1443646/000095012310090358/w77668a3exv10w23.htm" TargetMode="External"/><Relationship Id="rId47" Type="http://schemas.openxmlformats.org/officeDocument/2006/relationships/hyperlink" Target="http://www.sec.gov/Archives/edgar/data/1443646/000095012311057569/w82973exv10w23.htm" TargetMode="External"/><Relationship Id="rId48" Type="http://schemas.openxmlformats.org/officeDocument/2006/relationships/hyperlink" Target="http://www.sec.gov/Archives/edgar/data/1443646/000119312512038532/d291187dex1025.htm" TargetMode="External"/><Relationship Id="rId49" Type="http://schemas.openxmlformats.org/officeDocument/2006/relationships/hyperlink" Target="http://www.sec.gov/Archives/edgar/data/1443646/000119312512327096/d388921dex101.htm" TargetMode="External"/><Relationship Id="rId50" Type="http://schemas.openxmlformats.org/officeDocument/2006/relationships/hyperlink" Target="http://www.sec.gov/Archives/edgar/data/1443646/000119312512327096/d388921dex102.htm" TargetMode="External"/><Relationship Id="rId51" Type="http://schemas.openxmlformats.org/officeDocument/2006/relationships/hyperlink" Target="http://www.sec.gov/Archives/edgar/data/1443646/000144364613000030/exhibit101-2013amendmentxf.htm" TargetMode="External"/><Relationship Id="rId52" Type="http://schemas.openxmlformats.org/officeDocument/2006/relationships/hyperlink" Target="http://www.sec.gov/Archives/edgar/data/1443646/000144364614000015/bah-20140331xex1027.htm" TargetMode="External"/><Relationship Id="rId53" Type="http://schemas.openxmlformats.org/officeDocument/2006/relationships/hyperlink" Target="http://www.sec.gov/Archives/edgar/data/1443646/000144364614000015/bah-20140331xex1028.htm" TargetMode="External"/><Relationship Id="rId54" Type="http://schemas.openxmlformats.org/officeDocument/2006/relationships/hyperlink" Target="http://www.sec.gov/Archives/edgar/data/1443646/000144364614000015/bah-20140331xex1029.htm" TargetMode="External"/><Relationship Id="rId55" Type="http://schemas.openxmlformats.org/officeDocument/2006/relationships/hyperlink" Target="http://www.sec.gov/Archives/edgar/data/1443646/000144364614000011/secondamendment.htm" TargetMode="External"/><Relationship Id="rId56" Type="http://schemas.openxmlformats.org/officeDocument/2006/relationships/hyperlink" Target="http://www.sec.gov/Archives/edgar/data/1443646/000144364616000173/bahamendmentno32016.htm" TargetMode="External"/><Relationship Id="rId57" Type="http://schemas.openxmlformats.org/officeDocument/2006/relationships/hyperlink" Target="http://www.sec.gov/Archives/edgar/data/1443646/000119312517032421/d295747dex101.htm" TargetMode="External"/><Relationship Id="rId58" Type="http://schemas.openxmlformats.org/officeDocument/2006/relationships/hyperlink" Target="http://www.sec.gov/Archives/edgar/data/1443646/000119312518073520/d502770dex101.htm" TargetMode="External"/><Relationship Id="rId59" Type="http://schemas.openxmlformats.org/officeDocument/2006/relationships/hyperlink" Target="http://www.sec.gov/Archives/edgar/data/1443646/000119312517120098/d361130dex101.htm" TargetMode="External"/><Relationship Id="rId60" Type="http://schemas.openxmlformats.org/officeDocument/2006/relationships/hyperlink" Target="http://www.sec.gov/Archives/edgar/data/1443646/000119312517120098/d361130dex102.htm" TargetMode="External"/><Relationship Id="rId61" Type="http://schemas.openxmlformats.org/officeDocument/2006/relationships/hyperlink" Target="http://www.sec.gov/Archives/edgar/data/1443646/000119312517120098/d361130dex103.htm" TargetMode="External"/><Relationship Id="rId62" Type="http://schemas.openxmlformats.org/officeDocument/2006/relationships/hyperlink" Target="http://www.sec.gov/Archives/edgar/data/1443646/000119312517189227/d506847dex101.htm" TargetMode="External"/><Relationship Id="rId63" Type="http://schemas.openxmlformats.org/officeDocument/2006/relationships/hyperlink" Target="http://www.sec.gov/Archives/edgar/data/1443646/000119312517189227/d506847dex102.htm" TargetMode="External"/><Relationship Id="rId64" Type="http://schemas.openxmlformats.org/officeDocument/2006/relationships/hyperlink" Target="http://www.sec.gov/Archives/edgar/data/1443646/000119312517189227/d506847dex103.htm" TargetMode="External"/><Relationship Id="rId65" Type="http://schemas.openxmlformats.org/officeDocument/2006/relationships/hyperlink" Target="http://www.sec.gov/Archives/edgar/data/1443646/000119312517120098/d361130dex104.htm" TargetMode="External"/><Relationship Id="rId66" Type="http://schemas.openxmlformats.org/officeDocument/2006/relationships/hyperlink" Target="http://www.sec.gov/Archives/edgar/data/1443646/000119312517120098/d361130dex105.htm" TargetMode="External"/><Relationship Id="rId67" Type="http://schemas.openxmlformats.org/officeDocument/2006/relationships/hyperlink" Target="http://www.sec.gov/Archives/edgar/data/1443646/000119312517120098/d361130dex106.htm" TargetMode="External"/><Relationship Id="rId68" Type="http://schemas.openxmlformats.org/officeDocument/2006/relationships/hyperlink" Target="http://www.sec.gov/Archives/edgar/data/1443646/000119312517189227/d506847dex104.htm" TargetMode="External"/><Relationship Id="rId69" Type="http://schemas.openxmlformats.org/officeDocument/2006/relationships/hyperlink" Target="http://www.sec.gov/Archives/edgar/data/1443646/000119312517189227/d506847dex105.htm" TargetMode="External"/><Relationship Id="rId70" Type="http://schemas.openxmlformats.org/officeDocument/2006/relationships/hyperlink" Target="http://www.sec.gov/Archives/edgar/data/1443646/000119312517189227/d506847dex106.htm" TargetMode="External"/><Relationship Id="rId71" Type="http://schemas.openxmlformats.org/officeDocument/2006/relationships/hyperlink" Target="http://www.sec.gov/Archives/edgar/data/1443646/000144364617000108/bah-20170630xex1010.htm" TargetMode="External"/><Relationship Id="rId72" Type="http://schemas.openxmlformats.org/officeDocument/2006/relationships/hyperlink" Target="http://www.sec.gov/Archives/edgar/data/1443646/000144364617000050/bah-20170331xex1035.htm" TargetMode="External"/><Relationship Id="rId73" Type="http://schemas.openxmlformats.org/officeDocument/2006/relationships/hyperlink" Target="http://www.sec.gov/Archives/edgar/data/1443646/000144364617000050/bah-20170331xex1036.htm" TargetMode="External"/><Relationship Id="rId74" Type="http://schemas.openxmlformats.org/officeDocument/2006/relationships/hyperlink" Target="http://www.sec.gov/Archives/edgar/data/1443646/000144364617000050/bah-20170331xex1037.htm" TargetMode="External"/><Relationship Id="rId75" Type="http://schemas.openxmlformats.org/officeDocument/2006/relationships/hyperlink" Target="http://www.sec.gov/Archives/edgar/data/1443646/000144364617000050/bah-20170331xex1038.htm" TargetMode="External"/><Relationship Id="rId76" Type="http://schemas.openxmlformats.org/officeDocument/2006/relationships/hyperlink" Target="http://www.sec.gov/Archives/edgar/data/1443646/000144364617000050/bah-20170331x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2019-12-28T21:55:06Z</dcterms:created>
  <dcterms:modified xsi:type="dcterms:W3CDTF">2019-12-28T21:55:06Z</dcterms:modified>
</cp:coreProperties>
</file>