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302260</wp:posOffset>
            </wp:positionH>
            <wp:positionV relativeFrom="page">
              <wp:posOffset>594995</wp:posOffset>
            </wp:positionV>
            <wp:extent cx="6943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3725"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wp:posOffset>
            </wp:positionH>
            <wp:positionV relativeFrom="paragraph">
              <wp:posOffset>-224155</wp:posOffset>
            </wp:positionV>
            <wp:extent cx="6943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ind w:left="4020"/>
        <w:spacing w:after="0"/>
        <w:rPr>
          <w:sz w:val="20"/>
          <w:szCs w:val="20"/>
          <w:color w:val="auto"/>
        </w:rPr>
      </w:pPr>
      <w:r>
        <w:rPr>
          <w:rFonts w:ascii="Arial" w:cs="Arial" w:eastAsia="Arial" w:hAnsi="Arial"/>
          <w:sz w:val="18"/>
          <w:szCs w:val="18"/>
          <w:color w:val="auto"/>
        </w:rPr>
        <w:t>___________________________________</w:t>
      </w:r>
    </w:p>
    <w:p>
      <w:pPr>
        <w:spacing w:after="0" w:line="65"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ectPr>
          <w:pgSz w:w="11900" w:h="16838" w:orient="portrait"/>
          <w:cols w:equalWidth="0" w:num="1">
            <w:col w:w="11080"/>
          </w:cols>
          <w:pgMar w:left="320" w:top="949" w:right="499" w:bottom="1440" w:gutter="0" w:footer="0" w:header="0"/>
        </w:sectPr>
      </w:pPr>
    </w:p>
    <w:p>
      <w:pPr>
        <w:spacing w:after="0" w:line="200" w:lineRule="exact"/>
        <w:rPr>
          <w:sz w:val="24"/>
          <w:szCs w:val="24"/>
          <w:color w:val="auto"/>
        </w:rPr>
      </w:pPr>
    </w:p>
    <w:p>
      <w:pPr>
        <w:spacing w:after="0" w:line="328"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ind w:right="80"/>
        <w:spacing w:after="0" w:line="256" w:lineRule="auto"/>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0"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0"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spacing w:after="0" w:line="26" w:lineRule="exact"/>
        <w:rPr>
          <w:sz w:val="24"/>
          <w:szCs w:val="24"/>
          <w:color w:val="auto"/>
        </w:rPr>
      </w:pPr>
    </w:p>
    <w:p>
      <w:pPr>
        <w:sectPr>
          <w:pgSz w:w="11900" w:h="16838" w:orient="portrait"/>
          <w:cols w:equalWidth="0" w:num="2">
            <w:col w:w="200" w:space="640"/>
            <w:col w:w="10240"/>
          </w:cols>
          <w:pgMar w:left="320" w:top="949" w:right="499" w:bottom="1440" w:gutter="0" w:footer="0" w:header="0"/>
          <w:type w:val="continuous"/>
        </w:sectPr>
      </w:pPr>
    </w:p>
    <w:p>
      <w:pPr>
        <w:ind w:left="840" w:hanging="805"/>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OF 1934</w:t>
      </w:r>
    </w:p>
    <w:p>
      <w:pPr>
        <w:spacing w:after="0" w:line="218" w:lineRule="exact"/>
        <w:rPr>
          <w:sz w:val="24"/>
          <w:szCs w:val="24"/>
          <w:color w:val="auto"/>
        </w:rPr>
      </w:pPr>
    </w:p>
    <w:p>
      <w:pPr>
        <w:ind w:left="38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p>
      <w:pPr>
        <w:ind w:left="1780"/>
        <w:spacing w:after="0"/>
        <w:tabs>
          <w:tab w:leader="none" w:pos="89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26-2634160</w:t>
      </w:r>
    </w:p>
    <w:p>
      <w:pPr>
        <w:spacing w:after="0" w:line="59" w:lineRule="exact"/>
        <w:rPr>
          <w:sz w:val="24"/>
          <w:szCs w:val="24"/>
          <w:color w:val="auto"/>
        </w:rPr>
      </w:pPr>
    </w:p>
    <w:p>
      <w:pPr>
        <w:ind w:left="1240"/>
        <w:spacing w:after="0"/>
        <w:tabs>
          <w:tab w:leader="none" w:pos="886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spacing w:after="0" w:line="4" w:lineRule="exact"/>
        <w:rPr>
          <w:sz w:val="24"/>
          <w:szCs w:val="24"/>
          <w:color w:val="auto"/>
        </w:rPr>
      </w:pPr>
    </w:p>
    <w:p>
      <w:pPr>
        <w:ind w:left="1200"/>
        <w:spacing w:after="0"/>
        <w:tabs>
          <w:tab w:leader="none" w:pos="880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151" w:lineRule="exact"/>
        <w:rPr>
          <w:sz w:val="24"/>
          <w:szCs w:val="24"/>
          <w:color w:val="auto"/>
        </w:rPr>
      </w:pPr>
    </w:p>
    <w:p>
      <w:pPr>
        <w:ind w:left="280"/>
        <w:spacing w:after="0"/>
        <w:tabs>
          <w:tab w:leader="none" w:pos="2520" w:val="left"/>
          <w:tab w:leader="none" w:pos="3500" w:val="left"/>
          <w:tab w:leader="none" w:pos="9140" w:val="left"/>
        </w:tabs>
        <w:rPr>
          <w:sz w:val="20"/>
          <w:szCs w:val="20"/>
          <w:color w:val="auto"/>
        </w:rPr>
      </w:pPr>
      <w:r>
        <w:rPr>
          <w:rFonts w:ascii="Arial" w:cs="Arial" w:eastAsia="Arial" w:hAnsi="Arial"/>
          <w:sz w:val="18"/>
          <w:szCs w:val="18"/>
          <w:b w:val="1"/>
          <w:bCs w:val="1"/>
          <w:color w:val="auto"/>
        </w:rPr>
        <w:t>8283 Greensboro Drive,</w:t>
      </w:r>
      <w:r>
        <w:rPr>
          <w:sz w:val="20"/>
          <w:szCs w:val="20"/>
          <w:color w:val="auto"/>
        </w:rPr>
        <w:tab/>
      </w:r>
      <w:r>
        <w:rPr>
          <w:rFonts w:ascii="Arial" w:cs="Arial" w:eastAsia="Arial" w:hAnsi="Arial"/>
          <w:sz w:val="18"/>
          <w:szCs w:val="18"/>
          <w:b w:val="1"/>
          <w:bCs w:val="1"/>
          <w:color w:val="auto"/>
        </w:rPr>
        <w:t>McLean,</w:t>
      </w:r>
      <w:r>
        <w:rPr>
          <w:sz w:val="20"/>
          <w:szCs w:val="20"/>
          <w:color w:val="auto"/>
        </w:rPr>
        <w:tab/>
      </w:r>
      <w:r>
        <w:rPr>
          <w:rFonts w:ascii="Arial" w:cs="Arial" w:eastAsia="Arial" w:hAnsi="Arial"/>
          <w:sz w:val="18"/>
          <w:szCs w:val="18"/>
          <w:b w:val="1"/>
          <w:bCs w:val="1"/>
          <w:color w:val="auto"/>
        </w:rPr>
        <w:t>Virginia</w:t>
      </w:r>
      <w:r>
        <w:rPr>
          <w:sz w:val="20"/>
          <w:szCs w:val="20"/>
          <w:color w:val="auto"/>
        </w:rPr>
        <w:tab/>
      </w:r>
      <w:r>
        <w:rPr>
          <w:rFonts w:ascii="Arial" w:cs="Arial" w:eastAsia="Arial" w:hAnsi="Arial"/>
          <w:sz w:val="16"/>
          <w:szCs w:val="16"/>
          <w:b w:val="1"/>
          <w:bCs w:val="1"/>
          <w:color w:val="auto"/>
        </w:rPr>
        <w:t>22102</w:t>
      </w:r>
    </w:p>
    <w:p>
      <w:pPr>
        <w:spacing w:after="0" w:line="59" w:lineRule="exact"/>
        <w:rPr>
          <w:sz w:val="24"/>
          <w:szCs w:val="24"/>
          <w:color w:val="auto"/>
        </w:rPr>
      </w:pPr>
    </w:p>
    <w:p>
      <w:pPr>
        <w:ind w:left="960"/>
        <w:spacing w:after="0"/>
        <w:tabs>
          <w:tab w:leader="none" w:pos="904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7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(703) 902-5000</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___________________________________</w:t>
      </w:r>
    </w:p>
    <w:p>
      <w:pPr>
        <w:spacing w:after="0" w:line="8"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8" w:lineRule="exact"/>
        <w:rPr>
          <w:sz w:val="24"/>
          <w:szCs w:val="24"/>
          <w:color w:val="auto"/>
        </w:rPr>
      </w:pPr>
    </w:p>
    <w:tbl>
      <w:tblPr>
        <w:tblLayout w:type="fixed"/>
        <w:tblInd w:w="180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800" w:type="dxa"/>
            <w:vAlign w:val="bottom"/>
          </w:tcPr>
          <w:p>
            <w:pPr>
              <w:spacing w:after="0"/>
              <w:rPr>
                <w:sz w:val="14"/>
                <w:szCs w:val="1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Trading Symbol</w:t>
            </w:r>
          </w:p>
        </w:tc>
        <w:tc>
          <w:tcPr>
            <w:tcW w:w="33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20"/>
        </w:trPr>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78"/>
        </w:trPr>
        <w:tc>
          <w:tcPr>
            <w:tcW w:w="3240" w:type="dxa"/>
            <w:vAlign w:val="bottom"/>
            <w:gridSpan w:val="3"/>
          </w:tcPr>
          <w:p>
            <w:pPr>
              <w:jc w:val="center"/>
              <w:ind w:right="1520"/>
              <w:spacing w:after="0"/>
              <w:rPr>
                <w:sz w:val="20"/>
                <w:szCs w:val="20"/>
                <w:color w:val="auto"/>
              </w:rPr>
            </w:pPr>
            <w:r>
              <w:rPr>
                <w:rFonts w:ascii="Arial" w:cs="Arial" w:eastAsia="Arial" w:hAnsi="Arial"/>
                <w:sz w:val="18"/>
                <w:szCs w:val="18"/>
                <w:color w:val="auto"/>
                <w:w w:val="90"/>
              </w:rPr>
              <w:t>Class A Common Stock</w:t>
            </w: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color w:val="auto"/>
              </w:rPr>
              <w:t>BAH</w:t>
            </w:r>
          </w:p>
        </w:tc>
        <w:tc>
          <w:tcPr>
            <w:tcW w:w="54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06" w:lineRule="exact"/>
        <w:rPr>
          <w:sz w:val="24"/>
          <w:szCs w:val="24"/>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40" w:type="dxa"/>
        <w:tblCellMar>
          <w:top w:w="0" w:type="dxa"/>
          <w:left w:w="0" w:type="dxa"/>
          <w:bottom w:w="0" w:type="dxa"/>
          <w:right w:w="0" w:type="dxa"/>
        </w:tblCellMar>
      </w:tblPr>
      <w:tr>
        <w:trPr>
          <w:trHeight w:val="350"/>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6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5"/>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spacing w:after="0"/>
              <w:rPr>
                <w:sz w:val="24"/>
                <w:szCs w:val="24"/>
                <w:color w:val="auto"/>
              </w:rPr>
            </w:pPr>
          </w:p>
        </w:tc>
        <w:tc>
          <w:tcPr>
            <w:tcW w:w="5000" w:type="dxa"/>
            <w:vAlign w:val="bottom"/>
          </w:tcPr>
          <w:p>
            <w:pPr>
              <w:ind w:left="246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00" w:type="dxa"/>
            <w:vAlign w:val="bottom"/>
          </w:tcPr>
          <w:p>
            <w:pPr>
              <w:ind w:left="246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80"/>
          </w:cols>
          <w:pgMar w:left="320" w:top="949" w:right="499" w:bottom="1440" w:gutter="0" w:footer="0" w:header="0"/>
          <w:type w:val="continuous"/>
        </w:sectPr>
      </w:pP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80"/>
          </w:cols>
          <w:pgMar w:left="320" w:top="949" w:right="4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8880" w:type="dxa"/>
            <w:vAlign w:val="bottom"/>
          </w:tcPr>
          <w:p>
            <w:pPr>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p>
        </w:tc>
        <w:tc>
          <w:tcPr>
            <w:tcW w:w="2000" w:type="dxa"/>
            <w:vAlign w:val="bottom"/>
          </w:tcPr>
          <w:p>
            <w:pPr>
              <w:jc w:val="right"/>
              <w:ind w:right="1399"/>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04"/>
        </w:trPr>
        <w:tc>
          <w:tcPr>
            <w:tcW w:w="8880" w:type="dxa"/>
            <w:vAlign w:val="bottom"/>
          </w:tcPr>
          <w:p>
            <w:pPr>
              <w:spacing w:after="0"/>
              <w:rPr>
                <w:sz w:val="20"/>
                <w:szCs w:val="20"/>
                <w:color w:val="auto"/>
              </w:rPr>
            </w:pPr>
            <w:r>
              <w:rPr>
                <w:rFonts w:ascii="Arial" w:cs="Arial" w:eastAsia="Arial" w:hAnsi="Arial"/>
                <w:sz w:val="18"/>
                <w:szCs w:val="18"/>
                <w:color w:val="auto"/>
                <w:w w:val="89"/>
              </w:rPr>
              <w:t>Indicate the number of shares outstanding of each of the issuer’s classes of common stock, as of the latest practicable date.</w:t>
            </w:r>
          </w:p>
        </w:tc>
        <w:tc>
          <w:tcPr>
            <w:tcW w:w="2000" w:type="dxa"/>
            <w:vAlign w:val="bottom"/>
          </w:tcPr>
          <w:p>
            <w:pPr>
              <w:spacing w:after="0"/>
              <w:rPr>
                <w:sz w:val="24"/>
                <w:szCs w:val="24"/>
                <w:color w:val="auto"/>
              </w:rPr>
            </w:pPr>
          </w:p>
        </w:tc>
      </w:tr>
      <w:tr>
        <w:trPr>
          <w:trHeight w:val="288"/>
        </w:trPr>
        <w:tc>
          <w:tcPr>
            <w:tcW w:w="8880" w:type="dxa"/>
            <w:vAlign w:val="bottom"/>
          </w:tcPr>
          <w:p>
            <w:pPr>
              <w:spacing w:after="0"/>
              <w:rPr>
                <w:sz w:val="24"/>
                <w:szCs w:val="24"/>
                <w:color w:val="auto"/>
              </w:rPr>
            </w:pPr>
          </w:p>
        </w:tc>
        <w:tc>
          <w:tcPr>
            <w:tcW w:w="200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Shares Outstanding</w:t>
            </w:r>
          </w:p>
        </w:tc>
      </w:tr>
      <w:tr>
        <w:trPr>
          <w:trHeight w:val="192"/>
        </w:trPr>
        <w:tc>
          <w:tcPr>
            <w:tcW w:w="8880" w:type="dxa"/>
            <w:vAlign w:val="bottom"/>
          </w:tcPr>
          <w:p>
            <w:pPr>
              <w:spacing w:after="0"/>
              <w:rPr>
                <w:sz w:val="16"/>
                <w:szCs w:val="16"/>
                <w:color w:val="auto"/>
              </w:rPr>
            </w:pPr>
          </w:p>
        </w:tc>
        <w:tc>
          <w:tcPr>
            <w:tcW w:w="200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as of July 28, 2020</w:t>
            </w:r>
          </w:p>
        </w:tc>
      </w:tr>
      <w:tr>
        <w:trPr>
          <w:trHeight w:val="256"/>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137,802,479</w:t>
            </w:r>
          </w:p>
        </w:tc>
      </w:tr>
      <w:tr>
        <w:trPr>
          <w:trHeight w:val="432"/>
        </w:trPr>
        <w:tc>
          <w:tcPr>
            <w:tcW w:w="8880" w:type="dxa"/>
            <w:vAlign w:val="bottom"/>
          </w:tcPr>
          <w:p>
            <w:pPr>
              <w:jc w:val="right"/>
              <w:ind w:right="3130"/>
              <w:spacing w:after="0"/>
              <w:rPr>
                <w:sz w:val="20"/>
                <w:szCs w:val="20"/>
                <w:color w:val="auto"/>
              </w:rPr>
            </w:pPr>
            <w:r>
              <w:rPr>
                <w:rFonts w:ascii="Arial" w:cs="Arial" w:eastAsia="Arial" w:hAnsi="Arial"/>
                <w:sz w:val="18"/>
                <w:szCs w:val="18"/>
                <w:color w:val="auto"/>
              </w:rPr>
              <w:t>2</w:t>
            </w:r>
          </w:p>
        </w:tc>
        <w:tc>
          <w:tcPr>
            <w:tcW w:w="2000" w:type="dxa"/>
            <w:vAlign w:val="bottom"/>
          </w:tcPr>
          <w:p>
            <w:pPr>
              <w:spacing w:after="0"/>
              <w:rPr>
                <w:sz w:val="24"/>
                <w:szCs w:val="24"/>
                <w:color w:val="auto"/>
              </w:rPr>
            </w:pPr>
          </w:p>
        </w:tc>
      </w:tr>
    </w:tbl>
    <w:p>
      <w:pPr>
        <w:sectPr>
          <w:pgSz w:w="11900" w:h="16838" w:orient="portrait"/>
          <w:cols w:equalWidth="0" w:num="1">
            <w:col w:w="10880"/>
          </w:cols>
          <w:pgMar w:left="320" w:top="633" w:right="6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20"/>
                <w:szCs w:val="20"/>
                <w:color w:val="auto"/>
              </w:rPr>
            </w:pPr>
          </w:p>
        </w:tc>
      </w:tr>
      <w:tr>
        <w:trPr>
          <w:trHeight w:val="567"/>
        </w:trPr>
        <w:tc>
          <w:tcPr>
            <w:tcW w:w="9740" w:type="dxa"/>
            <w:vAlign w:val="bottom"/>
            <w:gridSpan w:val="2"/>
          </w:tcPr>
          <w:p>
            <w:pPr>
              <w:ind w:left="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1480" w:type="dxa"/>
            <w:vAlign w:val="bottom"/>
          </w:tcPr>
          <w:p>
            <w:pPr>
              <w:jc w:val="right"/>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1</w:t>
              </w:r>
            </w:hyperlink>
          </w:p>
        </w:tc>
      </w:tr>
      <w:tr>
        <w:trPr>
          <w:trHeight w:val="392"/>
        </w:trPr>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ITEM 1</w:t>
            </w:r>
          </w:p>
        </w:tc>
        <w:tc>
          <w:tcPr>
            <w:tcW w:w="8360" w:type="dxa"/>
            <w:vAlign w:val="bottom"/>
          </w:tcPr>
          <w:p>
            <w:pPr>
              <w:ind w:left="2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Financial Statements</w:t>
              </w:r>
            </w:hyperlink>
          </w:p>
        </w:tc>
        <w:tc>
          <w:tcPr>
            <w:tcW w:w="1480" w:type="dxa"/>
            <w:vAlign w:val="bottom"/>
          </w:tcPr>
          <w:p>
            <w:pPr>
              <w:jc w:val="right"/>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1</w:t>
              </w:r>
            </w:hyperlink>
          </w:p>
        </w:tc>
      </w:tr>
      <w:tr>
        <w:trPr>
          <w:trHeight w:val="392"/>
        </w:trPr>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ITEM 2</w:t>
            </w:r>
          </w:p>
        </w:tc>
        <w:tc>
          <w:tcPr>
            <w:tcW w:w="8360" w:type="dxa"/>
            <w:vAlign w:val="bottom"/>
          </w:tcPr>
          <w:p>
            <w:pPr>
              <w:ind w:left="240"/>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Management's Discussion and Analysis of Financial Condition and Results of Operations</w:t>
              </w:r>
            </w:hyperlink>
          </w:p>
        </w:tc>
        <w:tc>
          <w:tcPr>
            <w:tcW w:w="1480" w:type="dxa"/>
            <w:vAlign w:val="bottom"/>
          </w:tcPr>
          <w:p>
            <w:pPr>
              <w:jc w:val="right"/>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22</w:t>
              </w:r>
            </w:hyperlink>
          </w:p>
        </w:tc>
      </w:tr>
      <w:tr>
        <w:trPr>
          <w:trHeight w:val="391"/>
        </w:trPr>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ITEM 3</w:t>
            </w:r>
          </w:p>
        </w:tc>
        <w:tc>
          <w:tcPr>
            <w:tcW w:w="8360" w:type="dxa"/>
            <w:vAlign w:val="bottom"/>
          </w:tcPr>
          <w:p>
            <w:pPr>
              <w:ind w:left="240"/>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Quantitative and Qualitative Disclosures About Market Risk</w:t>
              </w:r>
            </w:hyperlink>
          </w:p>
        </w:tc>
        <w:tc>
          <w:tcPr>
            <w:tcW w:w="1480" w:type="dxa"/>
            <w:vAlign w:val="bottom"/>
          </w:tcPr>
          <w:p>
            <w:pPr>
              <w:jc w:val="right"/>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40</w:t>
              </w:r>
            </w:hyperlink>
          </w:p>
        </w:tc>
      </w:tr>
      <w:tr>
        <w:trPr>
          <w:trHeight w:val="392"/>
        </w:trPr>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ITEM 4</w:t>
            </w:r>
          </w:p>
        </w:tc>
        <w:tc>
          <w:tcPr>
            <w:tcW w:w="8360" w:type="dxa"/>
            <w:vAlign w:val="bottom"/>
          </w:tcPr>
          <w:p>
            <w:pPr>
              <w:ind w:left="240"/>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Controls and Procedures</w:t>
              </w:r>
            </w:hyperlink>
          </w:p>
        </w:tc>
        <w:tc>
          <w:tcPr>
            <w:tcW w:w="1480" w:type="dxa"/>
            <w:vAlign w:val="bottom"/>
          </w:tcPr>
          <w:p>
            <w:pPr>
              <w:jc w:val="right"/>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40</w:t>
              </w:r>
            </w:hyperlink>
          </w:p>
        </w:tc>
      </w:tr>
      <w:tr>
        <w:trPr>
          <w:trHeight w:val="392"/>
        </w:trPr>
        <w:tc>
          <w:tcPr>
            <w:tcW w:w="9740" w:type="dxa"/>
            <w:vAlign w:val="bottom"/>
            <w:gridSpan w:val="2"/>
          </w:tcPr>
          <w:p>
            <w:pPr>
              <w:ind w:left="40"/>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PART II. Other Information</w:t>
              </w:r>
            </w:hyperlink>
          </w:p>
        </w:tc>
        <w:tc>
          <w:tcPr>
            <w:tcW w:w="1480" w:type="dxa"/>
            <w:vAlign w:val="bottom"/>
          </w:tcPr>
          <w:p>
            <w:pPr>
              <w:jc w:val="right"/>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41</w:t>
              </w:r>
            </w:hyperlink>
          </w:p>
        </w:tc>
      </w:tr>
      <w:tr>
        <w:trPr>
          <w:trHeight w:val="392"/>
        </w:trPr>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ITEM 1</w:t>
            </w:r>
          </w:p>
        </w:tc>
        <w:tc>
          <w:tcPr>
            <w:tcW w:w="8360" w:type="dxa"/>
            <w:vAlign w:val="bottom"/>
          </w:tcPr>
          <w:p>
            <w:pPr>
              <w:ind w:left="240"/>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Legal Proceedings</w:t>
              </w:r>
            </w:hyperlink>
          </w:p>
        </w:tc>
        <w:tc>
          <w:tcPr>
            <w:tcW w:w="1480" w:type="dxa"/>
            <w:vAlign w:val="bottom"/>
          </w:tcPr>
          <w:p>
            <w:pPr>
              <w:jc w:val="right"/>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41</w:t>
              </w:r>
            </w:hyperlink>
          </w:p>
        </w:tc>
      </w:tr>
      <w:tr>
        <w:trPr>
          <w:trHeight w:val="391"/>
        </w:trPr>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ITEM 1A</w:t>
            </w:r>
          </w:p>
        </w:tc>
        <w:tc>
          <w:tcPr>
            <w:tcW w:w="8360" w:type="dxa"/>
            <w:vAlign w:val="bottom"/>
          </w:tcPr>
          <w:p>
            <w:pPr>
              <w:ind w:left="240"/>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Risk Factors</w:t>
              </w:r>
            </w:hyperlink>
          </w:p>
        </w:tc>
        <w:tc>
          <w:tcPr>
            <w:tcW w:w="1480" w:type="dxa"/>
            <w:vAlign w:val="bottom"/>
          </w:tcPr>
          <w:p>
            <w:pPr>
              <w:jc w:val="right"/>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41</w:t>
              </w:r>
            </w:hyperlink>
          </w:p>
        </w:tc>
      </w:tr>
      <w:tr>
        <w:trPr>
          <w:trHeight w:val="392"/>
        </w:trPr>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ITEM 2</w:t>
            </w:r>
          </w:p>
        </w:tc>
        <w:tc>
          <w:tcPr>
            <w:tcW w:w="8360" w:type="dxa"/>
            <w:vAlign w:val="bottom"/>
          </w:tcPr>
          <w:p>
            <w:pPr>
              <w:ind w:left="24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Unregistered Sales of Equity Securities and Use of Proceeds</w:t>
              </w:r>
            </w:hyperlink>
          </w:p>
        </w:tc>
        <w:tc>
          <w:tcPr>
            <w:tcW w:w="1480" w:type="dxa"/>
            <w:vAlign w:val="bottom"/>
          </w:tcPr>
          <w:p>
            <w:pPr>
              <w:jc w:val="right"/>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42</w:t>
              </w:r>
            </w:hyperlink>
          </w:p>
        </w:tc>
      </w:tr>
      <w:tr>
        <w:trPr>
          <w:trHeight w:val="392"/>
        </w:trPr>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ITEM 3</w:t>
            </w:r>
          </w:p>
        </w:tc>
        <w:tc>
          <w:tcPr>
            <w:tcW w:w="8360" w:type="dxa"/>
            <w:vAlign w:val="bottom"/>
          </w:tcPr>
          <w:p>
            <w:pPr>
              <w:ind w:left="24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Defaults Upon Senior Securities</w:t>
              </w:r>
            </w:hyperlink>
          </w:p>
        </w:tc>
        <w:tc>
          <w:tcPr>
            <w:tcW w:w="1480" w:type="dxa"/>
            <w:vAlign w:val="bottom"/>
          </w:tcPr>
          <w:p>
            <w:pPr>
              <w:jc w:val="right"/>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42</w:t>
              </w:r>
            </w:hyperlink>
          </w:p>
        </w:tc>
      </w:tr>
      <w:tr>
        <w:trPr>
          <w:trHeight w:val="392"/>
        </w:trPr>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ITEM 4</w:t>
            </w:r>
          </w:p>
        </w:tc>
        <w:tc>
          <w:tcPr>
            <w:tcW w:w="8360" w:type="dxa"/>
            <w:vAlign w:val="bottom"/>
          </w:tcPr>
          <w:p>
            <w:pPr>
              <w:ind w:left="24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Mine Safety Disclosures</w:t>
              </w:r>
            </w:hyperlink>
          </w:p>
        </w:tc>
        <w:tc>
          <w:tcPr>
            <w:tcW w:w="1480" w:type="dxa"/>
            <w:vAlign w:val="bottom"/>
          </w:tcPr>
          <w:p>
            <w:pPr>
              <w:jc w:val="right"/>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42</w:t>
              </w:r>
            </w:hyperlink>
          </w:p>
        </w:tc>
      </w:tr>
      <w:tr>
        <w:trPr>
          <w:trHeight w:val="391"/>
        </w:trPr>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ITEM 5</w:t>
            </w:r>
          </w:p>
        </w:tc>
        <w:tc>
          <w:tcPr>
            <w:tcW w:w="8360" w:type="dxa"/>
            <w:vAlign w:val="bottom"/>
          </w:tcPr>
          <w:p>
            <w:pPr>
              <w:ind w:left="24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Other Information</w:t>
              </w:r>
            </w:hyperlink>
          </w:p>
        </w:tc>
        <w:tc>
          <w:tcPr>
            <w:tcW w:w="1480" w:type="dxa"/>
            <w:vAlign w:val="bottom"/>
          </w:tcPr>
          <w:p>
            <w:pPr>
              <w:jc w:val="right"/>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42</w:t>
              </w:r>
            </w:hyperlink>
          </w:p>
        </w:tc>
      </w:tr>
      <w:tr>
        <w:trPr>
          <w:trHeight w:val="392"/>
        </w:trPr>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ITEM 6</w:t>
            </w:r>
          </w:p>
        </w:tc>
        <w:tc>
          <w:tcPr>
            <w:tcW w:w="8360" w:type="dxa"/>
            <w:vAlign w:val="bottom"/>
          </w:tcPr>
          <w:p>
            <w:pPr>
              <w:ind w:left="240"/>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Exhibits</w:t>
              </w:r>
            </w:hyperlink>
          </w:p>
        </w:tc>
        <w:tc>
          <w:tcPr>
            <w:tcW w:w="1480" w:type="dxa"/>
            <w:vAlign w:val="bottom"/>
          </w:tcPr>
          <w:p>
            <w:pPr>
              <w:jc w:val="right"/>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43</w:t>
              </w:r>
            </w:hyperlink>
          </w:p>
        </w:tc>
      </w:tr>
      <w:tr>
        <w:trPr>
          <w:trHeight w:val="675"/>
        </w:trPr>
        <w:tc>
          <w:tcPr>
            <w:tcW w:w="1380" w:type="dxa"/>
            <w:vAlign w:val="bottom"/>
          </w:tcPr>
          <w:p>
            <w:pPr>
              <w:spacing w:after="0"/>
              <w:rPr>
                <w:sz w:val="24"/>
                <w:szCs w:val="24"/>
                <w:color w:val="auto"/>
              </w:rPr>
            </w:pPr>
          </w:p>
        </w:tc>
        <w:tc>
          <w:tcPr>
            <w:tcW w:w="8360" w:type="dxa"/>
            <w:vAlign w:val="bottom"/>
          </w:tcPr>
          <w:p>
            <w:pPr>
              <w:ind w:left="4200"/>
              <w:spacing w:after="0"/>
              <w:rPr>
                <w:sz w:val="20"/>
                <w:szCs w:val="20"/>
                <w:color w:val="auto"/>
              </w:rPr>
            </w:pPr>
            <w:r>
              <w:rPr>
                <w:rFonts w:ascii="Arial" w:cs="Arial" w:eastAsia="Arial" w:hAnsi="Arial"/>
                <w:sz w:val="18"/>
                <w:szCs w:val="18"/>
                <w:color w:val="auto"/>
              </w:rPr>
              <w:t>3</w:t>
            </w:r>
          </w:p>
        </w:tc>
        <w:tc>
          <w:tcPr>
            <w:tcW w:w="1480" w:type="dxa"/>
            <w:vAlign w:val="bottom"/>
          </w:tcPr>
          <w:p>
            <w:pPr>
              <w:spacing w:after="0"/>
              <w:rPr>
                <w:sz w:val="24"/>
                <w:szCs w:val="24"/>
                <w:color w:val="auto"/>
              </w:rPr>
            </w:pPr>
          </w:p>
        </w:tc>
      </w:tr>
    </w:tbl>
    <w:p>
      <w:pPr>
        <w:sectPr>
          <w:pgSz w:w="11900" w:h="16838" w:orient="portrait"/>
          <w:cols w:equalWidth="0" w:num="1">
            <w:col w:w="11220"/>
          </w:cols>
          <w:pgMar w:left="320" w:top="796" w:right="3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680" w:type="dxa"/>
            <w:vAlign w:val="bottom"/>
          </w:tcPr>
          <w:p>
            <w:pPr>
              <w:jc w:val="center"/>
              <w:ind w:left="241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68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680" w:type="dxa"/>
            <w:vAlign w:val="bottom"/>
          </w:tcPr>
          <w:p>
            <w:pPr>
              <w:jc w:val="center"/>
              <w:ind w:left="2410"/>
              <w:spacing w:after="0"/>
              <w:rPr>
                <w:sz w:val="20"/>
                <w:szCs w:val="20"/>
                <w:color w:val="auto"/>
              </w:rPr>
            </w:pPr>
            <w:r>
              <w:rPr>
                <w:rFonts w:ascii="Arial" w:cs="Arial" w:eastAsia="Arial" w:hAnsi="Arial"/>
                <w:sz w:val="18"/>
                <w:szCs w:val="18"/>
                <w:b w:val="1"/>
                <w:bCs w:val="1"/>
                <w:color w:val="auto"/>
              </w:rPr>
              <w:t>BOOZ ALLEN HAMILTON HOLDING CORPORATION</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680" w:type="dxa"/>
            <w:vAlign w:val="bottom"/>
          </w:tcPr>
          <w:p>
            <w:pPr>
              <w:jc w:val="center"/>
              <w:ind w:left="23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24"/>
                <w:szCs w:val="24"/>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40" w:type="dxa"/>
            <w:vAlign w:val="bottom"/>
            <w:gridSpan w:val="4"/>
          </w:tcPr>
          <w:p>
            <w:pPr>
              <w:jc w:val="right"/>
              <w:ind w:right="350"/>
              <w:spacing w:after="0"/>
              <w:rPr>
                <w:sz w:val="20"/>
                <w:szCs w:val="20"/>
                <w:color w:val="auto"/>
              </w:rPr>
            </w:pPr>
            <w:r>
              <w:rPr>
                <w:rFonts w:ascii="Arial" w:cs="Arial" w:eastAsia="Arial" w:hAnsi="Arial"/>
                <w:sz w:val="16"/>
                <w:szCs w:val="16"/>
                <w:b w:val="1"/>
                <w:bCs w:val="1"/>
                <w:color w:val="auto"/>
                <w:w w:val="99"/>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4"/>
          </w:tcPr>
          <w:p>
            <w:pPr>
              <w:jc w:val="right"/>
              <w:ind w:right="53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276"/>
        </w:trPr>
        <w:tc>
          <w:tcPr>
            <w:tcW w:w="540" w:type="dxa"/>
            <w:vAlign w:val="bottom"/>
          </w:tcPr>
          <w:p>
            <w:pPr>
              <w:spacing w:after="0"/>
              <w:rPr>
                <w:sz w:val="24"/>
                <w:szCs w:val="24"/>
                <w:color w:val="auto"/>
              </w:rPr>
            </w:pPr>
          </w:p>
        </w:tc>
        <w:tc>
          <w:tcPr>
            <w:tcW w:w="7680" w:type="dxa"/>
            <w:vAlign w:val="bottom"/>
          </w:tcPr>
          <w:p>
            <w:pPr>
              <w:ind w:left="32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gridSpan w:val="2"/>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620,612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741,901</w:t>
            </w: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1,521,545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1,459,471</w:t>
            </w:r>
          </w:p>
        </w:tc>
        <w:tc>
          <w:tcPr>
            <w:tcW w:w="0" w:type="dxa"/>
            <w:vAlign w:val="bottom"/>
          </w:tcPr>
          <w:p>
            <w:pPr>
              <w:spacing w:after="0"/>
              <w:rPr>
                <w:sz w:val="1"/>
                <w:szCs w:val="1"/>
                <w:color w:val="auto"/>
              </w:rPr>
            </w:pPr>
          </w:p>
        </w:tc>
      </w:tr>
      <w:tr>
        <w:trPr>
          <w:trHeight w:val="243"/>
        </w:trPr>
        <w:tc>
          <w:tcPr>
            <w:tcW w:w="822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101,383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126,816</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2,243,540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2,328,188</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18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205,096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208,077</w:t>
            </w: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230,630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240,122</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18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303,469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300,987</w:t>
            </w: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1,581,160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1,581,160</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140,094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135,432</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4,703,989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4,793,966</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680" w:type="dxa"/>
            <w:vAlign w:val="bottom"/>
            <w:tcBorders>
              <w:top w:val="single" w:sz="8" w:color="CCEEFF"/>
              <w:bottom w:val="single" w:sz="8" w:color="CCEEFF"/>
            </w:tcBorders>
            <w:vMerge w:val="restart"/>
          </w:tcPr>
          <w:p>
            <w:pPr>
              <w:ind w:left="16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7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77,865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177,865</w:t>
            </w: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698,011</w:t>
            </w:r>
          </w:p>
        </w:tc>
        <w:tc>
          <w:tcPr>
            <w:tcW w:w="0" w:type="dxa"/>
            <w:vAlign w:val="bottom"/>
          </w:tcPr>
          <w:p>
            <w:pPr>
              <w:spacing w:after="0"/>
              <w:rPr>
                <w:sz w:val="1"/>
                <w:szCs w:val="1"/>
                <w:color w:val="auto"/>
              </w:rPr>
            </w:pPr>
          </w:p>
        </w:tc>
      </w:tr>
      <w:tr>
        <w:trPr>
          <w:trHeight w:val="243"/>
        </w:trPr>
        <w:tc>
          <w:tcPr>
            <w:tcW w:w="822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301,405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348,775</w:t>
            </w: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49,021</w:t>
            </w:r>
          </w:p>
        </w:tc>
        <w:tc>
          <w:tcPr>
            <w:tcW w:w="0" w:type="dxa"/>
            <w:vAlign w:val="bottom"/>
          </w:tcPr>
          <w:p>
            <w:pPr>
              <w:spacing w:after="0"/>
              <w:rPr>
                <w:sz w:val="1"/>
                <w:szCs w:val="1"/>
                <w:color w:val="auto"/>
              </w:rPr>
            </w:pPr>
          </w:p>
        </w:tc>
      </w:tr>
      <w:tr>
        <w:trPr>
          <w:trHeight w:val="243"/>
        </w:trPr>
        <w:tc>
          <w:tcPr>
            <w:tcW w:w="822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60,295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54,006</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1,238,779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1,327,678</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1,989,328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2,007,979</w:t>
            </w: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270,266</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333,709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331,687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3,821,522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3,937,610</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18)</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380"/>
              <w:spacing w:after="0"/>
              <w:rPr>
                <w:sz w:val="20"/>
                <w:szCs w:val="20"/>
                <w:color w:val="auto"/>
              </w:rPr>
            </w:pPr>
            <w:r>
              <w:rPr>
                <w:rFonts w:ascii="Arial" w:cs="Arial" w:eastAsia="Arial" w:hAnsi="Arial"/>
                <w:sz w:val="18"/>
                <w:szCs w:val="18"/>
                <w:color w:val="auto"/>
                <w:w w:val="91"/>
              </w:rPr>
              <w:t>Common stock, Class A — $0.01 par value — authorized, 600,000,000 shares; issued, 161,856,727 shares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0"/>
              </w:rPr>
              <w:t>at June 30, 2020 and 161,333,973 shares at March 31, 2020; outstanding, 138,196,736 shares at June 30,</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2020 and 138,719,921 shares at March 31, 2020</w:t>
            </w:r>
          </w:p>
        </w:tc>
        <w:tc>
          <w:tcPr>
            <w:tcW w:w="18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Treasury stock, at cost — 23,659,991 at June 30, 2020 and 22,614,052 shares at March 31, 2020</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(898,095)</w:t>
            </w:r>
          </w:p>
        </w:tc>
        <w:tc>
          <w:tcPr>
            <w:tcW w:w="0" w:type="dxa"/>
            <w:vAlign w:val="bottom"/>
          </w:tcPr>
          <w:p>
            <w:pPr>
              <w:spacing w:after="0"/>
              <w:rPr>
                <w:sz w:val="1"/>
                <w:szCs w:val="1"/>
                <w:color w:val="auto"/>
              </w:rPr>
            </w:pPr>
          </w:p>
        </w:tc>
      </w:tr>
      <w:tr>
        <w:trPr>
          <w:trHeight w:val="243"/>
        </w:trPr>
        <w:tc>
          <w:tcPr>
            <w:tcW w:w="822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486,739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468,027</w:t>
            </w: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1,415,129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1,330,812</w:t>
            </w:r>
          </w:p>
        </w:tc>
        <w:tc>
          <w:tcPr>
            <w:tcW w:w="0" w:type="dxa"/>
            <w:vAlign w:val="bottom"/>
          </w:tcPr>
          <w:p>
            <w:pPr>
              <w:spacing w:after="0"/>
              <w:rPr>
                <w:sz w:val="1"/>
                <w:szCs w:val="1"/>
                <w:color w:val="auto"/>
              </w:rPr>
            </w:pPr>
          </w:p>
        </w:tc>
      </w:tr>
      <w:tr>
        <w:trPr>
          <w:trHeight w:val="243"/>
        </w:trPr>
        <w:tc>
          <w:tcPr>
            <w:tcW w:w="822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(46,001)</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882,467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856,356</w:t>
            </w:r>
          </w:p>
        </w:tc>
        <w:tc>
          <w:tcPr>
            <w:tcW w:w="0" w:type="dxa"/>
            <w:vAlign w:val="bottom"/>
          </w:tcPr>
          <w:p>
            <w:pPr>
              <w:spacing w:after="0"/>
              <w:rPr>
                <w:sz w:val="1"/>
                <w:szCs w:val="1"/>
                <w:color w:val="auto"/>
              </w:rPr>
            </w:pPr>
          </w:p>
        </w:tc>
      </w:tr>
      <w:tr>
        <w:trPr>
          <w:trHeight w:val="236"/>
        </w:trPr>
        <w:tc>
          <w:tcPr>
            <w:tcW w:w="540" w:type="dxa"/>
            <w:vAlign w:val="bottom"/>
          </w:tcPr>
          <w:p>
            <w:pPr>
              <w:spacing w:after="0"/>
              <w:rPr>
                <w:sz w:val="20"/>
                <w:szCs w:val="20"/>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4,703,989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4,793,966</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OPERATIONS (UNAUDITED)</w:t>
      </w:r>
    </w:p>
    <w:p>
      <w:pPr>
        <w:spacing w:after="0" w:line="2"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4693285</wp:posOffset>
            </wp:positionH>
            <wp:positionV relativeFrom="paragraph">
              <wp:posOffset>13335</wp:posOffset>
            </wp:positionV>
            <wp:extent cx="19202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2"/>
        </w:trPr>
        <w:tc>
          <w:tcPr>
            <w:tcW w:w="7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80" w:type="dxa"/>
            <w:vAlign w:val="bottom"/>
            <w:gridSpan w:val="4"/>
          </w:tcPr>
          <w:p>
            <w:pPr>
              <w:jc w:val="right"/>
              <w:ind w:right="691"/>
              <w:spacing w:after="0" w:line="153" w:lineRule="exact"/>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except per share data)</w:t>
            </w:r>
          </w:p>
        </w:tc>
        <w:tc>
          <w:tcPr>
            <w:tcW w:w="0" w:type="dxa"/>
            <w:vAlign w:val="bottom"/>
          </w:tcPr>
          <w:p>
            <w:pPr>
              <w:spacing w:after="0"/>
              <w:rPr>
                <w:sz w:val="1"/>
                <w:szCs w:val="1"/>
                <w:color w:val="auto"/>
              </w:rPr>
            </w:pPr>
          </w:p>
        </w:tc>
      </w:tr>
      <w:tr>
        <w:trPr>
          <w:trHeight w:val="25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1,956,453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1,825,176</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948,902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840,654</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549,077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551,175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245,855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234,280</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20,732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1,764,566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1,646,130</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191,887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179,046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(25,187)</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170,816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155,830</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41,487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38,444</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129,329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117,386</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(Note 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20"/>
          </w:cols>
          <w:pgMar w:left="740" w:top="796" w:right="739" w:bottom="1440" w:gutter="0" w:footer="0" w:header="0"/>
        </w:sectPr>
      </w:pPr>
    </w:p>
    <w:bookmarkStart w:id="5" w:name="page6"/>
    <w:bookmarkEnd w:id="5"/>
    <w:p>
      <w:pPr>
        <w:jc w:val="center"/>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p>
      <w:pPr>
        <w:spacing w:after="0" w:line="2"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5140325</wp:posOffset>
            </wp:positionH>
            <wp:positionV relativeFrom="paragraph">
              <wp:posOffset>13335</wp:posOffset>
            </wp:positionV>
            <wp:extent cx="1903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196"/>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(Amounts in thousands)</w:t>
            </w: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129,329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117,386</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unrealized (loss) gain on derivatives designated as cash flow hedges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(14,965)</w:t>
            </w:r>
          </w:p>
        </w:tc>
      </w:tr>
      <w:tr>
        <w:trPr>
          <w:trHeight w:val="243"/>
        </w:trPr>
        <w:tc>
          <w:tcPr>
            <w:tcW w:w="8100" w:type="dxa"/>
            <w:vAlign w:val="bottom"/>
          </w:tcPr>
          <w:p>
            <w:pPr>
              <w:ind w:left="160"/>
              <w:spacing w:after="0"/>
              <w:rPr>
                <w:sz w:val="20"/>
                <w:szCs w:val="20"/>
                <w:color w:val="auto"/>
              </w:rPr>
            </w:pPr>
            <w:r>
              <w:rPr>
                <w:rFonts w:ascii="Arial" w:cs="Arial" w:eastAsia="Arial" w:hAnsi="Arial"/>
                <w:sz w:val="18"/>
                <w:szCs w:val="18"/>
                <w:color w:val="auto"/>
              </w:rPr>
              <w:t>Change in postretirement plan costs</w:t>
            </w:r>
          </w:p>
        </w:tc>
        <w:tc>
          <w:tcPr>
            <w:tcW w:w="3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34</w:t>
            </w:r>
          </w:p>
        </w:tc>
      </w:tr>
      <w:tr>
        <w:trPr>
          <w:trHeight w:val="27"/>
        </w:trPr>
        <w:tc>
          <w:tcPr>
            <w:tcW w:w="8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(14,931)</w:t>
            </w:r>
          </w:p>
        </w:tc>
      </w:tr>
      <w:tr>
        <w:trPr>
          <w:trHeight w:val="237"/>
        </w:trPr>
        <w:tc>
          <w:tcPr>
            <w:tcW w:w="8100" w:type="dxa"/>
            <w:vAlign w:val="bottom"/>
          </w:tcPr>
          <w:p>
            <w:pPr>
              <w:ind w:left="38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127,912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102,455</w:t>
            </w:r>
          </w:p>
        </w:tc>
      </w:tr>
      <w:tr>
        <w:trPr>
          <w:trHeight w:val="27"/>
        </w:trPr>
        <w:tc>
          <w:tcPr>
            <w:tcW w:w="8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400" w:top="796"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8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129,329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117,386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20,732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Noncash lease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13,970</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10,833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Losses on dispositions</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Accounts receivable, net of allowance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(77,352)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 and income taxes receivable / payable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42,342</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(15,540)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(70,845)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24,757</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(15,232)</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50,983</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equipment, and software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(27,336)</w:t>
            </w:r>
          </w:p>
        </w:tc>
        <w:tc>
          <w:tcPr>
            <w:tcW w:w="0" w:type="dxa"/>
            <w:vAlign w:val="bottom"/>
          </w:tcPr>
          <w:p>
            <w:pPr>
              <w:spacing w:after="0"/>
              <w:rPr>
                <w:sz w:val="1"/>
                <w:szCs w:val="1"/>
                <w:color w:val="auto"/>
              </w:rPr>
            </w:pPr>
          </w:p>
        </w:tc>
      </w:tr>
      <w:tr>
        <w:trPr>
          <w:trHeight w:val="237"/>
        </w:trPr>
        <w:tc>
          <w:tcPr>
            <w:tcW w:w="822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(27,336)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option exercises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(85,899)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(12,178)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dividends paid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(32,412)</w:t>
            </w:r>
          </w:p>
        </w:tc>
        <w:tc>
          <w:tcPr>
            <w:tcW w:w="0" w:type="dxa"/>
            <w:vAlign w:val="bottom"/>
          </w:tcPr>
          <w:p>
            <w:pPr>
              <w:spacing w:after="0"/>
              <w:rPr>
                <w:sz w:val="1"/>
                <w:szCs w:val="1"/>
                <w:color w:val="auto"/>
              </w:rPr>
            </w:pP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Repayment of debt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(119,466)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(19,480)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debt issuance</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7"/>
        </w:trPr>
        <w:tc>
          <w:tcPr>
            <w:tcW w:w="8220" w:type="dxa"/>
            <w:vAlign w:val="bottom"/>
          </w:tcPr>
          <w:p>
            <w:pPr>
              <w:ind w:left="114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(241,649)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341,463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365,110</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741,901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283,990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620,612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649,100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paid (refunded) during the period for: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19,032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26,726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repurchases transacted but not settled and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Noncash financing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796"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796"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3"/>
          </w:tcPr>
          <w:p>
            <w:pPr>
              <w:jc w:val="center"/>
              <w:ind w:left="502"/>
              <w:spacing w:after="0"/>
              <w:rPr>
                <w:sz w:val="20"/>
                <w:szCs w:val="20"/>
                <w:color w:val="auto"/>
              </w:rPr>
            </w:pPr>
            <w:r>
              <w:rPr>
                <w:rFonts w:ascii="Arial" w:cs="Arial" w:eastAsia="Arial" w:hAnsi="Arial"/>
                <w:sz w:val="13"/>
                <w:szCs w:val="13"/>
                <w:b w:val="1"/>
                <w:bCs w:val="1"/>
                <w:color w:val="auto"/>
                <w:w w:val="83"/>
              </w:rPr>
              <w:t>Class A</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gridSpan w:val="7"/>
          </w:tcPr>
          <w:p>
            <w:pPr>
              <w:jc w:val="center"/>
              <w:ind w:right="120"/>
              <w:spacing w:after="0"/>
              <w:rPr>
                <w:sz w:val="20"/>
                <w:szCs w:val="20"/>
                <w:color w:val="auto"/>
              </w:rPr>
            </w:pPr>
            <w:r>
              <w:rPr>
                <w:rFonts w:ascii="Arial" w:cs="Arial" w:eastAsia="Arial" w:hAnsi="Arial"/>
                <w:sz w:val="13"/>
                <w:szCs w:val="13"/>
                <w:b w:val="1"/>
                <w:bCs w:val="1"/>
                <w:color w:val="auto"/>
                <w:w w:val="87"/>
              </w:rPr>
              <w:t>Treasury</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7"/>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Common Stock</w:t>
            </w:r>
          </w:p>
        </w:tc>
        <w:tc>
          <w:tcPr>
            <w:tcW w:w="20" w:type="dxa"/>
            <w:vAlign w:val="bottom"/>
          </w:tcPr>
          <w:p>
            <w:pPr>
              <w:spacing w:after="0"/>
              <w:rPr>
                <w:sz w:val="12"/>
                <w:szCs w:val="12"/>
                <w:color w:val="auto"/>
              </w:rPr>
            </w:pPr>
          </w:p>
        </w:tc>
        <w:tc>
          <w:tcPr>
            <w:tcW w:w="1880" w:type="dxa"/>
            <w:vAlign w:val="bottom"/>
            <w:gridSpan w:val="7"/>
          </w:tcPr>
          <w:p>
            <w:pPr>
              <w:jc w:val="center"/>
              <w:ind w:right="100"/>
              <w:spacing w:after="0" w:line="144" w:lineRule="exact"/>
              <w:rPr>
                <w:sz w:val="20"/>
                <w:szCs w:val="20"/>
                <w:color w:val="auto"/>
              </w:rPr>
            </w:pPr>
            <w:r>
              <w:rPr>
                <w:rFonts w:ascii="Arial" w:cs="Arial" w:eastAsia="Arial" w:hAnsi="Arial"/>
                <w:sz w:val="13"/>
                <w:szCs w:val="13"/>
                <w:b w:val="1"/>
                <w:bCs w:val="1"/>
                <w:color w:val="auto"/>
                <w:w w:val="84"/>
              </w:rPr>
              <w:t>Stock</w:t>
            </w:r>
          </w:p>
        </w:tc>
        <w:tc>
          <w:tcPr>
            <w:tcW w:w="20" w:type="dxa"/>
            <w:vAlign w:val="bottom"/>
          </w:tcPr>
          <w:p>
            <w:pPr>
              <w:spacing w:after="0"/>
              <w:rPr>
                <w:sz w:val="12"/>
                <w:szCs w:val="12"/>
                <w:color w:val="auto"/>
              </w:rPr>
            </w:pPr>
          </w:p>
        </w:tc>
        <w:tc>
          <w:tcPr>
            <w:tcW w:w="82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32"/>
        </w:trPr>
        <w:tc>
          <w:tcPr>
            <w:tcW w:w="4000" w:type="dxa"/>
            <w:vAlign w:val="bottom"/>
            <w:vMerge w:val="restart"/>
          </w:tcPr>
          <w:p>
            <w:pPr>
              <w:ind w:left="40"/>
              <w:spacing w:after="0" w:line="135" w:lineRule="exact"/>
              <w:rPr>
                <w:sz w:val="20"/>
                <w:szCs w:val="20"/>
                <w:color w:val="auto"/>
              </w:rPr>
            </w:pPr>
            <w:r>
              <w:rPr>
                <w:rFonts w:ascii="Arial" w:cs="Arial" w:eastAsia="Arial" w:hAnsi="Arial"/>
                <w:sz w:val="13"/>
                <w:szCs w:val="13"/>
                <w:b w:val="1"/>
                <w:bCs w:val="1"/>
                <w:color w:val="auto"/>
              </w:rPr>
              <w:t>(Amounts in thousands, except</w:t>
            </w: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820" w:type="dxa"/>
            <w:vAlign w:val="bottom"/>
            <w:gridSpan w:val="3"/>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Paid-In</w:t>
            </w:r>
          </w:p>
        </w:tc>
        <w:tc>
          <w:tcPr>
            <w:tcW w:w="40" w:type="dxa"/>
            <w:vAlign w:val="bottom"/>
            <w:vMerge w:val="restart"/>
          </w:tcPr>
          <w:p>
            <w:pPr>
              <w:spacing w:after="0"/>
              <w:rPr>
                <w:sz w:val="2"/>
                <w:szCs w:val="2"/>
                <w:color w:val="auto"/>
              </w:rPr>
            </w:pPr>
          </w:p>
        </w:tc>
        <w:tc>
          <w:tcPr>
            <w:tcW w:w="940" w:type="dxa"/>
            <w:vAlign w:val="bottom"/>
            <w:gridSpan w:val="3"/>
            <w:vMerge w:val="restart"/>
          </w:tcPr>
          <w:p>
            <w:pPr>
              <w:ind w:left="160"/>
              <w:spacing w:after="0" w:line="135" w:lineRule="exact"/>
              <w:rPr>
                <w:sz w:val="20"/>
                <w:szCs w:val="20"/>
                <w:color w:val="auto"/>
              </w:rPr>
            </w:pPr>
            <w:r>
              <w:rPr>
                <w:rFonts w:ascii="Arial" w:cs="Arial" w:eastAsia="Arial" w:hAnsi="Arial"/>
                <w:sz w:val="13"/>
                <w:szCs w:val="13"/>
                <w:b w:val="1"/>
                <w:bCs w:val="1"/>
                <w:color w:val="auto"/>
              </w:rPr>
              <w:t>Retained</w:t>
            </w:r>
          </w:p>
        </w:tc>
        <w:tc>
          <w:tcPr>
            <w:tcW w:w="20" w:type="dxa"/>
            <w:vAlign w:val="bottom"/>
            <w:vMerge w:val="restart"/>
          </w:tcPr>
          <w:p>
            <w:pPr>
              <w:spacing w:after="0"/>
              <w:rPr>
                <w:sz w:val="2"/>
                <w:szCs w:val="2"/>
                <w:color w:val="auto"/>
              </w:rPr>
            </w:pPr>
          </w:p>
        </w:tc>
        <w:tc>
          <w:tcPr>
            <w:tcW w:w="980" w:type="dxa"/>
            <w:vAlign w:val="bottom"/>
            <w:gridSpan w:val="4"/>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0" w:type="dxa"/>
            <w:vAlign w:val="bottom"/>
            <w:vMerge w:val="restart"/>
          </w:tcPr>
          <w:p>
            <w:pPr>
              <w:spacing w:after="0"/>
              <w:rPr>
                <w:sz w:val="2"/>
                <w:szCs w:val="2"/>
                <w:color w:val="auto"/>
              </w:rPr>
            </w:pP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83"/>
        </w:trPr>
        <w:tc>
          <w:tcPr>
            <w:tcW w:w="40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000" w:type="dxa"/>
            <w:vAlign w:val="bottom"/>
          </w:tcPr>
          <w:p>
            <w:pPr>
              <w:ind w:left="40"/>
              <w:spacing w:after="0"/>
              <w:rPr>
                <w:sz w:val="20"/>
                <w:szCs w:val="20"/>
                <w:color w:val="auto"/>
              </w:rPr>
            </w:pPr>
            <w:r>
              <w:rPr>
                <w:rFonts w:ascii="Arial" w:cs="Arial" w:eastAsia="Arial" w:hAnsi="Arial"/>
                <w:sz w:val="13"/>
                <w:szCs w:val="13"/>
                <w:b w:val="1"/>
                <w:bCs w:val="1"/>
                <w:color w:val="auto"/>
              </w:rPr>
              <w:t>share data)</w:t>
            </w:r>
          </w:p>
        </w:tc>
        <w:tc>
          <w:tcPr>
            <w:tcW w:w="20" w:type="dxa"/>
            <w:vAlign w:val="bottom"/>
          </w:tcPr>
          <w:p>
            <w:pPr>
              <w:spacing w:after="0"/>
              <w:rPr>
                <w:sz w:val="15"/>
                <w:szCs w:val="15"/>
                <w:color w:val="auto"/>
              </w:rPr>
            </w:pPr>
          </w:p>
        </w:tc>
        <w:tc>
          <w:tcPr>
            <w:tcW w:w="1020" w:type="dxa"/>
            <w:vAlign w:val="bottom"/>
            <w:gridSpan w:val="3"/>
          </w:tcPr>
          <w:p>
            <w:pPr>
              <w:ind w:left="26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5"/>
                <w:szCs w:val="15"/>
                <w:color w:val="auto"/>
              </w:rPr>
            </w:pPr>
          </w:p>
        </w:tc>
        <w:tc>
          <w:tcPr>
            <w:tcW w:w="980" w:type="dxa"/>
            <w:vAlign w:val="bottom"/>
            <w:gridSpan w:val="3"/>
          </w:tcPr>
          <w:p>
            <w:pPr>
              <w:ind w:left="24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5"/>
                <w:szCs w:val="15"/>
                <w:color w:val="auto"/>
              </w:rPr>
            </w:pPr>
          </w:p>
        </w:tc>
        <w:tc>
          <w:tcPr>
            <w:tcW w:w="880" w:type="dxa"/>
            <w:vAlign w:val="bottom"/>
            <w:gridSpan w:val="3"/>
          </w:tcPr>
          <w:p>
            <w:pPr>
              <w:ind w:left="14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5"/>
                <w:szCs w:val="15"/>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Capital</w:t>
            </w:r>
          </w:p>
        </w:tc>
        <w:tc>
          <w:tcPr>
            <w:tcW w:w="40" w:type="dxa"/>
            <w:vAlign w:val="bottom"/>
          </w:tcPr>
          <w:p>
            <w:pPr>
              <w:spacing w:after="0"/>
              <w:rPr>
                <w:sz w:val="15"/>
                <w:szCs w:val="15"/>
                <w:color w:val="auto"/>
              </w:rPr>
            </w:pPr>
          </w:p>
        </w:tc>
        <w:tc>
          <w:tcPr>
            <w:tcW w:w="940" w:type="dxa"/>
            <w:vAlign w:val="bottom"/>
            <w:gridSpan w:val="3"/>
          </w:tcPr>
          <w:p>
            <w:pPr>
              <w:ind w:left="16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5"/>
                <w:szCs w:val="15"/>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Income (Loss)</w:t>
            </w:r>
          </w:p>
        </w:tc>
        <w:tc>
          <w:tcPr>
            <w:tcW w:w="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7"/>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2020</w:t>
            </w:r>
          </w:p>
        </w:tc>
        <w:tc>
          <w:tcPr>
            <w:tcW w:w="940" w:type="dxa"/>
            <w:vAlign w:val="bottom"/>
            <w:tcBorders>
              <w:top w:val="single" w:sz="8" w:color="auto"/>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6"/>
                <w:szCs w:val="16"/>
                <w:color w:val="auto"/>
                <w:w w:val="89"/>
              </w:rPr>
              <w:t>161,333,973</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$1,613</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(22,614,052)</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$(898,095)</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gridSpan w:val="2"/>
            <w:shd w:val="clear" w:color="auto" w:fill="CCEEFF"/>
          </w:tcPr>
          <w:p>
            <w:pPr>
              <w:jc w:val="right"/>
              <w:ind w:right="23"/>
              <w:spacing w:after="0"/>
              <w:rPr>
                <w:sz w:val="20"/>
                <w:szCs w:val="20"/>
                <w:color w:val="auto"/>
              </w:rPr>
            </w:pPr>
            <w:r>
              <w:rPr>
                <w:rFonts w:ascii="Arial" w:cs="Arial" w:eastAsia="Arial" w:hAnsi="Arial"/>
                <w:sz w:val="16"/>
                <w:szCs w:val="16"/>
                <w:color w:val="auto"/>
                <w:w w:val="92"/>
              </w:rPr>
              <w:t>$468,027</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w w:val="92"/>
              </w:rPr>
              <w:t>$1,330,812</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(46,001)</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6"/>
                <w:szCs w:val="16"/>
                <w:color w:val="auto"/>
                <w:w w:val="92"/>
              </w:rPr>
              <w:t>$ 856,356</w:t>
            </w:r>
          </w:p>
        </w:tc>
        <w:tc>
          <w:tcPr>
            <w:tcW w:w="0" w:type="dxa"/>
            <w:vAlign w:val="bottom"/>
          </w:tcPr>
          <w:p>
            <w:pPr>
              <w:spacing w:after="0"/>
              <w:rPr>
                <w:sz w:val="1"/>
                <w:szCs w:val="1"/>
                <w:color w:val="auto"/>
              </w:rPr>
            </w:pPr>
          </w:p>
        </w:tc>
      </w:tr>
      <w:tr>
        <w:trPr>
          <w:trHeight w:val="217"/>
        </w:trPr>
        <w:tc>
          <w:tcPr>
            <w:tcW w:w="4000" w:type="dxa"/>
            <w:vAlign w:val="bottom"/>
          </w:tcPr>
          <w:p>
            <w:pPr>
              <w:ind w:left="180"/>
              <w:spacing w:after="0"/>
              <w:rPr>
                <w:sz w:val="20"/>
                <w:szCs w:val="20"/>
                <w:color w:val="auto"/>
              </w:rPr>
            </w:pPr>
            <w:r>
              <w:rPr>
                <w:rFonts w:ascii="Arial" w:cs="Arial" w:eastAsia="Arial" w:hAnsi="Arial"/>
                <w:sz w:val="16"/>
                <w:szCs w:val="16"/>
                <w:color w:val="auto"/>
              </w:rPr>
              <w:t>Topic 326 adoption impact</w:t>
            </w:r>
          </w:p>
        </w:tc>
        <w:tc>
          <w:tcPr>
            <w:tcW w:w="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(1,180)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common stock</w:t>
            </w:r>
          </w:p>
        </w:tc>
        <w:tc>
          <w:tcPr>
            <w:tcW w:w="9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361,856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4,420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6"/>
                <w:szCs w:val="16"/>
                <w:color w:val="auto"/>
              </w:rPr>
              <w:t>4,423</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Stock options exercised</w:t>
            </w:r>
          </w:p>
        </w:tc>
        <w:tc>
          <w:tcPr>
            <w:tcW w:w="940" w:type="dxa"/>
            <w:vAlign w:val="bottom"/>
            <w:gridSpan w:val="2"/>
          </w:tcPr>
          <w:p>
            <w:pPr>
              <w:jc w:val="right"/>
              <w:ind w:right="42"/>
              <w:spacing w:after="0"/>
              <w:rPr>
                <w:sz w:val="20"/>
                <w:szCs w:val="20"/>
                <w:color w:val="auto"/>
              </w:rPr>
            </w:pPr>
            <w:r>
              <w:rPr>
                <w:rFonts w:ascii="Arial" w:cs="Arial" w:eastAsia="Arial" w:hAnsi="Arial"/>
                <w:sz w:val="16"/>
                <w:szCs w:val="16"/>
                <w:color w:val="auto"/>
              </w:rPr>
              <w:t>160,898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3"/>
              <w:spacing w:after="0"/>
              <w:rPr>
                <w:sz w:val="20"/>
                <w:szCs w:val="20"/>
                <w:color w:val="auto"/>
              </w:rPr>
            </w:pPr>
            <w:r>
              <w:rPr>
                <w:rFonts w:ascii="Arial" w:cs="Arial" w:eastAsia="Arial" w:hAnsi="Arial"/>
                <w:sz w:val="16"/>
                <w:szCs w:val="16"/>
                <w:color w:val="auto"/>
              </w:rPr>
              <w:t>3,123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30"/>
              <w:spacing w:after="0"/>
              <w:rPr>
                <w:sz w:val="20"/>
                <w:szCs w:val="20"/>
                <w:color w:val="auto"/>
              </w:rPr>
            </w:pPr>
            <w:r>
              <w:rPr>
                <w:rFonts w:ascii="Arial" w:cs="Arial" w:eastAsia="Arial" w:hAnsi="Arial"/>
                <w:sz w:val="16"/>
                <w:szCs w:val="16"/>
                <w:color w:val="auto"/>
              </w:rPr>
              <w:t>3,125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 of common stock (1)</w:t>
            </w: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w w:val="92"/>
              </w:rPr>
              <w:t>(1,045,939)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(75,506)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(75,506)</w:t>
            </w:r>
          </w:p>
        </w:tc>
        <w:tc>
          <w:tcPr>
            <w:tcW w:w="0" w:type="dxa"/>
            <w:vAlign w:val="bottom"/>
          </w:tcPr>
          <w:p>
            <w:pPr>
              <w:spacing w:after="0"/>
              <w:rPr>
                <w:sz w:val="1"/>
                <w:szCs w:val="1"/>
                <w:color w:val="auto"/>
              </w:rPr>
            </w:pPr>
          </w:p>
        </w:tc>
      </w:tr>
      <w:tr>
        <w:trPr>
          <w:trHeight w:val="220"/>
        </w:trPr>
        <w:tc>
          <w:tcPr>
            <w:tcW w:w="4000" w:type="dxa"/>
            <w:vAlign w:val="bottom"/>
          </w:tcPr>
          <w:p>
            <w:pPr>
              <w:ind w:left="180"/>
              <w:spacing w:after="0"/>
              <w:rPr>
                <w:sz w:val="20"/>
                <w:szCs w:val="20"/>
                <w:color w:val="auto"/>
              </w:rPr>
            </w:pPr>
            <w:r>
              <w:rPr>
                <w:rFonts w:ascii="Arial" w:cs="Arial" w:eastAsia="Arial" w:hAnsi="Arial"/>
                <w:sz w:val="16"/>
                <w:szCs w:val="16"/>
                <w:color w:val="auto"/>
                <w:w w:val="99"/>
              </w:rPr>
              <w:t>Recognition of liability related to future restricted stock</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180"/>
              <w:spacing w:after="0"/>
              <w:rPr>
                <w:sz w:val="20"/>
                <w:szCs w:val="20"/>
                <w:color w:val="auto"/>
              </w:rPr>
            </w:pPr>
            <w:r>
              <w:rPr>
                <w:rFonts w:ascii="Arial" w:cs="Arial" w:eastAsia="Arial" w:hAnsi="Arial"/>
                <w:sz w:val="16"/>
                <w:szCs w:val="16"/>
                <w:color w:val="auto"/>
              </w:rPr>
              <w:t>units vesting</w:t>
            </w:r>
          </w:p>
        </w:tc>
        <w:tc>
          <w:tcPr>
            <w:tcW w:w="20" w:type="dxa"/>
            <w:vAlign w:val="bottom"/>
          </w:tcPr>
          <w:p>
            <w:pPr>
              <w:spacing w:after="0"/>
              <w:rPr>
                <w:sz w:val="17"/>
                <w:szCs w:val="17"/>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3"/>
              <w:spacing w:after="0"/>
              <w:rPr>
                <w:sz w:val="20"/>
                <w:szCs w:val="20"/>
                <w:color w:val="auto"/>
              </w:rPr>
            </w:pPr>
            <w:r>
              <w:rPr>
                <w:rFonts w:ascii="Arial" w:cs="Arial" w:eastAsia="Arial" w:hAnsi="Arial"/>
                <w:sz w:val="16"/>
                <w:szCs w:val="16"/>
                <w:color w:val="auto"/>
              </w:rPr>
              <w:t>339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30"/>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129,329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6"/>
                <w:szCs w:val="16"/>
                <w:color w:val="auto"/>
              </w:rPr>
              <w:t>129,329</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Other comprehensive income (loss), net of tax</w:t>
            </w:r>
          </w:p>
        </w:tc>
        <w:tc>
          <w:tcPr>
            <w:tcW w:w="2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(1,417)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 of $0.31 per common share</w:t>
            </w: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(43,832)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(43,832)</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2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3"/>
              <w:spacing w:after="0"/>
              <w:rPr>
                <w:sz w:val="20"/>
                <w:szCs w:val="20"/>
                <w:color w:val="auto"/>
              </w:rPr>
            </w:pPr>
            <w:r>
              <w:rPr>
                <w:rFonts w:ascii="Arial" w:cs="Arial" w:eastAsia="Arial" w:hAnsi="Arial"/>
                <w:sz w:val="16"/>
                <w:szCs w:val="16"/>
                <w:color w:val="auto"/>
              </w:rPr>
              <w:t>10,830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30"/>
              <w:spacing w:after="0"/>
              <w:rPr>
                <w:sz w:val="20"/>
                <w:szCs w:val="20"/>
                <w:color w:val="auto"/>
              </w:rPr>
            </w:pPr>
            <w:r>
              <w:rPr>
                <w:rFonts w:ascii="Arial" w:cs="Arial" w:eastAsia="Arial" w:hAnsi="Arial"/>
                <w:sz w:val="16"/>
                <w:szCs w:val="16"/>
                <w:color w:val="auto"/>
              </w:rPr>
              <w:t>10,830</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2020</w:t>
            </w:r>
          </w:p>
        </w:tc>
        <w:tc>
          <w:tcPr>
            <w:tcW w:w="9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6"/>
                <w:szCs w:val="16"/>
                <w:color w:val="auto"/>
                <w:w w:val="89"/>
              </w:rPr>
              <w:t>161,856,727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$1,618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(23,659,991)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$(973,601)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3"/>
              <w:spacing w:after="0"/>
              <w:rPr>
                <w:sz w:val="20"/>
                <w:szCs w:val="20"/>
                <w:color w:val="auto"/>
              </w:rPr>
            </w:pPr>
            <w:r>
              <w:rPr>
                <w:rFonts w:ascii="Arial" w:cs="Arial" w:eastAsia="Arial" w:hAnsi="Arial"/>
                <w:sz w:val="16"/>
                <w:szCs w:val="16"/>
                <w:color w:val="auto"/>
                <w:w w:val="92"/>
              </w:rPr>
              <w:t>$486,739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w w:val="92"/>
              </w:rPr>
              <w:t>$1,415,129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6"/>
                <w:szCs w:val="16"/>
                <w:color w:val="auto"/>
                <w:w w:val="92"/>
              </w:rPr>
              <w:t>$ 882,467</w:t>
            </w:r>
          </w:p>
        </w:tc>
        <w:tc>
          <w:tcPr>
            <w:tcW w:w="0" w:type="dxa"/>
            <w:vAlign w:val="bottom"/>
          </w:tcPr>
          <w:p>
            <w:pPr>
              <w:spacing w:after="0"/>
              <w:rPr>
                <w:sz w:val="1"/>
                <w:szCs w:val="1"/>
                <w:color w:val="auto"/>
              </w:rPr>
            </w:pPr>
          </w:p>
        </w:tc>
      </w:tr>
      <w:tr>
        <w:trPr>
          <w:trHeight w:val="129"/>
        </w:trPr>
        <w:tc>
          <w:tcPr>
            <w:tcW w:w="400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92"/>
              </w:rPr>
              <w:t>159,924,825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8"/>
              </w:rPr>
              <w:t>$1,599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4"/>
              </w:rPr>
              <w:t>(19,896,972)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5"/>
              </w:rPr>
              <w:t>$(711,450)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w w:val="95"/>
              </w:rPr>
              <w:t>$401,596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  994,811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6"/>
                <w:szCs w:val="16"/>
                <w:color w:val="auto"/>
                <w:w w:val="92"/>
              </w:rPr>
              <w:t>$ 675,366</w:t>
            </w:r>
          </w:p>
        </w:tc>
        <w:tc>
          <w:tcPr>
            <w:tcW w:w="0" w:type="dxa"/>
            <w:vAlign w:val="bottom"/>
          </w:tcPr>
          <w:p>
            <w:pPr>
              <w:spacing w:after="0"/>
              <w:rPr>
                <w:sz w:val="1"/>
                <w:szCs w:val="1"/>
                <w:color w:val="auto"/>
              </w:rPr>
            </w:pPr>
          </w:p>
        </w:tc>
      </w:tr>
      <w:tr>
        <w:trPr>
          <w:trHeight w:val="217"/>
        </w:trPr>
        <w:tc>
          <w:tcPr>
            <w:tcW w:w="4000" w:type="dxa"/>
            <w:vAlign w:val="bottom"/>
          </w:tcPr>
          <w:p>
            <w:pPr>
              <w:ind w:left="180"/>
              <w:spacing w:after="0"/>
              <w:rPr>
                <w:sz w:val="20"/>
                <w:szCs w:val="20"/>
                <w:color w:val="auto"/>
              </w:rPr>
            </w:pPr>
            <w:r>
              <w:rPr>
                <w:rFonts w:ascii="Arial" w:cs="Arial" w:eastAsia="Arial" w:hAnsi="Arial"/>
                <w:sz w:val="16"/>
                <w:szCs w:val="16"/>
                <w:color w:val="auto"/>
              </w:rPr>
              <w:t>Issuance of common stock</w:t>
            </w:r>
          </w:p>
        </w:tc>
        <w:tc>
          <w:tcPr>
            <w:tcW w:w="20" w:type="dxa"/>
            <w:vAlign w:val="bottom"/>
          </w:tcPr>
          <w:p>
            <w:pPr>
              <w:spacing w:after="0"/>
              <w:rPr>
                <w:sz w:val="18"/>
                <w:szCs w:val="18"/>
                <w:color w:val="auto"/>
              </w:rPr>
            </w:pPr>
          </w:p>
        </w:tc>
        <w:tc>
          <w:tcPr>
            <w:tcW w:w="9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158,092</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3,376</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6"/>
                <w:szCs w:val="16"/>
                <w:color w:val="auto"/>
              </w:rPr>
              <w:t>3,378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options exercised</w:t>
            </w:r>
          </w:p>
        </w:tc>
        <w:tc>
          <w:tcPr>
            <w:tcW w:w="9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161,302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2,154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Repurchase of common stock (2)</w:t>
            </w:r>
          </w:p>
        </w:tc>
        <w:tc>
          <w:tcPr>
            <w:tcW w:w="2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
              <w:spacing w:after="0"/>
              <w:rPr>
                <w:sz w:val="20"/>
                <w:szCs w:val="20"/>
                <w:color w:val="auto"/>
              </w:rPr>
            </w:pPr>
            <w:r>
              <w:rPr>
                <w:rFonts w:ascii="Arial" w:cs="Arial" w:eastAsia="Arial" w:hAnsi="Arial"/>
                <w:sz w:val="16"/>
                <w:szCs w:val="16"/>
                <w:color w:val="auto"/>
              </w:rPr>
              <w:t>(129,128)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(8,286)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(8,286)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Recognition of liability related to future stock option</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exercises</w:t>
            </w:r>
          </w:p>
        </w:tc>
        <w:tc>
          <w:tcPr>
            <w:tcW w:w="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
              <w:spacing w:after="0"/>
              <w:rPr>
                <w:sz w:val="20"/>
                <w:szCs w:val="20"/>
                <w:color w:val="auto"/>
              </w:rPr>
            </w:pPr>
            <w:r>
              <w:rPr>
                <w:rFonts w:ascii="Arial" w:cs="Arial" w:eastAsia="Arial" w:hAnsi="Arial"/>
                <w:sz w:val="16"/>
                <w:szCs w:val="16"/>
                <w:color w:val="auto"/>
              </w:rPr>
              <w:t>117,386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30"/>
              <w:spacing w:after="0"/>
              <w:rPr>
                <w:sz w:val="20"/>
                <w:szCs w:val="20"/>
                <w:color w:val="auto"/>
              </w:rPr>
            </w:pPr>
            <w:r>
              <w:rPr>
                <w:rFonts w:ascii="Arial" w:cs="Arial" w:eastAsia="Arial" w:hAnsi="Arial"/>
                <w:sz w:val="16"/>
                <w:szCs w:val="16"/>
                <w:color w:val="auto"/>
              </w:rPr>
              <w:t>117,386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net of tax</w:t>
            </w: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(14,931)</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Dividends paid of $0.23 per common share</w:t>
            </w:r>
          </w:p>
        </w:tc>
        <w:tc>
          <w:tcPr>
            <w:tcW w:w="2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(32,412)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(32,412)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6,444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6"/>
                <w:szCs w:val="16"/>
                <w:color w:val="auto"/>
              </w:rPr>
              <w:t>6,444</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Balance at June 30, 2019</w:t>
            </w:r>
          </w:p>
        </w:tc>
        <w:tc>
          <w:tcPr>
            <w:tcW w:w="20" w:type="dxa"/>
            <w:vAlign w:val="bottom"/>
          </w:tcPr>
          <w:p>
            <w:pPr>
              <w:spacing w:after="0"/>
              <w:rPr>
                <w:sz w:val="18"/>
                <w:szCs w:val="18"/>
                <w:color w:val="auto"/>
              </w:rPr>
            </w:pPr>
          </w:p>
        </w:tc>
        <w:tc>
          <w:tcPr>
            <w:tcW w:w="9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92"/>
              </w:rPr>
              <w:t>160,244,219</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$1,602</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92"/>
              </w:rPr>
              <w:t>(20,026,100)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$(719,736)</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w w:val="92"/>
              </w:rPr>
              <w:t>$413,293</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$1,079,785</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(26,121)</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6"/>
                <w:szCs w:val="16"/>
                <w:color w:val="auto"/>
                <w:w w:val="89"/>
              </w:rPr>
              <w:t>$ 748,823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firstLine="8"/>
        <w:spacing w:after="0" w:line="263"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three months ended June 30, 2020, the Company purchased 0.9 million shares of the Company’s Class A Common Stock in a series of open market transactions for $66.4 million. Additionally, the Company repurchased shares during the first quarter of fiscal 2021 to cover the minimum statutory withholding taxes on restricted stock units that vested on June 30, 2020.</w:t>
      </w:r>
    </w:p>
    <w:p>
      <w:pPr>
        <w:spacing w:after="0" w:line="75" w:lineRule="exact"/>
        <w:rPr>
          <w:rFonts w:ascii="Arial" w:cs="Arial" w:eastAsia="Arial" w:hAnsi="Arial"/>
          <w:sz w:val="18"/>
          <w:szCs w:val="18"/>
          <w:color w:val="auto"/>
        </w:rPr>
      </w:pPr>
    </w:p>
    <w:p>
      <w:pPr>
        <w:ind w:left="60" w:right="340" w:firstLine="2"/>
        <w:spacing w:after="0" w:line="263" w:lineRule="auto"/>
        <w:tabs>
          <w:tab w:leader="none" w:pos="315" w:val="left"/>
        </w:tabs>
        <w:numPr>
          <w:ilvl w:val="1"/>
          <w:numId w:val="2"/>
        </w:numPr>
        <w:rPr>
          <w:rFonts w:ascii="Arial" w:cs="Arial" w:eastAsia="Arial" w:hAnsi="Arial"/>
          <w:sz w:val="18"/>
          <w:szCs w:val="18"/>
          <w:color w:val="auto"/>
        </w:rPr>
      </w:pPr>
      <w:r>
        <w:rPr>
          <w:rFonts w:ascii="Arial" w:cs="Arial" w:eastAsia="Arial" w:hAnsi="Arial"/>
          <w:sz w:val="18"/>
          <w:szCs w:val="18"/>
          <w:color w:val="auto"/>
        </w:rPr>
        <w:t>During the three months ended June 30, 2019, the Company purchased 93 thousand shares of the Company’s Class A Common Stock in a series of open market transactions for $5.9 million. Additionally, the Company repurchased shares during the first quarter of fiscal 2020 to cover the minimum statutory withholding taxes on restricted stock units that vested on June 30, 2019.</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15"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both"/>
        <w:ind w:left="2100" w:right="208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121"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services to U.S. and international governments, major corporations, and not-for-profit organizations. The Company reports operating results and financial data in one reportable segment. The Company is headquartered in McLean, Virginia, with approximately 27,400 employees as of June 30, 2020.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2020.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 presented have been included. The Company’s fiscal year ends on March 31 and unless otherwise noted, references to fiscal year or fiscal are for fiscal years ended March 31. The results of operations for the three months ended June 30, 2020 are not necessarily indicative of results to be expected for the full fiscal year.</w:t>
      </w:r>
    </w:p>
    <w:p>
      <w:pPr>
        <w:spacing w:after="0" w:line="70"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condensed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7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Certain amounts reported in the Company's prior year condensed consolidated financial statements have been reclassified to conform to the current year presentation.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the provision for claimed indirect costs, valuation and lives of tangible and intangible assets,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Measurement of Credit Losses on Financial Instruments</w:t>
      </w:r>
      <w:r>
        <w:rPr>
          <w:rFonts w:ascii="Arial" w:cs="Arial" w:eastAsia="Arial" w:hAnsi="Arial"/>
          <w:sz w:val="18"/>
          <w:szCs w:val="18"/>
          <w:color w:val="auto"/>
        </w:rPr>
        <w:t xml:space="preserve"> (Topic 326). This guidance requires companies to record an allowance for expected credit losses over the contractual term of certain financial assets, including trade receivables and contract assets, and expands disclosure requirements for credit quality of financial assets. The Company adopted this standard effective April 1, 2020 using the modified retrospective method. The adoption of this standard did not have a material impact on the condensed consolidated financial statements and disclosures.</w:t>
      </w:r>
    </w:p>
    <w:p>
      <w:pPr>
        <w:spacing w:after="0" w:line="8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 Cloud Computing Arrangement That</w:t>
      </w:r>
      <w:r>
        <w:rPr>
          <w:rFonts w:ascii="Arial" w:cs="Arial" w:eastAsia="Arial" w:hAnsi="Arial"/>
          <w:sz w:val="17"/>
          <w:szCs w:val="17"/>
          <w:color w:val="auto"/>
        </w:rPr>
        <w:t xml:space="preserve"> </w:t>
      </w:r>
      <w:r>
        <w:rPr>
          <w:rFonts w:ascii="Arial" w:cs="Arial" w:eastAsia="Arial" w:hAnsi="Arial"/>
          <w:sz w:val="17"/>
          <w:szCs w:val="17"/>
          <w:i w:val="1"/>
          <w:iCs w:val="1"/>
          <w:color w:val="auto"/>
        </w:rPr>
        <w:t>Is a Service Contract</w:t>
      </w:r>
      <w:r>
        <w:rPr>
          <w:rFonts w:ascii="Arial" w:cs="Arial" w:eastAsia="Arial" w:hAnsi="Arial"/>
          <w:sz w:val="17"/>
          <w:szCs w:val="17"/>
          <w:color w:val="auto"/>
        </w:rPr>
        <w:t>. This guidance requires a customer in a cloud computing arrangement that is a service contract to follow existing internal-use</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guidance to determine which implementation costs to defer and recognize as an asset. ASU 2018-15 generally aligns the guidance on capitalizing implementation costs incurred in a cloud computing arrangement that is a service contract with that of implementation costs incurred to develop or obtain internal-use software, including hosting arrangements that include an internal-use software license. ASU 2018-15 is effective for interim reporting periods for fiscal years beginning after December 15, 2019. The Company adopted this standard effective April 1, 2020 on a prospective basis, and adoption of this standard did not have a material impact on the condensed consolidated financial statements.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553" w:right="359" w:bottom="1440" w:gutter="0" w:footer="0" w:header="0"/>
        </w:sectPr>
      </w:pPr>
    </w:p>
    <w:bookmarkStart w:id="9" w:name="page10"/>
    <w:bookmarkEnd w:id="9"/>
    <w:p>
      <w:pPr>
        <w:ind w:firstLine="405"/>
        <w:spacing w:after="0" w:line="27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guidance includes removal of certain exceptions to the general principles of Topic 740, and simplification in several other areas such as accounting for a franchise tax (or similar tax) that is partially based on income. The provisions of this standard are effective for years beginning after December 15, 2020, with early adoption permitted. The Company early adopted the standard effective April 1, 2020, and applied most of the relevant amendments prospectively. The Company’s adoption did not have a material impact on the condensed consolidated financial statements.</w:t>
      </w:r>
    </w:p>
    <w:p>
      <w:pPr>
        <w:spacing w:after="0" w:line="68"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The guidance contains optional expedients and exceptions for applying GAAP to contracts, hedging relationships, and other areas or</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that are impacted by reference rate reform. The Company elected to adopt Topic 848 in fiscal 2020 and as of June 30, 2020, the Company has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Company’s ability to apply hedge accounting to our derivative financial instruments. The Company continues to evaluate the impact of the guidance and may apply other elections, as applicable and as allowed by Topic 848.</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Other accounting and reporting pronouncements effective after June 30, 2020 and issued through the filing date are not expected to have a material impact on the Company's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The Company's revenues from contracts with customers (clients) are derived from offerings that include management and technology consulting services, analytics, digital solutions, engineering, mission operations,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 contracts, time-and-materials contracts, and fixed-price contracts.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17"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on a cumulative catch-up basis in the period when such changes are determinable and reasonably estimable. If the estimate of contract profitability indicates an anticipated loss on a contract, the Company recognizes the total loss at the time it is identified. For each of the three months ended June 30, 2020 and 2019, the aggregate impact of adjustments in contract estimates was not material.</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Contract Type: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760" w:hanging="656"/>
        <w:spacing w:after="0" w:line="342" w:lineRule="auto"/>
        <w:tabs>
          <w:tab w:leader="none" w:pos="1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15" w:lineRule="exact"/>
        <w:rPr>
          <w:rFonts w:ascii="Arial" w:cs="Arial" w:eastAsia="Arial" w:hAnsi="Arial"/>
          <w:sz w:val="16"/>
          <w:szCs w:val="16"/>
          <w:color w:val="auto"/>
        </w:rPr>
      </w:pPr>
    </w:p>
    <w:p>
      <w:pPr>
        <w:ind w:left="1960" w:right="200" w:hanging="656"/>
        <w:spacing w:after="0" w:line="259"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78" w:lineRule="exact"/>
        <w:rPr>
          <w:rFonts w:ascii="Arial" w:cs="Arial" w:eastAsia="Arial" w:hAnsi="Arial"/>
          <w:sz w:val="18"/>
          <w:szCs w:val="18"/>
          <w:color w:val="auto"/>
        </w:rPr>
      </w:pPr>
    </w:p>
    <w:p>
      <w:pPr>
        <w:ind w:left="1960" w:right="260" w:hanging="656"/>
        <w:spacing w:after="0" w:line="27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Fixed-Price Contracts: Under a fixed-price contract, we agree to perform the specified work for a predetermined price. To the extent our actual direct and allocated indirect costs decrease or increase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665" w:right="339" w:bottom="1440" w:gutter="0" w:footer="0" w:header="0"/>
        </w:sectPr>
      </w:pPr>
    </w:p>
    <w:bookmarkStart w:id="10" w:name="page11"/>
    <w:bookmarkEnd w:id="10"/>
    <w:p>
      <w:pPr>
        <w:ind w:left="1960"/>
        <w:spacing w:after="0"/>
        <w:rPr>
          <w:sz w:val="20"/>
          <w:szCs w:val="20"/>
          <w:color w:val="auto"/>
        </w:rPr>
      </w:pPr>
      <w:r>
        <w:rPr>
          <w:rFonts w:ascii="Arial" w:cs="Arial" w:eastAsia="Arial" w:hAnsi="Arial"/>
          <w:sz w:val="16"/>
          <w:szCs w:val="16"/>
          <w:color w:val="auto"/>
        </w:rPr>
        <w:t>from the estimates upon which the price was negotiated, we will generate more or less profit, respectively, or could incur a loss.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total revenue for each type of contract:</w:t>
      </w:r>
    </w:p>
    <w:p>
      <w:pPr>
        <w:spacing w:after="0" w:line="163"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13335</wp:posOffset>
            </wp:positionV>
            <wp:extent cx="2948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Cost-reimbursable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rPr>
              <w:t>1,092,048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rPr>
              <w:t>1,026,593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Time-and-materials</w:t>
            </w:r>
          </w:p>
        </w:tc>
        <w:tc>
          <w:tcPr>
            <w:tcW w:w="280" w:type="dxa"/>
            <w:vAlign w:val="bottom"/>
          </w:tcPr>
          <w:p>
            <w:pPr>
              <w:spacing w:after="0"/>
              <w:rPr>
                <w:sz w:val="20"/>
                <w:szCs w:val="20"/>
                <w:color w:val="auto"/>
              </w:rPr>
            </w:pPr>
          </w:p>
        </w:tc>
        <w:tc>
          <w:tcPr>
            <w:tcW w:w="1200" w:type="dxa"/>
            <w:vAlign w:val="bottom"/>
          </w:tcPr>
          <w:p>
            <w:pPr>
              <w:jc w:val="right"/>
              <w:ind w:right="301"/>
              <w:spacing w:after="0"/>
              <w:rPr>
                <w:sz w:val="20"/>
                <w:szCs w:val="20"/>
                <w:color w:val="auto"/>
              </w:rPr>
            </w:pPr>
            <w:r>
              <w:rPr>
                <w:rFonts w:ascii="Arial" w:cs="Arial" w:eastAsia="Arial" w:hAnsi="Arial"/>
                <w:sz w:val="16"/>
                <w:szCs w:val="16"/>
                <w:color w:val="auto"/>
              </w:rPr>
              <w:t>502,546</w:t>
            </w:r>
          </w:p>
        </w:tc>
        <w:tc>
          <w:tcPr>
            <w:tcW w:w="7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81"/>
              <w:spacing w:after="0"/>
              <w:rPr>
                <w:sz w:val="20"/>
                <w:szCs w:val="20"/>
                <w:color w:val="auto"/>
              </w:rPr>
            </w:pPr>
            <w:r>
              <w:rPr>
                <w:rFonts w:ascii="Arial" w:cs="Arial" w:eastAsia="Arial" w:hAnsi="Arial"/>
                <w:sz w:val="16"/>
                <w:szCs w:val="16"/>
                <w:color w:val="auto"/>
              </w:rPr>
              <w:t>420,595</w:t>
            </w: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Fixed-price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rPr>
              <w:t>361,859</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rPr>
              <w:t>377,988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660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301"/>
              <w:spacing w:after="0"/>
              <w:rPr>
                <w:sz w:val="20"/>
                <w:szCs w:val="20"/>
                <w:color w:val="auto"/>
              </w:rPr>
            </w:pPr>
            <w:r>
              <w:rPr>
                <w:rFonts w:ascii="Arial" w:cs="Arial" w:eastAsia="Arial" w:hAnsi="Arial"/>
                <w:sz w:val="16"/>
                <w:szCs w:val="16"/>
                <w:color w:val="auto"/>
              </w:rPr>
              <w:t>1,956,453</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81"/>
              <w:spacing w:after="0"/>
              <w:rPr>
                <w:sz w:val="20"/>
                <w:szCs w:val="20"/>
                <w:color w:val="auto"/>
              </w:rPr>
            </w:pPr>
            <w:r>
              <w:rPr>
                <w:rFonts w:ascii="Arial" w:cs="Arial" w:eastAsia="Arial" w:hAnsi="Arial"/>
                <w:sz w:val="16"/>
                <w:szCs w:val="16"/>
                <w:color w:val="auto"/>
              </w:rPr>
              <w:t>1,825,176</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6600" w:type="dxa"/>
            <w:vAlign w:val="bottom"/>
            <w:vMerge w:val="restart"/>
          </w:tcPr>
          <w:p>
            <w:pPr>
              <w:ind w:left="260"/>
              <w:spacing w:after="0"/>
              <w:rPr>
                <w:sz w:val="20"/>
                <w:szCs w:val="20"/>
                <w:color w:val="auto"/>
              </w:rPr>
            </w:pPr>
            <w:r>
              <w:rPr>
                <w:rFonts w:ascii="Arial" w:cs="Arial" w:eastAsia="Arial" w:hAnsi="Arial"/>
                <w:sz w:val="18"/>
                <w:szCs w:val="18"/>
                <w:i w:val="1"/>
                <w:iCs w:val="1"/>
                <w:color w:val="auto"/>
              </w:rPr>
              <w:t>Revenue by Customer Type:</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60" w:type="dxa"/>
            <w:vAlign w:val="bottom"/>
            <w:gridSpan w:val="4"/>
          </w:tcPr>
          <w:p>
            <w:pPr>
              <w:jc w:val="right"/>
              <w:ind w:right="881"/>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1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180"/>
              <w:spacing w:after="0"/>
              <w:rPr>
                <w:sz w:val="20"/>
                <w:szCs w:val="20"/>
                <w:color w:val="auto"/>
              </w:rPr>
            </w:pPr>
            <w:r>
              <w:rPr>
                <w:rFonts w:ascii="Arial" w:cs="Arial" w:eastAsia="Arial" w:hAnsi="Arial"/>
                <w:sz w:val="16"/>
                <w:szCs w:val="16"/>
                <w:color w:val="auto"/>
              </w:rPr>
              <w:t>Defense Clients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01"/>
              <w:spacing w:after="0"/>
              <w:rPr>
                <w:sz w:val="20"/>
                <w:szCs w:val="20"/>
                <w:color w:val="auto"/>
              </w:rPr>
            </w:pPr>
            <w:r>
              <w:rPr>
                <w:rFonts w:ascii="Arial" w:cs="Arial" w:eastAsia="Arial" w:hAnsi="Arial"/>
                <w:sz w:val="16"/>
                <w:szCs w:val="16"/>
                <w:color w:val="auto"/>
              </w:rPr>
              <w:t>931,336</w:t>
            </w: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81"/>
              <w:spacing w:after="0"/>
              <w:rPr>
                <w:sz w:val="20"/>
                <w:szCs w:val="20"/>
                <w:color w:val="auto"/>
              </w:rPr>
            </w:pPr>
            <w:r>
              <w:rPr>
                <w:rFonts w:ascii="Arial" w:cs="Arial" w:eastAsia="Arial" w:hAnsi="Arial"/>
                <w:sz w:val="16"/>
                <w:szCs w:val="16"/>
                <w:color w:val="auto"/>
              </w:rPr>
              <w:t>858,936</w:t>
            </w:r>
          </w:p>
        </w:tc>
        <w:tc>
          <w:tcPr>
            <w:tcW w:w="7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Intelligence Clients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rPr>
              <w:t>407,104</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rPr>
              <w:t>419,067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6600" w:type="dxa"/>
            <w:vAlign w:val="bottom"/>
          </w:tcPr>
          <w:p>
            <w:pPr>
              <w:ind w:left="180"/>
              <w:spacing w:after="0"/>
              <w:rPr>
                <w:sz w:val="20"/>
                <w:szCs w:val="20"/>
                <w:color w:val="auto"/>
              </w:rPr>
            </w:pPr>
            <w:r>
              <w:rPr>
                <w:rFonts w:ascii="Arial" w:cs="Arial" w:eastAsia="Arial" w:hAnsi="Arial"/>
                <w:sz w:val="16"/>
                <w:szCs w:val="16"/>
                <w:color w:val="auto"/>
              </w:rPr>
              <w:t>Civil Clients</w:t>
            </w:r>
          </w:p>
        </w:tc>
        <w:tc>
          <w:tcPr>
            <w:tcW w:w="280" w:type="dxa"/>
            <w:vAlign w:val="bottom"/>
          </w:tcPr>
          <w:p>
            <w:pPr>
              <w:spacing w:after="0"/>
              <w:rPr>
                <w:sz w:val="20"/>
                <w:szCs w:val="20"/>
                <w:color w:val="auto"/>
              </w:rPr>
            </w:pPr>
          </w:p>
        </w:tc>
        <w:tc>
          <w:tcPr>
            <w:tcW w:w="1200" w:type="dxa"/>
            <w:vAlign w:val="bottom"/>
          </w:tcPr>
          <w:p>
            <w:pPr>
              <w:jc w:val="right"/>
              <w:ind w:right="301"/>
              <w:spacing w:after="0"/>
              <w:rPr>
                <w:sz w:val="20"/>
                <w:szCs w:val="20"/>
                <w:color w:val="auto"/>
              </w:rPr>
            </w:pPr>
            <w:r>
              <w:rPr>
                <w:rFonts w:ascii="Arial" w:cs="Arial" w:eastAsia="Arial" w:hAnsi="Arial"/>
                <w:sz w:val="16"/>
                <w:szCs w:val="16"/>
                <w:color w:val="auto"/>
              </w:rPr>
              <w:t>557,923</w:t>
            </w:r>
          </w:p>
        </w:tc>
        <w:tc>
          <w:tcPr>
            <w:tcW w:w="7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81"/>
              <w:spacing w:after="0"/>
              <w:rPr>
                <w:sz w:val="20"/>
                <w:szCs w:val="20"/>
                <w:color w:val="auto"/>
              </w:rPr>
            </w:pPr>
            <w:r>
              <w:rPr>
                <w:rFonts w:ascii="Arial" w:cs="Arial" w:eastAsia="Arial" w:hAnsi="Arial"/>
                <w:sz w:val="16"/>
                <w:szCs w:val="16"/>
                <w:color w:val="auto"/>
              </w:rPr>
              <w:t>492,033</w:t>
            </w:r>
          </w:p>
        </w:tc>
        <w:tc>
          <w:tcPr>
            <w:tcW w:w="7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6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U.S. government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rPr>
              <w:t>1,896,363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rPr>
              <w:t>1,770,036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Global Commercial Clients</w:t>
            </w:r>
          </w:p>
        </w:tc>
        <w:tc>
          <w:tcPr>
            <w:tcW w:w="280" w:type="dxa"/>
            <w:vAlign w:val="bottom"/>
          </w:tcPr>
          <w:p>
            <w:pPr>
              <w:spacing w:after="0"/>
              <w:rPr>
                <w:sz w:val="20"/>
                <w:szCs w:val="20"/>
                <w:color w:val="auto"/>
              </w:rPr>
            </w:pPr>
          </w:p>
        </w:tc>
        <w:tc>
          <w:tcPr>
            <w:tcW w:w="1200" w:type="dxa"/>
            <w:vAlign w:val="bottom"/>
          </w:tcPr>
          <w:p>
            <w:pPr>
              <w:jc w:val="right"/>
              <w:ind w:right="301"/>
              <w:spacing w:after="0"/>
              <w:rPr>
                <w:sz w:val="20"/>
                <w:szCs w:val="20"/>
                <w:color w:val="auto"/>
              </w:rPr>
            </w:pPr>
            <w:r>
              <w:rPr>
                <w:rFonts w:ascii="Arial" w:cs="Arial" w:eastAsia="Arial" w:hAnsi="Arial"/>
                <w:sz w:val="16"/>
                <w:szCs w:val="16"/>
                <w:color w:val="auto"/>
              </w:rPr>
              <w:t>60,090</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81"/>
              <w:spacing w:after="0"/>
              <w:rPr>
                <w:sz w:val="20"/>
                <w:szCs w:val="20"/>
                <w:color w:val="auto"/>
              </w:rPr>
            </w:pPr>
            <w:r>
              <w:rPr>
                <w:rFonts w:ascii="Arial" w:cs="Arial" w:eastAsia="Arial" w:hAnsi="Arial"/>
                <w:sz w:val="16"/>
                <w:szCs w:val="16"/>
                <w:color w:val="auto"/>
              </w:rPr>
              <w:t>55,140</w:t>
            </w: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6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1,956,453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rPr>
              <w:t>1,825,176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Whether the Company Acts as a Prime Contractor or a Sub-Contractor:</w:t>
      </w:r>
    </w:p>
    <w:p>
      <w:pPr>
        <w:spacing w:after="0" w:line="163"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13335</wp:posOffset>
            </wp:positionV>
            <wp:extent cx="2948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r>
      <w:tr>
        <w:trPr>
          <w:trHeight w:val="249"/>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Prime Contractor</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1"/>
              <w:spacing w:after="0"/>
              <w:rPr>
                <w:sz w:val="20"/>
                <w:szCs w:val="20"/>
                <w:color w:val="auto"/>
              </w:rPr>
            </w:pPr>
            <w:r>
              <w:rPr>
                <w:rFonts w:ascii="Arial" w:cs="Arial" w:eastAsia="Arial" w:hAnsi="Arial"/>
                <w:sz w:val="16"/>
                <w:szCs w:val="16"/>
                <w:color w:val="auto"/>
              </w:rPr>
              <w:t>1,803,604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rPr>
              <w:t>1,673,429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Sub-contractor</w:t>
            </w:r>
          </w:p>
        </w:tc>
        <w:tc>
          <w:tcPr>
            <w:tcW w:w="280" w:type="dxa"/>
            <w:vAlign w:val="bottom"/>
          </w:tcPr>
          <w:p>
            <w:pPr>
              <w:spacing w:after="0"/>
              <w:rPr>
                <w:sz w:val="20"/>
                <w:szCs w:val="20"/>
                <w:color w:val="auto"/>
              </w:rPr>
            </w:pPr>
          </w:p>
        </w:tc>
        <w:tc>
          <w:tcPr>
            <w:tcW w:w="1300" w:type="dxa"/>
            <w:vAlign w:val="bottom"/>
          </w:tcPr>
          <w:p>
            <w:pPr>
              <w:jc w:val="right"/>
              <w:ind w:right="401"/>
              <w:spacing w:after="0"/>
              <w:rPr>
                <w:sz w:val="20"/>
                <w:szCs w:val="20"/>
                <w:color w:val="auto"/>
              </w:rPr>
            </w:pPr>
            <w:r>
              <w:rPr>
                <w:rFonts w:ascii="Arial" w:cs="Arial" w:eastAsia="Arial" w:hAnsi="Arial"/>
                <w:sz w:val="16"/>
                <w:szCs w:val="16"/>
                <w:color w:val="auto"/>
              </w:rPr>
              <w:t>152,849</w:t>
            </w: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381"/>
              <w:spacing w:after="0"/>
              <w:rPr>
                <w:sz w:val="20"/>
                <w:szCs w:val="20"/>
                <w:color w:val="auto"/>
              </w:rPr>
            </w:pPr>
            <w:r>
              <w:rPr>
                <w:rFonts w:ascii="Arial" w:cs="Arial" w:eastAsia="Arial" w:hAnsi="Arial"/>
                <w:sz w:val="16"/>
                <w:szCs w:val="16"/>
                <w:color w:val="auto"/>
              </w:rPr>
              <w:t>151,747</w:t>
            </w: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6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5"/>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1"/>
              <w:spacing w:after="0"/>
              <w:rPr>
                <w:sz w:val="20"/>
                <w:szCs w:val="20"/>
                <w:color w:val="auto"/>
              </w:rPr>
            </w:pPr>
            <w:r>
              <w:rPr>
                <w:rFonts w:ascii="Arial" w:cs="Arial" w:eastAsia="Arial" w:hAnsi="Arial"/>
                <w:sz w:val="16"/>
                <w:szCs w:val="16"/>
                <w:color w:val="auto"/>
              </w:rPr>
              <w:t>1,956,453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rPr>
              <w:t>1,825,176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76"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As of both June 30, 2020 and March 31, 2020, the Company had $6.3 billion of remaining performance obligations and we expect to recognize more than half of the remaining performance obligations at June 30, 2020 as revenue over the next 12 months, and approximately three quarters over the next 24 months. The remainder is expected to be recognized thereafter.</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results in net contract assets or liabilities being recognized at the end of each reporting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665" w:right="339" w:bottom="1440" w:gutter="0" w:footer="0" w:header="0"/>
        </w:sectPr>
      </w:pPr>
    </w:p>
    <w:bookmarkStart w:id="11" w:name="page12"/>
    <w:bookmarkEnd w:id="11"/>
    <w:p>
      <w:pPr>
        <w:ind w:firstLine="405"/>
        <w:spacing w:after="0" w:line="296" w:lineRule="auto"/>
        <w:rPr>
          <w:sz w:val="20"/>
          <w:szCs w:val="20"/>
          <w:color w:val="auto"/>
        </w:rPr>
      </w:pPr>
      <w:r>
        <w:rPr>
          <w:rFonts w:ascii="Arial" w:cs="Arial" w:eastAsia="Arial" w:hAnsi="Arial"/>
          <w:sz w:val="16"/>
          <w:szCs w:val="16"/>
          <w:color w:val="auto"/>
        </w:rPr>
        <w:t xml:space="preserve">Contract assets primarily consist of unbilled receivables typically resulting from revenue recognized exceeding the amount billed to the customer and right to payment is not just subject to the passage of time. Contract liabilities primarily consist of advance payments, billings in excess of costs incurred and deferred revenue. Contract assets and liabilities are reported on a net contract basis at the end of each reporting period. The Company maintains an allowance for doubtful accounts to provide for an estimate of uncollected receivables. Refer to Note 5 for more information on receivables recognized from contracts accounted for under Accounting Standards Codification (ASC) No.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contract balances recognized on the Company’s condensed consolidated balance sheets: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50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Balance Sheet line item</w:t>
            </w:r>
          </w:p>
        </w:tc>
        <w:tc>
          <w:tcPr>
            <w:tcW w:w="260" w:type="dxa"/>
            <w:vAlign w:val="bottom"/>
          </w:tcPr>
          <w:p>
            <w:pPr>
              <w:spacing w:after="0"/>
              <w:rPr>
                <w:sz w:val="14"/>
                <w:szCs w:val="14"/>
                <w:color w:val="auto"/>
              </w:rPr>
            </w:pPr>
          </w:p>
        </w:tc>
        <w:tc>
          <w:tcPr>
            <w:tcW w:w="1160" w:type="dxa"/>
            <w:vAlign w:val="bottom"/>
          </w:tcPr>
          <w:p>
            <w:pPr>
              <w:jc w:val="right"/>
              <w:ind w:right="396"/>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160" w:type="dxa"/>
            <w:vAlign w:val="bottom"/>
          </w:tcPr>
          <w:p>
            <w:pPr>
              <w:jc w:val="right"/>
              <w:ind w:right="31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9"/>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3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380"/>
              <w:spacing w:after="0"/>
              <w:rPr>
                <w:sz w:val="20"/>
                <w:szCs w:val="20"/>
                <w:color w:val="auto"/>
              </w:rPr>
            </w:pPr>
            <w:r>
              <w:rPr>
                <w:rFonts w:ascii="Arial" w:cs="Arial" w:eastAsia="Arial" w:hAnsi="Arial"/>
                <w:sz w:val="18"/>
                <w:szCs w:val="18"/>
                <w:color w:val="auto"/>
              </w:rPr>
              <w:t>Current</w:t>
            </w:r>
          </w:p>
        </w:tc>
        <w:tc>
          <w:tcPr>
            <w:tcW w:w="3500" w:type="dxa"/>
            <w:vAlign w:val="bottom"/>
          </w:tcPr>
          <w:p>
            <w:pPr>
              <w:ind w:left="60"/>
              <w:spacing w:after="0"/>
              <w:rPr>
                <w:sz w:val="20"/>
                <w:szCs w:val="20"/>
                <w:color w:val="auto"/>
              </w:rPr>
            </w:pPr>
            <w:r>
              <w:rPr>
                <w:rFonts w:ascii="Arial" w:cs="Arial" w:eastAsia="Arial" w:hAnsi="Arial"/>
                <w:sz w:val="18"/>
                <w:szCs w:val="18"/>
                <w:color w:val="auto"/>
              </w:rPr>
              <w:t>Accounts receivable, net of allowance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999,497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988,634</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w:t>
            </w:r>
          </w:p>
        </w:tc>
        <w:tc>
          <w:tcPr>
            <w:tcW w:w="3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63,016</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62,600</w:t>
            </w:r>
          </w:p>
        </w:tc>
        <w:tc>
          <w:tcPr>
            <w:tcW w:w="0" w:type="dxa"/>
            <w:vAlign w:val="bottom"/>
          </w:tcPr>
          <w:p>
            <w:pPr>
              <w:spacing w:after="0"/>
              <w:rPr>
                <w:sz w:val="1"/>
                <w:szCs w:val="1"/>
                <w:color w:val="auto"/>
              </w:rPr>
            </w:pPr>
          </w:p>
        </w:tc>
      </w:tr>
      <w:tr>
        <w:trPr>
          <w:trHeight w:val="237"/>
        </w:trPr>
        <w:tc>
          <w:tcPr>
            <w:tcW w:w="4400" w:type="dxa"/>
            <w:vAlign w:val="bottom"/>
          </w:tcPr>
          <w:p>
            <w:pPr>
              <w:ind w:left="600"/>
              <w:spacing w:after="0"/>
              <w:rPr>
                <w:sz w:val="20"/>
                <w:szCs w:val="20"/>
                <w:color w:val="auto"/>
              </w:rPr>
            </w:pPr>
            <w:r>
              <w:rPr>
                <w:rFonts w:ascii="Arial" w:cs="Arial" w:eastAsia="Arial" w:hAnsi="Arial"/>
                <w:sz w:val="18"/>
                <w:szCs w:val="18"/>
                <w:color w:val="auto"/>
              </w:rPr>
              <w:t>Total</w:t>
            </w:r>
          </w:p>
        </w:tc>
        <w:tc>
          <w:tcPr>
            <w:tcW w:w="35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1,062,513</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1,051,234</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3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380"/>
              <w:spacing w:after="0"/>
              <w:rPr>
                <w:sz w:val="20"/>
                <w:szCs w:val="20"/>
                <w:color w:val="auto"/>
              </w:rPr>
            </w:pPr>
            <w:r>
              <w:rPr>
                <w:rFonts w:ascii="Arial" w:cs="Arial" w:eastAsia="Arial" w:hAnsi="Arial"/>
                <w:sz w:val="18"/>
                <w:szCs w:val="18"/>
                <w:color w:val="auto"/>
                <w:w w:val="91"/>
              </w:rPr>
              <w:t>Advance payments, billings in excess of costs incurred</w:t>
            </w: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380"/>
              <w:spacing w:after="0"/>
              <w:rPr>
                <w:sz w:val="20"/>
                <w:szCs w:val="20"/>
                <w:color w:val="auto"/>
              </w:rPr>
            </w:pPr>
            <w:r>
              <w:rPr>
                <w:rFonts w:ascii="Arial" w:cs="Arial" w:eastAsia="Arial" w:hAnsi="Arial"/>
                <w:sz w:val="18"/>
                <w:szCs w:val="18"/>
                <w:color w:val="auto"/>
              </w:rPr>
              <w:t>and deferred revenue</w:t>
            </w:r>
          </w:p>
        </w:tc>
        <w:tc>
          <w:tcPr>
            <w:tcW w:w="3500" w:type="dxa"/>
            <w:vAlign w:val="bottom"/>
          </w:tcPr>
          <w:p>
            <w:pPr>
              <w:ind w:left="6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24,631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26,018</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80" w:firstLine="405"/>
        <w:spacing w:after="0" w:line="275" w:lineRule="auto"/>
        <w:rPr>
          <w:sz w:val="20"/>
          <w:szCs w:val="20"/>
          <w:color w:val="auto"/>
        </w:rPr>
      </w:pPr>
      <w:r>
        <w:rPr>
          <w:rFonts w:ascii="Arial" w:cs="Arial" w:eastAsia="Arial" w:hAnsi="Arial"/>
          <w:sz w:val="17"/>
          <w:szCs w:val="17"/>
          <w:color w:val="auto"/>
        </w:rPr>
        <w:t>Changes in contract assets and contract liabilities are primarily due to the timing difference between the Company’s performance of services and payments from customers. For the three months ended June 30, 2020 and 2019, we recognized revenue of $19.5 million and $16.7 million, respectively, related to our contract liabilities on April 1, 2020 and 2019,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The Company computes basic and diluted earnings per share amounts based on net income for the periods presented. The Company uses the weighted-average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41"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quarter of fiscal 2021 and 2020.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Earnings for basic computations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-139065</wp:posOffset>
            </wp:positionV>
            <wp:extent cx="664337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3370" cy="179705"/>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Weighted-average common shares outstanding for basic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46355</wp:posOffset>
            </wp:positionV>
            <wp:extent cx="664337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43370" cy="179705"/>
                    </a:xfrm>
                    <a:prstGeom prst="rect">
                      <a:avLst/>
                    </a:prstGeom>
                    <a:noFill/>
                  </pic:spPr>
                </pic:pic>
              </a:graphicData>
            </a:graphic>
          </wp:anchor>
        </w:drawing>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Earnings for diluted computations (1)</w:t>
      </w:r>
    </w:p>
    <w:p>
      <w:pPr>
        <w:spacing w:after="0" w:line="7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Dilutive stock options and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31750</wp:posOffset>
            </wp:positionV>
            <wp:extent cx="664337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3370" cy="180340"/>
                    </a:xfrm>
                    <a:prstGeom prst="rect">
                      <a:avLst/>
                    </a:prstGeom>
                    <a:noFill/>
                  </pic:spPr>
                </pic:pic>
              </a:graphicData>
            </a:graphic>
          </wp:anchor>
        </w:drawing>
      </w:r>
    </w:p>
    <w:p>
      <w:pPr>
        <w:spacing w:after="0" w:line="4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Weighted-average common shares outstanding for diluted computations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Earnings per common share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937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43"/>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128,686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116,766</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138,153,464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140,004,627</w:t>
            </w:r>
          </w:p>
        </w:tc>
      </w:tr>
      <w:tr>
        <w:trPr>
          <w:trHeight w:val="27"/>
        </w:trPr>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128,689</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116,770</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1,018,990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1,124,674</w:t>
            </w:r>
          </w:p>
        </w:tc>
      </w:tr>
      <w:tr>
        <w:trPr>
          <w:trHeight w:val="27"/>
        </w:trPr>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139,172,454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141,129,301</w:t>
            </w:r>
          </w:p>
        </w:tc>
      </w:tr>
      <w:tr>
        <w:trPr>
          <w:trHeight w:val="27"/>
        </w:trPr>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70" w:lineRule="exact"/>
        <w:rPr>
          <w:sz w:val="20"/>
          <w:szCs w:val="20"/>
          <w:color w:val="auto"/>
        </w:rPr>
      </w:pPr>
    </w:p>
    <w:p>
      <w:pPr>
        <w:sectPr>
          <w:pgSz w:w="11900" w:h="16838" w:orient="portrait"/>
          <w:cols w:equalWidth="0" w:num="2">
            <w:col w:w="7100" w:space="720"/>
            <w:col w:w="3420"/>
          </w:cols>
          <w:pgMar w:left="320" w:top="665" w:right="339" w:bottom="1440" w:gutter="0" w:footer="0" w:header="0"/>
          <w:type w:val="continuous"/>
        </w:sectPr>
      </w:pPr>
    </w:p>
    <w:tbl>
      <w:tblPr>
        <w:tblLayout w:type="fixed"/>
        <w:tblInd w:w="400" w:type="dxa"/>
        <w:tblCellMar>
          <w:top w:w="0" w:type="dxa"/>
          <w:left w:w="0" w:type="dxa"/>
          <w:bottom w:w="0" w:type="dxa"/>
          <w:right w:w="0" w:type="dxa"/>
        </w:tblCellMar>
      </w:tblPr>
      <w:tr>
        <w:trPr>
          <w:trHeight w:val="263"/>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742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20" w:type="dxa"/>
            <w:vAlign w:val="bottom"/>
            <w:vMerge w:val="continue"/>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right="380" w:hanging="250"/>
        <w:spacing w:after="0" w:line="277" w:lineRule="auto"/>
        <w:tabs>
          <w:tab w:leader="none" w:pos="432"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both the three months ended June 30, 2020 and 2019, approximately 0.7 million participating securities were paid dividends totaling $0.2 million. For both the three months ended June 30, 2020 and 2019, there were undistributed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665" w:right="339" w:bottom="1440" w:gutter="0" w:footer="0" w:header="0"/>
          <w:type w:val="continuous"/>
        </w:sectPr>
      </w:pPr>
    </w:p>
    <w:bookmarkStart w:id="12" w:name="page13"/>
    <w:bookmarkEnd w:id="12"/>
    <w:p>
      <w:pPr>
        <w:ind w:left="420" w:right="120"/>
        <w:spacing w:after="0" w:line="263" w:lineRule="auto"/>
        <w:rPr>
          <w:sz w:val="20"/>
          <w:szCs w:val="20"/>
          <w:color w:val="auto"/>
        </w:rPr>
      </w:pPr>
      <w:r>
        <w:rPr>
          <w:rFonts w:ascii="Arial" w:cs="Arial" w:eastAsia="Arial" w:hAnsi="Arial"/>
          <w:sz w:val="18"/>
          <w:szCs w:val="18"/>
          <w:color w:val="auto"/>
        </w:rPr>
        <w:t>earnings of $0.4 million allocated to the participating class of securities in both basic and diluted EPS. The allocated undistributed earnings and the dividends paid comprise the difference between net income presented on the condensed consolidated statements of operations and earnings for basic and diluted computations for both the three months ended June 30, 2020 and 2019.</w:t>
      </w:r>
    </w:p>
    <w:p>
      <w:pPr>
        <w:spacing w:after="0" w:line="29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EPS calculation for the three months ended June 30, 2020 and 2019 excludes 0.2 million and 0.1 million options, respectively, as their impact was anti-dilutive.</w:t>
      </w:r>
    </w:p>
    <w:p>
      <w:pPr>
        <w:spacing w:after="0" w:line="274" w:lineRule="exact"/>
        <w:rPr>
          <w:sz w:val="20"/>
          <w:szCs w:val="20"/>
          <w:color w:val="auto"/>
        </w:rPr>
      </w:pPr>
    </w:p>
    <w:p>
      <w:pPr>
        <w:ind w:left="420" w:right="6100" w:hanging="412"/>
        <w:spacing w:after="0" w:line="445" w:lineRule="auto"/>
        <w:tabs>
          <w:tab w:leader="none" w:pos="19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RECEIVABLE, NET OF ALLOWANCE </w:t>
      </w:r>
      <w:r>
        <w:rPr>
          <w:rFonts w:ascii="Arial" w:cs="Arial" w:eastAsia="Arial" w:hAnsi="Arial"/>
          <w:sz w:val="17"/>
          <w:szCs w:val="17"/>
          <w:color w:val="auto"/>
        </w:rPr>
        <w:t>Accounts receivable, net of allowance consisted of the following:</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00" w:type="dxa"/>
            <w:vAlign w:val="bottom"/>
          </w:tcPr>
          <w:p>
            <w:pPr>
              <w:jc w:val="right"/>
              <w:ind w:right="335"/>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4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526,500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474,822</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999,497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988,634</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(3,985)</w:t>
            </w: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 of allowance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1,521,545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1,459,471</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63,016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62,600</w:t>
            </w:r>
          </w:p>
        </w:tc>
      </w:tr>
      <w:tr>
        <w:trPr>
          <w:trHeight w:val="237"/>
        </w:trPr>
        <w:tc>
          <w:tcPr>
            <w:tcW w:w="818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1,584,561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1,522,071</w:t>
            </w:r>
          </w:p>
        </w:tc>
      </w:tr>
      <w:tr>
        <w:trPr>
          <w:trHeight w:val="27"/>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Unbilled amounts represent revenues for which billings have not been presented to customers at quarter-end or year-end.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The Company recognized a (benefit) provision for doubtful accounts of $(0.03) million and $1.9 million for the three months ended June 30, 2020 and 2019, respectively.</w:t>
      </w:r>
    </w:p>
    <w:p>
      <w:pPr>
        <w:spacing w:after="0" w:line="5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primary financial instruments, other than derivatives, that potentially subject the Company to concentrations of credit risk are accounts receivable. The Company's primary customers are U.S. federal government agencies and prime contractors under contracts with the U.S. government. The Company is exposed to credit risk primarily through global commercial customers. The Company continuously monitors its credit exposure through review of customer balances against contract terms, historical cash collections, outstanding past due status, current economic conditions and dispute resolution. It records provisions for doubtful accounts based on its expected credit losses considering historical experience, current information and reasonable and supportable forecasts of future economic conditions.</w:t>
      </w:r>
    </w:p>
    <w:p>
      <w:pPr>
        <w:spacing w:after="0" w:line="80" w:lineRule="exact"/>
        <w:rPr>
          <w:sz w:val="20"/>
          <w:szCs w:val="20"/>
          <w:color w:val="auto"/>
        </w:rPr>
      </w:pPr>
    </w:p>
    <w:p>
      <w:pPr>
        <w:ind w:left="440" w:right="5500" w:hanging="432"/>
        <w:spacing w:after="0" w:line="428" w:lineRule="auto"/>
        <w:tabs>
          <w:tab w:leader="none" w:pos="188"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8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20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383,523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432,953</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365,352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265,058</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748,875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698,011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Accrued expenses consisted primarily of the Company’s provision for claimed indirect costs, which were approximately $232.5 million and $224.6 million as of June 30, 2020 and March 31, 2020, respectively. See Note 18 for further discussion of this provision.</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66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8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114,359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59,688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41,604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196,443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159,512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22,778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33,300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301,405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DEBT</w:t>
            </w: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40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80" w:type="dxa"/>
            <w:vAlign w:val="bottom"/>
          </w:tcPr>
          <w:p>
            <w:pPr>
              <w:ind w:left="400"/>
              <w:spacing w:after="0"/>
              <w:rPr>
                <w:sz w:val="20"/>
                <w:szCs w:val="20"/>
                <w:color w:val="auto"/>
              </w:rPr>
            </w:pPr>
            <w:r>
              <w:rPr>
                <w:rFonts w:ascii="Arial" w:cs="Arial" w:eastAsia="Arial" w:hAnsi="Arial"/>
                <w:sz w:val="18"/>
                <w:szCs w:val="18"/>
                <w:color w:val="auto"/>
              </w:rPr>
              <w:t>Debt consisted of the following:</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tcBorders>
              <w:bottom w:val="single" w:sz="8" w:color="auto"/>
            </w:tcBorders>
            <w:gridSpan w:val="6"/>
          </w:tcPr>
          <w:p>
            <w:pPr>
              <w:jc w:val="right"/>
              <w:ind w:right="854"/>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5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Interest</w:t>
            </w:r>
          </w:p>
        </w:tc>
        <w:tc>
          <w:tcPr>
            <w:tcW w:w="1460" w:type="dxa"/>
            <w:vAlign w:val="bottom"/>
            <w:gridSpan w:val="3"/>
          </w:tcPr>
          <w:p>
            <w:pPr>
              <w:jc w:val="right"/>
              <w:ind w:right="349"/>
              <w:spacing w:after="0" w:line="153" w:lineRule="exact"/>
              <w:rPr>
                <w:sz w:val="20"/>
                <w:szCs w:val="20"/>
                <w:color w:val="auto"/>
              </w:rPr>
            </w:pPr>
            <w:r>
              <w:rPr>
                <w:rFonts w:ascii="Arial" w:cs="Arial" w:eastAsia="Arial" w:hAnsi="Arial"/>
                <w:sz w:val="14"/>
                <w:szCs w:val="14"/>
                <w:b w:val="1"/>
                <w:bCs w:val="1"/>
                <w:color w:val="auto"/>
              </w:rPr>
              <w:t>Outstanding</w:t>
            </w:r>
          </w:p>
        </w:tc>
        <w:tc>
          <w:tcPr>
            <w:tcW w:w="1400" w:type="dxa"/>
            <w:vAlign w:val="bottom"/>
            <w:gridSpan w:val="2"/>
          </w:tcPr>
          <w:p>
            <w:pPr>
              <w:jc w:val="right"/>
              <w:ind w:right="460"/>
              <w:spacing w:after="0" w:line="153"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400" w:type="dxa"/>
            <w:vAlign w:val="bottom"/>
          </w:tcPr>
          <w:p>
            <w:pPr>
              <w:spacing w:after="0"/>
              <w:rPr>
                <w:sz w:val="16"/>
                <w:szCs w:val="16"/>
                <w:color w:val="auto"/>
              </w:rPr>
            </w:pPr>
          </w:p>
        </w:tc>
        <w:tc>
          <w:tcPr>
            <w:tcW w:w="1060" w:type="dxa"/>
            <w:vAlign w:val="bottom"/>
            <w:gridSpan w:val="2"/>
          </w:tcPr>
          <w:p>
            <w:pPr>
              <w:jc w:val="right"/>
              <w:ind w:right="489"/>
              <w:spacing w:after="0"/>
              <w:rPr>
                <w:sz w:val="20"/>
                <w:szCs w:val="20"/>
                <w:color w:val="auto"/>
              </w:rPr>
            </w:pPr>
            <w:r>
              <w:rPr>
                <w:rFonts w:ascii="Arial" w:cs="Arial" w:eastAsia="Arial" w:hAnsi="Arial"/>
                <w:sz w:val="14"/>
                <w:szCs w:val="14"/>
                <w:b w:val="1"/>
                <w:bCs w:val="1"/>
                <w:color w:val="auto"/>
                <w:w w:val="93"/>
              </w:rPr>
              <w:t>Balance</w:t>
            </w: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1,345,245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1,363,739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4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387,129</w:t>
            </w:r>
          </w:p>
        </w:tc>
        <w:tc>
          <w:tcPr>
            <w:tcW w:w="10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388,102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Revolver</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0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Unamortized debt issuance costs and discount on debt</w:t>
            </w: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(15,181)</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tcPr>
          <w:p>
            <w:pPr>
              <w:ind w:left="380"/>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2,067,193</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2,185,844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Current portion of long-term debt</w:t>
            </w: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(77,865)</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tcPr>
          <w:p>
            <w:pPr>
              <w:ind w:left="1140"/>
              <w:spacing w:after="0"/>
              <w:rPr>
                <w:sz w:val="20"/>
                <w:szCs w:val="20"/>
                <w:color w:val="auto"/>
              </w:rPr>
            </w:pPr>
            <w:r>
              <w:rPr>
                <w:rFonts w:ascii="Arial" w:cs="Arial" w:eastAsia="Arial" w:hAnsi="Arial"/>
                <w:sz w:val="18"/>
                <w:szCs w:val="18"/>
                <w:color w:val="auto"/>
              </w:rPr>
              <w:t>Long-term debt, net of current portion</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1,989,328</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2,007,979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Loans and Revolving Credit Facility</w:t>
      </w:r>
    </w:p>
    <w:p>
      <w:pPr>
        <w:spacing w:after="0" w:line="11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November 26, 2019 (the "Amendment Effective Date"), Booz Allen Hamilton Inc. ("Booz Allen Hamilton") and Booz Allen Hamilton Investor Corporation ("Investor"), and certain wholly-owned subsidiaries of Booz Allen Hamilton, entered into the Seventh Amendment (the "Seventh Amendment") to the Credit Agreement (as amended, the "Credit Agreement"), dated as of July 31, 2012 among Booz Allen Hamilton, Investor, certain wholly-owned subsidiaries of Booz Allen Hamilton and Bank of America, N.A., as Administrative Agent and Collateral Agent and the other lenders and financial institutions from time to time party thereto (as previously amended by the First Amendment to the Credit Agreement, dated as of August 16, 2013, the Second Amendment to the Credit Agreement, dated as of May 7, 2014, the Third Amendment to the Credit Agreement, dated as of July 13, 2016, the Fourth Amendment to the Credit Agreement, dated as of February 6, 2017, the Fifth Amendment to the Credit Agreement, dated as of March 7, 2018, and the Sixth Amendment to the Credit Agreement, dated July 23, 2018). Pursuant to the Seventh Amendment, the Company reduced the applicable margin applicable to the Term Loan B ("Term Loan B" and, together with the Term Loan A, the "Term Loans") from 2.00% to 1.75% for LIBOR loans and from 1.00% to 0.75% for base rate loans and extended the maturity of the Term Loan B to November 26, 2026. The applicable margin and maturity date applicable to the Term Loan A (the "Term Loan A") remained unchanged.</w:t>
      </w:r>
    </w:p>
    <w:p>
      <w:pPr>
        <w:spacing w:after="0" w:line="74"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Prior to the Seventh Amendment, approximately $389.0 million was outstanding under Term Loan B. Pursuant to the Seventh Amendment, certain lenders converted their existing Term Loan B loans into a new tranche of Term Loan B loans in an aggregate amount, along with Term Loan B loans advanced by certain new lenders, of approximately $389.0 million (the “New Refinancing Tranche B Term Loans”). The proceeds from the new lenders were used to prepay in full all of the existing Term Loan B loans that were not converted into the new Term Loan B tranche. Voluntary prepayments of the New Refinancing Tranche B Term Loans are permitted at any time, in minimum principal amounts, without premium or penalty, subject to a 1.00% premium payable in connection with certain repricing transactions within the first six months after the Seventh Amendment. The other terms of the New Refinancing Tranche B Term Loans are generally the same as the existing Term Loan B prior to the Seventh Amendment.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661" w:right="339" w:bottom="1440" w:gutter="0" w:footer="0" w:header="0"/>
        </w:sectPr>
      </w:pPr>
    </w:p>
    <w:bookmarkStart w:id="14" w:name="page15"/>
    <w:bookmarkEnd w:id="14"/>
    <w:p>
      <w:pPr>
        <w:ind w:firstLine="405"/>
        <w:spacing w:after="0" w:line="288" w:lineRule="auto"/>
        <w:rPr>
          <w:sz w:val="20"/>
          <w:szCs w:val="20"/>
          <w:color w:val="auto"/>
        </w:rPr>
      </w:pPr>
      <w:r>
        <w:rPr>
          <w:rFonts w:ascii="Arial" w:cs="Arial" w:eastAsia="Arial" w:hAnsi="Arial"/>
          <w:sz w:val="16"/>
          <w:szCs w:val="16"/>
          <w:color w:val="auto"/>
        </w:rPr>
        <w:t>As of June 30, 2020, the Credit Agreement provided Booz Allen Hamilton with a $1,345.2 million Term Loan A, a $387.1 million Term Loan B, and $500.0 million revolving credit facility (the "Revolving Credit Facility") with a sub-limit for letters of credit of $100.0 million. As of June 30, 2020, the maturity date of Term Loan A and the termination date for the Revolving Credit Facility was July 23, 2023 and the maturity date of Term Loan B was November 26, 2026.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60"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at LIBOR (adjusted for maximum reserves, and subject to a floor of zero) for the applicable interest period or a base rate (equal to the highest of (x) the administrative agent’s prime corporate rate,</w:t>
      </w:r>
    </w:p>
    <w:p>
      <w:pPr>
        <w:ind w:right="20" w:firstLine="8"/>
        <w:spacing w:after="0" w:line="252"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1.75% for LIBOR loans and 0.75% for base rate loans. Unused commitments under the Revolving Credit Facility are subject to a quarterly fee ranging from 0.20% to 0.35% based on Booz Allen Hamilton’s consolidated total net leverage ratio.</w:t>
      </w:r>
    </w:p>
    <w:p>
      <w:pPr>
        <w:spacing w:after="0" w:line="86"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For both the three months ended June 30, 2020 and 2019, Booz Allen Hamilton accessed no amounts of its $500.0 million Revolving Credit Facility. As of June 30, 2020, there was no outstanding balance on the Revolving Credit Facility. As of March 31, 2020, $100.0 million was outstanding on the Revolving Credit Facility, which was repaid in June 2020.</w:t>
      </w:r>
    </w:p>
    <w:p>
      <w:pPr>
        <w:spacing w:after="0" w:line="7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62"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w:t>
      </w:r>
    </w:p>
    <w:p>
      <w:pPr>
        <w:spacing w:after="0" w:line="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investments; (vi) transactions with affiliates; (vii) change in fiscal periods; (viii) negative pledges; (ix) restrictive agreements; (x) line of business; and</w:t>
      </w:r>
    </w:p>
    <w:p>
      <w:pPr>
        <w:spacing w:after="0" w:line="32" w:lineRule="exact"/>
        <w:rPr>
          <w:rFonts w:ascii="Arial" w:cs="Arial" w:eastAsia="Arial" w:hAnsi="Arial"/>
          <w:sz w:val="16"/>
          <w:szCs w:val="16"/>
          <w:color w:val="auto"/>
        </w:rPr>
      </w:pPr>
    </w:p>
    <w:p>
      <w:pPr>
        <w:ind w:right="100" w:firstLine="8"/>
        <w:spacing w:after="0" w:line="281" w:lineRule="auto"/>
        <w:tabs>
          <w:tab w:leader="none" w:pos="305" w:val="left"/>
        </w:tabs>
        <w:numPr>
          <w:ilvl w:val="0"/>
          <w:numId w:val="9"/>
        </w:numPr>
        <w:rPr>
          <w:rFonts w:ascii="Arial" w:cs="Arial" w:eastAsia="Arial" w:hAnsi="Arial"/>
          <w:sz w:val="16"/>
          <w:szCs w:val="16"/>
          <w:color w:val="auto"/>
        </w:rPr>
      </w:pPr>
      <w:r>
        <w:rPr>
          <w:rFonts w:ascii="Arial" w:cs="Arial" w:eastAsia="Arial" w:hAnsi="Arial"/>
          <w:sz w:val="16"/>
          <w:szCs w:val="16"/>
          <w:color w:val="auto"/>
        </w:rPr>
        <w:t>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w:t>
      </w:r>
    </w:p>
    <w:p>
      <w:pPr>
        <w:spacing w:after="0" w:line="1" w:lineRule="exact"/>
        <w:rPr>
          <w:rFonts w:ascii="Arial" w:cs="Arial" w:eastAsia="Arial" w:hAnsi="Arial"/>
          <w:sz w:val="16"/>
          <w:szCs w:val="16"/>
          <w:color w:val="auto"/>
        </w:rPr>
      </w:pP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June 30, 2020 and March 31, 2020, Booz Allen Hamilton was in compliance with all financial covenants associated with its debt and debt-like instruments.</w:t>
      </w:r>
    </w:p>
    <w:p>
      <w:pPr>
        <w:spacing w:after="0" w:line="83"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For the three months ended June 30, 2020 and 2019, interest payments of $6.9 million and $13.3 million were made for Term Loan A and $2.2 million and $4.4 million were made for Term Loan B,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66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April 25, 2017, Booz Allen Hamilton issued $350 million aggregate principal amount of its 5.125% Senior Notes due 2025 (the "Senior Notes"), under an Indenture, dated as of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Each of Booz Allen Hamilton's existing and future domestic restricted subsidiaries that guarantee its obligations under the Secured Credit Facility and certain other indebtedness guarantee the Senior Notes on a senior unsecured basis. Booz Allen Hamilton has the right to redeem the Senior Notes at its option, in whole at any time or in part from time to time, upon certain required notice, at any time (i) on and after May 1, 2020, at a price equal to 102.56% of the principal amount of the Senior Notes, (ii) on or after May 1, 2021, at a price equal to 101.28% of the principal amount of the Senior Notes, and (iii) on May 1, 2022 and thereafter, at a price equal to 100.00% of the principal amount of the Senior Notes, in each case, plus accrued and unpaid interest, if any, to (but not including) the applicable redemption date. Interest is payable semi-annually on May 1 and November 1 of each year, beginning on November 1, 2017, and principal is due at maturity on May 1, 2025. In connection with the Senior Notes, the Company recognized $6.7 million of issuance costs, which were recorded as an offset against the carrying value of debt and will be amortized to interest expense over the term of the Senior Notes. For both the three months ended June 30, 2020 and 2019, Booz Allen Hamilton made interest payments of $9.0 million for the Senior Notes.</w:t>
      </w:r>
    </w:p>
    <w:p>
      <w:pPr>
        <w:spacing w:after="0" w:line="66" w:lineRule="exact"/>
        <w:rPr>
          <w:sz w:val="20"/>
          <w:szCs w:val="20"/>
          <w:color w:val="auto"/>
        </w:rPr>
      </w:pPr>
    </w:p>
    <w:p>
      <w:pPr>
        <w:ind w:right="260" w:firstLine="391"/>
        <w:spacing w:after="0" w:line="296" w:lineRule="auto"/>
        <w:rPr>
          <w:sz w:val="20"/>
          <w:szCs w:val="20"/>
          <w:color w:val="auto"/>
        </w:rPr>
      </w:pPr>
      <w:r>
        <w:rPr>
          <w:rFonts w:ascii="Arial" w:cs="Arial" w:eastAsia="Arial" w:hAnsi="Arial"/>
          <w:sz w:val="16"/>
          <w:szCs w:val="16"/>
          <w:color w:val="auto"/>
        </w:rPr>
        <w:t>Borrowings under the Term Loans, and if used, the Revolving Credit Facility, incur interest at a variable rate. In accordance with Booz Allen Hamilton’s risk management strategy, between April 6, 2017 and April 4, 2019, Booz Allen Hamilton executed a series of interest rate swaps. As of June 30, 2020, Booz Allen Hamilton had interest rate swaps with an aggregate notional amount of $1 billion. These instruments hedge the variability of cash outflows for interest payments on the floating portion of the term loan debt. The Company's objectives in using cash flow hedges are to reduce volatility due to interest rate movements and to add stability to interest expense (See Note 9 to our condensed consolidated financial statements).</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Interest on debt and debt-like instruments consisted of the following:</w:t>
      </w:r>
    </w:p>
    <w:p>
      <w:pPr>
        <w:spacing w:after="0" w:line="271"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13335</wp:posOffset>
            </wp:positionV>
            <wp:extent cx="19030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8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56"/>
        </w:trPr>
        <w:tc>
          <w:tcPr>
            <w:tcW w:w="7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shd w:val="clear" w:color="auto" w:fill="CCEEFF"/>
          </w:tcPr>
          <w:p>
            <w:pPr>
              <w:spacing w:after="0"/>
              <w:rPr>
                <w:sz w:val="22"/>
                <w:szCs w:val="22"/>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Term Loan A Interest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6,918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13,450</w:t>
            </w:r>
          </w:p>
        </w:tc>
      </w:tr>
      <w:tr>
        <w:trPr>
          <w:trHeight w:val="27"/>
        </w:trPr>
        <w:tc>
          <w:tcPr>
            <w:tcW w:w="7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B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4,420</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Interest on Revolving Credit Facility</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4,484</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Deferred Payment Obligation Interest</w:t>
            </w:r>
          </w:p>
        </w:tc>
        <w:tc>
          <w:tcPr>
            <w:tcW w:w="3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2,011</w:t>
            </w:r>
          </w:p>
        </w:tc>
      </w:tr>
      <w:tr>
        <w:trPr>
          <w:trHeight w:val="27"/>
        </w:trPr>
        <w:tc>
          <w:tcPr>
            <w:tcW w:w="7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Amortization of Debt Issuance Cost (DIC) and Original Issue Discount (OID) </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1,219</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Interest Swap Expense</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7"/>
        </w:trPr>
        <w:tc>
          <w:tcPr>
            <w:tcW w:w="7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r>
      <w:tr>
        <w:trPr>
          <w:trHeight w:val="257"/>
        </w:trPr>
        <w:tc>
          <w:tcPr>
            <w:tcW w:w="726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20,235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25,187</w:t>
            </w:r>
          </w:p>
        </w:tc>
      </w:tr>
      <w:tr>
        <w:trPr>
          <w:trHeight w:val="20"/>
        </w:trPr>
        <w:tc>
          <w:tcPr>
            <w:tcW w:w="7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180" w:right="100" w:hanging="10"/>
        <w:spacing w:after="0" w:line="238" w:lineRule="auto"/>
        <w:tabs>
          <w:tab w:leader="none" w:pos="372" w:val="left"/>
        </w:tabs>
        <w:numPr>
          <w:ilvl w:val="1"/>
          <w:numId w:val="10"/>
        </w:numPr>
        <w:rPr>
          <w:rFonts w:ascii="Arial" w:cs="Arial" w:eastAsia="Arial" w:hAnsi="Arial"/>
          <w:sz w:val="24"/>
          <w:szCs w:val="24"/>
          <w:color w:val="auto"/>
          <w:vertAlign w:val="superscript"/>
        </w:rPr>
      </w:pPr>
      <w:r>
        <w:rPr>
          <w:rFonts w:ascii="Arial" w:cs="Arial" w:eastAsia="Arial" w:hAnsi="Arial"/>
          <w:sz w:val="17"/>
          <w:szCs w:val="17"/>
          <w:color w:val="auto"/>
        </w:rPr>
        <w:t>DIC and OID on the Term Loans and Senior Notes are recorded as a reduction of long-term debt in the condensed consolidated balance sheet and are amortized ratably over the life of the related debt using the effective rate method. DIC on the Revolving Credit Facility is recorded as a long-term asset on the condensed consolidated balance sheet and amortized ratably over the term of the Revolving Credit Facility.</w:t>
      </w:r>
    </w:p>
    <w:p>
      <w:pPr>
        <w:spacing w:after="0" w:line="306" w:lineRule="exact"/>
        <w:rPr>
          <w:rFonts w:ascii="Arial" w:cs="Arial" w:eastAsia="Arial" w:hAnsi="Arial"/>
          <w:sz w:val="24"/>
          <w:szCs w:val="24"/>
          <w:color w:val="auto"/>
          <w:vertAlign w:val="superscript"/>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The aggregate notional amount of all interest rate swap agreements was $1 billion as of June 30, 2020. The swaps have staggered maturities, ranging from June 30, 2021 to June 30, 2025. These swaps mature within the last tranche of the Company's floating rate debt (November 26, 2026).</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665" w:right="379" w:bottom="1440" w:gutter="0" w:footer="0" w:header="0"/>
        </w:sectPr>
      </w:pPr>
    </w:p>
    <w:bookmarkStart w:id="16" w:name="page17"/>
    <w:bookmarkEnd w:id="16"/>
    <w:p>
      <w:pPr>
        <w:ind w:right="120" w:firstLine="405"/>
        <w:spacing w:after="0" w:line="263" w:lineRule="auto"/>
        <w:rPr>
          <w:sz w:val="20"/>
          <w:szCs w:val="20"/>
          <w:color w:val="auto"/>
        </w:rPr>
      </w:pPr>
      <w:r>
        <w:rPr>
          <w:rFonts w:ascii="Arial" w:cs="Arial" w:eastAsia="Arial" w:hAnsi="Arial"/>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 a portion of the variable rate debt into fixed interest rate debt.</w:t>
      </w:r>
    </w:p>
    <w:p>
      <w:pPr>
        <w:spacing w:after="0" w:line="76"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Derivative instruments are recorded in the condensed consolidated balance sheet on a gross basis at estimated fair value. As of June 30, 2020, $21.2 million and $37.4 million were classified as other current liabilities and other long-term liabilities, respectively, on the condensed consolidated balance sheet. As of March 31, 2020, $18.8 million, and $37.8 million were classified as other current liabilities, and other long-term liabilities, respectively, on the condensed consolidated balance sheet.</w:t>
      </w:r>
    </w:p>
    <w:p>
      <w:pPr>
        <w:spacing w:after="0" w:line="7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For interest rate swaps designated as cash flow hedges, the changes in the fair value of derivatives is recorded in Accumulated Other Comprehensive Loss, or AOCL, net of taxes, and is subsequently reclassified into interest expense in the period that the hedged forecasted interest payments are made on the Company's variable-rate debt. The effect of derivative instruments on the accompanying condensed consolidated financial statements for the three months ended June 30, 2020 and 2019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w w:val="93"/>
              </w:rPr>
              <w:t>Three Months Ended June 30,</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2"/>
            <w:vMerge w:val="restart"/>
          </w:tcPr>
          <w:p>
            <w:pPr>
              <w:jc w:val="center"/>
              <w:ind w:right="168"/>
              <w:spacing w:after="0"/>
              <w:rPr>
                <w:sz w:val="20"/>
                <w:szCs w:val="20"/>
                <w:color w:val="auto"/>
              </w:rPr>
            </w:pPr>
            <w:r>
              <w:rPr>
                <w:rFonts w:ascii="Arial" w:cs="Arial" w:eastAsia="Arial" w:hAnsi="Arial"/>
                <w:sz w:val="14"/>
                <w:szCs w:val="14"/>
                <w:b w:val="1"/>
                <w:bCs w:val="1"/>
                <w:color w:val="auto"/>
                <w:w w:val="93"/>
              </w:rPr>
              <w:t>Amount of Gain or (Loss)</w:t>
            </w:r>
          </w:p>
        </w:tc>
        <w:tc>
          <w:tcPr>
            <w:tcW w:w="120" w:type="dxa"/>
            <w:vAlign w:val="bottom"/>
          </w:tcPr>
          <w:p>
            <w:pPr>
              <w:spacing w:after="0"/>
              <w:rPr>
                <w:sz w:val="13"/>
                <w:szCs w:val="13"/>
                <w:color w:val="auto"/>
              </w:rPr>
            </w:pPr>
          </w:p>
        </w:tc>
        <w:tc>
          <w:tcPr>
            <w:tcW w:w="20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Amount of Gain or (Loss)</w:t>
            </w:r>
          </w:p>
        </w:tc>
        <w:tc>
          <w:tcPr>
            <w:tcW w:w="180" w:type="dxa"/>
            <w:vAlign w:val="bottom"/>
          </w:tcPr>
          <w:p>
            <w:pPr>
              <w:spacing w:after="0"/>
              <w:rPr>
                <w:sz w:val="13"/>
                <w:szCs w:val="13"/>
                <w:color w:val="auto"/>
              </w:rPr>
            </w:pPr>
          </w:p>
        </w:tc>
        <w:tc>
          <w:tcPr>
            <w:tcW w:w="2080" w:type="dxa"/>
            <w:vAlign w:val="bottom"/>
            <w:gridSpan w:val="2"/>
          </w:tcPr>
          <w:p>
            <w:pPr>
              <w:jc w:val="center"/>
              <w:ind w:right="28"/>
              <w:spacing w:after="0" w:line="153" w:lineRule="exact"/>
              <w:rPr>
                <w:sz w:val="20"/>
                <w:szCs w:val="20"/>
                <w:color w:val="auto"/>
              </w:rPr>
            </w:pPr>
            <w:r>
              <w:rPr>
                <w:rFonts w:ascii="Arial" w:cs="Arial" w:eastAsia="Arial" w:hAnsi="Arial"/>
                <w:sz w:val="14"/>
                <w:szCs w:val="14"/>
                <w:b w:val="1"/>
                <w:bCs w:val="1"/>
                <w:color w:val="auto"/>
                <w:w w:val="90"/>
              </w:rPr>
              <w:t>Interest Expense on Condensed</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Reclassified from AOCL into</w:t>
            </w:r>
          </w:p>
        </w:tc>
        <w:tc>
          <w:tcPr>
            <w:tcW w:w="180" w:type="dxa"/>
            <w:vAlign w:val="bottom"/>
          </w:tcPr>
          <w:p>
            <w:pPr>
              <w:spacing w:after="0"/>
              <w:rPr>
                <w:sz w:val="12"/>
                <w:szCs w:val="12"/>
                <w:color w:val="auto"/>
              </w:rPr>
            </w:pPr>
          </w:p>
        </w:tc>
        <w:tc>
          <w:tcPr>
            <w:tcW w:w="208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Consolidated Statements of</w:t>
            </w:r>
          </w:p>
        </w:tc>
        <w:tc>
          <w:tcPr>
            <w:tcW w:w="0" w:type="dxa"/>
            <w:vAlign w:val="bottom"/>
          </w:tcPr>
          <w:p>
            <w:pPr>
              <w:spacing w:after="0"/>
              <w:rPr>
                <w:sz w:val="1"/>
                <w:szCs w:val="1"/>
                <w:color w:val="auto"/>
              </w:rPr>
            </w:pPr>
          </w:p>
        </w:tc>
      </w:tr>
      <w:tr>
        <w:trPr>
          <w:trHeight w:val="198"/>
        </w:trPr>
        <w:tc>
          <w:tcPr>
            <w:tcW w:w="1880" w:type="dxa"/>
            <w:vAlign w:val="bottom"/>
          </w:tcPr>
          <w:p>
            <w:pPr>
              <w:ind w:left="40"/>
              <w:spacing w:after="0"/>
              <w:rPr>
                <w:sz w:val="20"/>
                <w:szCs w:val="20"/>
                <w:color w:val="auto"/>
              </w:rPr>
            </w:pPr>
            <w:r>
              <w:rPr>
                <w:rFonts w:ascii="Arial" w:cs="Arial" w:eastAsia="Arial" w:hAnsi="Arial"/>
                <w:sz w:val="14"/>
                <w:szCs w:val="14"/>
                <w:b w:val="1"/>
                <w:bCs w:val="1"/>
                <w:color w:val="auto"/>
              </w:rPr>
              <w:t>Derivatives in Cash Flow</w:t>
            </w:r>
          </w:p>
        </w:tc>
        <w:tc>
          <w:tcPr>
            <w:tcW w:w="264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Location of Gain or Loss Recognized</w:t>
            </w: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Recognized in AOCL on Derivatives</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left="608"/>
              <w:spacing w:after="0"/>
              <w:rPr>
                <w:sz w:val="20"/>
                <w:szCs w:val="20"/>
                <w:color w:val="auto"/>
              </w:rPr>
            </w:pPr>
            <w:r>
              <w:rPr>
                <w:rFonts w:ascii="Arial" w:cs="Arial" w:eastAsia="Arial" w:hAnsi="Arial"/>
                <w:sz w:val="14"/>
                <w:szCs w:val="14"/>
                <w:b w:val="1"/>
                <w:bCs w:val="1"/>
                <w:color w:val="auto"/>
                <w:w w:val="93"/>
              </w:rPr>
              <w:t>Income</w:t>
            </w: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b w:val="1"/>
                <w:bCs w:val="1"/>
                <w:color w:val="auto"/>
                <w:w w:val="94"/>
              </w:rPr>
              <w:t>Operations</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Hedging Relationships</w:t>
            </w:r>
          </w:p>
        </w:tc>
        <w:tc>
          <w:tcPr>
            <w:tcW w:w="264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2"/>
              </w:rPr>
              <w:t>in Income on Derivatives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15"/>
        </w:trPr>
        <w:tc>
          <w:tcPr>
            <w:tcW w:w="1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264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w w:val="88"/>
              </w:rPr>
              <w:t>Interest expense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(6,387)  $</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(19,748)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(4,441) $</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(20,235) $</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(25,187)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80" w:firstLine="405"/>
        <w:spacing w:after="0" w:line="342" w:lineRule="auto"/>
        <w:rPr>
          <w:sz w:val="20"/>
          <w:szCs w:val="20"/>
          <w:color w:val="auto"/>
        </w:rPr>
      </w:pPr>
      <w:r>
        <w:rPr>
          <w:rFonts w:ascii="Arial" w:cs="Arial" w:eastAsia="Arial" w:hAnsi="Arial"/>
          <w:sz w:val="16"/>
          <w:szCs w:val="16"/>
          <w:color w:val="auto"/>
        </w:rPr>
        <w:t>Over the next 12 months, the Company estimates that $21.4 million will be reclassified as an increase to interest expense. Cash flows associated with periodic settlements of interest rate swaps will be classified as operating activities in the condensed consolidated statement of cash flows.</w:t>
      </w:r>
    </w:p>
    <w:p>
      <w:pPr>
        <w:spacing w:after="0" w:line="16"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The Company’s total lease cost is recorded primarily within general and administrative expenses on the condensed consolidated statement of operations and consisted of the following:</w:t>
      </w:r>
    </w:p>
    <w:p>
      <w:pPr>
        <w:spacing w:after="0" w:line="108"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13335</wp:posOffset>
            </wp:positionV>
            <wp:extent cx="18345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87"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3660" w:type="dxa"/>
            <w:vAlign w:val="bottom"/>
            <w:tcBorders>
              <w:bottom w:val="single" w:sz="8" w:color="CCEEFF"/>
            </w:tcBorders>
          </w:tcPr>
          <w:p>
            <w:pPr>
              <w:spacing w:after="0"/>
              <w:rPr>
                <w:sz w:val="16"/>
                <w:szCs w:val="16"/>
                <w:color w:val="auto"/>
              </w:rPr>
            </w:pPr>
          </w:p>
        </w:tc>
        <w:tc>
          <w:tcPr>
            <w:tcW w:w="4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5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17,960</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4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4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57"/>
        </w:trPr>
        <w:tc>
          <w:tcPr>
            <w:tcW w:w="3660" w:type="dxa"/>
            <w:vAlign w:val="bottom"/>
          </w:tcPr>
          <w:p>
            <w:pPr>
              <w:ind w:left="160"/>
              <w:spacing w:after="0"/>
              <w:rPr>
                <w:sz w:val="20"/>
                <w:szCs w:val="20"/>
                <w:color w:val="auto"/>
              </w:rPr>
            </w:pPr>
            <w:r>
              <w:rPr>
                <w:rFonts w:ascii="Arial" w:cs="Arial" w:eastAsia="Arial" w:hAnsi="Arial"/>
                <w:sz w:val="18"/>
                <w:szCs w:val="18"/>
                <w:color w:val="auto"/>
              </w:rPr>
              <w:t>Total operating lease costs</w:t>
            </w:r>
          </w:p>
        </w:tc>
        <w:tc>
          <w:tcPr>
            <w:tcW w:w="41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22,262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22,939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180" w:type="dxa"/>
            <w:vAlign w:val="bottom"/>
            <w:vMerge w:val="restart"/>
          </w:tcPr>
          <w:p>
            <w:pPr>
              <w:jc w:val="right"/>
              <w:ind w:right="2290"/>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6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color w:val="auto"/>
        </w:rPr>
        <w:t>Future minimum operating lease payments for noncancelable operating leases as of June 30, 2020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Fiscal Year Ending</w:t>
            </w:r>
          </w:p>
        </w:tc>
        <w:tc>
          <w:tcPr>
            <w:tcW w:w="540" w:type="dxa"/>
            <w:vAlign w:val="bottom"/>
            <w:tcBorders>
              <w:bottom w:val="single" w:sz="8" w:color="CCEEFF"/>
            </w:tcBorders>
          </w:tcPr>
          <w:p>
            <w:pPr>
              <w:spacing w:after="0"/>
              <w:rPr>
                <w:sz w:val="16"/>
                <w:szCs w:val="16"/>
                <w:color w:val="auto"/>
              </w:rPr>
            </w:pPr>
          </w:p>
        </w:tc>
        <w:tc>
          <w:tcPr>
            <w:tcW w:w="234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Operating Lease Payments</w:t>
            </w:r>
          </w:p>
        </w:tc>
        <w:tc>
          <w:tcPr>
            <w:tcW w:w="0" w:type="dxa"/>
            <w:vAlign w:val="bottom"/>
          </w:tcPr>
          <w:p>
            <w:pPr>
              <w:spacing w:after="0"/>
              <w:rPr>
                <w:sz w:val="1"/>
                <w:szCs w:val="1"/>
                <w:color w:val="auto"/>
              </w:rPr>
            </w:pPr>
          </w:p>
        </w:tc>
      </w:tr>
      <w:tr>
        <w:trPr>
          <w:trHeight w:val="24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2021</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47,461</w:t>
            </w:r>
          </w:p>
        </w:tc>
        <w:tc>
          <w:tcPr>
            <w:tcW w:w="0" w:type="dxa"/>
            <w:vAlign w:val="bottom"/>
          </w:tcPr>
          <w:p>
            <w:pPr>
              <w:spacing w:after="0"/>
              <w:rPr>
                <w:sz w:val="1"/>
                <w:szCs w:val="1"/>
                <w:color w:val="auto"/>
              </w:rPr>
            </w:pP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66,454</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62,476</w:t>
            </w:r>
          </w:p>
        </w:tc>
        <w:tc>
          <w:tcPr>
            <w:tcW w:w="0" w:type="dxa"/>
            <w:vAlign w:val="bottom"/>
          </w:tcPr>
          <w:p>
            <w:pPr>
              <w:spacing w:after="0"/>
              <w:rPr>
                <w:sz w:val="1"/>
                <w:szCs w:val="1"/>
                <w:color w:val="auto"/>
              </w:rPr>
            </w:pP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51,212</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45,691</w:t>
            </w:r>
          </w:p>
        </w:tc>
        <w:tc>
          <w:tcPr>
            <w:tcW w:w="0" w:type="dxa"/>
            <w:vAlign w:val="bottom"/>
          </w:tcPr>
          <w:p>
            <w:pPr>
              <w:spacing w:after="0"/>
              <w:rPr>
                <w:sz w:val="1"/>
                <w:szCs w:val="1"/>
                <w:color w:val="auto"/>
              </w:rPr>
            </w:pP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86,459</w:t>
            </w:r>
          </w:p>
        </w:tc>
        <w:tc>
          <w:tcPr>
            <w:tcW w:w="0" w:type="dxa"/>
            <w:vAlign w:val="bottom"/>
          </w:tcPr>
          <w:p>
            <w:pPr>
              <w:spacing w:after="0"/>
              <w:rPr>
                <w:sz w:val="1"/>
                <w:szCs w:val="1"/>
                <w:color w:val="auto"/>
              </w:rPr>
            </w:pPr>
          </w:p>
        </w:tc>
      </w:tr>
      <w:tr>
        <w:trPr>
          <w:trHeight w:val="27"/>
        </w:trPr>
        <w:tc>
          <w:tcPr>
            <w:tcW w:w="78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future lease payments</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359,753</w:t>
            </w:r>
          </w:p>
        </w:tc>
        <w:tc>
          <w:tcPr>
            <w:tcW w:w="0" w:type="dxa"/>
            <w:vAlign w:val="bottom"/>
          </w:tcPr>
          <w:p>
            <w:pPr>
              <w:spacing w:after="0"/>
              <w:rPr>
                <w:sz w:val="1"/>
                <w:szCs w:val="1"/>
                <w:color w:val="auto"/>
              </w:rPr>
            </w:pP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Less: imputed interest</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(49,708)</w:t>
            </w:r>
          </w:p>
        </w:tc>
        <w:tc>
          <w:tcPr>
            <w:tcW w:w="0" w:type="dxa"/>
            <w:vAlign w:val="bottom"/>
          </w:tcPr>
          <w:p>
            <w:pPr>
              <w:spacing w:after="0"/>
              <w:rPr>
                <w:sz w:val="1"/>
                <w:szCs w:val="1"/>
                <w:color w:val="auto"/>
              </w:rPr>
            </w:pPr>
          </w:p>
        </w:tc>
      </w:tr>
      <w:tr>
        <w:trPr>
          <w:trHeight w:val="27"/>
        </w:trPr>
        <w:tc>
          <w:tcPr>
            <w:tcW w:w="78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liabilities</w:t>
            </w: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310,045</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42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8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gridSpan w:val="4"/>
          </w:tcPr>
          <w:p>
            <w:pPr>
              <w:jc w:val="center"/>
              <w:ind w:right="412"/>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78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84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19,912</w:t>
            </w:r>
          </w:p>
        </w:tc>
        <w:tc>
          <w:tcPr>
            <w:tcW w:w="0" w:type="dxa"/>
            <w:vAlign w:val="bottom"/>
          </w:tcPr>
          <w:p>
            <w:pPr>
              <w:spacing w:after="0"/>
              <w:rPr>
                <w:sz w:val="1"/>
                <w:szCs w:val="1"/>
                <w:color w:val="auto"/>
              </w:rPr>
            </w:pPr>
          </w:p>
        </w:tc>
      </w:tr>
      <w:tr>
        <w:trPr>
          <w:trHeight w:val="341"/>
        </w:trPr>
        <w:tc>
          <w:tcPr>
            <w:tcW w:w="7840" w:type="dxa"/>
            <w:vAlign w:val="bottom"/>
          </w:tcPr>
          <w:p>
            <w:pPr>
              <w:ind w:left="40"/>
              <w:spacing w:after="0"/>
              <w:rPr>
                <w:sz w:val="20"/>
                <w:szCs w:val="20"/>
                <w:color w:val="auto"/>
              </w:rPr>
            </w:pPr>
            <w:r>
              <w:rPr>
                <w:rFonts w:ascii="Arial" w:cs="Arial" w:eastAsia="Arial" w:hAnsi="Arial"/>
                <w:sz w:val="18"/>
                <w:szCs w:val="18"/>
                <w:color w:val="auto"/>
              </w:rPr>
              <w:t xml:space="preserve">Operating lease liabilities arising from obtaining ROU assets </w:t>
            </w:r>
            <w:r>
              <w:rPr>
                <w:rFonts w:ascii="Arial" w:cs="Arial" w:eastAsia="Arial" w:hAnsi="Arial"/>
                <w:sz w:val="25"/>
                <w:szCs w:val="25"/>
                <w:color w:val="auto"/>
                <w:vertAlign w:val="superscript"/>
              </w:rPr>
              <w:t>(1)</w:t>
            </w:r>
          </w:p>
        </w:tc>
        <w:tc>
          <w:tcPr>
            <w:tcW w:w="5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0" w:right="2820" w:hanging="7"/>
        <w:spacing w:after="0" w:line="467" w:lineRule="auto"/>
        <w:tabs>
          <w:tab w:leader="none" w:pos="6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all noncash increases and decreases arising from new or remeasured operating lease arrangements Other information related to leases was as follows:</w:t>
      </w: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1900" w:type="dxa"/>
            <w:vAlign w:val="bottom"/>
          </w:tcPr>
          <w:p>
            <w:pPr>
              <w:ind w:left="420"/>
              <w:spacing w:after="0"/>
              <w:rPr>
                <w:sz w:val="20"/>
                <w:szCs w:val="20"/>
                <w:color w:val="auto"/>
              </w:rPr>
            </w:pPr>
            <w:r>
              <w:rPr>
                <w:rFonts w:ascii="Arial" w:cs="Arial" w:eastAsia="Arial" w:hAnsi="Arial"/>
                <w:sz w:val="18"/>
                <w:szCs w:val="18"/>
                <w:b w:val="1"/>
                <w:bCs w:val="1"/>
                <w:color w:val="auto"/>
              </w:rPr>
              <w:t>June 30, 2020</w:t>
            </w:r>
          </w:p>
        </w:tc>
      </w:tr>
      <w:tr>
        <w:trPr>
          <w:trHeight w:val="27"/>
        </w:trPr>
        <w:tc>
          <w:tcPr>
            <w:tcW w:w="886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8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1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5.88</w:t>
            </w:r>
          </w:p>
        </w:tc>
      </w:tr>
      <w:tr>
        <w:trPr>
          <w:trHeight w:val="243"/>
        </w:trPr>
        <w:tc>
          <w:tcPr>
            <w:tcW w:w="886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1900" w:type="dxa"/>
            <w:vAlign w:val="bottom"/>
          </w:tcPr>
          <w:p>
            <w:pPr>
              <w:ind w:left="1400"/>
              <w:spacing w:after="0"/>
              <w:rPr>
                <w:sz w:val="20"/>
                <w:szCs w:val="20"/>
                <w:color w:val="auto"/>
              </w:rPr>
            </w:pPr>
            <w:r>
              <w:rPr>
                <w:rFonts w:ascii="Arial" w:cs="Arial" w:eastAsia="Arial" w:hAnsi="Arial"/>
                <w:sz w:val="18"/>
                <w:szCs w:val="18"/>
                <w:color w:val="auto"/>
                <w:w w:val="93"/>
              </w:rPr>
              <w:t>4.75%</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The Company’s effective income tax rates were 24.3% and 24.7% for the three months ended June 30, 2020 and 2019, respectively. The decrease in the effective tax rate as compared to the same period last fiscal year was primarily due to the larger excess tax benefits recognized in the current quarter. The three months effective tax rates of 24.3% and 24.7% differ from the federal statutory rate of 21.0% primarily due to the inclusion of state and foreign income taxes and permanent rate differences, which are predominantly related to certain executive compensation, partially offset by research and development tax credits and excess tax benefits for employee share-based compensation.</w:t>
      </w:r>
    </w:p>
    <w:p>
      <w:pPr>
        <w:spacing w:after="0" w:line="68"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Company is currently contesting tax assessments from the District of Columbia Office of Tax and Revenue for fiscal years 2013 through 2015 at various stages of applicable administrative and judicial processes, with a combined amount at issue of approximately $11.7 million, net of associated federal tax benefits as of June 30, 2020. The Company has taken similar tax positions with respect to subsequent fiscal years, net of expiring statute of limitations, totaling in aggregate $32.5 million. As of June 30, 2020, the Company does not maintain reserves for any uncertain tax positions related to the contested tax benefits or the similar tax positions taken in the subsequent fiscal years. Given the recoverable nature of the state tax expense, the Company does not believe that the resolution of these matters will have a material adverse effect on its results of operations, cash flows or financial condition.</w:t>
      </w:r>
    </w:p>
    <w:p>
      <w:pPr>
        <w:spacing w:after="0" w:line="56"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The Company maintained reserves for uncertain tax positions of $59.1 million and $56.1 million as of June 30, 2020 and March 31, 2020, respectively, which is included in other long-term liabilities in the accompanying condensed consolidated balance sheets. As of June 30, 2020, the Company maintained reserves for uncertain tax positions of $47.6 million relating to research and development tax credits and $10.2 million relating to the acquisition of eGov Holdings, Inc. (d/b/a Aquilent) in the fourth quarter of fiscal 2017 for pre-acquisition period tax return uncertain tax positions.</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320" w:top="557"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12.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00" w:type="dxa"/>
            <w:vAlign w:val="bottom"/>
          </w:tcPr>
          <w:p>
            <w:pPr>
              <w:jc w:val="right"/>
              <w:ind w:right="337"/>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 benefit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125,584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124,375</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Other (1)</w:t>
            </w:r>
          </w:p>
        </w:tc>
        <w:tc>
          <w:tcPr>
            <w:tcW w:w="2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208,125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207,312</w:t>
            </w: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long-term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333,709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331,687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80" w:firstLine="8"/>
        <w:spacing w:after="0" w:line="263"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Because of condensed financial statement presentation, components of other long-term liabilities at June 30, 2020 and March 31, 2020 primarily include the Company's long-term liability portion of the Company's derivative instruments, the long-term disability obligation, deferred tax liabilities and reserves for uncertain tax positions.</w:t>
      </w:r>
    </w:p>
    <w:p>
      <w:pPr>
        <w:spacing w:after="0" w:line="342" w:lineRule="exact"/>
        <w:rPr>
          <w:sz w:val="20"/>
          <w:szCs w:val="20"/>
          <w:color w:val="auto"/>
        </w:rPr>
      </w:pPr>
    </w:p>
    <w:p>
      <w:pPr>
        <w:ind w:left="340" w:right="8460" w:hanging="332"/>
        <w:spacing w:after="0" w:line="377" w:lineRule="auto"/>
        <w:tabs>
          <w:tab w:leader="none" w:pos="28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spacing w:after="0" w:line="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Company sponsors the Employees’ Capital Accumulation Plan, or ECAP, which is a qualified defined contribution plan that covers eligible U.S. and certain international employees. ECAP provides for distributions to participants by reason of retirement, death, disability, or termination of employment. The Company provides an annual matching contribution of up to 6% of eligible annual compensation. Total expense recognized under ECAP was $41.1 million and $36.9 million for the three months ended June 30, 2020 and 2019, respectively. The Company-paid contributions were $23.2 million and $19.9 million for the three months ended June 30, 2020 and 2019, respectively.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The Company provides postretirement healthcare benefits to former officers under a medical indemnity insurance plan, with premiums paid by the Company. This plan is referred to as the Officer Medical Plan. The Company also established a non-qualified defined benefit plan for all officers in May 1995, or the Retired Officers' Bonus Plan, which pays a lump-sum amount of $10,000 per year of service as an officer, provided the officer meets retirement vesting requirements. In addition, the Company provides a fixed annual allowance after retirement to cover financial counseling, tax preparation and other financial or wellness expenses. The Retired Officers' Bonus Plan is not salary related, but rather is based primarily on years of service. The Company also provides for a one-time lump sum retirement payment of one month’s salary when a vice-president retires from the Company. This is referred to as the Retired Vice-President Bonus Plan.</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7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13335</wp:posOffset>
            </wp:positionV>
            <wp:extent cx="17316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87"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72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1,239</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1,059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1,215</w:t>
            </w:r>
          </w:p>
        </w:tc>
      </w:tr>
      <w:tr>
        <w:trPr>
          <w:trHeight w:val="27"/>
        </w:trPr>
        <w:tc>
          <w:tcPr>
            <w:tcW w:w="72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8"/>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postretirement medical expense</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2,473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2,454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The service cost component of net periodic benefit cost is included in cost of revenue and general and administrative expenses, and the non-service cost components of net periodic benefit cost (interest cost and net actuarial loss) is included as part of other income (expense), net in the accompanying condensed consolidated statements of operations.</w:t>
      </w:r>
    </w:p>
    <w:p>
      <w:pPr>
        <w:spacing w:after="0" w:line="29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June 30, 2020 and March 31, 2020, the unfunded status of the post-retirement medical plan was $120.9 million and $119.6 million, respectively, which is included in other long-term liabilities in the accompanying condensed consolidated balance sheets.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553" w:right="33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b w:val="1"/>
          <w:bCs w:val="1"/>
          <w:i w:val="1"/>
          <w:iCs w:val="1"/>
          <w:color w:val="auto"/>
        </w:rPr>
        <w:t>Long-term Disability Benefits</w:t>
      </w:r>
    </w:p>
    <w:p>
      <w:pPr>
        <w:spacing w:after="0" w:line="117" w:lineRule="exact"/>
        <w:rPr>
          <w:sz w:val="20"/>
          <w:szCs w:val="20"/>
          <w:color w:val="auto"/>
        </w:rPr>
      </w:pPr>
    </w:p>
    <w:p>
      <w:pPr>
        <w:jc w:val="both"/>
        <w:ind w:right="160" w:firstLine="405"/>
        <w:spacing w:after="0" w:line="257" w:lineRule="auto"/>
        <w:rPr>
          <w:sz w:val="20"/>
          <w:szCs w:val="20"/>
          <w:color w:val="auto"/>
        </w:rPr>
      </w:pPr>
      <w:r>
        <w:rPr>
          <w:rFonts w:ascii="Arial" w:cs="Arial" w:eastAsia="Arial" w:hAnsi="Arial"/>
          <w:sz w:val="18"/>
          <w:szCs w:val="18"/>
          <w:color w:val="auto"/>
        </w:rPr>
        <w:t>The Company offers medical and dental benefits to inactive employees (and their eligible dependents) on long-term disability. These benefits do not vary with an employee's years of service; therefore, the Company is required to accrue the costs of the benefits at the date the inactive employee becomes disability eligible and elects to participate in the benefit. The accrued cost for such benefits is calculated using an actuarial estimate. The accrued cost for these benefits was $10.7 million at both June 30, 2020 and March 31, 2020, and is presented in other long-term liabilities in the accompanying condensed consolidated balance sheets.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The Company established a non-qualified deferred compensation plan (the "Plan") for certain executives and other highly compensated employees that was effective in fiscal 2018. Pursuant to the Plan, participants are eligible to defer up to 100% of their incentive cash compensation on a tax deferred basis in excess of the IRS limits imposed on 401(k) plans. The assets of the plan are held in a consolidated trust and are subject to the claims of the Company's general creditors under federal and state laws in the event of insolvency. Consequently, the trust qualifies as a Rabbi trust for income tax purposes.</w:t>
      </w:r>
    </w:p>
    <w:p>
      <w:pPr>
        <w:spacing w:after="0" w:line="80"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fair values of plan investments and obligations at June 30, 2020 and March 31, 2020 were $12.3 million and $5.9 million, respectively, and were recorded in other long-term assets and in other long-term liabilities, respectively, in the condensed consolidated balance sheets. Adjustments to the fair value of the plan investments and obligations are recorded in operating expenses.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plans and interest rate swaps designated as cash flow hedges. The following table shows the changes in accumulated other comprehensive loss, net of tax:</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gridSpan w:val="5"/>
          </w:tcPr>
          <w:p>
            <w:pPr>
              <w:jc w:val="center"/>
              <w:ind w:right="10"/>
              <w:spacing w:after="0"/>
              <w:rPr>
                <w:sz w:val="20"/>
                <w:szCs w:val="20"/>
                <w:color w:val="auto"/>
              </w:rPr>
            </w:pPr>
            <w:r>
              <w:rPr>
                <w:rFonts w:ascii="Arial" w:cs="Arial" w:eastAsia="Arial" w:hAnsi="Arial"/>
                <w:sz w:val="18"/>
                <w:szCs w:val="18"/>
                <w:b w:val="1"/>
                <w:bCs w:val="1"/>
                <w:color w:val="auto"/>
                <w:w w:val="90"/>
              </w:rPr>
              <w:t>Three Months Ended June 30, 2020</w:t>
            </w:r>
          </w:p>
        </w:tc>
      </w:tr>
      <w:tr>
        <w:trPr>
          <w:trHeight w:val="27"/>
        </w:trPr>
        <w:tc>
          <w:tcPr>
            <w:tcW w:w="6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Derivatives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Post-retirement</w:t>
            </w: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designated as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plans</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3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Totals</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(41,874)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(46,001)</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Other comprehensive loss before reclassifications (1)</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(4,722)</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(4,722)</w:t>
            </w: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3,305</w:t>
            </w:r>
          </w:p>
        </w:tc>
      </w:tr>
      <w:tr>
        <w:trPr>
          <w:trHeight w:val="237"/>
        </w:trPr>
        <w:tc>
          <w:tcPr>
            <w:tcW w:w="686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(47,418)</w:t>
            </w: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8"/>
        <w:spacing w:after="0" w:line="277"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benefits of $1.7 million for the three months ended June 30,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5"/>
          </w:tcPr>
          <w:p>
            <w:pPr>
              <w:jc w:val="center"/>
              <w:ind w:right="10"/>
              <w:spacing w:after="0"/>
              <w:rPr>
                <w:sz w:val="20"/>
                <w:szCs w:val="20"/>
                <w:color w:val="auto"/>
              </w:rPr>
            </w:pPr>
            <w:r>
              <w:rPr>
                <w:rFonts w:ascii="Arial" w:cs="Arial" w:eastAsia="Arial" w:hAnsi="Arial"/>
                <w:sz w:val="18"/>
                <w:szCs w:val="18"/>
                <w:b w:val="1"/>
                <w:bCs w:val="1"/>
                <w:color w:val="auto"/>
                <w:w w:val="90"/>
              </w:rPr>
              <w:t>Three Months Ended June 30, 2019</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Derivatives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Post-retirement</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designated as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plans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3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Totals</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Other comprehensive loss before reclassifications (2)</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(14,579)</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(14,579)</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Amounts reclassified from accumulated other comprehensive loss</w:t>
            </w:r>
          </w:p>
        </w:tc>
        <w:tc>
          <w:tcPr>
            <w:tcW w:w="1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7"/>
        </w:trPr>
        <w:tc>
          <w:tcPr>
            <w:tcW w:w="522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17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(14,965)</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(14,931)</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1170"/>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2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20" w:name="page21"/>
    <w:bookmarkEnd w:id="20"/>
    <w:p>
      <w:pPr>
        <w:ind w:right="44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other comprehensive loss before reclassification for derivatives designated as cash flow hedges are recorded net of tax benefits of $5.2 million for the three months ended June 30, 2019.</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75"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22860</wp:posOffset>
            </wp:positionV>
            <wp:extent cx="18859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8"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960" w:type="dxa"/>
            <w:vAlign w:val="bottom"/>
            <w:vMerge w:val="restart"/>
          </w:tcPr>
          <w:p>
            <w:pPr>
              <w:ind w:left="20"/>
              <w:spacing w:after="0"/>
              <w:rPr>
                <w:sz w:val="20"/>
                <w:szCs w:val="20"/>
                <w:color w:val="auto"/>
              </w:rPr>
            </w:pPr>
            <w:r>
              <w:rPr>
                <w:rFonts w:ascii="Arial" w:cs="Arial" w:eastAsia="Arial" w:hAnsi="Arial"/>
                <w:sz w:val="18"/>
                <w:szCs w:val="18"/>
                <w:color w:val="auto"/>
              </w:rPr>
              <w:t>Amounts reclassified from accumulated other comprehensive loss: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Post-retirement plans (Note 13):</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Amortization of net actuarial loss included in net periodic benefit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79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of tax</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Derivatives designated as cash flow hedges (Note 9):</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Reclassification of hedge loss (gain)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 expense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97"/>
        </w:trPr>
        <w:tc>
          <w:tcPr>
            <w:tcW w:w="7960" w:type="dxa"/>
            <w:vAlign w:val="bottom"/>
          </w:tcPr>
          <w:p>
            <w:pPr>
              <w:ind w:left="480"/>
              <w:spacing w:after="0"/>
              <w:rPr>
                <w:sz w:val="20"/>
                <w:szCs w:val="20"/>
                <w:color w:val="auto"/>
              </w:rPr>
            </w:pPr>
            <w:r>
              <w:rPr>
                <w:rFonts w:ascii="Arial" w:cs="Arial" w:eastAsia="Arial" w:hAnsi="Arial"/>
                <w:sz w:val="18"/>
                <w:szCs w:val="18"/>
                <w:color w:val="auto"/>
              </w:rPr>
              <w:t>Net of tax</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3,283</w:t>
            </w:r>
          </w:p>
        </w:tc>
        <w:tc>
          <w:tcPr>
            <w:tcW w:w="10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stock-based compensation expense recognized in the condensed consolidated statements of operations:</w:t>
      </w:r>
    </w:p>
    <w:p>
      <w:pPr>
        <w:spacing w:after="0" w:line="282"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6,335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4,510</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6,444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21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Incentive Plan Options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485</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Restricted Stock Awards</w:t>
            </w:r>
          </w:p>
        </w:tc>
        <w:tc>
          <w:tcPr>
            <w:tcW w:w="3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10,387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5,959</w:t>
            </w:r>
          </w:p>
        </w:tc>
      </w:tr>
      <w:tr>
        <w:trPr>
          <w:trHeight w:val="27"/>
        </w:trPr>
        <w:tc>
          <w:tcPr>
            <w:tcW w:w="8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6,444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As of June 30, 2020, there was $58.2 million of total unrecognized compensation cost related to unvested stock-based compensation agreements. The unrecognized compensation cost as of June 30, 2020 is expected to be fully amortized over the next 4.75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665" w:right="339" w:bottom="1440" w:gutter="0" w:footer="0" w:header="0"/>
        </w:sectPr>
      </w:pPr>
    </w:p>
    <w:bookmarkStart w:id="21" w:name="page22"/>
    <w:bookmarkEnd w:id="21"/>
    <w:tbl>
      <w:tblPr>
        <w:tblLayout w:type="fixed"/>
        <w:tblInd w:w="2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3"/>
          </w:tcPr>
          <w:p>
            <w:pPr>
              <w:ind w:left="138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52"/>
        </w:trPr>
        <w:tc>
          <w:tcPr>
            <w:tcW w:w="7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 to be Recognized (in</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3"/>
              </w:rPr>
              <w:t>Compensation Cost</w:t>
            </w: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49"/>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5,886</w:t>
            </w:r>
          </w:p>
        </w:tc>
        <w:tc>
          <w:tcPr>
            <w:tcW w:w="2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4.02</w:t>
            </w:r>
          </w:p>
        </w:tc>
        <w:tc>
          <w:tcPr>
            <w:tcW w:w="0" w:type="dxa"/>
            <w:vAlign w:val="bottom"/>
          </w:tcPr>
          <w:p>
            <w:pPr>
              <w:spacing w:after="0"/>
              <w:rPr>
                <w:sz w:val="1"/>
                <w:szCs w:val="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80" w:type="dxa"/>
            <w:vAlign w:val="bottom"/>
          </w:tcPr>
          <w:p>
            <w:pPr>
              <w:spacing w:after="0"/>
              <w:rPr>
                <w:sz w:val="21"/>
                <w:szCs w:val="21"/>
                <w:color w:val="auto"/>
              </w:rPr>
            </w:pPr>
          </w:p>
        </w:tc>
        <w:tc>
          <w:tcPr>
            <w:tcW w:w="1500" w:type="dxa"/>
            <w:vAlign w:val="bottom"/>
          </w:tcPr>
          <w:p>
            <w:pPr>
              <w:jc w:val="right"/>
              <w:ind w:right="19"/>
              <w:spacing w:after="0"/>
              <w:rPr>
                <w:sz w:val="20"/>
                <w:szCs w:val="20"/>
                <w:color w:val="auto"/>
              </w:rPr>
            </w:pPr>
            <w:r>
              <w:rPr>
                <w:rFonts w:ascii="Arial" w:cs="Arial" w:eastAsia="Arial" w:hAnsi="Arial"/>
                <w:sz w:val="18"/>
                <w:szCs w:val="18"/>
                <w:color w:val="auto"/>
              </w:rPr>
              <w:t>52,328</w:t>
            </w:r>
          </w:p>
        </w:tc>
        <w:tc>
          <w:tcPr>
            <w:tcW w:w="2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1.78</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58,214</w:t>
            </w:r>
          </w:p>
        </w:tc>
        <w:tc>
          <w:tcPr>
            <w:tcW w:w="1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During the three months ended June 30, 2020, 255,541 options were granted under the Amended and Restated Equity Incentive Plan, or EIP. The aggregate fair value of options granted was $3.3 million and was based on the estimated fair value per-option granted of $12.91.</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2020, there were 1,780,511 EIP options outstanding, of which 768,587 were unvested.</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the three months ended June 30, 2020, the Board of Directors granted 472,595 restricted stock units to certain employees of the Company. The aggregate value of these awards was $34.2 million based on the grant date stock price, which ranged from $69.60 to $79.74.</w:t>
      </w:r>
    </w:p>
    <w:p>
      <w:pPr>
        <w:spacing w:after="0" w:line="62"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As permitted under the terms of the EIP, the Compensation Committee, as Administrator of the EIP, authorized the withholding of taxes not to exceed the minimum statutory withholding amount, through the surrender of restricted stock units upon the vesting of restricted stock units and the surrender of shares of Class A Common Stock issuable upon the vesting of restricted stock. The participants surrendered 122,586 shares of Class A Common Stock issuable upon the vesting of restricted stock and recorded them as treasury shares at a cost of $9.1 million during the three months ended June 30, 2020.</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620" w:firstLine="405"/>
        <w:spacing w:after="0" w:line="342" w:lineRule="auto"/>
        <w:rPr>
          <w:sz w:val="20"/>
          <w:szCs w:val="20"/>
          <w:color w:val="auto"/>
        </w:rPr>
      </w:pPr>
      <w:r>
        <w:rPr>
          <w:rFonts w:ascii="Arial" w:cs="Arial" w:eastAsia="Arial" w:hAnsi="Arial"/>
          <w:sz w:val="16"/>
          <w:szCs w:val="16"/>
          <w:color w:val="auto"/>
        </w:rPr>
        <w:t>For the quarterly offering period that closed on June 30, 2020, 59,855 Class A Common Stock shares were purchased by employees under the Company's Employee Stock Purchase Plan, or ESPP. Since the program's inception, 2,719,658 shares have been purchased by employees.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12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9"/>
          </w:tcPr>
          <w:p>
            <w:pPr>
              <w:jc w:val="center"/>
              <w:ind w:left="610"/>
              <w:spacing w:after="0"/>
              <w:rPr>
                <w:sz w:val="20"/>
                <w:szCs w:val="20"/>
                <w:color w:val="auto"/>
              </w:rPr>
            </w:pPr>
            <w:r>
              <w:rPr>
                <w:rFonts w:ascii="Arial" w:cs="Arial" w:eastAsia="Arial" w:hAnsi="Arial"/>
                <w:sz w:val="18"/>
                <w:szCs w:val="18"/>
                <w:b w:val="1"/>
                <w:bCs w:val="1"/>
                <w:color w:val="auto"/>
                <w:w w:val="91"/>
              </w:rPr>
              <w:t>Recurring Fair Value Measurements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7"/>
              </w:rPr>
              <w:t>as of June 30, 2020</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Assets:</w:t>
            </w:r>
          </w:p>
        </w:tc>
        <w:tc>
          <w:tcPr>
            <w:tcW w:w="17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deferred compensation plan asset (1)</w:t>
            </w:r>
          </w:p>
        </w:tc>
        <w:tc>
          <w:tcPr>
            <w:tcW w:w="1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12,293</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7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12,293</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12,293</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Contingent consideration liability (2)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derivative instruments (3)</w:t>
            </w:r>
          </w:p>
        </w:tc>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21,224</w:t>
            </w:r>
          </w:p>
        </w:tc>
        <w:tc>
          <w:tcPr>
            <w:tcW w:w="0" w:type="dxa"/>
            <w:vAlign w:val="bottom"/>
          </w:tcPr>
          <w:p>
            <w:pPr>
              <w:spacing w:after="0"/>
              <w:rPr>
                <w:sz w:val="1"/>
                <w:szCs w:val="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Long-term derivative instruments (3)</w:t>
            </w:r>
          </w:p>
        </w:tc>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37,372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37,372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deferred compensation plan liability (1)</w:t>
            </w:r>
          </w:p>
        </w:tc>
        <w:tc>
          <w:tcPr>
            <w:tcW w:w="1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12,293</w:t>
            </w:r>
          </w:p>
        </w:tc>
        <w:tc>
          <w:tcPr>
            <w:tcW w:w="0" w:type="dxa"/>
            <w:vAlign w:val="bottom"/>
          </w:tcPr>
          <w:p>
            <w:pPr>
              <w:spacing w:after="0"/>
              <w:rPr>
                <w:sz w:val="1"/>
                <w:szCs w:val="1"/>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7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12,293</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58,596</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1,223</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72,112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720" w:type="dxa"/>
            <w:vAlign w:val="bottom"/>
            <w:vMerge w:val="restart"/>
          </w:tcPr>
          <w:p>
            <w:pPr>
              <w:jc w:val="right"/>
              <w:ind w:right="610"/>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468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9"/>
          </w:tcPr>
          <w:p>
            <w:pPr>
              <w:jc w:val="center"/>
              <w:ind w:left="630"/>
              <w:spacing w:after="0"/>
              <w:rPr>
                <w:sz w:val="20"/>
                <w:szCs w:val="20"/>
                <w:color w:val="auto"/>
              </w:rPr>
            </w:pPr>
            <w:r>
              <w:rPr>
                <w:rFonts w:ascii="Arial" w:cs="Arial" w:eastAsia="Arial" w:hAnsi="Arial"/>
                <w:sz w:val="18"/>
                <w:szCs w:val="18"/>
                <w:b w:val="1"/>
                <w:bCs w:val="1"/>
                <w:color w:val="auto"/>
                <w:w w:val="91"/>
              </w:rPr>
              <w:t>Recurring Fair Value Measurements</w:t>
            </w:r>
          </w:p>
        </w:tc>
        <w:tc>
          <w:tcPr>
            <w:tcW w:w="88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as of March 31, 2020</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64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deferred compensation plan asset (1)</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5,879</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5,879</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5,879</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Contingent consideration liability (2)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1,224</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derivative instruments (3)</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18,831</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Long-term derivative instruments (3)</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37,819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37,819</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deferred compensation plan liability (1)</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5,879</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5,879</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56,650</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1,224</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63,753</w:t>
            </w: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100" w:firstLine="8"/>
        <w:spacing w:after="0" w:line="259"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condensed consolidated balance sheets.</w:t>
      </w:r>
    </w:p>
    <w:p>
      <w:pPr>
        <w:spacing w:after="0" w:line="78" w:lineRule="exact"/>
        <w:rPr>
          <w:rFonts w:ascii="Arial" w:cs="Arial" w:eastAsia="Arial" w:hAnsi="Arial"/>
          <w:sz w:val="18"/>
          <w:szCs w:val="18"/>
          <w:color w:val="auto"/>
        </w:rPr>
      </w:pPr>
    </w:p>
    <w:p>
      <w:pPr>
        <w:jc w:val="both"/>
        <w:ind w:right="260" w:firstLine="8"/>
        <w:spacing w:after="0" w:line="263"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recognized a contingent consideration liability of $3.6 million in connection with its acquisition of Aquilent in fiscal 2017. As of both June 30, 2020 and March 31, 2020, the estimated fair value of the contingent consideration liability was $1.2 million, and was valued using probability-weighted cash flows, which is based on the use of Level 3 fair value measurement inputs.</w:t>
      </w:r>
    </w:p>
    <w:p>
      <w:pPr>
        <w:spacing w:after="0" w:line="183" w:lineRule="exact"/>
        <w:rPr>
          <w:rFonts w:ascii="Arial" w:cs="Arial" w:eastAsia="Arial" w:hAnsi="Arial"/>
          <w:sz w:val="18"/>
          <w:szCs w:val="18"/>
          <w:color w:val="auto"/>
        </w:rPr>
      </w:pPr>
    </w:p>
    <w:p>
      <w:pPr>
        <w:jc w:val="both"/>
        <w:ind w:right="360" w:firstLine="8"/>
        <w:spacing w:after="0" w:line="286"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to the condensed consolidated financial statements for further discussion on the Company’s derivative instruments designated as cash flow hedges.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 of the Company's cash and cash equivalents, which are Level 1 inputs, approximated its carrying values at June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2020. The fair value of the Company's debt instruments approximated its carrying value at June 30, 2020 and March 31, 2020. The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is determined using quoted prices or other market information obtained from recent trading activity of each debt tranche in markets that are not active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(Level 2 inputs). The fair value is corroborated by prices derived from the interest rate spreads of recently completed leveraged loan transactions of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similar credit profile, industry, and terms to that of the Company. The fair value of the Senior Notes is determined using quoted prices or other market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information obtained from recent trading activity in the high-yield bond market (Level 2 inputs).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RELATED-PARTY TRANSACTIONS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Two of our directors currently serve on the board of directors of a subcontractor to which the Company subcontracted $23.3 million and $24.2 million of services for the three months ended June 30, 2020 and 2019, respectively.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of June 30, 2020 and March 31, 2020, the Company was contingently liable under open standby letters of credit and bank guarantees issued by our banks in favor of third parties that totaled $9.6 million and $9.7 million, respectively. These letters of credit and bank guarantees primarily support insurance and bid and performance obligations. At both June 30, 2020 and March 31, 2020, approximately $0.9 million of these instruments reduced the available borrowings under the Revolving Credit Facility. The remainder is guaranteed under a separate $20.0 million facility, originally established in fiscal 2015 and most recently increased to $20.0 million in the first quarter of fiscal 2021, of which $11.3 million and $6.2 million were available to the Company at June 30, 2020 and March 31, 2020, respectively.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823" w:right="35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b w:val="1"/>
          <w:bCs w:val="1"/>
          <w:i w:val="1"/>
          <w:iCs w:val="1"/>
          <w:color w:val="auto"/>
        </w:rPr>
        <w:t>Government Contracting Matters - Provision for Claimed Indirect Costs</w:t>
      </w:r>
    </w:p>
    <w:p>
      <w:pPr>
        <w:spacing w:after="0" w:line="117"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For both the three months ended June 30, 2020 and 2019, approximately 97%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U.S. government contracts and subcontracts are subject to extensive legal and regulatory requirements. From time to time and in the ordinary course of business, agencies of the U.S. government audit our claimed indirect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(DCAA), routinely audit our claimed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and subcontracts.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claimed indirect costs for any audit, inquiry, or investigation of which it is aware that may be subject to any reductions and/or penalties. As of June 30, 2020 and March 31, 2020, the Company had recorded liabilities of approximately $232.5 million and $224.6 million, respectively, for estimated adjustments to claimed indirect costs based on its historical DCAA audit results, including the final resolution of such audits with the Defense Contract Management Agency, for claimed indirect costs incurred subsequent to fiscal 2011, and for contracts not yet closed that are subject to audit and final resolution.</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June 30, 2020 and March 31, 2020, there were no material amounts accrued in the condensed consolidated financial statements related to these proceedings.</w:t>
      </w:r>
    </w:p>
    <w:p>
      <w:pPr>
        <w:spacing w:after="0" w:line="60" w:lineRule="exact"/>
        <w:rPr>
          <w:sz w:val="20"/>
          <w:szCs w:val="20"/>
          <w:color w:val="auto"/>
        </w:rPr>
      </w:pPr>
    </w:p>
    <w:p>
      <w:pPr>
        <w:ind w:firstLine="391"/>
        <w:spacing w:after="0" w:line="269" w:lineRule="auto"/>
        <w:rPr>
          <w:sz w:val="20"/>
          <w:szCs w:val="20"/>
          <w:color w:val="auto"/>
        </w:rPr>
      </w:pPr>
      <w:r>
        <w:rPr>
          <w:rFonts w:ascii="Arial" w:cs="Arial" w:eastAsia="Arial" w:hAnsi="Arial"/>
          <w:sz w:val="17"/>
          <w:szCs w:val="17"/>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7" w:lineRule="exact"/>
        <w:rPr>
          <w:sz w:val="20"/>
          <w:szCs w:val="20"/>
          <w:color w:val="auto"/>
        </w:rPr>
      </w:pPr>
    </w:p>
    <w:p>
      <w:pPr>
        <w:ind w:right="20" w:firstLine="391"/>
        <w:spacing w:after="0" w:line="257" w:lineRule="auto"/>
        <w:rPr>
          <w:sz w:val="20"/>
          <w:szCs w:val="20"/>
          <w:color w:val="auto"/>
        </w:rPr>
      </w:pPr>
      <w:r>
        <w:rPr>
          <w:rFonts w:ascii="Arial" w:cs="Arial" w:eastAsia="Arial" w:hAnsi="Arial"/>
          <w:sz w:val="18"/>
          <w:szCs w:val="18"/>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665" w:right="339" w:bottom="1440" w:gutter="0" w:footer="0" w:header="0"/>
        </w:sectPr>
      </w:pPr>
    </w:p>
    <w:bookmarkStart w:id="24" w:name="page25"/>
    <w:bookmarkEnd w:id="24"/>
    <w:p>
      <w:pPr>
        <w:spacing w:after="0" w:line="296" w:lineRule="auto"/>
        <w:rPr>
          <w:sz w:val="20"/>
          <w:szCs w:val="20"/>
          <w:color w:val="auto"/>
        </w:rPr>
      </w:pPr>
      <w:r>
        <w:rPr>
          <w:rFonts w:ascii="Arial" w:cs="Arial" w:eastAsia="Arial" w:hAnsi="Arial"/>
          <w:sz w:val="16"/>
          <w:szCs w:val="16"/>
          <w:color w:val="auto"/>
        </w:rPr>
        <w:t>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3" w:lineRule="exact"/>
        <w:rPr>
          <w:sz w:val="20"/>
          <w:szCs w:val="20"/>
          <w:color w:val="auto"/>
        </w:rPr>
      </w:pPr>
    </w:p>
    <w:p>
      <w:pPr>
        <w:ind w:right="100" w:firstLine="391"/>
        <w:spacing w:after="0" w:line="270" w:lineRule="auto"/>
        <w:rPr>
          <w:sz w:val="20"/>
          <w:szCs w:val="20"/>
          <w:color w:val="auto"/>
        </w:rPr>
      </w:pPr>
      <w:r>
        <w:rPr>
          <w:rFonts w:ascii="Arial" w:cs="Arial" w:eastAsia="Arial" w:hAnsi="Arial"/>
          <w:sz w:val="17"/>
          <w:szCs w:val="17"/>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On May 27, 2020,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2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2020 filed with the Securities and Exchange Commission on May 26, 2020,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i w:val="1"/>
          <w:iCs w:val="1"/>
          <w:color w:val="auto"/>
        </w:rPr>
        <w:t>Our fiscal year ends March 31 and, unless otherwise noted, references to years or fiscal are for fiscal years ended March 31. See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are a leading provider of management and technology consulting, analytics, engineering, digital solutions, mission operations, and cyber services to U.S. and international governments, major corporations, and not-for-profit organizations. Our ability to deliver value to our clients has always been, and continues to be, a product of the strong character, expertise and tremendous passion of our people. Our approximately 27,400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161"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Through our dedication to our clients' missions, and a commitment to evolving our business to address their client needs, we have longstanding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aerospace, financial services, health and life sciences, energy, and transportation. Our international clients are primarily in Europe, the Middle East and Southeast Asia.</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66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the first quarter of fiscal 2021, the Company generated year over year revenue growth, delivered improved earnings over the prior year period, and increased client staff headcount.</w:t>
      </w:r>
    </w:p>
    <w:p>
      <w:pPr>
        <w:spacing w:after="0" w:line="62"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Revenue increased 7.2% from the three months ended June 30, 2019 to the three months ended June 30, 2020 primarily driven by sustained strength in client demand and headcount growth to meet that demand. Revenue growth this quarter was also impacted by lower-than-typical billable expenses, primarily due to the COVID-19 outbreak.</w:t>
      </w:r>
    </w:p>
    <w:p>
      <w:pPr>
        <w:spacing w:after="0" w:line="76"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Operating income increased 7.2% to $191.9 million in the three months ended June 30, 2020 from $179.0 million in the three months ended June 30, 2019, while operating margin remained flat at 9.8%. The increase in the current quarter operating income was primarily driven by the same factors as growth in revenue as well as strong contract level performance and effective cost management, all of which were partially offset by the inability to recognize revenue on, or bill for, fee on certain contracts involving a ready workforce of approximately $12.0 million. The Company also incurred incremental legal costs during the three months ended June 30, 2020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124"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are monitoring the evolving situation related to the COVID-19 outbreak and we continue to work with our stakeholders to assess further possible implications to our business and to take actions in an effort to mitigate adverse consequences. To protect employee health and safety while COVID-19 remains a threat, we plan to continue to deliver a majority of our services to clients via telework for the foreseeable future. In cases where telework options or effectiveness are limited, we are working closely with clients to achieve safe return plans guided by federal, state and local policies and advice from other experts. We are also working closely with our clients, where classified work is concentrated, to retain continuity of service and ensure a ready workforce. We expect to continue to be impacted by the inability of certain employees to perform their contract requirements at their designated work locations due to facility closures or restrictions as a result of COVID-19 and cannot perform such work remotely. While the CARES Act contains a provision that allows federal contractors to seek specified reimbursement for certain employees who are unable to perform their contract requirements due to government restrictions and we have been reimbursed for certain of these costs, such provision does not require the government to reimburse a contractor and reimbursements are also subject to limitations and do not extend past September 30, 2020. As a result, we believe that some of our costs incurred prior to the passage of the CARES Act for certain employees who are unable to perform their contract requirements due to government restrictions will not be reimbursed and we currently expect that going forward approximately $2 million to $4 million per month for the fee on certain contracts involving a ready workforce may not be reimbursed or may exceed reimbursements in the near term. Through June 30, 2020, we have withheld recognition of revenue associated with these amounts at risk of not being reimbursed. Although we cannot currently predict the overall impact of the COVID-19 outbreak, the longer the duration of the event, the more likely it is that it could have an adverse effect on our business, financial position, results of operations and/or cash flows.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66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EPS,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65" w:lineRule="exact"/>
        <w:rPr>
          <w:sz w:val="20"/>
          <w:szCs w:val="20"/>
          <w:color w:val="auto"/>
        </w:rPr>
      </w:pPr>
    </w:p>
    <w:p>
      <w:pPr>
        <w:ind w:left="1300" w:hanging="644"/>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78" w:lineRule="exact"/>
        <w:rPr>
          <w:rFonts w:ascii="Arial" w:cs="Arial" w:eastAsia="Arial" w:hAnsi="Arial"/>
          <w:sz w:val="18"/>
          <w:szCs w:val="18"/>
          <w:color w:val="auto"/>
        </w:rPr>
      </w:pPr>
    </w:p>
    <w:p>
      <w:pPr>
        <w:ind w:left="1300" w:right="120" w:hanging="644"/>
        <w:spacing w:after="0" w:line="279"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Operating Income" represents operating income before transaction costs, fees, losses, and expenses, including fees associated with debt prepayments and supplemental employee benefits due to the COVID-19 outbreak.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63" w:lineRule="exact"/>
        <w:rPr>
          <w:rFonts w:ascii="Arial" w:cs="Arial" w:eastAsia="Arial" w:hAnsi="Arial"/>
          <w:sz w:val="17"/>
          <w:szCs w:val="17"/>
          <w:color w:val="auto"/>
        </w:rPr>
      </w:pPr>
    </w:p>
    <w:p>
      <w:pPr>
        <w:ind w:left="1300" w:right="60" w:hanging="644"/>
        <w:spacing w:after="0" w:line="271"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EBITDA" represents net income before income taxes, net interest and other expense and depreciation and amortization and before certain other items, including transaction costs, fees, losses, and expenses, including fees associated with debt prepayments and supplemental employee benefits due to the COVID-19 outbreak.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70" w:lineRule="exact"/>
        <w:rPr>
          <w:rFonts w:ascii="Arial" w:cs="Arial" w:eastAsia="Arial" w:hAnsi="Arial"/>
          <w:sz w:val="17"/>
          <w:szCs w:val="17"/>
          <w:color w:val="auto"/>
        </w:rPr>
      </w:pPr>
    </w:p>
    <w:p>
      <w:pPr>
        <w:jc w:val="both"/>
        <w:ind w:left="1300" w:right="100" w:hanging="644"/>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Net Income" represents net income before: (i) supplemental employee benefits due to the COVID-19 outbreak, (ii) release of income tax reserves, and (iii) amortization or write-off of debt issuance costs and write-off of original issue discount, in each case net of the tax effect where appropriate calculated using an assumed effective tax rate. We prepare Adjusted Net Income to eliminate the impact of items, net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661" w:right="359" w:bottom="1440" w:gutter="0" w:footer="0" w:header="0"/>
        </w:sectPr>
      </w:pPr>
    </w:p>
    <w:bookmarkStart w:id="27" w:name="page28"/>
    <w:bookmarkEnd w:id="27"/>
    <w:p>
      <w:pPr>
        <w:ind w:left="644"/>
        <w:spacing w:after="0" w:line="277" w:lineRule="auto"/>
        <w:rPr>
          <w:sz w:val="20"/>
          <w:szCs w:val="20"/>
          <w:color w:val="auto"/>
        </w:rPr>
      </w:pPr>
      <w:r>
        <w:rPr>
          <w:rFonts w:ascii="Arial" w:cs="Arial" w:eastAsia="Arial" w:hAnsi="Arial"/>
          <w:sz w:val="18"/>
          <w:szCs w:val="18"/>
          <w:color w:val="auto"/>
        </w:rPr>
        <w:t>tax, we do not consider indicative of ongoing operating performance due to their inherent unusual, extraordinary, or non-recurring nature or because they result from an event of a similar nature.</w:t>
      </w:r>
    </w:p>
    <w:p>
      <w:pPr>
        <w:spacing w:after="0" w:line="62" w:lineRule="exact"/>
        <w:rPr>
          <w:sz w:val="20"/>
          <w:szCs w:val="20"/>
          <w:color w:val="auto"/>
        </w:rPr>
      </w:pPr>
    </w:p>
    <w:p>
      <w:pPr>
        <w:jc w:val="both"/>
        <w:ind w:left="644" w:right="20" w:hanging="644"/>
        <w:spacing w:after="0" w:line="263" w:lineRule="auto"/>
        <w:tabs>
          <w:tab w:leader="none" w:pos="6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75" w:lineRule="exact"/>
        <w:rPr>
          <w:rFonts w:ascii="Arial" w:cs="Arial" w:eastAsia="Arial" w:hAnsi="Arial"/>
          <w:sz w:val="18"/>
          <w:szCs w:val="18"/>
          <w:color w:val="auto"/>
        </w:rPr>
      </w:pPr>
    </w:p>
    <w:p>
      <w:pPr>
        <w:ind w:left="644" w:right="280" w:hanging="644"/>
        <w:spacing w:after="0" w:line="277" w:lineRule="auto"/>
        <w:tabs>
          <w:tab w:leader="none" w:pos="6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"Free Cash Flow" represents the net cash generated from operating activities less the impact of purchases of property, equipment and software.</w:t>
      </w:r>
    </w:p>
    <w:p>
      <w:pPr>
        <w:spacing w:after="0" w:line="17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04"/>
          </w:cols>
          <w:pgMar w:left="976" w:top="665" w:right="419" w:bottom="1440" w:gutter="0" w:footer="0" w:header="0"/>
        </w:sectPr>
      </w:pPr>
    </w:p>
    <w:bookmarkStart w:id="28" w:name="page29"/>
    <w:bookmarkEnd w:id="28"/>
    <w:p>
      <w:pPr>
        <w:jc w:val="both"/>
        <w:ind w:right="120" w:firstLine="405"/>
        <w:spacing w:after="0" w:line="263" w:lineRule="auto"/>
        <w:rPr>
          <w:sz w:val="20"/>
          <w:szCs w:val="20"/>
          <w:color w:val="auto"/>
        </w:rPr>
      </w:pPr>
      <w:r>
        <w:rPr>
          <w:rFonts w:ascii="Arial" w:cs="Arial" w:eastAsia="Arial" w:hAnsi="Arial"/>
          <w:sz w:val="18"/>
          <w:szCs w:val="18"/>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812"/>
              <w:spacing w:after="0"/>
              <w:rPr>
                <w:sz w:val="20"/>
                <w:szCs w:val="20"/>
                <w:color w:val="auto"/>
              </w:rPr>
            </w:pPr>
            <w:r>
              <w:rPr>
                <w:rFonts w:ascii="Arial" w:cs="Arial" w:eastAsia="Arial" w:hAnsi="Arial"/>
                <w:sz w:val="14"/>
                <w:szCs w:val="14"/>
                <w:b w:val="1"/>
                <w:bCs w:val="1"/>
                <w:color w:val="auto"/>
                <w:w w:val="92"/>
              </w:rPr>
              <w:t>June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3"/>
          </w:tcPr>
          <w:p>
            <w:pPr>
              <w:jc w:val="center"/>
              <w:ind w:left="812"/>
              <w:spacing w:after="0"/>
              <w:rPr>
                <w:sz w:val="20"/>
                <w:szCs w:val="20"/>
                <w:color w:val="auto"/>
              </w:rPr>
            </w:pPr>
            <w:r>
              <w:rPr>
                <w:rFonts w:ascii="Arial" w:cs="Arial" w:eastAsia="Arial" w:hAnsi="Arial"/>
                <w:sz w:val="14"/>
                <w:szCs w:val="14"/>
                <w:b w:val="1"/>
                <w:bCs w:val="1"/>
                <w:color w:val="auto"/>
                <w:w w:val="97"/>
              </w:rPr>
              <w:t>(Unaudited)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 Excluding Billable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1,956,453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1,825,176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Billable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549,077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551,175</w:t>
            </w:r>
          </w:p>
        </w:tc>
        <w:tc>
          <w:tcPr>
            <w:tcW w:w="0" w:type="dxa"/>
            <w:vAlign w:val="bottom"/>
          </w:tcPr>
          <w:p>
            <w:pPr>
              <w:spacing w:after="0"/>
              <w:rPr>
                <w:sz w:val="1"/>
                <w:szCs w:val="1"/>
                <w:color w:val="auto"/>
              </w:rPr>
            </w:pPr>
          </w:p>
        </w:tc>
      </w:tr>
      <w:tr>
        <w:trPr>
          <w:trHeight w:val="237"/>
        </w:trPr>
        <w:tc>
          <w:tcPr>
            <w:tcW w:w="7980" w:type="dxa"/>
            <w:vAlign w:val="bottom"/>
          </w:tcPr>
          <w:p>
            <w:pPr>
              <w:ind w:left="500"/>
              <w:spacing w:after="0"/>
              <w:rPr>
                <w:sz w:val="20"/>
                <w:szCs w:val="20"/>
                <w:color w:val="auto"/>
              </w:rPr>
            </w:pPr>
            <w:r>
              <w:rPr>
                <w:rFonts w:ascii="Arial" w:cs="Arial" w:eastAsia="Arial" w:hAnsi="Arial"/>
                <w:sz w:val="18"/>
                <w:szCs w:val="18"/>
                <w:color w:val="auto"/>
              </w:rPr>
              <w:t>Revenue, Excluding Billable Expenses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1,407,376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1,274,001</w:t>
            </w:r>
          </w:p>
        </w:tc>
        <w:tc>
          <w:tcPr>
            <w:tcW w:w="0" w:type="dxa"/>
            <w:vAlign w:val="bottom"/>
          </w:tcPr>
          <w:p>
            <w:pPr>
              <w:spacing w:after="0"/>
              <w:rPr>
                <w:sz w:val="1"/>
                <w:szCs w:val="1"/>
                <w:color w:val="auto"/>
              </w:rPr>
            </w:pPr>
          </w:p>
        </w:tc>
      </w:tr>
      <w:tr>
        <w:trPr>
          <w:trHeight w:val="67"/>
        </w:trPr>
        <w:tc>
          <w:tcPr>
            <w:tcW w:w="79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Operating Income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191,887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179,046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COVID-19 supplemental employee benefits (a)</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80" w:type="dxa"/>
            <w:vAlign w:val="bottom"/>
          </w:tcPr>
          <w:p>
            <w:pPr>
              <w:ind w:left="500"/>
              <w:spacing w:after="0"/>
              <w:rPr>
                <w:sz w:val="20"/>
                <w:szCs w:val="20"/>
                <w:color w:val="auto"/>
              </w:rPr>
            </w:pPr>
            <w:r>
              <w:rPr>
                <w:rFonts w:ascii="Arial" w:cs="Arial" w:eastAsia="Arial" w:hAnsi="Arial"/>
                <w:sz w:val="18"/>
                <w:szCs w:val="18"/>
                <w:color w:val="auto"/>
              </w:rPr>
              <w:t>Adjusted Operating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192,229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179,046</w:t>
            </w:r>
          </w:p>
        </w:tc>
        <w:tc>
          <w:tcPr>
            <w:tcW w:w="0" w:type="dxa"/>
            <w:vAlign w:val="bottom"/>
          </w:tcPr>
          <w:p>
            <w:pPr>
              <w:spacing w:after="0"/>
              <w:rPr>
                <w:sz w:val="1"/>
                <w:szCs w:val="1"/>
                <w:color w:val="auto"/>
              </w:rPr>
            </w:pPr>
          </w:p>
        </w:tc>
      </w:tr>
      <w:tr>
        <w:trPr>
          <w:trHeight w:val="67"/>
        </w:trPr>
        <w:tc>
          <w:tcPr>
            <w:tcW w:w="79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798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b w:val="1"/>
                <w:bCs w:val="1"/>
                <w:i w:val="1"/>
                <w:iCs w:val="1"/>
                <w:color w:val="auto"/>
              </w:rPr>
              <w:t>EBITDA, Adjusted EBITDA, Adjusted EBITDA Margin on Revenue &amp; Adjusted</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EBITDA Margin on Revenue, Excluding Billable Expenses</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129,329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117,386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41,487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38,444</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Interest and other, net (b)</w:t>
            </w: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21,071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23,216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20,732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37"/>
        </w:trPr>
        <w:tc>
          <w:tcPr>
            <w:tcW w:w="7980" w:type="dxa"/>
            <w:vAlign w:val="bottom"/>
          </w:tcPr>
          <w:p>
            <w:pPr>
              <w:ind w:left="50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212,619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199,067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COVID-19 supplemental employee benefits (a)</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80" w:type="dxa"/>
            <w:vAlign w:val="bottom"/>
          </w:tcPr>
          <w:p>
            <w:pPr>
              <w:ind w:left="50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212,961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199,067</w:t>
            </w:r>
          </w:p>
        </w:tc>
        <w:tc>
          <w:tcPr>
            <w:tcW w:w="0" w:type="dxa"/>
            <w:vAlign w:val="bottom"/>
          </w:tcPr>
          <w:p>
            <w:pPr>
              <w:spacing w:after="0"/>
              <w:rPr>
                <w:sz w:val="1"/>
                <w:szCs w:val="1"/>
                <w:color w:val="auto"/>
              </w:rPr>
            </w:pPr>
          </w:p>
        </w:tc>
      </w:tr>
      <w:tr>
        <w:trPr>
          <w:trHeight w:val="67"/>
        </w:trPr>
        <w:tc>
          <w:tcPr>
            <w:tcW w:w="79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98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Adjusted EBITDA Margin on Revenue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7980" w:type="dxa"/>
            <w:vAlign w:val="bottom"/>
          </w:tcPr>
          <w:p>
            <w:pPr>
              <w:ind w:left="500"/>
              <w:spacing w:after="0"/>
              <w:rPr>
                <w:sz w:val="20"/>
                <w:szCs w:val="20"/>
                <w:color w:val="auto"/>
              </w:rPr>
            </w:pPr>
            <w:r>
              <w:rPr>
                <w:rFonts w:ascii="Arial" w:cs="Arial" w:eastAsia="Arial" w:hAnsi="Arial"/>
                <w:sz w:val="18"/>
                <w:szCs w:val="18"/>
                <w:color w:val="auto"/>
              </w:rPr>
              <w:t>Adjusted EBITDA Margin on Revenue, Excluding Billable Expenses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129,329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117,386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COVID-19 supplemental employee benefits (a)</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Release of income tax reserves (c)</w:t>
            </w:r>
          </w:p>
        </w:tc>
        <w:tc>
          <w:tcPr>
            <w:tcW w:w="2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or write-off of debt issuance costs and write-off of original issue discount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Adjustments for tax effect (d)</w:t>
            </w:r>
          </w:p>
        </w:tc>
        <w:tc>
          <w:tcPr>
            <w:tcW w:w="2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Adjusted 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129,897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117,724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number of diluted shares outstanding</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139,172,454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3"/>
              </w:rPr>
              <w:t>141,129,301</w:t>
            </w:r>
          </w:p>
        </w:tc>
        <w:tc>
          <w:tcPr>
            <w:tcW w:w="0" w:type="dxa"/>
            <w:vAlign w:val="bottom"/>
          </w:tcPr>
          <w:p>
            <w:pPr>
              <w:spacing w:after="0"/>
              <w:rPr>
                <w:sz w:val="1"/>
                <w:szCs w:val="1"/>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Adjusted Net Income Per Diluted Share (e)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67"/>
        </w:trPr>
        <w:tc>
          <w:tcPr>
            <w:tcW w:w="79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140,418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50,983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equipment and software</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(20,058)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(27,336)</w:t>
            </w:r>
          </w:p>
        </w:tc>
        <w:tc>
          <w:tcPr>
            <w:tcW w:w="0" w:type="dxa"/>
            <w:vAlign w:val="bottom"/>
          </w:tcPr>
          <w:p>
            <w:pPr>
              <w:spacing w:after="0"/>
              <w:rPr>
                <w:sz w:val="1"/>
                <w:szCs w:val="1"/>
                <w:color w:val="auto"/>
              </w:rPr>
            </w:pPr>
          </w:p>
        </w:tc>
      </w:tr>
      <w:tr>
        <w:trPr>
          <w:trHeight w:val="236"/>
        </w:trPr>
        <w:tc>
          <w:tcPr>
            <w:tcW w:w="7980" w:type="dxa"/>
            <w:vAlign w:val="bottom"/>
          </w:tcPr>
          <w:p>
            <w:pPr>
              <w:ind w:left="500"/>
              <w:spacing w:after="0"/>
              <w:rPr>
                <w:sz w:val="20"/>
                <w:szCs w:val="20"/>
                <w:color w:val="auto"/>
              </w:rPr>
            </w:pPr>
            <w:r>
              <w:rPr>
                <w:rFonts w:ascii="Arial" w:cs="Arial" w:eastAsia="Arial" w:hAnsi="Arial"/>
                <w:sz w:val="18"/>
                <w:szCs w:val="18"/>
                <w:color w:val="auto"/>
              </w:rPr>
              <w:t>Free Cash Flow</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120,360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23,647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supplemental contribution to employees' dependent care FSA accounts in response to the COVID-19 outbreak.</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Reflects the combination of Interest expense and Other (expense) income, net from the condensed consolidated statement of operations.</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Release of pre-acquisition income tax reserves assumed by the Company in connection with the Carlyle Acquisition.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989" w:right="439" w:bottom="1440" w:gutter="0" w:footer="0" w:header="0"/>
        </w:sectPr>
      </w:pPr>
    </w:p>
    <w:bookmarkStart w:id="29" w:name="page30"/>
    <w:bookmarkEnd w:id="29"/>
    <w:p>
      <w:pPr>
        <w:ind w:left="652" w:right="260" w:hanging="652"/>
        <w:spacing w:after="0" w:line="277"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the tax effect of adjustments at an assumed effective tax rate of 26%, which approximates the blended federal and state tax rates, and consistently excludes the impact of other tax credits and incentive benefits realized.</w:t>
      </w:r>
    </w:p>
    <w:p>
      <w:pPr>
        <w:spacing w:after="0" w:line="62"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adjustments of approximately $0.6 million of net earnings for both the three months ended June 30, 2020 and 2019, associated with the application of the two-class method for computing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92"/>
          </w:cols>
          <w:pgMar w:left="328" w:top="665"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right="40" w:hanging="644"/>
        <w:spacing w:after="0" w:line="293"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 Payer Relief Act of 2012, the Bipartisan Budget Act of 2013, the Bipartisan Budget Act of 2015, the Bipartisan Budget Act of 2018, and the Bipartisan Budget Act of 2019 and address the ability of Congress to determine how to allocate the available budget authority and pass appropriations bills to fund both U.S. government departments and agencies that are, and those that are not, subject to the caps;</w:t>
      </w:r>
    </w:p>
    <w:p>
      <w:pPr>
        <w:spacing w:after="0" w:line="56" w:lineRule="exact"/>
        <w:rPr>
          <w:rFonts w:ascii="Arial" w:cs="Arial" w:eastAsia="Arial" w:hAnsi="Arial"/>
          <w:sz w:val="16"/>
          <w:szCs w:val="16"/>
          <w:color w:val="auto"/>
        </w:rPr>
      </w:pPr>
    </w:p>
    <w:p>
      <w:pPr>
        <w:ind w:left="1300" w:right="460" w:hanging="644"/>
        <w:spacing w:after="0" w:line="30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38" w:lineRule="exact"/>
        <w:rPr>
          <w:rFonts w:ascii="Arial" w:cs="Arial" w:eastAsia="Arial" w:hAnsi="Arial"/>
          <w:sz w:val="17"/>
          <w:szCs w:val="17"/>
          <w:color w:val="auto"/>
        </w:rPr>
      </w:pPr>
    </w:p>
    <w:p>
      <w:pPr>
        <w:ind w:left="1300" w:right="80" w:hanging="644"/>
        <w:spacing w:after="0" w:line="289"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approve funding of the U.S. government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8"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62" w:lineRule="exact"/>
        <w:rPr>
          <w:rFonts w:ascii="Arial" w:cs="Arial" w:eastAsia="Arial" w:hAnsi="Arial"/>
          <w:sz w:val="18"/>
          <w:szCs w:val="18"/>
          <w:color w:val="auto"/>
        </w:rPr>
      </w:pPr>
    </w:p>
    <w:p>
      <w:pPr>
        <w:ind w:left="1300" w:right="300" w:hanging="644"/>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8" w:lineRule="exact"/>
        <w:rPr>
          <w:rFonts w:ascii="Arial" w:cs="Arial" w:eastAsia="Arial" w:hAnsi="Arial"/>
          <w:sz w:val="18"/>
          <w:szCs w:val="18"/>
          <w:color w:val="auto"/>
        </w:rPr>
      </w:pPr>
    </w:p>
    <w:p>
      <w:pPr>
        <w:ind w:left="1300" w:right="80" w:hanging="644"/>
        <w:spacing w:after="0" w:line="342"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extent, nature and effect of the COVID-19 outbreak, including the impact on federal budgets, current and pending procurements, supply chains, demand for services, deployment and productivity of our employees and the economic and societal impact of a pandemic;</w:t>
      </w:r>
    </w:p>
    <w:p>
      <w:pPr>
        <w:spacing w:after="0" w:line="15" w:lineRule="exact"/>
        <w:rPr>
          <w:rFonts w:ascii="Arial" w:cs="Arial" w:eastAsia="Arial" w:hAnsi="Arial"/>
          <w:sz w:val="16"/>
          <w:szCs w:val="16"/>
          <w:color w:val="auto"/>
        </w:rPr>
      </w:pPr>
    </w:p>
    <w:p>
      <w:pPr>
        <w:ind w:left="1300" w:hanging="644"/>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8"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661" w:right="339" w:bottom="1440" w:gutter="0" w:footer="0" w:header="0"/>
        </w:sectPr>
      </w:pPr>
    </w:p>
    <w:bookmarkStart w:id="31" w:name="page32"/>
    <w:bookmarkEnd w:id="31"/>
    <w:p>
      <w:pPr>
        <w:ind w:left="1300" w:right="20" w:hanging="644"/>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7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2"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right="20" w:hanging="644"/>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75" w:lineRule="exact"/>
        <w:rPr>
          <w:rFonts w:ascii="Arial" w:cs="Arial" w:eastAsia="Arial" w:hAnsi="Arial"/>
          <w:sz w:val="18"/>
          <w:szCs w:val="18"/>
          <w:color w:val="auto"/>
        </w:rPr>
      </w:pPr>
    </w:p>
    <w:p>
      <w:pPr>
        <w:ind w:left="1300" w:right="40" w:hanging="644"/>
        <w:spacing w:after="0" w:line="311"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40" w:lineRule="exact"/>
        <w:rPr>
          <w:rFonts w:ascii="Arial" w:cs="Arial" w:eastAsia="Arial" w:hAnsi="Arial"/>
          <w:sz w:val="16"/>
          <w:szCs w:val="16"/>
          <w:color w:val="auto"/>
        </w:rPr>
      </w:pPr>
    </w:p>
    <w:p>
      <w:pPr>
        <w:ind w:left="1300" w:right="360" w:hanging="644"/>
        <w:spacing w:after="0" w:line="34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15" w:lineRule="exact"/>
        <w:rPr>
          <w:rFonts w:ascii="Arial" w:cs="Arial" w:eastAsia="Arial" w:hAnsi="Arial"/>
          <w:sz w:val="16"/>
          <w:szCs w:val="16"/>
          <w:color w:val="auto"/>
        </w:rPr>
      </w:pPr>
    </w:p>
    <w:p>
      <w:pPr>
        <w:ind w:left="1300" w:right="60" w:hanging="644"/>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 and</w:t>
      </w:r>
    </w:p>
    <w:p>
      <w:pPr>
        <w:spacing w:after="0" w:line="75" w:lineRule="exact"/>
        <w:rPr>
          <w:rFonts w:ascii="Arial" w:cs="Arial" w:eastAsia="Arial" w:hAnsi="Arial"/>
          <w:sz w:val="18"/>
          <w:szCs w:val="18"/>
          <w:color w:val="auto"/>
        </w:rPr>
      </w:pPr>
    </w:p>
    <w:p>
      <w:pPr>
        <w:jc w:val="both"/>
        <w:ind w:left="1300" w:right="40" w:hanging="644"/>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(as amended by the American Taxpayer Relief Act of 2012, the Bipartisan Budget Act of 2013, the Bipartisan Budget Act of 2015, the Bipartisan Budget Act of 2018 and the Bipartisan Budget Act of 2019), provides for automatic spending cuts (referred to as sequestration) totaling approximately $1.2 trillion between 2013 and 2021, including an estimated $500 billion in federal defense spending cuts over this time period. The Bipartisan Budget Act of 2019 raised BCA spending caps on defense spending by $90 billion for government fiscal 2020, and $81 billion for government fiscal 2021. For non-defense funding, the Bipartisan Budget Act of 2019 raised BCA spending caps by $78 billion for government fiscal 2020 and $72 billion for government fiscal 2021. While the American Taxpayer Relief Act of 2012, the Bipartisan Budget Act of 2013, the Bipartisan Budget Act of 2015, the Bipartisan Budget Act of 2018 and the Bipartisan Budget Act of 2019 all negated and raised budget limits put in place by the BCA for both defense and non-defense spending, there can be no assurance that any spending cuts implemented in the future would be similarly negated.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140" w:hanging="656"/>
        <w:spacing w:after="0" w:line="259" w:lineRule="auto"/>
        <w:tabs>
          <w:tab w:leader="none" w:pos="19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Cost-Reimbursable Contracts. </w:t>
      </w:r>
      <w:r>
        <w:rPr>
          <w:rFonts w:ascii="Arial" w:cs="Arial" w:eastAsia="Arial" w:hAnsi="Arial"/>
          <w:sz w:val="18"/>
          <w:szCs w:val="18"/>
          <w:color w:val="auto"/>
        </w:rPr>
        <w:t>Cost-reimbursable contracts provide for the payment of allowable costs incurred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 contract, up to a ceiling based on the amount that has been funded, plus a fixed fee or award fee. As we increase or decrease our spending on allowable costs, our revenue generated on cost-reimbursable contracts will increase, up to the ceiling and funded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665" w:right="339" w:bottom="1440" w:gutter="0" w:footer="0" w:header="0"/>
        </w:sectPr>
      </w:pPr>
    </w:p>
    <w:bookmarkStart w:id="32" w:name="page33"/>
    <w:bookmarkEnd w:id="32"/>
    <w:p>
      <w:pPr>
        <w:ind w:left="1960"/>
        <w:spacing w:after="0" w:line="273" w:lineRule="auto"/>
        <w:rPr>
          <w:sz w:val="20"/>
          <w:szCs w:val="20"/>
          <w:color w:val="auto"/>
        </w:rPr>
      </w:pPr>
      <w:r>
        <w:rPr>
          <w:rFonts w:ascii="Arial" w:cs="Arial" w:eastAsia="Arial" w:hAnsi="Arial"/>
          <w:sz w:val="17"/>
          <w:szCs w:val="17"/>
          <w:color w:val="auto"/>
        </w:rPr>
        <w:t>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70" w:lineRule="exact"/>
        <w:rPr>
          <w:sz w:val="20"/>
          <w:szCs w:val="20"/>
          <w:color w:val="auto"/>
        </w:rPr>
      </w:pPr>
    </w:p>
    <w:p>
      <w:pPr>
        <w:ind w:left="1960" w:right="40" w:hanging="656"/>
        <w:spacing w:after="0" w:line="255" w:lineRule="auto"/>
        <w:tabs>
          <w:tab w:leader="none" w:pos="19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contracts in this category,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4" w:lineRule="exact"/>
        <w:rPr>
          <w:rFonts w:ascii="Arial" w:cs="Arial" w:eastAsia="Arial" w:hAnsi="Arial"/>
          <w:sz w:val="18"/>
          <w:szCs w:val="18"/>
          <w:i w:val="1"/>
          <w:iCs w:val="1"/>
          <w:color w:val="auto"/>
        </w:rPr>
      </w:pPr>
    </w:p>
    <w:p>
      <w:pPr>
        <w:ind w:left="1960" w:right="40" w:hanging="656"/>
        <w:spacing w:after="0" w:line="255" w:lineRule="auto"/>
        <w:tabs>
          <w:tab w:leader="none" w:pos="19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84"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52"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13335</wp:posOffset>
            </wp:positionV>
            <wp:extent cx="18516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73"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53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56%</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26%</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23%</w:t>
            </w:r>
          </w:p>
        </w:tc>
      </w:tr>
      <w:tr>
        <w:trPr>
          <w:trHeight w:val="27"/>
        </w:trPr>
        <w:tc>
          <w:tcPr>
            <w:tcW w:w="5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18%</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21%</w:t>
            </w:r>
          </w:p>
        </w:tc>
      </w:tr>
      <w:tr>
        <w:trPr>
          <w:trHeight w:val="27"/>
        </w:trPr>
        <w:tc>
          <w:tcPr>
            <w:tcW w:w="5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665" w:right="339" w:bottom="1440" w:gutter="0" w:footer="0" w:header="0"/>
        </w:sectPr>
      </w:pPr>
    </w:p>
    <w:bookmarkStart w:id="33" w:name="page34"/>
    <w:bookmarkEnd w:id="33"/>
    <w:p>
      <w:pPr>
        <w:ind w:right="140" w:firstLine="405"/>
        <w:spacing w:after="0" w:line="255" w:lineRule="auto"/>
        <w:rPr>
          <w:sz w:val="20"/>
          <w:szCs w:val="20"/>
          <w:color w:val="auto"/>
        </w:rPr>
      </w:pPr>
      <w:r>
        <w:rPr>
          <w:rFonts w:ascii="Arial" w:cs="Arial" w:eastAsia="Arial" w:hAnsi="Arial"/>
          <w:sz w:val="18"/>
          <w:szCs w:val="18"/>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jc w:val="both"/>
        <w:ind w:right="80" w:firstLine="405"/>
        <w:spacing w:after="0" w:line="296"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June 30, 2020 and 2019, we employed approximately 27,400 and 26,400 people, respectively, of which approximately 24,500 and 23,600, respectively, were consulting staff.</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580" w:hanging="644"/>
        <w:spacing w:after="0" w:line="277" w:lineRule="auto"/>
        <w:tabs>
          <w:tab w:leader="none" w:pos="13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i w:val="1"/>
          <w:iCs w:val="1"/>
          <w:color w:val="auto"/>
        </w:rPr>
      </w:pPr>
    </w:p>
    <w:p>
      <w:pPr>
        <w:ind w:left="1300" w:right="46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(including optional orders) for services under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for which funding has not been appropriated or otherwise authorized.</w:t>
      </w:r>
    </w:p>
    <w:p>
      <w:pPr>
        <w:spacing w:after="0" w:line="62" w:lineRule="exact"/>
        <w:rPr>
          <w:rFonts w:ascii="Arial" w:cs="Arial" w:eastAsia="Arial" w:hAnsi="Arial"/>
          <w:sz w:val="18"/>
          <w:szCs w:val="18"/>
          <w:color w:val="auto"/>
        </w:rPr>
      </w:pPr>
    </w:p>
    <w:p>
      <w:pPr>
        <w:ind w:left="1300" w:right="60" w:hanging="644"/>
        <w:spacing w:after="0" w:line="30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3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23495</wp:posOffset>
            </wp:positionV>
            <wp:extent cx="2065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03" w:lineRule="exact"/>
        <w:rPr>
          <w:sz w:val="20"/>
          <w:szCs w:val="20"/>
          <w:color w:val="auto"/>
        </w:rPr>
      </w:pPr>
    </w:p>
    <w:p>
      <w:pPr>
        <w:ind w:left="8640"/>
        <w:spacing w:after="0"/>
        <w:tabs>
          <w:tab w:leader="none" w:pos="103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23495</wp:posOffset>
            </wp:positionV>
            <wp:extent cx="20656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5"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380"/>
              <w:spacing w:after="0"/>
              <w:rPr>
                <w:sz w:val="20"/>
                <w:szCs w:val="20"/>
                <w:color w:val="auto"/>
              </w:rPr>
            </w:pPr>
            <w:r>
              <w:rPr>
                <w:rFonts w:ascii="Arial" w:cs="Arial" w:eastAsia="Arial" w:hAnsi="Arial"/>
                <w:sz w:val="18"/>
                <w:szCs w:val="18"/>
                <w:color w:val="auto"/>
              </w:rPr>
              <w:t>Funded</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3,437</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3,195</w:t>
            </w:r>
          </w:p>
        </w:tc>
      </w:tr>
      <w:tr>
        <w:trPr>
          <w:trHeight w:val="27"/>
        </w:trPr>
        <w:tc>
          <w:tcPr>
            <w:tcW w:w="7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4,351</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14,846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12,309</w:t>
            </w:r>
          </w:p>
        </w:tc>
      </w:tr>
      <w:tr>
        <w:trPr>
          <w:trHeight w:val="27"/>
        </w:trPr>
        <w:tc>
          <w:tcPr>
            <w:tcW w:w="79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backlog</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23,017</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19,855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total backlog consists of remaining performance obligations, certain orders under contracts for which the period of performance has expired, and unexercised option period and other unexercised optional orders. As of both June 30, 2020 and March 31, 2020, the Company had $6.3 billion of remaining performance obligations and we expect to recognize more than half of the remaining performance obligations at June 30, 2020 as revenue over the next 12 months, and approximately three quarters over the next 24 months. The remainder is expected to be recognized thereafter. However, given the uncertainties discussed below, as well as the risks described in "Item 1A. Risk Factors" of our Annual Report on Form 10-K for the fiscal year ended March 31, 2020,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7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We view growth in total backlog and consulting staff headcount as the two key measures of our potential business growth. Growing and deploying consulting staff is the primary means by which we are able to achieve profitable revenue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665" w:right="339" w:bottom="1440" w:gutter="0" w:footer="0" w:header="0"/>
        </w:sectPr>
      </w:pPr>
    </w:p>
    <w:bookmarkStart w:id="34" w:name="page35"/>
    <w:bookmarkEnd w:id="34"/>
    <w:p>
      <w:pPr>
        <w:ind w:right="120"/>
        <w:spacing w:after="0" w:line="296" w:lineRule="auto"/>
        <w:rPr>
          <w:sz w:val="20"/>
          <w:szCs w:val="20"/>
          <w:color w:val="auto"/>
        </w:rPr>
      </w:pPr>
      <w:r>
        <w:rPr>
          <w:rFonts w:ascii="Arial" w:cs="Arial" w:eastAsia="Arial" w:hAnsi="Arial"/>
          <w:sz w:val="16"/>
          <w:szCs w:val="16"/>
          <w:color w:val="auto"/>
        </w:rPr>
        <w:t>growth. To the extent that we are able to hire additional consulting staff and deploy them against funded backlog, we generally recognize increased revenue. Total backlog increased by 15.9% from June 30, 2019 to June 30, 2020. Additions to funded backlog during the twelve months ended June 30, 2020 totaled $7.8 billion in comparison to $7.3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53"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60"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5.2% of total backlog as of June 30, 2020 and any of the four preceding fiscal quarters.</w:t>
      </w:r>
    </w:p>
    <w:p>
      <w:pPr>
        <w:spacing w:after="0" w:line="68" w:lineRule="exact"/>
        <w:rPr>
          <w:sz w:val="20"/>
          <w:szCs w:val="20"/>
          <w:color w:val="auto"/>
        </w:rPr>
      </w:pPr>
    </w:p>
    <w:p>
      <w:pPr>
        <w:jc w:val="both"/>
        <w:ind w:right="40" w:firstLine="405"/>
        <w:spacing w:after="0" w:line="263" w:lineRule="auto"/>
        <w:rPr>
          <w:sz w:val="20"/>
          <w:szCs w:val="20"/>
          <w:color w:val="auto"/>
        </w:rPr>
      </w:pPr>
      <w:r>
        <w:rPr>
          <w:rFonts w:ascii="Arial" w:cs="Arial" w:eastAsia="Arial" w:hAnsi="Arial"/>
          <w:sz w:val="18"/>
          <w:szCs w:val="18"/>
          <w:color w:val="auto"/>
        </w:rPr>
        <w:t>We expect to recognize revenue from a substantial portion of funded backlog as of June 30, 2020 within the next twelve months. However, given the uncertainties discussed above, as well as the risks described in Part I, Item 1A, of our Annual Report on Form 10-K , we can give no assurance that we will be able to convert our backlog into revenue in any particular period, if at all.</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98" w:lineRule="exact"/>
        <w:rPr>
          <w:sz w:val="20"/>
          <w:szCs w:val="20"/>
          <w:color w:val="auto"/>
        </w:rPr>
      </w:pPr>
    </w:p>
    <w:p>
      <w:pPr>
        <w:jc w:val="both"/>
        <w:ind w:right="60" w:firstLine="405"/>
        <w:spacing w:after="0" w:line="311" w:lineRule="auto"/>
        <w:rPr>
          <w:sz w:val="20"/>
          <w:szCs w:val="20"/>
          <w:color w:val="auto"/>
        </w:rPr>
      </w:pPr>
      <w:r>
        <w:rPr>
          <w:rFonts w:ascii="Arial" w:cs="Arial" w:eastAsia="Arial" w:hAnsi="Arial"/>
          <w:sz w:val="16"/>
          <w:szCs w:val="16"/>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38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680" w:hanging="644"/>
        <w:spacing w:after="0" w:line="342"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include indirect labor of executive management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administrative functions, marketing and bid and proposal costs, and other discretionary spending.</w:t>
      </w:r>
    </w:p>
    <w:p>
      <w:pPr>
        <w:spacing w:after="0" w:line="15" w:lineRule="exact"/>
        <w:rPr>
          <w:rFonts w:ascii="Arial" w:cs="Arial" w:eastAsia="Arial" w:hAnsi="Arial"/>
          <w:sz w:val="16"/>
          <w:szCs w:val="16"/>
          <w:color w:val="auto"/>
        </w:rPr>
      </w:pPr>
    </w:p>
    <w:p>
      <w:pPr>
        <w:ind w:left="1300" w:hanging="644"/>
        <w:spacing w:after="0" w:line="263"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665" w:right="359" w:bottom="1440" w:gutter="0" w:footer="0" w:header="0"/>
        </w:sectPr>
      </w:pPr>
    </w:p>
    <w:bookmarkStart w:id="35" w:name="page36"/>
    <w:bookmarkEnd w:id="35"/>
    <w:p>
      <w:pPr>
        <w:ind w:right="260"/>
        <w:spacing w:after="0" w:line="273" w:lineRule="auto"/>
        <w:rPr>
          <w:sz w:val="20"/>
          <w:szCs w:val="20"/>
          <w:color w:val="auto"/>
        </w:rPr>
      </w:pPr>
      <w:r>
        <w:rPr>
          <w:rFonts w:ascii="Arial" w:cs="Arial" w:eastAsia="Arial" w:hAnsi="Arial"/>
          <w:sz w:val="17"/>
          <w:szCs w:val="17"/>
          <w:color w:val="auto"/>
        </w:rPr>
        <w:t>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 Seasonality is just one of a number of factors, many of which are outside of our control, which may affect our results in any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2020. There were no other material changes to our critical accounting policies, estimates or judgments that occurred in the quarterly period covered by this report.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Note 2 to our accompanying condensed consolidated financial statements for information related to our adoption of new accounting standards and for information on our anticipated adoption of recently issued accounting standards.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814820" cy="3017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14820" cy="301752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p>
      <w:pPr>
        <w:spacing w:after="0" w:line="163" w:lineRule="exact"/>
        <w:rPr>
          <w:sz w:val="20"/>
          <w:szCs w:val="20"/>
          <w:color w:val="auto"/>
        </w:rPr>
      </w:pPr>
    </w:p>
    <w:p>
      <w:pPr>
        <w:jc w:val="center"/>
        <w:ind w:left="55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560"/>
        <w:spacing w:after="0"/>
        <w:rPr>
          <w:sz w:val="20"/>
          <w:szCs w:val="20"/>
          <w:color w:val="auto"/>
        </w:rPr>
      </w:pPr>
      <w:r>
        <w:rPr>
          <w:rFonts w:ascii="Arial" w:cs="Arial" w:eastAsia="Arial" w:hAnsi="Arial"/>
          <w:sz w:val="14"/>
          <w:szCs w:val="14"/>
          <w:b w:val="1"/>
          <w:bCs w:val="1"/>
          <w:color w:val="auto"/>
        </w:rPr>
        <w:t>June 30,</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21"/>
                <w:szCs w:val="21"/>
                <w:color w:val="auto"/>
              </w:rPr>
            </w:pPr>
          </w:p>
        </w:tc>
        <w:tc>
          <w:tcPr>
            <w:tcW w:w="1140" w:type="dxa"/>
            <w:vAlign w:val="bottom"/>
          </w:tcPr>
          <w:p>
            <w:pPr>
              <w:jc w:val="right"/>
              <w:ind w:right="313"/>
              <w:spacing w:after="0"/>
              <w:rPr>
                <w:sz w:val="20"/>
                <w:szCs w:val="20"/>
                <w:color w:val="auto"/>
              </w:rPr>
            </w:pPr>
            <w:r>
              <w:rPr>
                <w:rFonts w:ascii="Arial" w:cs="Arial" w:eastAsia="Arial" w:hAnsi="Arial"/>
                <w:sz w:val="14"/>
                <w:szCs w:val="14"/>
                <w:b w:val="1"/>
                <w:bCs w:val="1"/>
                <w:color w:val="auto"/>
                <w:w w:val="92"/>
              </w:rPr>
              <w:t>(Unaudited)</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54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1,956,453</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1,825,176</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948,902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840,654</w:t>
            </w:r>
          </w:p>
        </w:tc>
        <w:tc>
          <w:tcPr>
            <w:tcW w:w="0" w:type="dxa"/>
            <w:vAlign w:val="bottom"/>
          </w:tcPr>
          <w:p>
            <w:pPr>
              <w:spacing w:after="0"/>
              <w:rPr>
                <w:sz w:val="1"/>
                <w:szCs w:val="1"/>
                <w:color w:val="auto"/>
              </w:rPr>
            </w:pPr>
          </w:p>
        </w:tc>
      </w:tr>
      <w:tr>
        <w:trPr>
          <w:trHeight w:val="270"/>
        </w:trPr>
        <w:tc>
          <w:tcPr>
            <w:tcW w:w="5540" w:type="dxa"/>
            <w:vAlign w:val="bottom"/>
          </w:tcPr>
          <w:p>
            <w:pPr>
              <w:ind w:left="240"/>
              <w:spacing w:after="0"/>
              <w:rPr>
                <w:sz w:val="20"/>
                <w:szCs w:val="20"/>
                <w:color w:val="auto"/>
              </w:rPr>
            </w:pPr>
            <w:r>
              <w:rPr>
                <w:rFonts w:ascii="Arial" w:cs="Arial" w:eastAsia="Arial" w:hAnsi="Arial"/>
                <w:sz w:val="18"/>
                <w:szCs w:val="18"/>
                <w:color w:val="auto"/>
              </w:rPr>
              <w:t>Billable expenses</w:t>
            </w:r>
          </w:p>
        </w:tc>
        <w:tc>
          <w:tcPr>
            <w:tcW w:w="28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549,077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551,175</w:t>
            </w:r>
          </w:p>
        </w:tc>
        <w:tc>
          <w:tcPr>
            <w:tcW w:w="0" w:type="dxa"/>
            <w:vAlign w:val="bottom"/>
          </w:tcPr>
          <w:p>
            <w:pPr>
              <w:spacing w:after="0"/>
              <w:rPr>
                <w:sz w:val="1"/>
                <w:szCs w:val="1"/>
                <w:color w:val="auto"/>
              </w:rPr>
            </w:pPr>
          </w:p>
        </w:tc>
      </w:tr>
      <w:tr>
        <w:trPr>
          <w:trHeight w:val="270"/>
        </w:trPr>
        <w:tc>
          <w:tcPr>
            <w:tcW w:w="5540" w:type="dxa"/>
            <w:vAlign w:val="bottom"/>
          </w:tcPr>
          <w:p>
            <w:pPr>
              <w:ind w:left="2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245,855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234,280</w:t>
            </w:r>
          </w:p>
        </w:tc>
        <w:tc>
          <w:tcPr>
            <w:tcW w:w="0" w:type="dxa"/>
            <w:vAlign w:val="bottom"/>
          </w:tcPr>
          <w:p>
            <w:pPr>
              <w:spacing w:after="0"/>
              <w:rPr>
                <w:sz w:val="1"/>
                <w:szCs w:val="1"/>
                <w:color w:val="auto"/>
              </w:rPr>
            </w:pPr>
          </w:p>
        </w:tc>
      </w:tr>
      <w:tr>
        <w:trPr>
          <w:trHeight w:val="270"/>
        </w:trPr>
        <w:tc>
          <w:tcPr>
            <w:tcW w:w="55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20,732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7"/>
        </w:trPr>
        <w:tc>
          <w:tcPr>
            <w:tcW w:w="5540" w:type="dxa"/>
            <w:vAlign w:val="bottom"/>
            <w:vMerge w:val="restart"/>
          </w:tcPr>
          <w:p>
            <w:pPr>
              <w:ind w:left="46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1,764,566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1,646,130</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191,887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179,046</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(20,235)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(25,187)</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170,816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155,830</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41,487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38,444</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129,329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117,386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Percent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w:t>
      </w:r>
    </w:p>
    <w:p>
      <w:pPr>
        <w:spacing w:after="0" w:line="200" w:lineRule="exact"/>
        <w:rPr>
          <w:sz w:val="20"/>
          <w:szCs w:val="20"/>
          <w:color w:val="auto"/>
        </w:rPr>
      </w:pPr>
    </w:p>
    <w:p>
      <w:pPr>
        <w:spacing w:after="0" w:line="390"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7.2 %</w:t>
      </w:r>
    </w:p>
    <w:p>
      <w:pPr>
        <w:spacing w:after="0" w:line="33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12.9 %</w:t>
      </w:r>
    </w:p>
    <w:p>
      <w:pPr>
        <w:spacing w:after="0" w:line="63"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(0.4)%</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4.9 %</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3.6 %</w:t>
      </w:r>
    </w:p>
    <w:p>
      <w:pPr>
        <w:spacing w:after="0" w:line="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7.2 %</w:t>
      </w:r>
    </w:p>
    <w:p>
      <w:pPr>
        <w:spacing w:after="0" w:line="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7.2 %</w:t>
      </w:r>
    </w:p>
    <w:p>
      <w:pPr>
        <w:spacing w:after="0" w:line="75"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(19.7)%</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NM</w:t>
      </w:r>
    </w:p>
    <w:p>
      <w:pPr>
        <w:spacing w:after="0" w:line="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9.6 %</w:t>
      </w:r>
    </w:p>
    <w:p>
      <w:pPr>
        <w:spacing w:after="0" w:line="75"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7.9 %</w:t>
      </w:r>
    </w:p>
    <w:p>
      <w:pPr>
        <w:spacing w:after="0" w:line="77"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48895</wp:posOffset>
            </wp:positionV>
            <wp:extent cx="10972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508" w:lineRule="exact"/>
        <w:rPr>
          <w:sz w:val="20"/>
          <w:szCs w:val="20"/>
          <w:color w:val="auto"/>
        </w:rPr>
      </w:pPr>
    </w:p>
    <w:p>
      <w:pPr>
        <w:sectPr>
          <w:pgSz w:w="11900" w:h="16838" w:orient="portrait"/>
          <w:cols w:equalWidth="0" w:num="2">
            <w:col w:w="8820" w:space="720"/>
            <w:col w:w="1700"/>
          </w:cols>
          <w:pgMar w:left="320" w:top="665" w:right="339" w:bottom="1440" w:gutter="0" w:footer="0" w:header="0"/>
          <w:type w:val="continuous"/>
        </w:sectPr>
      </w:pPr>
    </w:p>
    <w:p>
      <w:pPr>
        <w:ind w:left="260" w:right="4600"/>
        <w:spacing w:after="0" w:line="375" w:lineRule="auto"/>
        <w:rPr>
          <w:sz w:val="20"/>
          <w:szCs w:val="20"/>
          <w:color w:val="auto"/>
        </w:rPr>
      </w:pPr>
      <w:r>
        <w:rPr>
          <w:rFonts w:ascii="Arial" w:cs="Arial" w:eastAsia="Arial" w:hAnsi="Arial"/>
          <w:sz w:val="18"/>
          <w:szCs w:val="18"/>
          <w:b w:val="1"/>
          <w:bCs w:val="1"/>
          <w:i w:val="1"/>
          <w:iCs w:val="1"/>
          <w:color w:val="auto"/>
        </w:rPr>
        <w:t xml:space="preserve">Three Months Ended June 30, 2020 Compared to Three Months Ended June 30, 2019 </w:t>
      </w:r>
      <w:r>
        <w:rPr>
          <w:rFonts w:ascii="Arial" w:cs="Arial" w:eastAsia="Arial" w:hAnsi="Arial"/>
          <w:sz w:val="18"/>
          <w:szCs w:val="18"/>
          <w:i w:val="1"/>
          <w:iCs w:val="1"/>
          <w:color w:val="auto"/>
        </w:rPr>
        <w:t>Revenue</w:t>
      </w:r>
    </w:p>
    <w:p>
      <w:pPr>
        <w:spacing w:after="0" w:line="1" w:lineRule="exact"/>
        <w:rPr>
          <w:sz w:val="20"/>
          <w:szCs w:val="20"/>
          <w:color w:val="auto"/>
        </w:rPr>
      </w:pPr>
    </w:p>
    <w:p>
      <w:pPr>
        <w:jc w:val="both"/>
        <w:ind w:right="540" w:firstLine="405"/>
        <w:spacing w:after="0" w:line="286" w:lineRule="auto"/>
        <w:rPr>
          <w:sz w:val="20"/>
          <w:szCs w:val="20"/>
          <w:color w:val="auto"/>
        </w:rPr>
      </w:pPr>
      <w:r>
        <w:rPr>
          <w:rFonts w:ascii="Arial" w:cs="Arial" w:eastAsia="Arial" w:hAnsi="Arial"/>
          <w:sz w:val="17"/>
          <w:szCs w:val="17"/>
          <w:color w:val="auto"/>
        </w:rPr>
        <w:t>Revenue increased to $1,956.5 million from $1,825.2 million, or a 7.2% increase, primarily driven by sustained strength in client demand and headcount growth to meet that demand. Revenue growth this quarter was also impacted by lower-than-typical billable expenses, primarily due to the COVID-19 outbreak. Total headcount as of June 30, 2020 increased approximately 1,000 as compared to June 30, 2019.</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Cost of revenue increased to $948.9 million from $840.7 million, or a 12.9% increase. The increase was primarily due to increases in salaries and salary-related benefits of $78.4 million primarily driven by increased headcount and annual base salary increases. Cost of revenue as a percentage of revenue was 48.5% and 46.1% for the three months ended June 30, 2020 and 2019,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665" w:right="339" w:bottom="1440" w:gutter="0" w:footer="0" w:header="0"/>
          <w:type w:val="continuous"/>
        </w:sectPr>
      </w:pPr>
    </w:p>
    <w:bookmarkStart w:id="36" w:name="page37"/>
    <w:bookmarkEnd w:id="36"/>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Billable expenses decreased to $549.1 million from $551.2 million, or a 0.4% decrease, primarily attributable to the impact of COVID-19 which drove volatility in the timing and magnitude of billable expenses primarily associated with other direct expenses incurred on behalf of our clients. Billable expenses as a percentage of revenue were 28.1% and 30.2% for the three months ended June 30, 2020 and 2019, respectively.</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General and administrative expenses increased to $245.9 million from $234.3 million, or a 4.9% increase, primarily due to increases in salaries and salary-related benefits of $7.9 million, driven by an increase in headcount growth as well as annual base salary increases and an increase in other business expenses and professional fees of $2.2 million. General and administrative expenses as a percentage of revenue were 12.6% and 12.8% for the three months ended June 30, 2020 and 2019,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Depreciation and amortization increased to $20.7 million from $20.0 million, or a 3.6% increase, primarily due to increases in depreciation expense resulting from the effects of higher capital expenditures in fiscal 2020.</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Interest expense decreased to $20.2 million from $25.2 million, or a 19.7% decrease, primarily due to a decrease in 1 Month LIBOR, the benchmark interest rate under our Secured Credit Facility, and a reduction in expense of $2.0 million as a result of the repayment of the remaining Deferred Payment Obligation balance in December 2019.</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500" w:firstLine="405"/>
        <w:spacing w:after="0" w:line="342" w:lineRule="auto"/>
        <w:rPr>
          <w:sz w:val="20"/>
          <w:szCs w:val="20"/>
          <w:color w:val="auto"/>
        </w:rPr>
      </w:pPr>
      <w:r>
        <w:rPr>
          <w:rFonts w:ascii="Arial" w:cs="Arial" w:eastAsia="Arial" w:hAnsi="Arial"/>
          <w:sz w:val="16"/>
          <w:szCs w:val="16"/>
          <w:color w:val="auto"/>
        </w:rPr>
        <w:t>Income tax expense increased to $41.5 million from $38.4 million, primarily due to an increase in pre-tax income as compared to the prior year period. The effective tax rate decreased to 24.3% for the three months ended June 30, 2020 from 24.7% for the three months ended June 30, 2019.</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presents selected financial information as of June 30, 2020 and March 31, 2020 and for the first three months of fiscal 2021 and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4"/>
                <w:szCs w:val="14"/>
                <w:color w:val="auto"/>
              </w:rPr>
            </w:pPr>
          </w:p>
        </w:tc>
        <w:tc>
          <w:tcPr>
            <w:tcW w:w="1380" w:type="dxa"/>
            <w:vAlign w:val="bottom"/>
          </w:tcPr>
          <w:p>
            <w:pPr>
              <w:jc w:val="center"/>
              <w:ind w:right="477"/>
              <w:spacing w:after="0"/>
              <w:rPr>
                <w:sz w:val="20"/>
                <w:szCs w:val="20"/>
                <w:color w:val="auto"/>
              </w:rPr>
            </w:pPr>
            <w:r>
              <w:rPr>
                <w:rFonts w:ascii="Arial" w:cs="Arial" w:eastAsia="Arial" w:hAnsi="Arial"/>
                <w:sz w:val="14"/>
                <w:szCs w:val="14"/>
                <w:b w:val="1"/>
                <w:bCs w:val="1"/>
                <w:color w:val="auto"/>
                <w:w w:val="95"/>
              </w:rPr>
              <w:t>March 31,</w:t>
            </w:r>
          </w:p>
        </w:tc>
      </w:tr>
      <w:tr>
        <w:trPr>
          <w:trHeight w:val="192"/>
        </w:trPr>
        <w:tc>
          <w:tcPr>
            <w:tcW w:w="7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96"/>
              </w:rPr>
              <w:t>2020</w:t>
            </w:r>
          </w:p>
        </w:tc>
      </w:tr>
      <w:tr>
        <w:trPr>
          <w:trHeight w:val="244"/>
        </w:trPr>
        <w:tc>
          <w:tcPr>
            <w:tcW w:w="7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(Unaudited)</w:t>
            </w:r>
          </w:p>
        </w:tc>
        <w:tc>
          <w:tcPr>
            <w:tcW w:w="5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08"/>
        </w:trPr>
        <w:tc>
          <w:tcPr>
            <w:tcW w:w="7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3"/>
          </w:tcPr>
          <w:p>
            <w:pPr>
              <w:jc w:val="center"/>
              <w:ind w:left="1001"/>
              <w:spacing w:after="0"/>
              <w:rPr>
                <w:sz w:val="20"/>
                <w:szCs w:val="20"/>
                <w:color w:val="auto"/>
              </w:rPr>
            </w:pPr>
            <w:r>
              <w:rPr>
                <w:rFonts w:ascii="Arial" w:cs="Arial" w:eastAsia="Arial" w:hAnsi="Arial"/>
                <w:sz w:val="14"/>
                <w:szCs w:val="14"/>
                <w:b w:val="1"/>
                <w:bCs w:val="1"/>
                <w:color w:val="auto"/>
                <w:w w:val="93"/>
              </w:rPr>
              <w:t>(In thousands)</w:t>
            </w:r>
          </w:p>
        </w:tc>
        <w:tc>
          <w:tcPr>
            <w:tcW w:w="1380" w:type="dxa"/>
            <w:vAlign w:val="bottom"/>
          </w:tcPr>
          <w:p>
            <w:pPr>
              <w:spacing w:after="0"/>
              <w:rPr>
                <w:sz w:val="18"/>
                <w:szCs w:val="18"/>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620,612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741,901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20" w:type="dxa"/>
            <w:vAlign w:val="bottom"/>
          </w:tcPr>
          <w:p>
            <w:pPr>
              <w:spacing w:after="0"/>
              <w:rPr>
                <w:sz w:val="21"/>
                <w:szCs w:val="21"/>
                <w:color w:val="auto"/>
              </w:rPr>
            </w:pPr>
          </w:p>
        </w:tc>
        <w:tc>
          <w:tcPr>
            <w:tcW w:w="1460" w:type="dxa"/>
            <w:vAlign w:val="bottom"/>
          </w:tcPr>
          <w:p>
            <w:pPr>
              <w:jc w:val="right"/>
              <w:ind w:right="21"/>
              <w:spacing w:after="0"/>
              <w:rPr>
                <w:sz w:val="20"/>
                <w:szCs w:val="20"/>
                <w:color w:val="auto"/>
              </w:rPr>
            </w:pPr>
            <w:r>
              <w:rPr>
                <w:rFonts w:ascii="Arial" w:cs="Arial" w:eastAsia="Arial" w:hAnsi="Arial"/>
                <w:sz w:val="18"/>
                <w:szCs w:val="18"/>
                <w:color w:val="auto"/>
              </w:rPr>
              <w:t>2,067,193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2,185,844</w:t>
            </w:r>
          </w:p>
        </w:tc>
      </w:tr>
      <w:tr>
        <w:trPr>
          <w:trHeight w:val="477"/>
        </w:trPr>
        <w:tc>
          <w:tcPr>
            <w:tcW w:w="7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80" w:type="dxa"/>
            <w:vAlign w:val="bottom"/>
            <w:gridSpan w:val="4"/>
          </w:tcPr>
          <w:p>
            <w:pPr>
              <w:jc w:val="center"/>
              <w:ind w:right="217"/>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7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1001"/>
              <w:spacing w:after="0"/>
              <w:rPr>
                <w:sz w:val="20"/>
                <w:szCs w:val="20"/>
                <w:color w:val="auto"/>
              </w:rPr>
            </w:pPr>
            <w:r>
              <w:rPr>
                <w:rFonts w:ascii="Arial" w:cs="Arial" w:eastAsia="Arial" w:hAnsi="Arial"/>
                <w:sz w:val="14"/>
                <w:szCs w:val="14"/>
                <w:b w:val="1"/>
                <w:bCs w:val="1"/>
                <w:color w:val="auto"/>
                <w:w w:val="89"/>
              </w:rPr>
              <w:t>June 30,</w:t>
            </w:r>
          </w:p>
        </w:tc>
        <w:tc>
          <w:tcPr>
            <w:tcW w:w="1380" w:type="dxa"/>
            <w:vAlign w:val="bottom"/>
            <w:tcBorders>
              <w:bottom w:val="single" w:sz="8" w:color="auto"/>
            </w:tcBorders>
          </w:tcPr>
          <w:p>
            <w:pPr>
              <w:spacing w:after="0"/>
              <w:rPr>
                <w:sz w:val="16"/>
                <w:szCs w:val="16"/>
                <w:color w:val="auto"/>
              </w:rPr>
            </w:pPr>
          </w:p>
        </w:tc>
      </w:tr>
      <w:tr>
        <w:trPr>
          <w:trHeight w:val="263"/>
        </w:trPr>
        <w:tc>
          <w:tcPr>
            <w:tcW w:w="74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96"/>
              </w:rPr>
              <w:t>2019</w:t>
            </w:r>
          </w:p>
        </w:tc>
      </w:tr>
      <w:tr>
        <w:trPr>
          <w:trHeight w:val="244"/>
        </w:trPr>
        <w:tc>
          <w:tcPr>
            <w:tcW w:w="7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(Unaudited)</w:t>
            </w:r>
          </w:p>
        </w:tc>
        <w:tc>
          <w:tcPr>
            <w:tcW w:w="520" w:type="dxa"/>
            <w:vAlign w:val="bottom"/>
          </w:tcPr>
          <w:p>
            <w:pPr>
              <w:spacing w:after="0"/>
              <w:rPr>
                <w:sz w:val="21"/>
                <w:szCs w:val="21"/>
                <w:color w:val="auto"/>
              </w:rPr>
            </w:pPr>
          </w:p>
        </w:tc>
        <w:tc>
          <w:tcPr>
            <w:tcW w:w="1380" w:type="dxa"/>
            <w:vAlign w:val="bottom"/>
          </w:tcPr>
          <w:p>
            <w:pPr>
              <w:jc w:val="center"/>
              <w:ind w:right="437"/>
              <w:spacing w:after="0"/>
              <w:rPr>
                <w:sz w:val="20"/>
                <w:szCs w:val="20"/>
                <w:color w:val="auto"/>
              </w:rPr>
            </w:pPr>
            <w:r>
              <w:rPr>
                <w:rFonts w:ascii="Arial" w:cs="Arial" w:eastAsia="Arial" w:hAnsi="Arial"/>
                <w:sz w:val="14"/>
                <w:szCs w:val="14"/>
                <w:b w:val="1"/>
                <w:bCs w:val="1"/>
                <w:color w:val="auto"/>
                <w:w w:val="95"/>
              </w:rPr>
              <w:t>(Unaudited)</w:t>
            </w:r>
          </w:p>
        </w:tc>
      </w:tr>
      <w:tr>
        <w:trPr>
          <w:trHeight w:val="276"/>
        </w:trPr>
        <w:tc>
          <w:tcPr>
            <w:tcW w:w="7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3"/>
          </w:tcPr>
          <w:p>
            <w:pPr>
              <w:jc w:val="center"/>
              <w:ind w:left="1001"/>
              <w:spacing w:after="0"/>
              <w:rPr>
                <w:sz w:val="20"/>
                <w:szCs w:val="20"/>
                <w:color w:val="auto"/>
              </w:rPr>
            </w:pPr>
            <w:r>
              <w:rPr>
                <w:rFonts w:ascii="Arial" w:cs="Arial" w:eastAsia="Arial" w:hAnsi="Arial"/>
                <w:sz w:val="14"/>
                <w:szCs w:val="14"/>
                <w:b w:val="1"/>
                <w:bCs w:val="1"/>
                <w:color w:val="auto"/>
                <w:w w:val="93"/>
              </w:rPr>
              <w:t>(In thousands)</w:t>
            </w:r>
          </w:p>
        </w:tc>
        <w:tc>
          <w:tcPr>
            <w:tcW w:w="138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140,418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50,983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(20,058)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(27,336)</w:t>
            </w: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(241,649)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341,463</w:t>
            </w:r>
          </w:p>
        </w:tc>
      </w:tr>
      <w:tr>
        <w:trPr>
          <w:trHeight w:val="236"/>
        </w:trPr>
        <w:tc>
          <w:tcPr>
            <w:tcW w:w="7440" w:type="dxa"/>
            <w:vAlign w:val="bottom"/>
          </w:tcPr>
          <w:p>
            <w:pPr>
              <w:ind w:left="40"/>
              <w:spacing w:after="0"/>
              <w:rPr>
                <w:sz w:val="20"/>
                <w:szCs w:val="20"/>
                <w:color w:val="auto"/>
              </w:rPr>
            </w:pPr>
            <w:r>
              <w:rPr>
                <w:rFonts w:ascii="Arial" w:cs="Arial" w:eastAsia="Arial" w:hAnsi="Arial"/>
                <w:sz w:val="18"/>
                <w:szCs w:val="18"/>
                <w:color w:val="auto"/>
              </w:rPr>
              <w:t>Total increase (decrease) in cash and cash equivalents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(121,289)</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365,110</w:t>
            </w:r>
          </w:p>
        </w:tc>
      </w:tr>
      <w:tr>
        <w:trPr>
          <w:trHeight w:val="27"/>
        </w:trPr>
        <w:tc>
          <w:tcPr>
            <w:tcW w:w="7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the opinion of management, we will be able to meet our liquidity and cash needs through a combination of cash flows from operating activities, available cash balances, and available borrowing under the Revolving Credit Facility.</w:t>
      </w:r>
    </w:p>
    <w:p>
      <w:pPr>
        <w:spacing w:after="0" w:line="187"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w:t>
      </w:r>
    </w:p>
    <w:p>
      <w:pPr>
        <w:sectPr>
          <w:pgSz w:w="11900" w:h="16838" w:orient="portrait"/>
          <w:cols w:equalWidth="0" w:num="1">
            <w:col w:w="11240"/>
          </w:cols>
          <w:pgMar w:left="320" w:top="665"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665" w:right="339" w:bottom="1440" w:gutter="0" w:footer="0" w:header="0"/>
          <w:type w:val="continuous"/>
        </w:sectPr>
      </w:pPr>
    </w:p>
    <w:bookmarkStart w:id="37" w:name="page38"/>
    <w:bookmarkEnd w:id="37"/>
    <w:p>
      <w:pPr>
        <w:ind w:right="160"/>
        <w:spacing w:after="0" w:line="277" w:lineRule="auto"/>
        <w:rPr>
          <w:sz w:val="20"/>
          <w:szCs w:val="20"/>
          <w:color w:val="auto"/>
        </w:rPr>
      </w:pPr>
      <w:r>
        <w:rPr>
          <w:rFonts w:ascii="Arial" w:cs="Arial" w:eastAsia="Arial" w:hAnsi="Arial"/>
          <w:sz w:val="18"/>
          <w:szCs w:val="18"/>
          <w:color w:val="auto"/>
        </w:rPr>
        <w:t>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17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the Revolving Credit Facility will be sufficient to meet our anticipated cash requirements for the next twelve months, which primarily include:</w:t>
      </w:r>
    </w:p>
    <w:p>
      <w:pPr>
        <w:spacing w:after="0" w:line="181"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117"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 build-out, testing, and potential implementation and operation of new financial management systems;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commitments and other discretionary investments;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Secured Credit Facility and interest payments for the Senior Notes;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17"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Our ability to fund our operating needs depends, in part, on our ability to continue to generate positive cash flows from operations or, if necessary, raise cash in the capital markets. In addition, from time to time we evaluate, and we currently are evaluating, conditions to opportunistically access the financing markets to secure additional debt capital resources and improve the terms of our indebtedness, including an extension of our maturity or improvements to the covenants and other provisions governing our outstanding indebtedness.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56"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provided by operations was $140.4 million in the three months ended June 30, 2020 compared to $51.0 million in the prior year period,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665" w:right="339" w:bottom="1440" w:gutter="0" w:footer="0" w:header="0"/>
        </w:sectPr>
      </w:pPr>
    </w:p>
    <w:bookmarkStart w:id="38" w:name="page39"/>
    <w:bookmarkEnd w:id="38"/>
    <w:p>
      <w:pPr>
        <w:ind w:right="20"/>
        <w:spacing w:after="0" w:line="263" w:lineRule="auto"/>
        <w:rPr>
          <w:sz w:val="20"/>
          <w:szCs w:val="20"/>
          <w:color w:val="auto"/>
        </w:rPr>
      </w:pPr>
      <w:r>
        <w:rPr>
          <w:rFonts w:ascii="Arial" w:cs="Arial" w:eastAsia="Arial" w:hAnsi="Arial"/>
          <w:sz w:val="18"/>
          <w:szCs w:val="18"/>
          <w:color w:val="auto"/>
        </w:rPr>
        <w:t>or a 175.4% increase. The increase in operating cash flows was primarily due to effective working capital management driven by strong cash collections of our revenue and effective management of vendor payables. Net income growth, including lower interest expense, also contributed to the increase in operating cash.</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ind w:right="20" w:firstLine="405"/>
        <w:spacing w:after="0" w:line="301" w:lineRule="auto"/>
        <w:rPr>
          <w:sz w:val="20"/>
          <w:szCs w:val="20"/>
          <w:color w:val="auto"/>
        </w:rPr>
      </w:pPr>
      <w:r>
        <w:rPr>
          <w:rFonts w:ascii="Arial" w:cs="Arial" w:eastAsia="Arial" w:hAnsi="Arial"/>
          <w:sz w:val="16"/>
          <w:szCs w:val="16"/>
          <w:color w:val="auto"/>
        </w:rPr>
        <w:t>Net cash used in investing activities was $20.1 million in the three months ended June 30, 2020 compared to $27.3 million in the prior year period, or a 26.6% decrease. The decrease in net cash used in investing activities was due to a decrease in capital expenditures over the prior period, reflecting a shift away from facilities investment towards technology and tools needed to support the virtual work environment. Additionally, we continue to modernize our corporate information technology infrastructure, including to prepare for the implementation of a new financial management system.</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Cash Flow</w:t>
      </w:r>
    </w:p>
    <w:p>
      <w:pPr>
        <w:spacing w:after="0" w:line="117"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Net cash used in financing activities was $241.6 million in the three months ended June 30, 2020 compared to $341.5 million in net cash provided by financing activities in the prior year period. The increase in net cash used in financing activities was primarily due to the following:</w:t>
      </w:r>
    </w:p>
    <w:p>
      <w:pPr>
        <w:spacing w:after="0" w:line="3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$400.0 million draw on our Delayed Draw Facility in the prior period, with no such draw in the current period.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$100.0 million payment of our outstanding Revolving Credit Facility in the current period, with no such payment in the prior period.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$73.7 million increase in share repurchases compared to the prior period.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On July 29, 2020, the Company announced a regular quarterly cash dividend in the amount of $0.31 per share. The quarterly dividend is payable on August 14, 2020 to stockholders of record on August 28, 2020.</w:t>
      </w:r>
    </w:p>
    <w:p>
      <w:pPr>
        <w:spacing w:after="0" w:line="14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the first quarter of fiscal 2021, a quarterly dividend of $0.31 per share was declared and paid totaling $43.8 million. During the first quarter of fiscal 2020, a quarterly dividend of $0.23 per share was declared and paid totaling $32.4 million.</w:t>
      </w:r>
    </w:p>
    <w:p>
      <w:pPr>
        <w:spacing w:after="0" w:line="17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December 12, 2011, the Board of Directors approved a $30.0 million share repurchase program, which was further increased by the Board of Directors on (i) January 27, 2015 to $180.0 million, (ii) January 25, 2017 to $410.0 million, (iii) November 2, 2017 to $610.0 million, (iv) May 24, 2018 to $910.0 million, and (v) May 23, 2019 to $1,310.0 million. The Company may repurchase shares pursuant to the program by means of open market repurchases, directly negotiated repurchases or through agents acting pursuant to negotiated repurchase agreements. During the first quarter of fiscal 2021, the Company purchased 0.9 million shares of the Company's Class A Common Stock for an aggregate of $66.4 million. As of June 30, 2020, the Company had $418.5 million remaining under the repurchase program.</w:t>
      </w:r>
    </w:p>
    <w:p>
      <w:pPr>
        <w:spacing w:after="0" w:line="84"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Indebtedness</w:t>
      </w:r>
    </w:p>
    <w:p>
      <w:pPr>
        <w:spacing w:after="0" w:line="19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November 26, 2019 (the "Amendment Effective Date"), Booz Allen Hamilton Inc. ("Booz Allen Hamilton") and Booz Allen Hamilton Investor Corporation ("Investor"), and certain wholly-owned subsidiaries of Booz Allen Hamilton, entered into the Seventh Amendment (the “Seventh Amendment”) to the Credit Agreement, dated as of July 31, 2012, as amended (the “Credit Agreement”) with certain institutional lenders, and Bank of America, N.A., as Administrative and Collateral Agents. The Seventh Amendment reduced the applicable margin applicable to the Term Loan B ("Term Loan B" and, together with the Term Loan A, the "Term Loans") from 2.00% to 1.75% for LIBOR loans and from 1.00% to 0.75% for base rate loans and extended the maturity of the Term Loan B to November 26, 2026. The applicable margin and maturity date applicable to the Term Loan A ( the"Term Loan A") remained unchanged.</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665" w:right="379" w:bottom="1440" w:gutter="0" w:footer="0" w:header="0"/>
        </w:sectPr>
      </w:pPr>
    </w:p>
    <w:bookmarkStart w:id="39" w:name="page40"/>
    <w:bookmarkEnd w:id="39"/>
    <w:p>
      <w:pPr>
        <w:ind w:right="100" w:firstLine="405"/>
        <w:spacing w:after="0" w:line="272" w:lineRule="auto"/>
        <w:rPr>
          <w:sz w:val="20"/>
          <w:szCs w:val="20"/>
          <w:color w:val="auto"/>
        </w:rPr>
      </w:pPr>
      <w:r>
        <w:rPr>
          <w:rFonts w:ascii="Arial" w:cs="Arial" w:eastAsia="Arial" w:hAnsi="Arial"/>
          <w:sz w:val="17"/>
          <w:szCs w:val="17"/>
          <w:color w:val="auto"/>
        </w:rPr>
        <w:t>Prior to the Seventh Amendment, approximately $389.0 million was outstanding under Term Loan B. Pursuant to the Seventh Amendment, certain lenders converted their existing Term Loan B loans into a new tranche of Term Loan B loans in an aggregate amount, along with Term Loan B loans advanced by certain new lenders, of approximately $389.0 million (the “New Refinancing Tranche B Term Loans”). The proceeds from the new lenders were used to prepay in full all of the existing Term Loan B loans that were not converted into the new Term Loan B tranche. Voluntary prepayments of the New Refinancing Tranche B Term Loans are permitted at any time, in minimum principal amounts, without premium or penalty, subject to a 1.00% premium payable in connection with certain repricing transactions within the first six months after the Seventh Amendment. The other terms of the New Refinancing Tranche B Term Loans are generally the same as the existing Term Loan B prior to the Seventh Amendment.</w:t>
      </w:r>
    </w:p>
    <w:p>
      <w:pPr>
        <w:spacing w:after="0" w:line="69"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As of June 30, 2020, the Credit Agreement provided Booz Allen Hamilton with a $1,345.2 million Term Loan A, a $387.1 million Term Loan B, and $500.0 million in New Revolving Commitments with a sub-limit for letters of credit of $100.0 million. As of June 30, 2020, the maturity date of Term Loan A and the termination date for the Revolving Credit Facility was July 23, 2023 and the maturity date of Term Loan B was November 26, 2026.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141"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ind w:firstLine="8"/>
        <w:spacing w:after="0" w:line="252"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1.75% for LIBOR loans and 0.75% for base rate loans. Unused commitments under the Revolving Credit Facility are subject to a quarterly fee ranging from 0.20% to 0.35% based on Booz Allen Hamilton’s consolidated total net leverage ratio.</w:t>
      </w:r>
    </w:p>
    <w:p>
      <w:pPr>
        <w:spacing w:after="0" w:line="16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During the first quarters of fiscal 2021 and 2020, Booz Allen Hamilton accessed no amounts of its $500.0 million Revolving Credit Facility. As of March 31, 2020, $100.0 million was outstanding on the Revolving Credit Facility which was repaid in June 2020. As of June 30, 2020, no amounts were outstanding on the Revolving Credit Facility.</w:t>
      </w:r>
    </w:p>
    <w:p>
      <w:pPr>
        <w:spacing w:after="0" w:line="7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143"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Booz Allen Hamilton also has agreed to pay customary letter of credit and agency fees. As of June 30, 2020 and March 31, 2020, Booz Allen Hamilton was contingently liable under open standby letters of credit and bank guarantees issued by its banks in favor of third parties that totaled $9.6 million and $9.7 million, respectively. These letters of credit and bank guarantees primarily support insurance and bid and performance obligations. For both June 30, 2020 and March 31, 2020, approximately $0.9 million, of these instruments reduced the available borrowings under the Revolving Credit Facility. The remainder is guaranteed under a separate $20.0 million facility of which $11.3 million and $6.2 million, respectively, was available to Booz Allen Hamilton at June 30, 2020 and March 31, 2020. As of June 30, 2020, Booz Allen Hamilton had $499.0 million of capacity available for additional borrowings under the Revolving Credit Facility.</w:t>
      </w:r>
    </w:p>
    <w:p>
      <w:pPr>
        <w:spacing w:after="0" w:line="87"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w:t>
      </w:r>
    </w:p>
    <w:p>
      <w:pPr>
        <w:spacing w:after="0" w:line="2"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investments; (vi) transactions with affiliates; (vii) change in fiscal periods; (viii) negative pledges; (ix) restrictive agreements; (x) line of business; and</w:t>
      </w:r>
    </w:p>
    <w:p>
      <w:pPr>
        <w:spacing w:after="0" w:line="32" w:lineRule="exact"/>
        <w:rPr>
          <w:rFonts w:ascii="Arial" w:cs="Arial" w:eastAsia="Arial" w:hAnsi="Arial"/>
          <w:sz w:val="16"/>
          <w:szCs w:val="16"/>
          <w:color w:val="auto"/>
        </w:rPr>
      </w:pPr>
    </w:p>
    <w:p>
      <w:pPr>
        <w:ind w:right="100" w:firstLine="8"/>
        <w:spacing w:after="0" w:line="281" w:lineRule="auto"/>
        <w:tabs>
          <w:tab w:leader="none" w:pos="305" w:val="left"/>
        </w:tabs>
        <w:numPr>
          <w:ilvl w:val="0"/>
          <w:numId w:val="32"/>
        </w:numPr>
        <w:rPr>
          <w:rFonts w:ascii="Arial" w:cs="Arial" w:eastAsia="Arial" w:hAnsi="Arial"/>
          <w:sz w:val="16"/>
          <w:szCs w:val="16"/>
          <w:color w:val="auto"/>
        </w:rPr>
      </w:pPr>
      <w:r>
        <w:rPr>
          <w:rFonts w:ascii="Arial" w:cs="Arial" w:eastAsia="Arial" w:hAnsi="Arial"/>
          <w:sz w:val="16"/>
          <w:szCs w:val="16"/>
          <w:color w:val="auto"/>
        </w:rPr>
        <w:t>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w:t>
      </w:r>
    </w:p>
    <w:p>
      <w:pPr>
        <w:spacing w:after="0" w:line="1" w:lineRule="exact"/>
        <w:rPr>
          <w:rFonts w:ascii="Arial" w:cs="Arial" w:eastAsia="Arial" w:hAnsi="Arial"/>
          <w:sz w:val="16"/>
          <w:szCs w:val="16"/>
          <w:color w:val="auto"/>
        </w:rPr>
      </w:pPr>
    </w:p>
    <w:p>
      <w:pPr>
        <w:ind w:right="200"/>
        <w:spacing w:after="0" w:line="323" w:lineRule="auto"/>
        <w:rPr>
          <w:rFonts w:ascii="Arial" w:cs="Arial" w:eastAsia="Arial" w:hAnsi="Arial"/>
          <w:sz w:val="16"/>
          <w:szCs w:val="16"/>
          <w:color w:val="auto"/>
        </w:rPr>
      </w:pPr>
      <w:r>
        <w:rPr>
          <w:rFonts w:ascii="Arial" w:cs="Arial" w:eastAsia="Arial" w:hAnsi="Arial"/>
          <w:sz w:val="16"/>
          <w:szCs w:val="16"/>
          <w:color w:val="auto"/>
        </w:rPr>
        <w:t>(f) certain Employee Retirement Income Security Act, or ERISA events; (g) certain material judgments; (h) actual or asserted invalidity of the Guarantee and Collateral Agreements or the other security documents or failure of the guarantees or perfected liens thereunder; and (i) a change of</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665" w:right="359" w:bottom="1440" w:gutter="0" w:footer="0" w:header="0"/>
        </w:sectPr>
      </w:pPr>
    </w:p>
    <w:bookmarkStart w:id="40" w:name="page41"/>
    <w:bookmarkEnd w:id="40"/>
    <w:p>
      <w:pPr>
        <w:ind w:right="960"/>
        <w:spacing w:after="0" w:line="342" w:lineRule="auto"/>
        <w:rPr>
          <w:sz w:val="20"/>
          <w:szCs w:val="20"/>
          <w:color w:val="auto"/>
        </w:rPr>
      </w:pPr>
      <w:r>
        <w:rPr>
          <w:rFonts w:ascii="Arial" w:cs="Arial" w:eastAsia="Arial" w:hAnsi="Arial"/>
          <w:sz w:val="16"/>
          <w:szCs w:val="16"/>
          <w:color w:val="auto"/>
        </w:rPr>
        <w:t>control. Booz Allen Hamilton is required to meet certain financial covenants at each quarter end, namely Consolidated Net Total Leverage and Consolidated Net Interest Coverage Ratios. As of June 30, 2020 and March 31, 2020, we were compliant with these covenants.</w:t>
      </w:r>
    </w:p>
    <w:p>
      <w:pPr>
        <w:spacing w:after="0" w:line="16"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For the three months ended June 30, 2020 and 2019, interest payments of $6.9 million and $13.3 million were made for Term Loan A and $2.2 million and $4.4 million were made for Term Loan B,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On April 25, 2017, Booz Allen Hamilton issued $350 million aggregate principal amount of its 5.125% Senior Notes due 2025 (the "Senior Notes") under an Indenture, dated as of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A portion of the proceeds was used to repay all outstanding loans under the Revolving Credit Facility. For both the three months ended June 30, 2020 and 2019, Booz Allen Hamilton made interest payments of $9.0 million for the Senior Notes.</w:t>
      </w:r>
    </w:p>
    <w:p>
      <w:pPr>
        <w:spacing w:after="0" w:line="192" w:lineRule="exact"/>
        <w:rPr>
          <w:sz w:val="20"/>
          <w:szCs w:val="20"/>
          <w:color w:val="auto"/>
        </w:rPr>
      </w:pPr>
    </w:p>
    <w:p>
      <w:pPr>
        <w:ind w:right="300" w:firstLine="405"/>
        <w:spacing w:after="0" w:line="296" w:lineRule="auto"/>
        <w:rPr>
          <w:sz w:val="20"/>
          <w:szCs w:val="20"/>
          <w:color w:val="auto"/>
        </w:rPr>
      </w:pPr>
      <w:r>
        <w:rPr>
          <w:rFonts w:ascii="Arial" w:cs="Arial" w:eastAsia="Arial" w:hAnsi="Arial"/>
          <w:sz w:val="16"/>
          <w:szCs w:val="16"/>
          <w:color w:val="auto"/>
        </w:rPr>
        <w:t>Borrowings under the Term Loans and, if used, the Revolving Credit Facility, incur interest at a variable rate. In accordance with Booz Allen Hamilton's risk management strategy, between April 6, 2017 and April 4, 2019, Booz Allen Hamilton executed a series of interest rate swaps. As of June 30, 2020, Booz Allen Hamilton had interest rate swaps with an aggregate notional amount of $1 billion. These instruments hedge the variability of cash outflows for interest payments on the floating portion of the Company's debt. The Company's objectives in using cash flow hedges are to reduce volatility due to interest rate movements and to add stability to interest expense (See Note 9 to our condensed consolidated financial statements).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21"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Our stockholders’ equity amounted to $882.5 million as of June 30, 2020, an increase of $26.1 million compared to stockholders’ equity of $856.4 million as of March 31, 2020. The increase was primarily due to net income of $129.3 million for the three months ended June 30, 2020, stock-based compensation expense of $10.8 million, and issuance of common stock of $4.4 million, partially offset by $43.8 million in quarterly dividend payments and $75.5 million in treasury stock resulting from the repurchase of shares of our Class A Common Stock during the three months ended June 30, 2020.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2020, we did not have any material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the three months ended June 30, 2020 and 2019 were $20.1 million and $27.3 million, respectively. The decrease in capital expenditures reflects a shift away from facilities investment towards technology and tools needed to support the virtual work environment. Additionally, we continue to modernize our corporate information technology infrastructure, including to prepare for the implementation of a new financial management system. We expect capital expenditures to decrease in the near term and overall in fiscal 2021 as compared to fiscal 2020. Given the uncertainty surrounding the COVID-19 outbreak, we may adjust our capital expenditures in fiscal 2021 to support our business operations as we further develop our long term strategy on a safe return to work.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18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665" w:right="339" w:bottom="1440" w:gutter="0" w:footer="0" w:header="0"/>
        </w:sectPr>
      </w:pPr>
    </w:p>
    <w:bookmarkStart w:id="41" w:name="page42"/>
    <w:bookmarkEnd w:id="41"/>
    <w:p>
      <w:pPr>
        <w:ind w:left="328" w:right="48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62" w:lineRule="exact"/>
        <w:rPr>
          <w:rFonts w:ascii="Arial" w:cs="Arial" w:eastAsia="Arial" w:hAnsi="Arial"/>
          <w:sz w:val="18"/>
          <w:szCs w:val="18"/>
          <w:color w:val="auto"/>
        </w:rPr>
      </w:pPr>
    </w:p>
    <w:p>
      <w:pPr>
        <w:ind w:left="328" w:right="200" w:hanging="328"/>
        <w:spacing w:after="0" w:line="308" w:lineRule="auto"/>
        <w:tabs>
          <w:tab w:leader="none" w:pos="3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spacing w:after="0" w:line="38" w:lineRule="exact"/>
        <w:rPr>
          <w:rFonts w:ascii="Arial" w:cs="Arial" w:eastAsia="Arial" w:hAnsi="Arial"/>
          <w:sz w:val="17"/>
          <w:szCs w:val="17"/>
          <w:color w:val="auto"/>
        </w:rPr>
      </w:pPr>
    </w:p>
    <w:p>
      <w:pPr>
        <w:ind w:left="328" w:right="4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efforts by Congress and other U.S. government bodies to reduce U.S. government spending and address budgetary constraints and the U.S. deficit, as well as associated uncertainty around the timing, extent, nature and effect of such efforts;</w:t>
      </w:r>
    </w:p>
    <w:p>
      <w:pPr>
        <w:spacing w:after="0" w:line="62" w:lineRule="exact"/>
        <w:rPr>
          <w:rFonts w:ascii="Arial" w:cs="Arial" w:eastAsia="Arial" w:hAnsi="Arial"/>
          <w:sz w:val="18"/>
          <w:szCs w:val="18"/>
          <w:color w:val="auto"/>
        </w:rPr>
      </w:pPr>
    </w:p>
    <w:p>
      <w:pPr>
        <w:ind w:left="328" w:right="180" w:hanging="328"/>
        <w:spacing w:after="0" w:line="263"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delayed funding of our contracts due to uncertainty relating to funding of the U.S. government and a possible failure of Congressional efforts to approve such funding and to craft a long-term agreement on the U.S. government’s ability to incur indebtedness in excess of its current limits, or changes in the pattern or timing of government funding and spending;</w:t>
      </w:r>
    </w:p>
    <w:p>
      <w:pPr>
        <w:spacing w:after="0" w:line="75"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 government shutdowns, as a result of the failure by elected officials to fund the government;</w:t>
      </w:r>
    </w:p>
    <w:p>
      <w:pPr>
        <w:spacing w:after="0" w:line="117" w:lineRule="exact"/>
        <w:rPr>
          <w:rFonts w:ascii="Arial" w:cs="Arial" w:eastAsia="Arial" w:hAnsi="Arial"/>
          <w:sz w:val="18"/>
          <w:szCs w:val="18"/>
          <w:color w:val="auto"/>
        </w:rPr>
      </w:pPr>
    </w:p>
    <w:p>
      <w:pPr>
        <w:ind w:left="328" w:right="100" w:hanging="328"/>
        <w:spacing w:after="0" w:line="308" w:lineRule="auto"/>
        <w:tabs>
          <w:tab w:leader="none" w:pos="3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38" w:lineRule="exact"/>
        <w:rPr>
          <w:rFonts w:ascii="Arial" w:cs="Arial" w:eastAsia="Arial" w:hAnsi="Arial"/>
          <w:sz w:val="17"/>
          <w:szCs w:val="17"/>
          <w:color w:val="auto"/>
        </w:rPr>
      </w:pPr>
    </w:p>
    <w:p>
      <w:pPr>
        <w:ind w:left="328" w:right="52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of the COVID-19 outbreak, and other pandemics or widespread health epidemics, including disruptions to our workforce and the impact on government spending and demand for our solutions;</w:t>
      </w:r>
    </w:p>
    <w:p>
      <w:pPr>
        <w:spacing w:after="0" w:line="62" w:lineRule="exact"/>
        <w:rPr>
          <w:rFonts w:ascii="Arial" w:cs="Arial" w:eastAsia="Arial" w:hAnsi="Arial"/>
          <w:sz w:val="18"/>
          <w:szCs w:val="18"/>
          <w:color w:val="auto"/>
        </w:rPr>
      </w:pPr>
    </w:p>
    <w:p>
      <w:pPr>
        <w:ind w:left="328" w:right="32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or losses of contract awards caused by competitors' protests of major contract awards received by us;</w:t>
      </w:r>
    </w:p>
    <w:p>
      <w:pPr>
        <w:spacing w:after="0" w:line="62" w:lineRule="exact"/>
        <w:rPr>
          <w:rFonts w:ascii="Arial" w:cs="Arial" w:eastAsia="Arial" w:hAnsi="Arial"/>
          <w:sz w:val="18"/>
          <w:szCs w:val="18"/>
          <w:color w:val="auto"/>
        </w:rPr>
      </w:pPr>
    </w:p>
    <w:p>
      <w:pPr>
        <w:ind w:left="328" w:right="20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and indefinite delivery, indefinite quantity, or IDIQ contracts;</w:t>
      </w:r>
    </w:p>
    <w:p>
      <w:pPr>
        <w:spacing w:after="0" w:line="62" w:lineRule="exact"/>
        <w:rPr>
          <w:rFonts w:ascii="Arial" w:cs="Arial" w:eastAsia="Arial" w:hAnsi="Arial"/>
          <w:sz w:val="18"/>
          <w:szCs w:val="18"/>
          <w:color w:val="auto"/>
        </w:rPr>
      </w:pPr>
    </w:p>
    <w:p>
      <w:pPr>
        <w:ind w:left="328" w:right="70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loss of General Services Administration Multiple Award schedule contracts, or GSA schedules, or our position as prime contractor on government-wide acquisition contract vehicles, or GWACs;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the mix of our contracts and our ability to accurately estimate or otherwise recover expenses, time, and resources for our contracts;</w:t>
      </w:r>
    </w:p>
    <w:p>
      <w:pPr>
        <w:spacing w:after="0" w:line="140" w:lineRule="exact"/>
        <w:rPr>
          <w:rFonts w:ascii="Arial" w:cs="Arial" w:eastAsia="Arial" w:hAnsi="Arial"/>
          <w:sz w:val="16"/>
          <w:szCs w:val="16"/>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117" w:lineRule="exact"/>
        <w:rPr>
          <w:rFonts w:ascii="Arial" w:cs="Arial" w:eastAsia="Arial" w:hAnsi="Arial"/>
          <w:sz w:val="18"/>
          <w:szCs w:val="18"/>
          <w:color w:val="auto"/>
        </w:rPr>
      </w:pPr>
    </w:p>
    <w:p>
      <w:pPr>
        <w:ind w:left="328" w:right="22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realize the full value of and replenish our backlog, generate revenue under certain of our contracts, and the timing of our receipt of revenue under contracts included in backlog;</w:t>
      </w:r>
    </w:p>
    <w:p>
      <w:pPr>
        <w:spacing w:after="0" w:line="62"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 including, but not limited to, those resulting from external or internal cyber attacks on our network and internal systems;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related to the potential implementation and operation of new financial management systems;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attract, train, or retain employees with the requisite skills and experience;</w:t>
      </w:r>
    </w:p>
    <w:p>
      <w:pPr>
        <w:spacing w:after="0" w:line="117" w:lineRule="exact"/>
        <w:rPr>
          <w:rFonts w:ascii="Arial" w:cs="Arial" w:eastAsia="Arial" w:hAnsi="Arial"/>
          <w:sz w:val="18"/>
          <w:szCs w:val="18"/>
          <w:color w:val="auto"/>
        </w:rPr>
      </w:pPr>
    </w:p>
    <w:p>
      <w:pPr>
        <w:ind w:left="328" w:right="72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timely hire, assimilate and effectively utilize our employees, ensure that employees obtain and maintain necessary security clearances and/or effectively manage our cost structure;</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117" w:lineRule="exact"/>
        <w:rPr>
          <w:rFonts w:ascii="Arial" w:cs="Arial" w:eastAsia="Arial" w:hAnsi="Arial"/>
          <w:sz w:val="18"/>
          <w:szCs w:val="18"/>
          <w:color w:val="auto"/>
        </w:rPr>
      </w:pPr>
    </w:p>
    <w:p>
      <w:pPr>
        <w:ind w:left="328" w:right="30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 including the improper use or release of our clients' sensitive or classified information;</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competition from other companies in our industry;</w:t>
      </w:r>
    </w:p>
    <w:p>
      <w:pPr>
        <w:spacing w:after="0" w:line="117" w:lineRule="exact"/>
        <w:rPr>
          <w:rFonts w:ascii="Arial" w:cs="Arial" w:eastAsia="Arial" w:hAnsi="Arial"/>
          <w:sz w:val="18"/>
          <w:szCs w:val="18"/>
          <w:color w:val="auto"/>
        </w:rPr>
      </w:pPr>
    </w:p>
    <w:p>
      <w:pPr>
        <w:ind w:left="328" w:right="52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62" w:lineRule="exact"/>
        <w:rPr>
          <w:rFonts w:ascii="Arial" w:cs="Arial" w:eastAsia="Arial" w:hAnsi="Arial"/>
          <w:sz w:val="18"/>
          <w:szCs w:val="18"/>
          <w:color w:val="auto"/>
        </w:rPr>
      </w:pPr>
    </w:p>
    <w:p>
      <w:pPr>
        <w:ind w:left="328" w:right="540" w:hanging="328"/>
        <w:spacing w:after="0" w:line="263"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75"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comply with special U.S. government laws and regulations relating to our international operations;</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08"/>
          </w:cols>
          <w:pgMar w:left="652" w:top="665" w:right="339" w:bottom="1440" w:gutter="0" w:footer="0" w:header="0"/>
        </w:sectPr>
      </w:pPr>
    </w:p>
    <w:bookmarkStart w:id="42" w:name="page43"/>
    <w:bookmarkEnd w:id="42"/>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risks associated with increased competition, new relationships, clients, capabilities, and service offerings in our U.S. and international businesses;</w:t>
      </w:r>
    </w:p>
    <w:p>
      <w:pPr>
        <w:spacing w:after="0" w:line="140" w:lineRule="exact"/>
        <w:rPr>
          <w:rFonts w:ascii="Arial" w:cs="Arial" w:eastAsia="Arial" w:hAnsi="Arial"/>
          <w:sz w:val="16"/>
          <w:szCs w:val="16"/>
          <w:color w:val="auto"/>
        </w:rPr>
      </w:pPr>
    </w:p>
    <w:p>
      <w:pPr>
        <w:ind w:left="660" w:right="48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changes to our operating structure, capabilities, or strategy intended to address client needs, grow our business or respond to market developments;</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adoption by the U.S. government of new laws, rules, and regulations, such as those relating to organizational conflicts of interest issues or limits;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completed and future acquisitions, including our ability to realize the expected benefits from such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incurrence of additional tax liabilities, including as a result of changes in tax laws or management judgments involving complex tax matters;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inherent in the government contracting environment;</w:t>
      </w:r>
    </w:p>
    <w:p>
      <w:pPr>
        <w:spacing w:after="0" w:line="117"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continued efforts to change how the U.S. government reimburses compensation related costs and other expenses or otherwise limit such reimbursements and an increased risk of compensation being deemed unreasonable and unallowable or payments being withheld as a result of U.S. government audit, review, or investigation;</w:t>
      </w:r>
    </w:p>
    <w:p>
      <w:pPr>
        <w:spacing w:after="0" w:line="7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U.S. government spending on private contractors;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our indebtedness and credit facilities which contain financial and operating covenants;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risks and factors listed under “Item 1A. Risk Factors” and elsewhere in this Quarterly Report.</w:t>
      </w:r>
    </w:p>
    <w:p>
      <w:pPr>
        <w:spacing w:after="0" w:line="117"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2020 filed with the Securities and Exchange Commission on May 26, 2020.</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320" w:top="665" w:right="39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June 30, 2020 and March 31, 2020, there were no material amounts accrued in the condensed consolidated financial statements related to these proceedings.</w:t>
      </w:r>
    </w:p>
    <w:p>
      <w:pPr>
        <w:spacing w:after="0" w:line="141" w:lineRule="exact"/>
        <w:rPr>
          <w:sz w:val="20"/>
          <w:szCs w:val="20"/>
          <w:color w:val="auto"/>
        </w:rPr>
      </w:pPr>
    </w:p>
    <w:p>
      <w:pPr>
        <w:ind w:right="20" w:firstLine="391"/>
        <w:spacing w:after="0" w:line="288" w:lineRule="auto"/>
        <w:rPr>
          <w:sz w:val="20"/>
          <w:szCs w:val="20"/>
          <w:color w:val="auto"/>
        </w:rPr>
      </w:pPr>
      <w:r>
        <w:rPr>
          <w:rFonts w:ascii="Arial" w:cs="Arial" w:eastAsia="Arial" w:hAnsi="Arial"/>
          <w:sz w:val="16"/>
          <w:szCs w:val="16"/>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60" w:lineRule="exact"/>
        <w:rPr>
          <w:sz w:val="20"/>
          <w:szCs w:val="20"/>
          <w:color w:val="auto"/>
        </w:rPr>
      </w:pPr>
    </w:p>
    <w:p>
      <w:pPr>
        <w:ind w:firstLine="391"/>
        <w:spacing w:after="0" w:line="289" w:lineRule="auto"/>
        <w:rPr>
          <w:sz w:val="20"/>
          <w:szCs w:val="20"/>
          <w:color w:val="auto"/>
        </w:rPr>
      </w:pPr>
      <w:r>
        <w:rPr>
          <w:rFonts w:ascii="Arial" w:cs="Arial" w:eastAsia="Arial" w:hAnsi="Arial"/>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8" w:lineRule="exact"/>
        <w:rPr>
          <w:sz w:val="20"/>
          <w:szCs w:val="20"/>
          <w:color w:val="auto"/>
        </w:rPr>
      </w:pPr>
    </w:p>
    <w:p>
      <w:pPr>
        <w:ind w:right="100" w:firstLine="391"/>
        <w:spacing w:after="0" w:line="270" w:lineRule="auto"/>
        <w:rPr>
          <w:sz w:val="20"/>
          <w:szCs w:val="20"/>
          <w:color w:val="auto"/>
        </w:rPr>
      </w:pPr>
      <w:r>
        <w:rPr>
          <w:rFonts w:ascii="Arial" w:cs="Arial" w:eastAsia="Arial" w:hAnsi="Arial"/>
          <w:sz w:val="17"/>
          <w:szCs w:val="17"/>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On May 27, 2020,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553" w:right="359" w:bottom="1440" w:gutter="0" w:footer="0" w:header="0"/>
        </w:sectPr>
      </w:pPr>
    </w:p>
    <w:bookmarkStart w:id="44" w:name="page45"/>
    <w:bookmarkEnd w:id="44"/>
    <w:p>
      <w:pPr>
        <w:ind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2020 filed with the Securities and Exchange Commission on May 26, 2020.</w:t>
      </w:r>
    </w:p>
    <w:p>
      <w:pPr>
        <w:spacing w:after="0" w:line="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share repurchase activity during the three months ended June 30, 2020:</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Approximate Dollar</w:t>
            </w:r>
          </w:p>
        </w:tc>
      </w:tr>
      <w:tr>
        <w:trPr>
          <w:trHeight w:val="202"/>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Value of Shares that</w:t>
            </w:r>
          </w:p>
        </w:tc>
      </w:tr>
      <w:tr>
        <w:trPr>
          <w:trHeight w:val="203"/>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20" w:type="dxa"/>
            <w:vAlign w:val="bottom"/>
          </w:tcPr>
          <w:p>
            <w:pPr>
              <w:spacing w:after="0"/>
              <w:rPr>
                <w:sz w:val="17"/>
                <w:szCs w:val="17"/>
                <w:color w:val="auto"/>
              </w:rPr>
            </w:pPr>
          </w:p>
        </w:tc>
        <w:tc>
          <w:tcPr>
            <w:tcW w:w="17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May Yet Be Purchased</w:t>
            </w:r>
          </w:p>
        </w:tc>
      </w:tr>
      <w:tr>
        <w:trPr>
          <w:trHeight w:val="203"/>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40" w:type="dxa"/>
            <w:vAlign w:val="bottom"/>
          </w:tcPr>
          <w:p>
            <w:pPr>
              <w:spacing w:after="0"/>
              <w:rPr>
                <w:sz w:val="17"/>
                <w:szCs w:val="17"/>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center"/>
              <w:ind w:right="55"/>
              <w:spacing w:after="0"/>
              <w:rPr>
                <w:sz w:val="20"/>
                <w:szCs w:val="20"/>
                <w:color w:val="auto"/>
              </w:rPr>
            </w:pPr>
            <w:r>
              <w:rPr>
                <w:rFonts w:ascii="Arial" w:cs="Arial" w:eastAsia="Arial" w:hAnsi="Arial"/>
                <w:sz w:val="16"/>
                <w:szCs w:val="16"/>
                <w:b w:val="1"/>
                <w:bCs w:val="1"/>
                <w:color w:val="auto"/>
                <w:w w:val="91"/>
              </w:rPr>
              <w:t>Under the Plans or</w:t>
            </w:r>
          </w:p>
        </w:tc>
      </w:tr>
      <w:tr>
        <w:trPr>
          <w:trHeight w:val="210"/>
        </w:trPr>
        <w:tc>
          <w:tcPr>
            <w:tcW w:w="3720" w:type="dxa"/>
            <w:vAlign w:val="bottom"/>
            <w:gridSpan w:val="2"/>
          </w:tcPr>
          <w:p>
            <w:pPr>
              <w:ind w:left="1560"/>
              <w:spacing w:after="0"/>
              <w:rPr>
                <w:sz w:val="20"/>
                <w:szCs w:val="20"/>
                <w:color w:val="auto"/>
              </w:rPr>
            </w:pPr>
            <w:r>
              <w:rPr>
                <w:rFonts w:ascii="Arial" w:cs="Arial" w:eastAsia="Arial" w:hAnsi="Arial"/>
                <w:sz w:val="16"/>
                <w:szCs w:val="16"/>
                <w:b w:val="1"/>
                <w:bCs w:val="1"/>
                <w:color w:val="auto"/>
              </w:rPr>
              <w:t>Period</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c>
          <w:tcPr>
            <w:tcW w:w="14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55"/>
              <w:spacing w:after="0"/>
              <w:rPr>
                <w:sz w:val="20"/>
                <w:szCs w:val="20"/>
                <w:color w:val="auto"/>
              </w:rPr>
            </w:pPr>
            <w:r>
              <w:rPr>
                <w:rFonts w:ascii="Arial" w:cs="Arial" w:eastAsia="Arial" w:hAnsi="Arial"/>
                <w:sz w:val="16"/>
                <w:szCs w:val="16"/>
                <w:b w:val="1"/>
                <w:bCs w:val="1"/>
                <w:color w:val="auto"/>
                <w:w w:val="91"/>
              </w:rPr>
              <w:t>Programs (1)</w:t>
            </w:r>
          </w:p>
        </w:tc>
      </w:tr>
      <w:tr>
        <w:trPr>
          <w:trHeight w:val="33"/>
        </w:trPr>
        <w:tc>
          <w:tcPr>
            <w:tcW w:w="3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2020</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386,417</w:t>
            </w:r>
          </w:p>
        </w:tc>
        <w:tc>
          <w:tcPr>
            <w:tcW w:w="19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$68.85</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386,417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458,210,579</w:t>
            </w: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May 2020</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405,677</w:t>
            </w:r>
          </w:p>
        </w:tc>
        <w:tc>
          <w:tcPr>
            <w:tcW w:w="19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$72.31</w:t>
            </w:r>
          </w:p>
        </w:tc>
        <w:tc>
          <w:tcPr>
            <w:tcW w:w="10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405,677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428,876,686</w:t>
            </w:r>
          </w:p>
        </w:tc>
      </w:tr>
      <w:tr>
        <w:trPr>
          <w:trHeight w:val="27"/>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2020</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131,259</w:t>
            </w:r>
          </w:p>
        </w:tc>
        <w:tc>
          <w:tcPr>
            <w:tcW w:w="19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$79.26</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131,259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418,473,152</w:t>
            </w:r>
          </w:p>
        </w:tc>
      </w:tr>
      <w:tr>
        <w:trPr>
          <w:trHeight w:val="257"/>
        </w:trPr>
        <w:tc>
          <w:tcPr>
            <w:tcW w:w="3720" w:type="dxa"/>
            <w:vAlign w:val="bottom"/>
            <w:gridSpan w:val="2"/>
          </w:tcPr>
          <w:p>
            <w:pPr>
              <w:ind w:left="3200"/>
              <w:spacing w:after="0"/>
              <w:rPr>
                <w:sz w:val="20"/>
                <w:szCs w:val="20"/>
                <w:color w:val="auto"/>
              </w:rPr>
            </w:pPr>
            <w:r>
              <w:rPr>
                <w:rFonts w:ascii="Arial" w:cs="Arial" w:eastAsia="Arial" w:hAnsi="Arial"/>
                <w:sz w:val="18"/>
                <w:szCs w:val="18"/>
                <w:color w:val="auto"/>
              </w:rPr>
              <w:t>Total</w:t>
            </w:r>
          </w:p>
        </w:tc>
        <w:tc>
          <w:tcPr>
            <w:tcW w:w="1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923,353</w:t>
            </w:r>
          </w:p>
        </w:tc>
        <w:tc>
          <w:tcPr>
            <w:tcW w:w="140" w:type="dxa"/>
            <w:vAlign w:val="bottom"/>
          </w:tcPr>
          <w:p>
            <w:pPr>
              <w:spacing w:after="0"/>
              <w:rPr>
                <w:sz w:val="22"/>
                <w:szCs w:val="22"/>
                <w:color w:val="auto"/>
              </w:rPr>
            </w:pPr>
          </w:p>
        </w:tc>
        <w:tc>
          <w:tcPr>
            <w:tcW w:w="1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923,353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20" w:hanging="652"/>
        <w:spacing w:after="0" w:line="275"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December 12, 2011, the Board of Directors approved a $30.0 million share repurchase program, which was further increased by the Board of Directors on (i) January 27, 2015 to $180.0 million, (ii) January 25, 2017 to $410.0 million, (iii) November 2, 2017 to $610.0 million, (iv) May 24, 2018 to $910.0 million, and (v) May 23, 2019 to $1,310.0 million.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200" w:lineRule="exact"/>
        <w:rPr>
          <w:sz w:val="20"/>
          <w:szCs w:val="20"/>
          <w:color w:val="auto"/>
        </w:rPr>
      </w:pPr>
    </w:p>
    <w:p>
      <w:pPr>
        <w:spacing w:after="0" w:line="2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665" w:right="3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94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0080" w:type="dxa"/>
            <w:vAlign w:val="bottom"/>
            <w:gridSpan w:val="4"/>
          </w:tcPr>
          <w:p>
            <w:pPr>
              <w:ind w:left="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680" w:type="dxa"/>
            <w:vAlign w:val="bottom"/>
            <w:vMerge w:val="restart"/>
          </w:tcPr>
          <w:p>
            <w:pPr>
              <w:spacing w:after="0"/>
              <w:rPr>
                <w:sz w:val="20"/>
                <w:szCs w:val="20"/>
                <w:color w:val="auto"/>
              </w:rPr>
            </w:pPr>
            <w:r>
              <w:rPr>
                <w:rFonts w:ascii="Arial" w:cs="Arial" w:eastAsia="Arial" w:hAnsi="Arial"/>
                <w:sz w:val="14"/>
                <w:szCs w:val="14"/>
                <w:color w:val="auto"/>
                <w:w w:val="94"/>
              </w:rPr>
              <w:t>Description</w:t>
            </w:r>
          </w:p>
        </w:tc>
        <w:tc>
          <w:tcPr>
            <w:tcW w:w="94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9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5"/>
        </w:trPr>
        <w:tc>
          <w:tcPr>
            <w:tcW w:w="620" w:type="dxa"/>
            <w:vAlign w:val="bottom"/>
            <w:gridSpan w:val="3"/>
          </w:tcPr>
          <w:p>
            <w:pPr>
              <w:jc w:val="right"/>
              <w:ind w:right="208"/>
              <w:spacing w:after="0"/>
              <w:rPr>
                <w:sz w:val="20"/>
                <w:szCs w:val="20"/>
                <w:color w:val="auto"/>
              </w:rPr>
            </w:pPr>
            <w:r>
              <w:rPr>
                <w:rFonts w:ascii="Arial" w:cs="Arial" w:eastAsia="Arial" w:hAnsi="Arial"/>
                <w:sz w:val="18"/>
                <w:szCs w:val="18"/>
                <w:color w:val="auto"/>
                <w:w w:val="91"/>
              </w:rPr>
              <w:t>31.1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gridSpan w:val="4"/>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Rule 13a-14(a)/15d-14(a) Certification of the Chief Executive Officer*</w:t>
              </w:r>
            </w:hyperlink>
          </w:p>
        </w:tc>
        <w:tc>
          <w:tcPr>
            <w:tcW w:w="0" w:type="dxa"/>
            <w:vAlign w:val="bottom"/>
          </w:tcPr>
          <w:p>
            <w:pPr>
              <w:spacing w:after="0"/>
              <w:rPr>
                <w:sz w:val="1"/>
                <w:szCs w:val="1"/>
                <w:color w:val="auto"/>
              </w:rPr>
            </w:pPr>
          </w:p>
        </w:tc>
      </w:tr>
      <w:tr>
        <w:trPr>
          <w:trHeight w:val="392"/>
        </w:trPr>
        <w:tc>
          <w:tcPr>
            <w:tcW w:w="620" w:type="dxa"/>
            <w:vAlign w:val="bottom"/>
            <w:gridSpan w:val="3"/>
          </w:tcPr>
          <w:p>
            <w:pPr>
              <w:jc w:val="right"/>
              <w:ind w:right="208"/>
              <w:spacing w:after="0"/>
              <w:rPr>
                <w:sz w:val="20"/>
                <w:szCs w:val="20"/>
                <w:color w:val="auto"/>
              </w:rPr>
            </w:pPr>
            <w:r>
              <w:rPr>
                <w:rFonts w:ascii="Arial" w:cs="Arial" w:eastAsia="Arial" w:hAnsi="Arial"/>
                <w:sz w:val="18"/>
                <w:szCs w:val="18"/>
                <w:color w:val="auto"/>
                <w:w w:val="91"/>
              </w:rPr>
              <w:t>31.2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gridSpan w:val="4"/>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Rule 13a-14(a)/15d-14(a) Certification of the Chief Financial Officer*</w:t>
              </w:r>
            </w:hyperlink>
          </w:p>
        </w:tc>
        <w:tc>
          <w:tcPr>
            <w:tcW w:w="0" w:type="dxa"/>
            <w:vAlign w:val="bottom"/>
          </w:tcPr>
          <w:p>
            <w:pPr>
              <w:spacing w:after="0"/>
              <w:rPr>
                <w:sz w:val="1"/>
                <w:szCs w:val="1"/>
                <w:color w:val="auto"/>
              </w:rPr>
            </w:pPr>
          </w:p>
        </w:tc>
      </w:tr>
      <w:tr>
        <w:trPr>
          <w:trHeight w:val="351"/>
        </w:trPr>
        <w:tc>
          <w:tcPr>
            <w:tcW w:w="620" w:type="dxa"/>
            <w:vAlign w:val="bottom"/>
            <w:gridSpan w:val="3"/>
          </w:tcPr>
          <w:p>
            <w:pPr>
              <w:jc w:val="right"/>
              <w:ind w:right="208"/>
              <w:spacing w:after="0"/>
              <w:rPr>
                <w:sz w:val="20"/>
                <w:szCs w:val="20"/>
                <w:color w:val="auto"/>
              </w:rPr>
            </w:pPr>
            <w:r>
              <w:rPr>
                <w:rFonts w:ascii="Arial" w:cs="Arial" w:eastAsia="Arial" w:hAnsi="Arial"/>
                <w:sz w:val="18"/>
                <w:szCs w:val="18"/>
                <w:color w:val="auto"/>
                <w:w w:val="91"/>
              </w:rPr>
              <w:t>32.1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Certification of the Chief Executive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United States Code (18 U.S.C. 1350)*</w:t>
              </w:r>
            </w:hyperlink>
          </w:p>
        </w:tc>
        <w:tc>
          <w:tcPr>
            <w:tcW w:w="7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620" w:type="dxa"/>
            <w:vAlign w:val="bottom"/>
            <w:gridSpan w:val="3"/>
          </w:tcPr>
          <w:p>
            <w:pPr>
              <w:jc w:val="right"/>
              <w:ind w:right="208"/>
              <w:spacing w:after="0"/>
              <w:rPr>
                <w:sz w:val="20"/>
                <w:szCs w:val="20"/>
                <w:color w:val="auto"/>
              </w:rPr>
            </w:pPr>
            <w:r>
              <w:rPr>
                <w:rFonts w:ascii="Arial" w:cs="Arial" w:eastAsia="Arial" w:hAnsi="Arial"/>
                <w:sz w:val="18"/>
                <w:szCs w:val="18"/>
                <w:color w:val="auto"/>
                <w:w w:val="91"/>
              </w:rPr>
              <w:t>32.2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gridSpan w:val="4"/>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Certification of the Chief Financial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51">
              <w:r>
                <w:rPr>
                  <w:rFonts w:ascii="Arial" w:cs="Arial" w:eastAsia="Arial" w:hAnsi="Arial"/>
                  <w:sz w:val="18"/>
                  <w:szCs w:val="18"/>
                  <w:color w:val="0000FF"/>
                  <w:w w:val="90"/>
                </w:rPr>
                <w:t>United States Code (18 U.S.C. 1350)*</w:t>
              </w:r>
            </w:hyperlink>
          </w:p>
        </w:tc>
        <w:tc>
          <w:tcPr>
            <w:tcW w:w="72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40" w:hanging="905"/>
        <w:spacing w:after="0" w:line="287" w:lineRule="auto"/>
        <w:tabs>
          <w:tab w:leader="none" w:pos="9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following materials from Booz Allen Hamilton Holding Corporation’s Quarterly Report on Form 10-Q for the three months ended June 30, 2020 formatted in Inline XBRL (eXtensible Business Reporting Language): (i) Condensed Consolidated Balance Sheets at June 30, 2020 and March 31, 2020; (ii) Condensed Consolidated Statements of Operations for the three months ended June 30, 2020 and 2019; (iii)</w:t>
      </w:r>
    </w:p>
    <w:p>
      <w:pPr>
        <w:spacing w:after="0" w:line="2" w:lineRule="exact"/>
        <w:rPr>
          <w:rFonts w:ascii="Arial" w:cs="Arial" w:eastAsia="Arial" w:hAnsi="Arial"/>
          <w:sz w:val="16"/>
          <w:szCs w:val="16"/>
          <w:color w:val="auto"/>
        </w:rPr>
      </w:pPr>
    </w:p>
    <w:p>
      <w:pPr>
        <w:ind w:left="940" w:right="460"/>
        <w:spacing w:after="0" w:line="255" w:lineRule="auto"/>
        <w:rPr>
          <w:rFonts w:ascii="Arial" w:cs="Arial" w:eastAsia="Arial" w:hAnsi="Arial"/>
          <w:sz w:val="16"/>
          <w:szCs w:val="16"/>
          <w:color w:val="auto"/>
        </w:rPr>
      </w:pPr>
      <w:r>
        <w:rPr>
          <w:rFonts w:ascii="Arial" w:cs="Arial" w:eastAsia="Arial" w:hAnsi="Arial"/>
          <w:sz w:val="18"/>
          <w:szCs w:val="18"/>
          <w:color w:val="auto"/>
        </w:rPr>
        <w:t>Condensed Consolidated Statements of Comprehensive Income for the three months ended June 30, 2020 and 2019; (iv) Condensed Consolidated Statements of Cash Flows for the three months ended June 30, 2020 and 2019; and (v) 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553" w:right="479" w:bottom="1440" w:gutter="0" w:footer="0" w:header="0"/>
        </w:sectPr>
      </w:pPr>
    </w:p>
    <w:bookmarkStart w:id="46" w:name="page47"/>
    <w:bookmarkEnd w:id="46"/>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2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840" w:val="left"/>
          <w:tab w:leader="none" w:pos="5300" w:val="left"/>
        </w:tabs>
        <w:rPr>
          <w:sz w:val="20"/>
          <w:szCs w:val="20"/>
          <w:color w:val="auto"/>
        </w:rPr>
      </w:pPr>
      <w:r>
        <w:rPr>
          <w:rFonts w:ascii="Arial" w:cs="Arial" w:eastAsia="Arial" w:hAnsi="Arial"/>
          <w:sz w:val="18"/>
          <w:szCs w:val="18"/>
          <w:color w:val="auto"/>
        </w:rPr>
        <w:t>Date: July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31750</wp:posOffset>
            </wp:positionV>
            <wp:extent cx="37719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740"/>
          </w:cols>
          <w:pgMar w:left="320" w:top="553" w:right="8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D. Rozanski, certify that:</w:t>
      </w:r>
    </w:p>
    <w:p>
      <w:pPr>
        <w:spacing w:after="0" w:line="171"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ind w:right="140" w:firstLine="8"/>
        <w:spacing w:after="0" w:line="263"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360" w:firstLine="8"/>
        <w:spacing w:after="0" w:line="263"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sz w:val="20"/>
          <w:szCs w:val="20"/>
          <w:color w:val="auto"/>
        </w:rPr>
      </w:pPr>
    </w:p>
    <w:p>
      <w:pPr>
        <w:ind w:right="500" w:firstLine="8"/>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sz w:val="20"/>
          <w:szCs w:val="20"/>
          <w:color w:val="auto"/>
        </w:rPr>
      </w:pPr>
    </w:p>
    <w:p>
      <w:pPr>
        <w:ind w:right="40" w:firstLine="8"/>
        <w:spacing w:after="0" w:line="277"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0"/>
        <w:spacing w:after="0"/>
        <w:tabs>
          <w:tab w:leader="none" w:pos="6980" w:val="left"/>
          <w:tab w:leader="none" w:pos="7440" w:val="left"/>
        </w:tabs>
        <w:rPr>
          <w:sz w:val="20"/>
          <w:szCs w:val="20"/>
          <w:color w:val="auto"/>
        </w:rPr>
      </w:pPr>
      <w:r>
        <w:rPr>
          <w:rFonts w:ascii="Arial" w:cs="Arial" w:eastAsia="Arial" w:hAnsi="Arial"/>
          <w:sz w:val="18"/>
          <w:szCs w:val="18"/>
          <w:color w:val="auto"/>
        </w:rPr>
        <w:t>Date: July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31750</wp:posOffset>
            </wp:positionV>
            <wp:extent cx="24174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Horacio D. Rozanski</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ind w:right="140" w:firstLine="8"/>
        <w:spacing w:after="0" w:line="263" w:lineRule="auto"/>
        <w:tabs>
          <w:tab w:leader="none" w:pos="2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360" w:firstLine="8"/>
        <w:spacing w:after="0" w:line="263"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sz w:val="20"/>
          <w:szCs w:val="20"/>
          <w:color w:val="auto"/>
        </w:rPr>
      </w:pPr>
    </w:p>
    <w:p>
      <w:pPr>
        <w:ind w:right="500" w:firstLine="8"/>
        <w:spacing w:after="0" w:line="308" w:lineRule="auto"/>
        <w:tabs>
          <w:tab w:leader="none" w:pos="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sz w:val="20"/>
          <w:szCs w:val="20"/>
          <w:color w:val="auto"/>
        </w:rPr>
      </w:pPr>
    </w:p>
    <w:p>
      <w:pPr>
        <w:ind w:right="40" w:firstLine="8"/>
        <w:spacing w:after="0" w:line="277" w:lineRule="auto"/>
        <w:tabs>
          <w:tab w:leader="none" w:pos="2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0"/>
        <w:spacing w:after="0"/>
        <w:tabs>
          <w:tab w:leader="none" w:pos="5640" w:val="left"/>
          <w:tab w:leader="none" w:pos="6100" w:val="left"/>
        </w:tabs>
        <w:rPr>
          <w:sz w:val="20"/>
          <w:szCs w:val="20"/>
          <w:color w:val="auto"/>
        </w:rPr>
      </w:pPr>
      <w:r>
        <w:rPr>
          <w:rFonts w:ascii="Arial" w:cs="Arial" w:eastAsia="Arial" w:hAnsi="Arial"/>
          <w:sz w:val="18"/>
          <w:szCs w:val="18"/>
          <w:color w:val="auto"/>
        </w:rPr>
        <w:t>Date: July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3"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2020,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460" w:val="left"/>
        </w:tabs>
        <w:rPr>
          <w:sz w:val="20"/>
          <w:szCs w:val="20"/>
          <w:color w:val="auto"/>
        </w:rPr>
      </w:pPr>
      <w:r>
        <w:rPr>
          <w:rFonts w:ascii="Arial" w:cs="Arial" w:eastAsia="Arial" w:hAnsi="Arial"/>
          <w:sz w:val="18"/>
          <w:szCs w:val="18"/>
          <w:color w:val="auto"/>
        </w:rPr>
        <w:t>Date: July 31, 2020</w:t>
      </w:r>
      <w:r>
        <w:rPr>
          <w:sz w:val="20"/>
          <w:szCs w:val="20"/>
          <w:color w:val="auto"/>
        </w:rPr>
        <w:tab/>
      </w:r>
      <w:r>
        <w:rPr>
          <w:rFonts w:ascii="Arial" w:cs="Arial" w:eastAsia="Arial" w:hAnsi="Arial"/>
          <w:sz w:val="16"/>
          <w:szCs w:val="16"/>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Horacio D. Rozanski</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40"/>
          </w:cols>
          <w:pgMar w:left="320" w:top="553"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2020,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540" w:val="left"/>
        </w:tabs>
        <w:rPr>
          <w:sz w:val="20"/>
          <w:szCs w:val="20"/>
          <w:color w:val="auto"/>
        </w:rPr>
      </w:pPr>
      <w:r>
        <w:rPr>
          <w:rFonts w:ascii="Arial" w:cs="Arial" w:eastAsia="Arial" w:hAnsi="Arial"/>
          <w:sz w:val="18"/>
          <w:szCs w:val="18"/>
          <w:color w:val="auto"/>
        </w:rPr>
        <w:t>Date: July 31, 2020</w:t>
      </w:r>
      <w:r>
        <w:rPr>
          <w:sz w:val="20"/>
          <w:szCs w:val="20"/>
          <w:color w:val="auto"/>
        </w:rPr>
        <w:tab/>
      </w:r>
      <w:r>
        <w:rPr>
          <w:rFonts w:ascii="Arial" w:cs="Arial" w:eastAsia="Arial" w:hAnsi="Arial"/>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34201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(Principal Financial Officer)</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lvl w:ilvl="1">
      <w:lvlJc w:val="left"/>
      <w:lvlText w:val="(%2)"/>
      <w:numFmt w:val="decimal"/>
      <w:start w:val="2"/>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5"/>
    </w:lvl>
  </w:abstractNum>
  <w:abstractNum w:abstractNumId="5">
    <w:nsid w:val="189A769B"/>
    <w:multiLevelType w:val="hybridMultilevel"/>
    <w:lvl w:ilvl="0">
      <w:lvlJc w:val="left"/>
      <w:lvlText w:val="%1."/>
      <w:numFmt w:val="decimal"/>
      <w:start w:val="6"/>
    </w:lvl>
  </w:abstractNum>
  <w:abstractNum w:abstractNumId="6">
    <w:nsid w:val="54E49EB4"/>
    <w:multiLevelType w:val="hybridMultilevel"/>
    <w:lvl w:ilvl="0">
      <w:lvlJc w:val="left"/>
      <w:lvlText w:val="(%1)"/>
      <w:numFmt w:val="lowerLetter"/>
      <w:start w:val="25"/>
    </w:lvl>
  </w:abstractNum>
  <w:abstractNum w:abstractNumId="7">
    <w:nsid w:val="71F32454"/>
    <w:multiLevelType w:val="hybridMultilevel"/>
    <w:lvl w:ilvl="0">
      <w:lvlJc w:val="left"/>
      <w:lvlText w:val="(%1)"/>
      <w:numFmt w:val="lowerRoman"/>
      <w:start w:val="5"/>
    </w:lvl>
  </w:abstractNum>
  <w:abstractNum w:abstractNumId="8">
    <w:nsid w:val="2CA88611"/>
    <w:multiLevelType w:val="hybridMultilevel"/>
    <w:lvl w:ilvl="0">
      <w:lvlJc w:val="left"/>
      <w:lvlText w:val="(%1)"/>
      <w:numFmt w:val="lowerRoman"/>
      <w:start w:val="11"/>
    </w:lvl>
  </w:abstractNum>
  <w:abstractNum w:abstractNumId="9">
    <w:nsid w:val="836C40E"/>
    <w:multiLevelType w:val="hybridMultilevel"/>
    <w:lvl w:ilvl="0">
      <w:lvlJc w:val="left"/>
      <w:lvlText w:val="%1"/>
      <w:numFmt w:val="decimal"/>
      <w:start w:val="1"/>
    </w:lvl>
    <w:lvl w:ilvl="1">
      <w:lvlJc w:val="left"/>
      <w:lvlText w:val="(%2)"/>
      <w:numFmt w:val="decimal"/>
      <w:start w:val="1"/>
    </w:lvl>
  </w:abstractNum>
  <w:abstractNum w:abstractNumId="10">
    <w:nsid w:val="2901D82"/>
    <w:multiLevelType w:val="hybridMultilevel"/>
    <w:lvl w:ilvl="0">
      <w:lvlJc w:val="left"/>
      <w:lvlText w:val="%1."/>
      <w:numFmt w:val="decimal"/>
      <w:start w:val="9"/>
    </w:lvl>
    <w:lvl w:ilvl="1">
      <w:lvlJc w:val="left"/>
      <w:lvlText w:val="%2"/>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3"/>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2"/>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lowerLetter"/>
      <w:start w:val="4"/>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lowerLetter"/>
      <w:start w:val="25"/>
    </w:lvl>
  </w:abstractNum>
  <w:abstractNum w:abstractNumId="30">
    <w:nsid w:val="5E884ADC"/>
    <w:multiLevelType w:val="hybridMultilevel"/>
    <w:lvl w:ilvl="0">
      <w:lvlJc w:val="left"/>
      <w:lvlText w:val="(%1)"/>
      <w:numFmt w:val="lowerRoman"/>
      <w:start w:val="5"/>
    </w:lvl>
  </w:abstractNum>
  <w:abstractNum w:abstractNumId="31">
    <w:nsid w:val="51EAD36B"/>
    <w:multiLevelType w:val="hybridMultilevel"/>
    <w:lvl w:ilvl="0">
      <w:lvlJc w:val="left"/>
      <w:lvlText w:val="(%1)"/>
      <w:numFmt w:val="lowerRoman"/>
      <w:start w:val="1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0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2020-07-31T07:57:35Z</dcterms:created>
  <dcterms:modified xsi:type="dcterms:W3CDTF">2020-07-31T07:57:35Z</dcterms:modified>
</cp:coreProperties>
</file>