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rFonts w:ascii="Times New Roman;serif" w:hAnsi="Times New Roman;serif"/>
          <w:b w:val="false"/>
          <w:color w:val="000000"/>
          <w:sz w:val="12"/>
        </w:rPr>
        <w:t>___________________________________________________________</w:t>
      </w:r>
      <w:r>
        <w:rPr>
          <w:color w:val="000000"/>
        </w:rPr>
        <w:t>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001-34972 </w:t>
      </w:r>
    </w:p>
    <w:p>
      <w:pPr>
        <w:pStyle w:val="TextBody"/>
        <w:bidi w:val="0"/>
        <w:spacing w:lineRule="auto" w:line="288" w:before="0" w:after="60"/>
        <w:jc w:val="center"/>
        <w:rPr>
          <w:color w:val="000000"/>
        </w:rPr>
      </w:pPr>
      <w:r>
        <w:rPr>
          <w:color w:val="000000"/>
        </w:rPr>
        <w:t> </w:t>
      </w:r>
      <w:r>
        <w:rPr>
          <w:rFonts w:ascii="Times New Roman;serif" w:hAnsi="Times New Roman;serif"/>
          <w:b w:val="false"/>
          <w:color w:val="000000"/>
          <w:sz w:val="12"/>
        </w:rPr>
        <w:t>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w:t>
      </w:r>
    </w:p>
    <w:tbl>
      <w:tblPr>
        <w:tblW w:w="5651"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902-5000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779" w:type="dxa"/>
        <w:jc w:val="center"/>
        <w:tblInd w:w="0" w:type="dxa"/>
        <w:tblLayout w:type="fixed"/>
        <w:tblCellMar>
          <w:top w:w="28" w:type="dxa"/>
          <w:left w:w="28" w:type="dxa"/>
          <w:bottom w:w="28" w:type="dxa"/>
          <w:right w:w="28" w:type="dxa"/>
        </w:tblCellMar>
      </w:tblPr>
      <w:tblGrid>
        <w:gridCol w:w="736"/>
        <w:gridCol w:w="650"/>
        <w:gridCol w:w="654"/>
        <w:gridCol w:w="424"/>
        <w:gridCol w:w="424"/>
        <w:gridCol w:w="426"/>
        <w:gridCol w:w="1014"/>
        <w:gridCol w:w="1014"/>
        <w:gridCol w:w="1437"/>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W w:w="6120"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 w:after="2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3841" w:type="dxa"/>
        <w:jc w:val="left"/>
        <w:tblInd w:w="0" w:type="dxa"/>
        <w:tblLayout w:type="fixed"/>
        <w:tblCellMar>
          <w:top w:w="28" w:type="dxa"/>
          <w:left w:w="28" w:type="dxa"/>
          <w:bottom w:w="28" w:type="dxa"/>
          <w:right w:w="28" w:type="dxa"/>
        </w:tblCellMar>
      </w:tblPr>
      <w:tblGrid>
        <w:gridCol w:w="738"/>
        <w:gridCol w:w="649"/>
        <w:gridCol w:w="653"/>
        <w:gridCol w:w="527"/>
        <w:gridCol w:w="527"/>
        <w:gridCol w:w="747"/>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Outstanding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10/19/2026</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8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118,602,638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531" w:type="dxa"/>
        <w:jc w:val="left"/>
        <w:tblInd w:w="0" w:type="dxa"/>
        <w:tblLayout w:type="fixed"/>
        <w:tblCellMar>
          <w:top w:w="28" w:type="dxa"/>
          <w:left w:w="28" w:type="dxa"/>
          <w:bottom w:w="28" w:type="dxa"/>
          <w:right w:w="28" w:type="dxa"/>
        </w:tblCellMar>
      </w:tblPr>
      <w:tblGrid>
        <w:gridCol w:w="508"/>
        <w:gridCol w:w="446"/>
        <w:gridCol w:w="446"/>
        <w:gridCol w:w="2512"/>
        <w:gridCol w:w="2512"/>
        <w:gridCol w:w="2536"/>
        <w:gridCol w:w="167"/>
        <w:gridCol w:w="167"/>
        <w:gridCol w:w="237"/>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16afd8429e44c8e9a1c3460aa674080_10">
              <w:r>
                <w:rPr>
                  <w:rStyle w:val="InternetLink"/>
                  <w:rFonts w:ascii="Times New Roman;serif" w:hAnsi="Times New Roman;serif"/>
                  <w:b/>
                  <w:color w:val="0000FF"/>
                  <w:sz w:val="20"/>
                  <w:u w:val="single"/>
                </w:rPr>
                <w:t>1</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3">
              <w:r>
                <w:rPr>
                  <w:rStyle w:val="InternetLink"/>
                  <w:rFonts w:ascii="Times New Roman;serif" w:hAnsi="Times New Roman;serif"/>
                  <w:b/>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3">
              <w:r>
                <w:rPr>
                  <w:rStyle w:val="InternetLink"/>
                  <w:rFonts w:ascii="Times New Roman;serif" w:hAnsi="Times New Roman;serif"/>
                  <w:b/>
                  <w:color w:val="0000FF"/>
                  <w:sz w:val="20"/>
                  <w:u w:val="single"/>
                </w:rPr>
                <w:t>1</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70">
              <w:r>
                <w:rPr>
                  <w:rStyle w:val="InternetLink"/>
                  <w:rFonts w:ascii="Times New Roman;serif" w:hAnsi="Times New Roman;serif"/>
                  <w:b/>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70">
              <w:r>
                <w:rPr>
                  <w:rStyle w:val="InternetLink"/>
                  <w:rFonts w:ascii="Times New Roman;serif" w:hAnsi="Times New Roman;serif"/>
                  <w:b/>
                  <w:color w:val="0000FF"/>
                  <w:sz w:val="20"/>
                  <w:u w:val="single"/>
                </w:rPr>
                <w:t>15</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00">
              <w:r>
                <w:rPr>
                  <w:rStyle w:val="InternetLink"/>
                  <w:rFonts w:ascii="Times New Roman;serif" w:hAnsi="Times New Roman;serif"/>
                  <w:b/>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00">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03">
              <w:r>
                <w:rPr>
                  <w:rStyle w:val="InternetLink"/>
                  <w:rFonts w:ascii="Times New Roman;serif" w:hAnsi="Times New Roman;serif"/>
                  <w:b/>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03">
              <w:r>
                <w:rPr>
                  <w:rStyle w:val="InternetLink"/>
                  <w:rFonts w:ascii="Times New Roman;serif" w:hAnsi="Times New Roman;serif"/>
                  <w:b/>
                  <w:color w:val="0000FF"/>
                  <w:sz w:val="20"/>
                  <w:u w:val="single"/>
                </w:rPr>
                <w:t>23</w:t>
              </w:r>
            </w:hyperlink>
          </w:p>
        </w:tc>
      </w:tr>
      <w:tr>
        <w:trPr/>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06">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06">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12">
              <w:r>
                <w:rPr>
                  <w:rStyle w:val="InternetLink"/>
                  <w:rFonts w:ascii="Times New Roman;serif" w:hAnsi="Times New Roman;serif"/>
                  <w:b/>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12">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15">
              <w:r>
                <w:rPr>
                  <w:rStyle w:val="InternetLink"/>
                  <w:rFonts w:ascii="Times New Roman;serif" w:hAnsi="Times New Roman;serif"/>
                  <w:b/>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15">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18">
              <w:r>
                <w:rPr>
                  <w:rStyle w:val="InternetLink"/>
                  <w:rFonts w:ascii="Times New Roman;serif" w:hAnsi="Times New Roman;serif"/>
                  <w:b/>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18">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21">
              <w:r>
                <w:rPr>
                  <w:rStyle w:val="InternetLink"/>
                  <w:rFonts w:ascii="Times New Roman;serif" w:hAnsi="Times New Roman;serif"/>
                  <w:b/>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21">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24">
              <w:r>
                <w:rPr>
                  <w:rStyle w:val="InternetLink"/>
                  <w:rFonts w:ascii="Times New Roman;serif" w:hAnsi="Times New Roman;serif"/>
                  <w:b/>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24">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27">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27">
              <w:r>
                <w:rPr>
                  <w:rStyle w:val="InternetLink"/>
                  <w:rFonts w:ascii="Times New Roman;serif" w:hAnsi="Times New Roman;serif"/>
                  <w:b/>
                  <w:color w:val="0000FF"/>
                  <w:sz w:val="20"/>
                  <w:u w:val="single"/>
                </w:rPr>
                <w:t>24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30">
              <w:r>
                <w:rPr>
                  <w:rStyle w:val="InternetLink"/>
                  <w:rFonts w:ascii="Times New Roman;serif" w:hAnsi="Times New Roman;serif"/>
                  <w:b/>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6afd8429e44c8e9a1c3460aa674080_130">
              <w:r>
                <w:rPr>
                  <w:rStyle w:val="InternetLink"/>
                  <w:rFonts w:ascii="Times New Roman;serif" w:hAnsi="Times New Roman;serif"/>
                  <w:b/>
                  <w:color w:val="0000FF"/>
                  <w:sz w:val="20"/>
                  <w:u w:val="single"/>
                </w:rPr>
                <w:t>25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w:t>
      </w:r>
      <w:r>
        <w:rPr>
          <w:rFonts w:ascii="Times New Roman;serif" w:hAnsi="Times New Roman;serif"/>
          <w:b/>
          <w:i/>
          <w:color w:val="000000"/>
          <w:sz w:val="20"/>
        </w:rPr>
        <w:t>.    </w:t>
      </w:r>
      <w:r>
        <w:rPr>
          <w:rFonts w:ascii="Times New Roman;serif" w:hAnsi="Times New Roman;serif"/>
          <w:b/>
          <w:color w:val="000000"/>
          <w:sz w:val="20"/>
        </w:rPr>
        <w:t>Financial Statements</w:t>
      </w:r>
    </w:p>
    <w:p>
      <w:pPr>
        <w:pStyle w:val="TextBody"/>
        <w:bidi w:val="0"/>
        <w:spacing w:before="0" w:after="0"/>
        <w:ind w:left="0" w:right="0" w:hanging="1080"/>
        <w:jc w:val="left"/>
        <w:rPr/>
      </w:pPr>
      <w:r>
        <w:rPr/>
      </w:r>
    </w:p>
    <w:p>
      <w:pPr>
        <w:pStyle w:val="TextBody"/>
        <w:bidi w:val="0"/>
        <w:spacing w:lineRule="auto" w:line="288" w:before="0" w:after="0"/>
        <w:ind w:left="0" w:right="0" w:hanging="1080"/>
        <w:jc w:val="center"/>
        <w:rPr>
          <w:rFonts w:ascii="Times New Roman;serif" w:hAnsi="Times New Roman;serif"/>
          <w:b/>
          <w:color w:val="000000"/>
          <w:sz w:val="20"/>
        </w:rPr>
      </w:pPr>
      <w:r>
        <w:rPr>
          <w:rFonts w:ascii="Times New Roman;serif" w:hAnsi="Times New Roman;serif"/>
          <w:b/>
          <w:color w:val="000000"/>
          <w:sz w:val="20"/>
        </w:rPr>
        <w:t>INDEX TO THE UNAUDITED CONDENSED CONSOLIDATED FINANCIAL STATEMENTS</w:t>
      </w:r>
    </w:p>
    <w:tbl>
      <w:tblPr>
        <w:tblW w:w="6211" w:type="dxa"/>
        <w:jc w:val="center"/>
        <w:tblInd w:w="0" w:type="dxa"/>
        <w:tblLayout w:type="fixed"/>
        <w:tblCellMar>
          <w:top w:w="28" w:type="dxa"/>
          <w:left w:w="28" w:type="dxa"/>
          <w:bottom w:w="28" w:type="dxa"/>
          <w:right w:w="28" w:type="dxa"/>
        </w:tblCellMar>
      </w:tblPr>
      <w:tblGrid>
        <w:gridCol w:w="2043"/>
        <w:gridCol w:w="1796"/>
        <w:gridCol w:w="1801"/>
        <w:gridCol w:w="167"/>
        <w:gridCol w:w="167"/>
        <w:gridCol w:w="237"/>
      </w:tblGrid>
      <w:tr>
        <w:trPr/>
        <w:tc>
          <w:tcPr>
            <w:tcW w:w="204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6">
              <w:r>
                <w:rPr>
                  <w:rStyle w:val="InternetLink"/>
                  <w:rFonts w:ascii="Times New Roman;serif" w:hAnsi="Times New Roman;serif"/>
                  <w:b/>
                  <w:color w:val="0000FF"/>
                  <w:sz w:val="20"/>
                  <w:u w:val="single"/>
                </w:rPr>
                <w:t>Condensed Consolidated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16afd8429e44c8e9a1c3460aa674080_16">
              <w:r>
                <w:rPr>
                  <w:rStyle w:val="InternetLink"/>
                  <w:rFonts w:ascii="Times New Roman;serif" w:hAnsi="Times New Roman;serif"/>
                  <w:b/>
                  <w:color w:val="0000FF"/>
                  <w:sz w:val="20"/>
                  <w:u w:val="single"/>
                </w:rPr>
                <w:t>1</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19">
              <w:r>
                <w:rPr>
                  <w:rStyle w:val="InternetLink"/>
                  <w:rFonts w:ascii="Times New Roman;serif" w:hAnsi="Times New Roman;serif"/>
                  <w:b/>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19">
              <w:r>
                <w:rPr>
                  <w:rStyle w:val="InternetLink"/>
                  <w:rFonts w:ascii="Times New Roman;serif" w:hAnsi="Times New Roman;serif"/>
                  <w:b/>
                  <w:color w:val="0000FF"/>
                  <w:sz w:val="20"/>
                  <w:u w:val="single"/>
                </w:rPr>
                <w:t>2</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22">
              <w:r>
                <w:rPr>
                  <w:rStyle w:val="InternetLink"/>
                  <w:rFonts w:ascii="Times New Roman;serif" w:hAnsi="Times New Roman;serif"/>
                  <w:b/>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22">
              <w:r>
                <w:rPr>
                  <w:rStyle w:val="InternetLink"/>
                  <w:rFonts w:ascii="Times New Roman;serif" w:hAnsi="Times New Roman;serif"/>
                  <w:b/>
                  <w:color w:val="0000FF"/>
                  <w:sz w:val="20"/>
                  <w:u w:val="single"/>
                </w:rPr>
                <w:t>3</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25">
              <w:r>
                <w:rPr>
                  <w:rStyle w:val="InternetLink"/>
                  <w:rFonts w:ascii="Times New Roman;serif" w:hAnsi="Times New Roman;serif"/>
                  <w:b/>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25">
              <w:r>
                <w:rPr>
                  <w:rStyle w:val="InternetLink"/>
                  <w:rFonts w:ascii="Times New Roman;serif" w:hAnsi="Times New Roman;serif"/>
                  <w:b/>
                  <w:color w:val="0000FF"/>
                  <w:sz w:val="20"/>
                  <w:u w:val="single"/>
                </w:rPr>
                <w:t>4</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28">
              <w:r>
                <w:rPr>
                  <w:rStyle w:val="InternetLink"/>
                  <w:rFonts w:ascii="Times New Roman;serif" w:hAnsi="Times New Roman;serif"/>
                  <w:b/>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28">
              <w:r>
                <w:rPr>
                  <w:rStyle w:val="InternetLink"/>
                  <w:rFonts w:ascii="Times New Roman;serif" w:hAnsi="Times New Roman;serif"/>
                  <w:b/>
                  <w:color w:val="0000FF"/>
                  <w:sz w:val="20"/>
                  <w:u w:val="single"/>
                </w:rPr>
                <w:t>5</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34">
              <w:r>
                <w:rPr>
                  <w:rStyle w:val="InternetLink"/>
                  <w:rFonts w:ascii="Times New Roman;serif" w:hAnsi="Times New Roman;serif"/>
                  <w:b/>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34">
              <w:r>
                <w:rPr>
                  <w:rStyle w:val="InternetLink"/>
                  <w:rFonts w:ascii="Times New Roman;serif" w:hAnsi="Times New Roman;serif"/>
                  <w:b/>
                  <w:color w:val="0000FF"/>
                  <w:sz w:val="20"/>
                  <w:u w:val="single"/>
                </w:rPr>
                <w:t>7</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34">
              <w:r>
                <w:rPr>
                  <w:rStyle w:val="InternetLink"/>
                  <w:rFonts w:ascii="Times New Roman;serif" w:hAnsi="Times New Roman;serif"/>
                  <w:b/>
                  <w:color w:val="0000FF"/>
                  <w:sz w:val="20"/>
                  <w:u w:val="single"/>
                </w:rPr>
                <w:t>1. Business Overview</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34">
              <w:r>
                <w:rPr>
                  <w:rStyle w:val="InternetLink"/>
                  <w:rFonts w:ascii="Times New Roman;serif" w:hAnsi="Times New Roman;serif"/>
                  <w:b/>
                  <w:color w:val="0000FF"/>
                  <w:sz w:val="20"/>
                  <w:u w:val="single"/>
                </w:rPr>
                <w:t>7</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37">
              <w:r>
                <w:rPr>
                  <w:rStyle w:val="InternetLink"/>
                  <w:rFonts w:ascii="Times New Roman;serif" w:hAnsi="Times New Roman;serif"/>
                  <w:b/>
                  <w:color w:val="0000FF"/>
                  <w:sz w:val="20"/>
                  <w:u w:val="single"/>
                </w:rPr>
                <w:t>2. Basis of Presentation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37">
              <w:r>
                <w:rPr>
                  <w:rStyle w:val="InternetLink"/>
                  <w:rFonts w:ascii="Times New Roman;serif" w:hAnsi="Times New Roman;serif"/>
                  <w:b/>
                  <w:color w:val="0000FF"/>
                  <w:sz w:val="20"/>
                  <w:u w:val="single"/>
                </w:rPr>
                <w:t>7</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40">
              <w:r>
                <w:rPr>
                  <w:rStyle w:val="InternetLink"/>
                  <w:rFonts w:ascii="Times New Roman;serif" w:hAnsi="Times New Roman;serif"/>
                  <w:b/>
                  <w:color w:val="0000FF"/>
                  <w:sz w:val="20"/>
                  <w:u w:val="single"/>
                </w:rPr>
                <w:t>3. 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40">
              <w:r>
                <w:rPr>
                  <w:rStyle w:val="InternetLink"/>
                  <w:rFonts w:ascii="Times New Roman;serif" w:hAnsi="Times New Roman;serif"/>
                  <w:b/>
                  <w:color w:val="0000FF"/>
                  <w:sz w:val="20"/>
                  <w:u w:val="single"/>
                </w:rPr>
                <w:t>8</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43">
              <w:r>
                <w:rPr>
                  <w:rStyle w:val="InternetLink"/>
                  <w:rFonts w:ascii="Times New Roman;serif" w:hAnsi="Times New Roman;serif"/>
                  <w:b/>
                  <w:color w:val="0000FF"/>
                  <w:sz w:val="20"/>
                  <w:u w:val="single"/>
                </w:rPr>
                <w:t>4. 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43">
              <w:r>
                <w:rPr>
                  <w:rStyle w:val="InternetLink"/>
                  <w:rFonts w:ascii="Times New Roman;serif" w:hAnsi="Times New Roman;serif"/>
                  <w:b/>
                  <w:color w:val="0000FF"/>
                  <w:sz w:val="20"/>
                  <w:u w:val="single"/>
                </w:rPr>
                <w:t>9</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46">
              <w:r>
                <w:rPr>
                  <w:rStyle w:val="InternetLink"/>
                  <w:rFonts w:ascii="Times New Roman;serif" w:hAnsi="Times New Roman;serif"/>
                  <w:b/>
                  <w:color w:val="0000FF"/>
                  <w:sz w:val="20"/>
                  <w:u w:val="single"/>
                </w:rPr>
                <w:t>5. Acquisitions, Goodwill and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46">
              <w:r>
                <w:rPr>
                  <w:rStyle w:val="InternetLink"/>
                  <w:rFonts w:ascii="Times New Roman;serif" w:hAnsi="Times New Roman;serif"/>
                  <w:b/>
                  <w:color w:val="0000FF"/>
                  <w:sz w:val="20"/>
                  <w:u w:val="single"/>
                </w:rPr>
                <w:t>9</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49">
              <w:r>
                <w:rPr>
                  <w:rStyle w:val="InternetLink"/>
                  <w:rFonts w:ascii="Times New Roman;serif" w:hAnsi="Times New Roman;serif"/>
                  <w:b/>
                  <w:color w:val="0000FF"/>
                  <w:sz w:val="20"/>
                  <w:u w:val="single"/>
                </w:rPr>
                <w:t>6. Accounts Payable and Other Accrued Expenses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49">
              <w:r>
                <w:rPr>
                  <w:rStyle w:val="InternetLink"/>
                  <w:rFonts w:ascii="Times New Roman;serif" w:hAnsi="Times New Roman;serif"/>
                  <w:b/>
                  <w:color w:val="0000FF"/>
                  <w:sz w:val="20"/>
                  <w:u w:val="single"/>
                </w:rPr>
                <w:t>10</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52">
              <w:r>
                <w:rPr>
                  <w:rStyle w:val="InternetLink"/>
                  <w:rFonts w:ascii="Times New Roman;serif" w:hAnsi="Times New Roman;serif"/>
                  <w:b/>
                  <w:color w:val="0000FF"/>
                  <w:sz w:val="20"/>
                  <w:u w:val="single"/>
                </w:rPr>
                <w:t>7. Accrued Compensation and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52">
              <w:r>
                <w:rPr>
                  <w:rStyle w:val="InternetLink"/>
                  <w:rFonts w:ascii="Times New Roman;serif" w:hAnsi="Times New Roman;serif"/>
                  <w:b/>
                  <w:color w:val="0000FF"/>
                  <w:sz w:val="20"/>
                  <w:u w:val="single"/>
                </w:rPr>
                <w:t>11</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55">
              <w:r>
                <w:rPr>
                  <w:rStyle w:val="InternetLink"/>
                  <w:rFonts w:ascii="Times New Roman;serif" w:hAnsi="Times New Roman;serif"/>
                  <w:b/>
                  <w:color w:val="0000FF"/>
                  <w:sz w:val="20"/>
                  <w:u w:val="single"/>
                </w:rPr>
                <w:t>8. Debt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55">
              <w:r>
                <w:rPr>
                  <w:rStyle w:val="InternetLink"/>
                  <w:rFonts w:ascii="Times New Roman;serif" w:hAnsi="Times New Roman;serif"/>
                  <w:b/>
                  <w:color w:val="0000FF"/>
                  <w:sz w:val="20"/>
                  <w:u w:val="single"/>
                </w:rPr>
                <w:t>11</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E32E1"/>
                <w:sz w:val="20"/>
                <w:u w:val="single"/>
              </w:rPr>
              <w:t>9</w:t>
            </w:r>
            <w:hyperlink w:anchor="ic16afd8429e44c8e9a1c3460aa674080_58">
              <w:r>
                <w:rPr>
                  <w:rStyle w:val="InternetLink"/>
                  <w:rFonts w:ascii="Times New Roman;serif" w:hAnsi="Times New Roman;serif"/>
                  <w:b/>
                  <w:color w:val="000080"/>
                  <w:sz w:val="20"/>
                  <w:u w:val="single"/>
                </w:rPr>
                <w:t xml:space="preserve">. </w:t>
              </w:r>
            </w:hyperlink>
            <w:hyperlink w:anchor="ic16afd8429e44c8e9a1c3460aa674080_58">
              <w:r>
                <w:rPr>
                  <w:rStyle w:val="InternetLink"/>
                  <w:rFonts w:ascii="Times New Roman;serif" w:hAnsi="Times New Roman;serif"/>
                  <w:b/>
                  <w:color w:val="0000FF"/>
                  <w:sz w:val="20"/>
                  <w:u w:val="singl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58">
              <w:r>
                <w:rPr>
                  <w:rStyle w:val="InternetLink"/>
                  <w:rFonts w:ascii="Times New Roman;serif" w:hAnsi="Times New Roman;serif"/>
                  <w:b/>
                  <w:color w:val="0000FF"/>
                  <w:sz w:val="20"/>
                  <w:u w:val="single"/>
                </w:rPr>
                <w:t>12</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61">
              <w:r>
                <w:rPr>
                  <w:rStyle w:val="InternetLink"/>
                  <w:rFonts w:ascii="Times New Roman;serif" w:hAnsi="Times New Roman;serif"/>
                  <w:b/>
                  <w:color w:val="0000FF"/>
                  <w:sz w:val="20"/>
                  <w:u w:val="single"/>
                </w:rPr>
                <w:t>10. Investments and 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61">
              <w:r>
                <w:rPr>
                  <w:rStyle w:val="InternetLink"/>
                  <w:rFonts w:ascii="Times New Roman;serif" w:hAnsi="Times New Roman;serif"/>
                  <w:b/>
                  <w:color w:val="0000FF"/>
                  <w:sz w:val="20"/>
                  <w:u w:val="single"/>
                </w:rPr>
                <w:t>12</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6afd8429e44c8e9a1c3460aa674080_64">
              <w:r>
                <w:rPr>
                  <w:rStyle w:val="InternetLink"/>
                  <w:rFonts w:ascii="Times New Roman;serif" w:hAnsi="Times New Roman;serif"/>
                  <w:b/>
                  <w:color w:val="0000FF"/>
                  <w:sz w:val="20"/>
                  <w:u w:val="single"/>
                </w:rPr>
                <w:t>11. 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6afd8429e44c8e9a1c3460aa674080_64">
              <w:r>
                <w:rPr>
                  <w:rStyle w:val="InternetLink"/>
                  <w:rFonts w:ascii="Times New Roman;serif" w:hAnsi="Times New Roman;serif"/>
                  <w:b/>
                  <w:color w:val="0000FF"/>
                  <w:sz w:val="20"/>
                  <w:u w:val="single"/>
                </w:rPr>
                <w:t>14</w:t>
              </w:r>
            </w:hyperlink>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 except share and per share data)</w:t>
      </w:r>
    </w:p>
    <w:tbl>
      <w:tblPr>
        <w:tblW w:w="10205" w:type="dxa"/>
        <w:jc w:val="left"/>
        <w:tblInd w:w="0" w:type="dxa"/>
        <w:tblLayout w:type="fixed"/>
        <w:tblCellMar>
          <w:top w:w="28" w:type="dxa"/>
          <w:left w:w="28" w:type="dxa"/>
          <w:bottom w:w="28" w:type="dxa"/>
          <w:right w:w="28" w:type="dxa"/>
        </w:tblCellMar>
      </w:tblPr>
      <w:tblGrid>
        <w:gridCol w:w="3144"/>
        <w:gridCol w:w="2321"/>
        <w:gridCol w:w="2293"/>
        <w:gridCol w:w="251"/>
        <w:gridCol w:w="738"/>
        <w:gridCol w:w="131"/>
        <w:gridCol w:w="109"/>
        <w:gridCol w:w="109"/>
        <w:gridCol w:w="109"/>
        <w:gridCol w:w="214"/>
        <w:gridCol w:w="625"/>
        <w:gridCol w:w="161"/>
      </w:tblGrid>
      <w:tr>
        <w:trPr/>
        <w:tc>
          <w:tcPr>
            <w:tcW w:w="3144"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and other long-term employee benefits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Class A - $0.01 par value - authorized: 600,000,000 shares;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170,671,224 and 169,805,201 shares at September 30, 2026 and March 31, 2026, respectively; outstanding: 119,096,968 and 120,341,320 shares at September 30, 2026 and March 31, 2026, respectively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- 51,574,256 and 49,463,881 shares at September 30, 2026 and March 31, 2026</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tbl>
      <w:tblPr>
        <w:tblW w:w="7927" w:type="dxa"/>
        <w:jc w:val="center"/>
        <w:tblInd w:w="0" w:type="dxa"/>
        <w:tblLayout w:type="fixed"/>
        <w:tblCellMar>
          <w:top w:w="28" w:type="dxa"/>
          <w:left w:w="28" w:type="dxa"/>
          <w:bottom w:w="28" w:type="dxa"/>
          <w:right w:w="28" w:type="dxa"/>
        </w:tblCellMar>
      </w:tblPr>
      <w:tblGrid>
        <w:gridCol w:w="1375"/>
        <w:gridCol w:w="1211"/>
        <w:gridCol w:w="1223"/>
        <w:gridCol w:w="211"/>
        <w:gridCol w:w="617"/>
        <w:gridCol w:w="109"/>
        <w:gridCol w:w="211"/>
        <w:gridCol w:w="617"/>
        <w:gridCol w:w="109"/>
        <w:gridCol w:w="109"/>
        <w:gridCol w:w="109"/>
        <w:gridCol w:w="109"/>
        <w:gridCol w:w="211"/>
        <w:gridCol w:w="616"/>
        <w:gridCol w:w="109"/>
        <w:gridCol w:w="211"/>
        <w:gridCol w:w="61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Billable expenses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 (Note 4):</w:t>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w:t>
      </w:r>
    </w:p>
    <w:tbl>
      <w:tblPr>
        <w:tblW w:w="10205" w:type="dxa"/>
        <w:jc w:val="center"/>
        <w:tblInd w:w="0" w:type="dxa"/>
        <w:tblLayout w:type="fixed"/>
        <w:tblCellMar>
          <w:top w:w="28" w:type="dxa"/>
          <w:left w:w="28" w:type="dxa"/>
          <w:bottom w:w="28" w:type="dxa"/>
          <w:right w:w="28" w:type="dxa"/>
        </w:tblCellMar>
      </w:tblPr>
      <w:tblGrid>
        <w:gridCol w:w="2295"/>
        <w:gridCol w:w="2012"/>
        <w:gridCol w:w="2030"/>
        <w:gridCol w:w="249"/>
        <w:gridCol w:w="552"/>
        <w:gridCol w:w="129"/>
        <w:gridCol w:w="249"/>
        <w:gridCol w:w="552"/>
        <w:gridCol w:w="129"/>
        <w:gridCol w:w="109"/>
        <w:gridCol w:w="109"/>
        <w:gridCol w:w="109"/>
        <w:gridCol w:w="218"/>
        <w:gridCol w:w="483"/>
        <w:gridCol w:w="112"/>
        <w:gridCol w:w="218"/>
        <w:gridCol w:w="483"/>
        <w:gridCol w:w="167"/>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 net of tax:</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loss/(gain) on derivatives designated as cash flow hedges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postretirement plan costs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gain (loss), net of tax</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8676" w:type="dxa"/>
        <w:jc w:val="center"/>
        <w:tblInd w:w="0" w:type="dxa"/>
        <w:tblLayout w:type="fixed"/>
        <w:tblCellMar>
          <w:top w:w="28" w:type="dxa"/>
          <w:left w:w="28" w:type="dxa"/>
          <w:bottom w:w="28" w:type="dxa"/>
          <w:right w:w="28" w:type="dxa"/>
        </w:tblCellMar>
      </w:tblPr>
      <w:tblGrid>
        <w:gridCol w:w="2432"/>
        <w:gridCol w:w="2136"/>
        <w:gridCol w:w="2151"/>
        <w:gridCol w:w="215"/>
        <w:gridCol w:w="475"/>
        <w:gridCol w:w="109"/>
        <w:gridCol w:w="109"/>
        <w:gridCol w:w="109"/>
        <w:gridCol w:w="109"/>
        <w:gridCol w:w="211"/>
        <w:gridCol w:w="466"/>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w:t>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7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investments, dispositions,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income taxes receivable/payable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and long-term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liabilities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software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acquisitions and dispositions, net of cash acquired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strategic investments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term loan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debt issuance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payments during the period for:</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and financing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transacted but not settled and paid </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property, equipment, and software purchases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tbl>
      <w:tblPr>
        <w:tblW w:w="10979"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413"/>
        <w:gridCol w:w="413"/>
        <w:gridCol w:w="383"/>
        <w:gridCol w:w="327"/>
        <w:gridCol w:w="345"/>
        <w:gridCol w:w="109"/>
        <w:gridCol w:w="495"/>
        <w:gridCol w:w="496"/>
        <w:gridCol w:w="368"/>
        <w:gridCol w:w="211"/>
        <w:gridCol w:w="631"/>
        <w:gridCol w:w="109"/>
        <w:gridCol w:w="257"/>
        <w:gridCol w:w="640"/>
        <w:gridCol w:w="109"/>
        <w:gridCol w:w="211"/>
        <w:gridCol w:w="616"/>
        <w:gridCol w:w="109"/>
        <w:gridCol w:w="432"/>
        <w:gridCol w:w="770"/>
        <w:gridCol w:w="224"/>
        <w:gridCol w:w="109"/>
        <w:gridCol w:w="109"/>
        <w:gridCol w:w="109"/>
        <w:gridCol w:w="280"/>
        <w:gridCol w:w="820"/>
        <w:gridCol w:w="206"/>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6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br/>
              <w:t>CONDENSED CONSOLIDATED STATEMENTS OF STOCKHOLDERS’ EQUITY</w:t>
              <w:br/>
              <w:t>(Unaudited)</w:t>
            </w:r>
          </w:p>
        </w:tc>
        <w:tc>
          <w:tcPr>
            <w:tcW w:w="1306" w:type="dxa"/>
            <w:gridSpan w:val="3"/>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br/>
              <w:t>Common Stock</w:t>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170,513,905</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(50,229,648)</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147,429</w:t>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of common stock</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(1,344,608)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$0.59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170,671,224</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(51,574,256)</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169,805,201</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(49,463,881)</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776,800 </w:t>
            </w:r>
          </w:p>
        </w:tc>
        <w:tc>
          <w:tcPr>
            <w:tcW w:w="3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89,223 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of common stock</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(2,110,375)</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$1.18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170,671,224</w:t>
            </w:r>
          </w:p>
        </w:tc>
        <w:tc>
          <w:tcPr>
            <w:tcW w:w="32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(51,574,256)</w:t>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0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three months ended September 30, 2026, the Company purchased 1.3 million shares of the Company’s Class A Common Stock for $99 million. Additionally, the Company’s repurchase of common stock for the three months ended September 30, 2026 includes $1 million to cover the minimum statutory taxes on repurchases and restricted stock units that vested on various dates during the period.</w:t>
      </w:r>
    </w:p>
    <w:p>
      <w:pPr>
        <w:pStyle w:val="TextBody"/>
        <w:bidi w:val="0"/>
        <w:spacing w:lineRule="auto" w:line="288" w:before="120" w:after="283"/>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six months ended September 30, 2026, the Company purchased 2.0 million shares of the Company’s Class A Common Stock for $149 million. Additionally, the Company’s repurchase of common stock for the six months ended September 30, 2026 includes $11 million to cover the minimum statutory taxes on repurchases and restricted stock units that vested on various dates during the period.</w:t>
      </w:r>
    </w:p>
    <w:p>
      <w:pPr>
        <w:pStyle w:val="TextBody"/>
        <w:bidi w:val="0"/>
        <w:spacing w:before="120" w:after="283"/>
        <w:ind w:left="0" w:right="0" w:hanging="180"/>
        <w:jc w:val="left"/>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before="0" w:after="0"/>
        <w:jc w:val="center"/>
        <w:rPr/>
      </w:pPr>
      <w:r>
        <w:rPr/>
      </w:r>
    </w:p>
    <w:tbl>
      <w:tblPr>
        <w:tblW w:w="10757"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379"/>
        <w:gridCol w:w="379"/>
        <w:gridCol w:w="383"/>
        <w:gridCol w:w="326"/>
        <w:gridCol w:w="346"/>
        <w:gridCol w:w="109"/>
        <w:gridCol w:w="364"/>
        <w:gridCol w:w="364"/>
        <w:gridCol w:w="368"/>
        <w:gridCol w:w="211"/>
        <w:gridCol w:w="631"/>
        <w:gridCol w:w="109"/>
        <w:gridCol w:w="267"/>
        <w:gridCol w:w="630"/>
        <w:gridCol w:w="109"/>
        <w:gridCol w:w="211"/>
        <w:gridCol w:w="616"/>
        <w:gridCol w:w="109"/>
        <w:gridCol w:w="432"/>
        <w:gridCol w:w="770"/>
        <w:gridCol w:w="224"/>
        <w:gridCol w:w="109"/>
        <w:gridCol w:w="109"/>
        <w:gridCol w:w="109"/>
        <w:gridCol w:w="109"/>
        <w:gridCol w:w="280"/>
        <w:gridCol w:w="820"/>
        <w:gridCol w:w="206"/>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124"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br/>
              <w:t>CONDENSED CONSOLIDATED STATEMENTS OF STOCKHOLDERS’ EQUITY</w:t>
              <w:br/>
              <w:t>(Unaudited)</w:t>
            </w:r>
          </w:p>
        </w:tc>
        <w:tc>
          <w:tcPr>
            <w:tcW w:w="1633" w:type="dxa"/>
            <w:gridSpan w:val="6"/>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share data)</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br/>
              <w:t>Common Stock</w:t>
            </w:r>
          </w:p>
        </w:tc>
        <w:tc>
          <w:tcPr>
            <w:tcW w:w="20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168,850,097</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(45,141,112)</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145,657</w:t>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115,374</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Repurchase of common stock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(1,944,702)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$0.55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169,111,128</w:t>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(47,085,814)</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168,522,544</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(43,643,540)</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458,931</w:t>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129,653</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of common stock</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(3,442,274)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$1.10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169,111,128</w:t>
            </w:r>
          </w:p>
        </w:tc>
        <w:tc>
          <w:tcPr>
            <w:tcW w:w="3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(47,085,814)</w:t>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0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During the three months ended September 30, 2025, the Company purchased 1.9 million shares of the Company’s Class A Common Stock for $207 million. Additionally, the Company’s repurchase of common stock for the three months ended September 30, 2025 includes $3 million to cover the minimum statutory taxes on repurchases and restricted stock units that vested on various dates during the period.</w:t>
      </w:r>
    </w:p>
    <w:p>
      <w:pPr>
        <w:pStyle w:val="TextBody"/>
        <w:bidi w:val="0"/>
        <w:spacing w:lineRule="auto" w:line="288" w:before="120" w:after="283"/>
        <w:ind w:left="0" w:right="0" w:hanging="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During the six months ended September 30, 2025, the Company purchased 3.3 million shares of the Company’s Class A Common Stock for $361 million. Additionally, the Company’s repurchase of common stock for the six months ended September 30, 2025 includes $16 million to cover the minimum statutory taxes on repurchases and restricted stock units that vested on various dates during the period.</w:t>
      </w:r>
    </w:p>
    <w:p>
      <w:pPr>
        <w:pStyle w:val="TextBody"/>
        <w:bidi w:val="0"/>
        <w:spacing w:lineRule="auto" w:line="288" w:before="18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Overview</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Booz Allen Hamilton Holding Corporation, including its wholly owned subsidiaries, or the Company, we, us, and our, was incorporated in Delaware in May 2008. We are an advanced technology company, building products and solutions for government and business. The Company is a leader at the forefront of the nation’s technology ecosystem, and invests in emerging technologies, talent, and new business models, including partnerships with leading technology companies, venture investments, and the development of military grade products. The Company is headquartered in McLean, Virginia, with approximately 31,000 employees as of September 30, 2026, and reports operating results and financial data in one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and should be read in conjunction with the information contained in the Company's Annual Report on Form 10-K for the year ended March 31, 2026. The interim period unaudited condensed consolidated financial statements are presented as described below. Certain information and disclosures normally required for annual financial statements have been condensed or omitted pursuant to U.S.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and six months ended September 30, 2026 are not necessarily indicative of results to be expected for the full fiscal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amounts reported in the Company's prior fiscal year condensed consolidated financial statements have been reclassified to conform to the current year presentation, specifically the reclassification of long-term employee benefit related balances for fiscal 2026 from “Other long-term liabilities” into “Postretirement and other long-term employee benefits” on the condensed consolidated balance sheets. There are no changes to the Company’s overall financial position or results of operations as a result of this reclassification.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Accounting Estimates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interim consolidated financial statements in conformity with GAAP requires management to make estimates and assumptions that affect the reported amounts of assets, liabilities, revenue and expenses, and related disclosures. Actual results may differ from those estimates. There have been no material changes in the Company’s significant estimates from those disclosed in its Annual Report on Form 10-K for the year ended March 31,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6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results of operations or financial condition.</w:t>
      </w:r>
    </w:p>
    <w:p>
      <w:pPr>
        <w:pStyle w:val="TextBody"/>
        <w:bidi w:val="0"/>
        <w:spacing w:lineRule="auto" w:line="288" w:before="60" w:after="283"/>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to modernize the accounting for and disclosure of internal-use software costs. The guidance removes all references to project stages, defines the threshold to begin capitalizing costs, and clarifies the disclosure requirements of capitalized software costs. The ASU is effective for annual periods beginning after December 15, 2027, and interim periods within those fiscal years, and can be applied retrospectively, prospectively, or on a modified transition approach. Early adoption is permitted. The Company is currently assessing the impact of this update.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w:t>
      </w:r>
    </w:p>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tbl>
      <w:tblPr>
        <w:tblW w:w="9943" w:type="dxa"/>
        <w:jc w:val="left"/>
        <w:tblInd w:w="0" w:type="dxa"/>
        <w:tblLayout w:type="fixed"/>
        <w:tblCellMar>
          <w:top w:w="28" w:type="dxa"/>
          <w:left w:w="28" w:type="dxa"/>
          <w:bottom w:w="28" w:type="dxa"/>
          <w:right w:w="28" w:type="dxa"/>
        </w:tblCellMar>
      </w:tblPr>
      <w:tblGrid>
        <w:gridCol w:w="434"/>
        <w:gridCol w:w="382"/>
        <w:gridCol w:w="382"/>
        <w:gridCol w:w="555"/>
        <w:gridCol w:w="555"/>
        <w:gridCol w:w="571"/>
        <w:gridCol w:w="211"/>
        <w:gridCol w:w="616"/>
        <w:gridCol w:w="109"/>
        <w:gridCol w:w="232"/>
        <w:gridCol w:w="234"/>
        <w:gridCol w:w="271"/>
        <w:gridCol w:w="211"/>
        <w:gridCol w:w="616"/>
        <w:gridCol w:w="109"/>
        <w:gridCol w:w="232"/>
        <w:gridCol w:w="234"/>
        <w:gridCol w:w="271"/>
        <w:gridCol w:w="109"/>
        <w:gridCol w:w="109"/>
        <w:gridCol w:w="109"/>
        <w:gridCol w:w="211"/>
        <w:gridCol w:w="616"/>
        <w:gridCol w:w="109"/>
        <w:gridCol w:w="232"/>
        <w:gridCol w:w="234"/>
        <w:gridCol w:w="271"/>
        <w:gridCol w:w="211"/>
        <w:gridCol w:w="616"/>
        <w:gridCol w:w="109"/>
        <w:gridCol w:w="232"/>
        <w:gridCol w:w="234"/>
        <w:gridCol w:w="316"/>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by Contract Type:</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1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Cost-reimbursable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198" w:type="dxa"/>
        <w:jc w:val="left"/>
        <w:tblInd w:w="0" w:type="dxa"/>
        <w:tblLayout w:type="fixed"/>
        <w:tblCellMar>
          <w:top w:w="28" w:type="dxa"/>
          <w:left w:w="28" w:type="dxa"/>
          <w:bottom w:w="28" w:type="dxa"/>
          <w:right w:w="28" w:type="dxa"/>
        </w:tblCellMar>
      </w:tblPr>
      <w:tblGrid>
        <w:gridCol w:w="445"/>
        <w:gridCol w:w="392"/>
        <w:gridCol w:w="392"/>
        <w:gridCol w:w="632"/>
        <w:gridCol w:w="632"/>
        <w:gridCol w:w="641"/>
        <w:gridCol w:w="211"/>
        <w:gridCol w:w="616"/>
        <w:gridCol w:w="109"/>
        <w:gridCol w:w="232"/>
        <w:gridCol w:w="234"/>
        <w:gridCol w:w="271"/>
        <w:gridCol w:w="211"/>
        <w:gridCol w:w="616"/>
        <w:gridCol w:w="109"/>
        <w:gridCol w:w="232"/>
        <w:gridCol w:w="234"/>
        <w:gridCol w:w="271"/>
        <w:gridCol w:w="109"/>
        <w:gridCol w:w="109"/>
        <w:gridCol w:w="109"/>
        <w:gridCol w:w="211"/>
        <w:gridCol w:w="616"/>
        <w:gridCol w:w="109"/>
        <w:gridCol w:w="232"/>
        <w:gridCol w:w="234"/>
        <w:gridCol w:w="271"/>
        <w:gridCol w:w="211"/>
        <w:gridCol w:w="616"/>
        <w:gridCol w:w="109"/>
        <w:gridCol w:w="232"/>
        <w:gridCol w:w="234"/>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3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i/>
                <w:color w:val="000000"/>
                <w:sz w:val="20"/>
              </w:rPr>
            </w:pPr>
            <w:r>
              <w:rPr>
                <w:rFonts w:ascii="Times New Roman;serif" w:hAnsi="Times New Roman;serif"/>
                <w:b/>
                <w:i/>
                <w:color w:val="000000"/>
                <w:sz w:val="20"/>
              </w:rPr>
              <w:t>Revenue by Customer Type:</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1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Security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Civil and 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7"/>
        <w:gridCol w:w="435"/>
        <w:gridCol w:w="435"/>
        <w:gridCol w:w="892"/>
        <w:gridCol w:w="435"/>
        <w:gridCol w:w="443"/>
        <w:gridCol w:w="211"/>
        <w:gridCol w:w="616"/>
        <w:gridCol w:w="109"/>
        <w:gridCol w:w="232"/>
        <w:gridCol w:w="234"/>
        <w:gridCol w:w="271"/>
        <w:gridCol w:w="211"/>
        <w:gridCol w:w="616"/>
        <w:gridCol w:w="109"/>
        <w:gridCol w:w="232"/>
        <w:gridCol w:w="234"/>
        <w:gridCol w:w="271"/>
        <w:gridCol w:w="109"/>
        <w:gridCol w:w="109"/>
        <w:gridCol w:w="109"/>
        <w:gridCol w:w="211"/>
        <w:gridCol w:w="616"/>
        <w:gridCol w:w="109"/>
        <w:gridCol w:w="232"/>
        <w:gridCol w:w="234"/>
        <w:gridCol w:w="271"/>
        <w:gridCol w:w="211"/>
        <w:gridCol w:w="616"/>
        <w:gridCol w:w="109"/>
        <w:gridCol w:w="232"/>
        <w:gridCol w:w="234"/>
        <w:gridCol w:w="320"/>
      </w:tblGrid>
      <w:tr>
        <w:trPr/>
        <w:tc>
          <w:tcPr>
            <w:tcW w:w="49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37"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20"/>
              </w:rPr>
            </w:pPr>
            <w:r>
              <w:rPr>
                <w:rFonts w:ascii="Times New Roman;serif" w:hAnsi="Times New Roman;serif"/>
                <w:b/>
                <w:i/>
                <w:color w:val="000000"/>
                <w:sz w:val="20"/>
              </w:rPr>
              <w:t>Revenue by Whether the Company Acts as a Prime Contractor or a Subcontractor:</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2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Contractor</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Performance Obligations </w:t>
      </w:r>
    </w:p>
    <w:p>
      <w:pPr>
        <w:pStyle w:val="TextBody"/>
        <w:bidi w:val="0"/>
        <w:spacing w:lineRule="auto" w:line="288" w:before="60" w:after="283"/>
        <w:jc w:val="left"/>
        <w:rPr/>
      </w:pPr>
      <w:r>
        <w:rPr>
          <w:rFonts w:ascii="Times New Roman;serif" w:hAnsi="Times New Roman;serif"/>
          <w:b w:val="false"/>
          <w:color w:val="000000"/>
          <w:sz w:val="20"/>
          <w:shd w:fill="FFFFFF" w:val="clear"/>
        </w:rPr>
        <w:t xml:space="preserve">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that was determined to be constrained. As of September 30, 2026 and March 31, 2026, the Company had </w:t>
      </w:r>
      <w:r>
        <w:rPr>
          <w:rFonts w:ascii="Times New Roman;serif" w:hAnsi="Times New Roman;serif"/>
          <w:b w:val="false"/>
          <w:color w:val="000000"/>
          <w:sz w:val="20"/>
        </w:rPr>
        <w:t>$11.8 billion</w:t>
      </w:r>
      <w:r>
        <w:rPr>
          <w:color w:val="000000"/>
          <w:shd w:fill="FFFFFF" w:val="clear"/>
        </w:rPr>
        <w:t xml:space="preserve"> </w:t>
      </w:r>
      <w:r>
        <w:rPr>
          <w:rFonts w:ascii="Times New Roman;serif" w:hAnsi="Times New Roman;serif"/>
          <w:b w:val="false"/>
          <w:color w:val="000000"/>
          <w:sz w:val="20"/>
          <w:shd w:fill="FFFFFF" w:val="clear"/>
        </w:rPr>
        <w:t xml:space="preserve">and $10.7 billion of remaining performance obligations, respectively. We expect to recognize approximately </w:t>
      </w:r>
      <w:r>
        <w:rPr>
          <w:rFonts w:ascii="Times New Roman;serif" w:hAnsi="Times New Roman;serif"/>
          <w:b w:val="false"/>
          <w:color w:val="000000"/>
          <w:sz w:val="20"/>
        </w:rPr>
        <w:t>65% of the remaining performance obligations at September 30, 2026 as revenue over the next 12 months, and approximately 75% over the next 24 months. The remainder is expected to be recognized thereafter.</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Related Balances</w:t>
      </w:r>
    </w:p>
    <w:p>
      <w:pPr>
        <w:pStyle w:val="TextBody"/>
        <w:bidi w:val="0"/>
        <w:spacing w:lineRule="auto" w:line="288" w:before="60" w:after="283"/>
        <w:jc w:val="left"/>
        <w:rPr/>
      </w:pPr>
      <w:r>
        <w:rPr>
          <w:rFonts w:ascii="Times New Roman;serif" w:hAnsi="Times New Roman;serif"/>
          <w:b w:val="false"/>
          <w:color w:val="000000"/>
          <w:sz w:val="20"/>
          <w:shd w:fill="FFFFFF" w:val="clear"/>
        </w:rPr>
        <w:t>Changes in contract assets and contract liabilities are primarily due to the timing difference between the Company’s performance of services and payments from customers; contract assets consist mainly of unbilled receivables (the amount of revenue recognized that exceeds the amount billed to the customer), and</w:t>
      </w:r>
      <w:r>
        <w:rPr>
          <w:color w:val="000000"/>
        </w:rPr>
        <w:t xml:space="preserve"> </w:t>
      </w:r>
      <w:r>
        <w:rPr>
          <w:rFonts w:ascii="Times New Roman;serif" w:hAnsi="Times New Roman;serif"/>
          <w:b w:val="false"/>
          <w:color w:val="000000"/>
          <w:sz w:val="20"/>
        </w:rPr>
        <w:t>contract liabilities consist mainly of d</w:t>
      </w:r>
      <w:r>
        <w:rPr>
          <w:rFonts w:ascii="Times New Roman;serif" w:hAnsi="Times New Roman;serif"/>
          <w:b w:val="false"/>
          <w:color w:val="000000"/>
          <w:sz w:val="20"/>
          <w:shd w:fill="FFFFFF" w:val="clear"/>
        </w:rPr>
        <w:t>eferred revenue (cash received prior to performance for programs and billings in excess of costs incurred). The following table summarizes the contract related balances recognized on the Company’s condensed consolidated balance sheets:</w:t>
      </w:r>
    </w:p>
    <w:tbl>
      <w:tblPr>
        <w:tblW w:w="8922" w:type="dxa"/>
        <w:jc w:val="left"/>
        <w:tblInd w:w="0" w:type="dxa"/>
        <w:tblLayout w:type="fixed"/>
        <w:tblCellMar>
          <w:top w:w="28" w:type="dxa"/>
          <w:left w:w="28" w:type="dxa"/>
          <w:bottom w:w="28" w:type="dxa"/>
          <w:right w:w="28" w:type="dxa"/>
        </w:tblCellMar>
      </w:tblPr>
      <w:tblGrid>
        <w:gridCol w:w="1489"/>
        <w:gridCol w:w="1308"/>
        <w:gridCol w:w="1313"/>
        <w:gridCol w:w="719"/>
        <w:gridCol w:w="719"/>
        <w:gridCol w:w="722"/>
        <w:gridCol w:w="293"/>
        <w:gridCol w:w="859"/>
        <w:gridCol w:w="153"/>
        <w:gridCol w:w="109"/>
        <w:gridCol w:w="109"/>
        <w:gridCol w:w="109"/>
        <w:gridCol w:w="219"/>
        <w:gridCol w:w="641"/>
        <w:gridCol w:w="160"/>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Contract Related Balance</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Line Item</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receivable–billed</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contract assets - unbilled receivables</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assets - unbilled receivables</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contract liabilities - deferred revenue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increase in contract assets relates to the acquisition of Defy Security in the first quarter of fiscal 2027. See Note 5, “Acquisitions, Goodwill, and Intangible Assets,” to the condensed consolidated financial statements for further details on the acquisition.</w:t>
      </w:r>
    </w:p>
    <w:p>
      <w:pPr>
        <w:pStyle w:val="TextBody"/>
        <w:bidi w:val="0"/>
        <w:spacing w:lineRule="auto" w:line="288" w:before="6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and 2025, we recognized revenue of $5 million and $1 million, respectively, and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September 30, 2026 and 2025 we recognized revenue of $20 million and $12 million, respectively, related to our contract liabilities on April 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the income used to compute basic and diluted EPS for the periods presented:</w:t>
      </w:r>
    </w:p>
    <w:tbl>
      <w:tblPr>
        <w:tblW w:w="10205" w:type="dxa"/>
        <w:jc w:val="left"/>
        <w:tblInd w:w="0" w:type="dxa"/>
        <w:tblLayout w:type="fixed"/>
        <w:tblCellMar>
          <w:top w:w="28" w:type="dxa"/>
          <w:left w:w="28" w:type="dxa"/>
          <w:bottom w:w="28" w:type="dxa"/>
          <w:right w:w="28" w:type="dxa"/>
        </w:tblCellMar>
      </w:tblPr>
      <w:tblGrid>
        <w:gridCol w:w="1799"/>
        <w:gridCol w:w="1570"/>
        <w:gridCol w:w="1577"/>
        <w:gridCol w:w="346"/>
        <w:gridCol w:w="840"/>
        <w:gridCol w:w="122"/>
        <w:gridCol w:w="289"/>
        <w:gridCol w:w="701"/>
        <w:gridCol w:w="151"/>
        <w:gridCol w:w="109"/>
        <w:gridCol w:w="109"/>
        <w:gridCol w:w="109"/>
        <w:gridCol w:w="346"/>
        <w:gridCol w:w="840"/>
        <w:gridCol w:w="109"/>
        <w:gridCol w:w="285"/>
        <w:gridCol w:w="691"/>
        <w:gridCol w:w="212"/>
      </w:tblGrid>
      <w:tr>
        <w:trPr/>
        <w:tc>
          <w:tcPr>
            <w:tcW w:w="179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Numerator</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3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for basic computations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for diluted computations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1a6a53bd804649f2a9fdd83ef3ccac86_4-1-1-"/>
            <w:bookmarkEnd w:id="0"/>
            <w:r>
              <w:rPr>
                <w:rFonts w:ascii="Times New Roman;serif" w:hAnsi="Times New Roman;serif"/>
                <w:b w:val="false"/>
                <w:color w:val="000000"/>
                <w:sz w:val="20"/>
              </w:rPr>
              <w:t>179 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119,552,012 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123,388,093</w:t>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and restricted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289,899</w:t>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shares outstanding,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119,591,637 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122,881,563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119,886,979 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123,677,992</w:t>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The difference between earnings for basic and diluted computations and net income presented on the condensed consolidated statements of operations is due to undistributed earnings and dividends allocated to the participating securities. There were approximately 1.4 million and 0.9 million shares, respectively, of participating securities for the three months ended September 30, 2026 and 2025 and 1.2 million and 0.9 million shares of participating securities for the six months ended September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Acquisitions, Goodwill, and Intangible Assets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Acquisition of Ultra I&amp;C Mission Solutions Business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 August 24, 2026, the Company acquired the Ultra I&amp;C Mission Solutions business (“Ultra Mission Solutions”) for approximately $729 million, subject to certain customary adjustments including net working capital. Ultra Mission Solutions is a defense technology business specializing in mission critical software, encryption, and edge compute products. The acquisition was funded with cash on hand and proceeds from the Company’s recently issued bonds. See Note 8, “Debt”, to the condensed consolidated financial statements for further discussion of the Company’s bonds issued during the period.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acquisition is accounted for under the acquisition method of accounting, resulting in provisional goodwill of $501 million, which is primarily attributable to the expected synergies between the Company and Ultra Mission Solutions and is partially deductible for tax purposes.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provisionally recognized $284 million of intangible assets, consisting of $213 million of contract related assets and $71 million of developed technology, being amortized primarily over the estimated useful life of thirteen years and eight years, respectively. The remaining net liabilities assumed are provisionally recognized at $56 million, and consist primarily of deferred tax liabilities of $72 million related to the acquired intangibles.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valuation of the assets acquired and liabilities assumed with the acquisition of Ultra Mission Solutions is provisional and based on valuation estimates and assumptions.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w:t>
      </w:r>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Acquisition of Defy Security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6, 2026, the Company acquired Defy Security for $235 million. Defy Security will enable the Company to deliver end-to-end, tech-enabled cybersecurity solutions and products for U.S. and foreign customers. The acquisition was funded with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acquisition is accounted for under the acquisition method of accounting, resulting in provisional goodwill of $128 million, which is primarily attributable to the expected synergies between the Company and Defy Security and is partially deductible for tax purposes.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$88 million of intangible assets which consist of contract related assets and are being amortized over the estimated useful life of eight years. The remaining net assets acquired are recognized at $19 million, which includes current billed and unbilled accounts receivable of $221 million and non</w:t>
        <w:noBreakHyphen/>
        <w:t>current unbilled receivables of $89 million, partially offset by current accounts payable and accrued expenses of $217 million and non</w:t>
        <w:noBreakHyphen/>
        <w:t>current accrued expenses of $80 million.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valuation of Defy Security’s assets acquired and liabilities assumed is substantially complete, with the exception of tax assets acquired and liabilities assumed and other certain matters. Any adjustments to our estimates of purchase price allocation will be made in the periods in which the adjustments are determined, and the cumulative effect of such adjustments will be calculated as if the adjustments had been completed as of the acquisition date.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goodwill was $3,028 million and $2,399 million, respectively. The $629 million increase in the carrying amount of goodwill was attributable to the Company's acquisitions of Defy Security and Ultra Mission Solutions.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the periods presented below:</w:t>
      </w:r>
    </w:p>
    <w:tbl>
      <w:tblPr>
        <w:tblW w:w="10205" w:type="dxa"/>
        <w:jc w:val="center"/>
        <w:tblInd w:w="0" w:type="dxa"/>
        <w:tblLayout w:type="fixed"/>
        <w:tblCellMar>
          <w:top w:w="28" w:type="dxa"/>
          <w:left w:w="28" w:type="dxa"/>
          <w:bottom w:w="28" w:type="dxa"/>
          <w:right w:w="28" w:type="dxa"/>
        </w:tblCellMar>
      </w:tblPr>
      <w:tblGrid>
        <w:gridCol w:w="816"/>
        <w:gridCol w:w="579"/>
        <w:gridCol w:w="583"/>
        <w:gridCol w:w="109"/>
        <w:gridCol w:w="109"/>
        <w:gridCol w:w="109"/>
        <w:gridCol w:w="109"/>
        <w:gridCol w:w="258"/>
        <w:gridCol w:w="756"/>
        <w:gridCol w:w="133"/>
        <w:gridCol w:w="397"/>
        <w:gridCol w:w="877"/>
        <w:gridCol w:w="206"/>
        <w:gridCol w:w="288"/>
        <w:gridCol w:w="639"/>
        <w:gridCol w:w="150"/>
        <w:gridCol w:w="109"/>
        <w:gridCol w:w="109"/>
        <w:gridCol w:w="109"/>
        <w:gridCol w:w="258"/>
        <w:gridCol w:w="756"/>
        <w:gridCol w:w="133"/>
        <w:gridCol w:w="397"/>
        <w:gridCol w:w="877"/>
        <w:gridCol w:w="206"/>
        <w:gridCol w:w="284"/>
        <w:gridCol w:w="629"/>
        <w:gridCol w:w="220"/>
      </w:tblGrid>
      <w:tr>
        <w:trPr/>
        <w:tc>
          <w:tcPr>
            <w:tcW w:w="81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contracts and related customer relationships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Accounts Payable and Other Accrued Expenses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 consisted of the following at the periods presented below:</w:t>
      </w:r>
    </w:p>
    <w:tbl>
      <w:tblPr>
        <w:tblW w:w="6926" w:type="dxa"/>
        <w:jc w:val="center"/>
        <w:tblInd w:w="0" w:type="dxa"/>
        <w:tblLayout w:type="fixed"/>
        <w:tblCellMar>
          <w:top w:w="28" w:type="dxa"/>
          <w:left w:w="28" w:type="dxa"/>
          <w:bottom w:w="28" w:type="dxa"/>
          <w:right w:w="28" w:type="dxa"/>
        </w:tblCellMar>
      </w:tblPr>
      <w:tblGrid>
        <w:gridCol w:w="1545"/>
        <w:gridCol w:w="1362"/>
        <w:gridCol w:w="1367"/>
        <w:gridCol w:w="293"/>
        <w:gridCol w:w="859"/>
        <w:gridCol w:w="153"/>
        <w:gridCol w:w="109"/>
        <w:gridCol w:w="109"/>
        <w:gridCol w:w="109"/>
        <w:gridCol w:w="259"/>
        <w:gridCol w:w="572"/>
        <w:gridCol w:w="189"/>
      </w:tblGrid>
      <w:tr>
        <w:trPr/>
        <w:tc>
          <w:tcPr>
            <w:tcW w:w="15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payables</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claimed costs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expenses</w:t>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shd w:fill="FFFFFF" w:val="clear"/>
        </w:rPr>
        <w:t xml:space="preserve">Accrued expenses for the period ending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include </w:t>
      </w:r>
      <w:r>
        <w:rPr>
          <w:rFonts w:ascii="Times New Roman;serif" w:hAnsi="Times New Roman;serif"/>
          <w:b w:val="false"/>
          <w:color w:val="000000"/>
          <w:sz w:val="20"/>
        </w:rPr>
        <w:t>$180 million due to the acquisition of Defy Security.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11, “Commitments and Contingencies,” to the condensed consolidated financial statements for further discussion of the Company’s provision for claimed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Accrued Compensation and Benefits</w:t>
      </w:r>
    </w:p>
    <w:p>
      <w:pPr>
        <w:pStyle w:val="TextBody"/>
        <w:bidi w:val="0"/>
        <w:spacing w:lineRule="auto" w:line="288" w:before="60" w:after="283"/>
        <w:jc w:val="left"/>
        <w:rPr/>
      </w:pPr>
      <w:r>
        <w:rPr>
          <w:rFonts w:ascii="Times New Roman;serif" w:hAnsi="Times New Roman;serif"/>
          <w:b w:val="false"/>
          <w:color w:val="000000"/>
          <w:sz w:val="20"/>
        </w:rPr>
        <w:t>Accrued compensation and benefits consisted of the following at the periods presented below:</w:t>
      </w:r>
      <w:r>
        <w:rPr>
          <w:color w:val="000000"/>
        </w:rPr>
        <w:t> </w:t>
      </w:r>
    </w:p>
    <w:tbl>
      <w:tblPr>
        <w:tblW w:w="6100" w:type="dxa"/>
        <w:jc w:val="center"/>
        <w:tblInd w:w="0" w:type="dxa"/>
        <w:tblLayout w:type="fixed"/>
        <w:tblCellMar>
          <w:top w:w="28" w:type="dxa"/>
          <w:left w:w="28" w:type="dxa"/>
          <w:bottom w:w="28" w:type="dxa"/>
          <w:right w:w="28" w:type="dxa"/>
        </w:tblCellMar>
      </w:tblPr>
      <w:tblGrid>
        <w:gridCol w:w="1248"/>
        <w:gridCol w:w="1097"/>
        <w:gridCol w:w="1104"/>
        <w:gridCol w:w="350"/>
        <w:gridCol w:w="773"/>
        <w:gridCol w:w="181"/>
        <w:gridCol w:w="109"/>
        <w:gridCol w:w="109"/>
        <w:gridCol w:w="109"/>
        <w:gridCol w:w="259"/>
        <w:gridCol w:w="572"/>
        <w:gridCol w:w="189"/>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paid time off</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 and benefits</w:t>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pPr>
      <w:r>
        <w:rPr>
          <w:rFonts w:ascii="Times New Roman;serif" w:hAnsi="Times New Roman;serif"/>
          <w:b w:val="false"/>
          <w:color w:val="000000"/>
          <w:sz w:val="20"/>
        </w:rPr>
        <w:t>Debt consisted of the following at the periods presented below:</w:t>
      </w:r>
      <w:r>
        <w:rPr>
          <w:color w:val="000000"/>
        </w:rPr>
        <w:t> </w:t>
      </w:r>
    </w:p>
    <w:tbl>
      <w:tblPr>
        <w:tblW w:w="10205" w:type="dxa"/>
        <w:jc w:val="center"/>
        <w:tblInd w:w="0" w:type="dxa"/>
        <w:tblLayout w:type="fixed"/>
        <w:tblCellMar>
          <w:top w:w="28" w:type="dxa"/>
          <w:left w:w="28" w:type="dxa"/>
          <w:bottom w:w="28" w:type="dxa"/>
          <w:right w:w="28" w:type="dxa"/>
        </w:tblCellMar>
      </w:tblPr>
      <w:tblGrid>
        <w:gridCol w:w="1637"/>
        <w:gridCol w:w="1381"/>
        <w:gridCol w:w="1392"/>
        <w:gridCol w:w="109"/>
        <w:gridCol w:w="314"/>
        <w:gridCol w:w="314"/>
        <w:gridCol w:w="316"/>
        <w:gridCol w:w="308"/>
        <w:gridCol w:w="308"/>
        <w:gridCol w:w="417"/>
        <w:gridCol w:w="262"/>
        <w:gridCol w:w="765"/>
        <w:gridCol w:w="132"/>
        <w:gridCol w:w="109"/>
        <w:gridCol w:w="109"/>
        <w:gridCol w:w="109"/>
        <w:gridCol w:w="308"/>
        <w:gridCol w:w="308"/>
        <w:gridCol w:w="417"/>
        <w:gridCol w:w="255"/>
        <w:gridCol w:w="744"/>
        <w:gridCol w:w="191"/>
      </w:tblGrid>
      <w:tr>
        <w:trPr/>
        <w:tc>
          <w:tcPr>
            <w:tcW w:w="163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11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9/7/2027</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A-2</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2/27/2031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2028</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9/1/2028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2029</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7/1/2029</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2030</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1/30/2030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2033</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8/4/2033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a7da8b1b7e8c42fa8cb0fb1305e10162_6-2-1-"/>
            <w:bookmarkEnd w:id="1"/>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2034</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1/30/2034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2035</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4/15/2035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 on debt</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Booz Allen Hamilton Inc., a wholly owned subsidiary of Booz Allen Hamilton Holding Corporation, as borrower, and Booz Allen Hamilton Holding Corporation, as guarantor, are parties to a Credit Agreement dated as of July 31, 2012, as amended, which as of September 30, 2026, provides the Company with a term loan of $741 million and a $1,500 million revolving credit facility (the “Revolving Credit Facility”), with a sub-limit for letters of credit of $200 million. The Company occasionally borrows under the Revolving Credit Facility for our working capital needs. As of both September 30, 2026 and March 31, 2026, there was no outstanding balance on the Revolving Credit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Inc. has issued senior notes in six separate and distinct tranches, as shown in the table above, all of which bear interest at specified rates and have individual and separate maturity dates. The two latest tranches were issued in the second quarter of fiscal 2027, where Booz Allen Hamilton Inc. issued $1.2 billion aggregate principal amount of its senior notes and subsequently paid off the outstanding balance of Term Loan A-1. All senior notes are fully and unconditionally guaranteed on an unsecured and unsubordinated basis by Booz Allen Hamilton Holding Corporation, pursuant to applicable indentures. All senior notes’ indentures contain certain covenants, events of default and other customary provisions.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Booz Allen Hamilton was in compliance with all financial covenants associated with its debt. For further information on the Company’s debt, including material terms, conditions, restrictions and redemption options, see Note 10, “Debt,” of the Company’s consolidated financial statements included in the fiscal 2026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Income Taxes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9.0% and 24.9% for the three months ended September 30, 2026 and 2025, respectively, and 15.8% and 0.7% for the six months ended September 30, 2026 and 2025, respectively. Our effective tax rates for these periods differ from the federal statutory rate of 21.0% primarily due to the inclusion of state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Foreign-Derived Deduction-Eligible Income deduction. In addition, the fiscal year 2026 effective tax rate was also lower related to adjustments to the Company’s uncertain tax position reserves as outlined below.</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the Company recorded $85 million and $75 million, respectively, of reserves for uncertain tax positions (“UTPs”) primarily related to research and development tax credits. During the six months ended September 30, 2025, the Company reduced its UTPs by $86 million related to an adjustment from the completion of Internal Revenue Service (the “IRS”) examination procedures of the Company’s amended federal income tax returns through fiscal year 2021. No similar adjustment was recorded in the six months ended September 30, 2026. Due to the magnitude of the refund requested in the amended returns, the case will be referred to the Joint Committee on Taxation (the “JCT”) for further evaluation, as required by law for tax refunds or reductions exceeding $5 million. While the JCT has not yet reviewed this case, management does not anticipate that the resolution of this review will have a material adverse effect on the Company’s financial position or results of operations. In addition, the Company has accrued a tax benefit for interest income (net of tax effect) on the long-term receivable related to the refund requested on the amended returns of $3 million and $22 million for the six months ended September 30, 2026 and 2025, respectively.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the Company recorded long-term income tax receivables of $182 million and $178 million, respectively, which represents the amended U.S. federal return refund claims related to the audits referenced above and remains classified as other long-term assets on the condensed consolidated balance sheet as the case is subject to JCT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Investments and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investments related to unconsolidated entities included in other long-term assets of the Company’s consolidated balance sheets at September 30, 2026 and March 31, 2026 were:</w:t>
      </w:r>
    </w:p>
    <w:tbl>
      <w:tblPr>
        <w:tblW w:w="5006" w:type="dxa"/>
        <w:jc w:val="center"/>
        <w:tblInd w:w="0" w:type="dxa"/>
        <w:tblLayout w:type="fixed"/>
        <w:tblCellMar>
          <w:top w:w="28" w:type="dxa"/>
          <w:left w:w="28" w:type="dxa"/>
          <w:bottom w:w="28" w:type="dxa"/>
          <w:right w:w="28" w:type="dxa"/>
        </w:tblCellMar>
      </w:tblPr>
      <w:tblGrid>
        <w:gridCol w:w="853"/>
        <w:gridCol w:w="750"/>
        <w:gridCol w:w="752"/>
        <w:gridCol w:w="350"/>
        <w:gridCol w:w="773"/>
        <w:gridCol w:w="181"/>
        <w:gridCol w:w="109"/>
        <w:gridCol w:w="109"/>
        <w:gridCol w:w="109"/>
        <w:gridCol w:w="259"/>
        <w:gridCol w:w="572"/>
        <w:gridCol w:w="189"/>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Investments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283"/>
        <w:jc w:val="left"/>
        <w:rPr/>
      </w:pPr>
      <w:r>
        <w:rPr>
          <w:rFonts w:ascii="Times New Roman;serif" w:hAnsi="Times New Roman;serif"/>
          <w:b w:val="false"/>
          <w:color w:val="000000"/>
          <w:sz w:val="20"/>
        </w:rPr>
        <w:t xml:space="preserve">The Company’s equity method investments include investments in two venture capital funds that are considered related parties. The carrying value of these funds included in the table above as of </w:t>
      </w:r>
      <w:r>
        <w:rPr>
          <w:rFonts w:ascii="Times New Roman;serif" w:hAnsi="Times New Roman;serif"/>
          <w:b w:val="false"/>
          <w:color w:val="000000"/>
          <w:sz w:val="20"/>
          <w:shd w:fill="FFFFFF" w:val="clear"/>
        </w:rPr>
        <w:t xml:space="preserve">September 30, 2026 and March 31, 2026 </w:t>
      </w:r>
      <w:r>
        <w:rPr>
          <w:rFonts w:ascii="Times New Roman;serif" w:hAnsi="Times New Roman;serif"/>
          <w:b w:val="false"/>
          <w:color w:val="000000"/>
          <w:sz w:val="20"/>
        </w:rPr>
        <w:t xml:space="preserve">was $313 million and $178 million, respectively. The Company’s unfunded capital commitments as a limited partner in these funds at </w:t>
      </w:r>
      <w:r>
        <w:rPr>
          <w:rFonts w:ascii="Times New Roman;serif" w:hAnsi="Times New Roman;serif"/>
          <w:b w:val="false"/>
          <w:color w:val="000000"/>
          <w:sz w:val="20"/>
          <w:shd w:fill="FFFFFF" w:val="clear"/>
        </w:rPr>
        <w:t xml:space="preserve">September 30, 2026 </w:t>
      </w:r>
      <w:r>
        <w:rPr>
          <w:rFonts w:ascii="Times New Roman;serif" w:hAnsi="Times New Roman;serif"/>
          <w:b w:val="false"/>
          <w:color w:val="000000"/>
          <w:sz w:val="20"/>
        </w:rPr>
        <w:t>was $187 million.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Investments - Nonrecurring Fair Value Measurements</w:t>
      </w:r>
    </w:p>
    <w:p>
      <w:pPr>
        <w:pStyle w:val="TextBody"/>
        <w:bidi w:val="0"/>
        <w:spacing w:lineRule="auto" w:line="288" w:before="12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total of our investments that are accounted for at fair value on a non-recurring basis under the measurement alternative were $184 million and $146 million, respectively. While these assets are not measured at fair value on an ongoing basis, they are subject to fair value adjustments in certain circumstances (e.g., observable price changes or impairment). Cumulative fair value adjustments on these investments through </w:t>
      </w:r>
      <w:r>
        <w:rPr>
          <w:rFonts w:ascii="Times New Roman;serif" w:hAnsi="Times New Roman;serif"/>
          <w:b w:val="false"/>
          <w:color w:val="000000"/>
          <w:sz w:val="20"/>
          <w:shd w:fill="FFFFFF" w:val="clear"/>
        </w:rPr>
        <w:t>September 30, 2026 were $50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financial instruments measured at fair value on a recurring basis in the accompanying condensed consolidated balance sheets consisted of the following at the periods presented below:</w:t>
      </w:r>
    </w:p>
    <w:tbl>
      <w:tblPr>
        <w:tblW w:w="9316" w:type="dxa"/>
        <w:jc w:val="center"/>
        <w:tblInd w:w="0" w:type="dxa"/>
        <w:tblLayout w:type="fixed"/>
        <w:tblCellMar>
          <w:top w:w="28" w:type="dxa"/>
          <w:left w:w="28" w:type="dxa"/>
          <w:bottom w:w="28" w:type="dxa"/>
          <w:right w:w="28" w:type="dxa"/>
        </w:tblCellMar>
      </w:tblPr>
      <w:tblGrid>
        <w:gridCol w:w="1435"/>
        <w:gridCol w:w="1260"/>
        <w:gridCol w:w="1279"/>
        <w:gridCol w:w="230"/>
        <w:gridCol w:w="509"/>
        <w:gridCol w:w="119"/>
        <w:gridCol w:w="230"/>
        <w:gridCol w:w="443"/>
        <w:gridCol w:w="119"/>
        <w:gridCol w:w="119"/>
        <w:gridCol w:w="211"/>
        <w:gridCol w:w="466"/>
        <w:gridCol w:w="109"/>
        <w:gridCol w:w="109"/>
        <w:gridCol w:w="109"/>
        <w:gridCol w:w="109"/>
        <w:gridCol w:w="211"/>
        <w:gridCol w:w="466"/>
        <w:gridCol w:w="109"/>
        <w:gridCol w:w="213"/>
        <w:gridCol w:w="411"/>
        <w:gridCol w:w="110"/>
        <w:gridCol w:w="109"/>
        <w:gridCol w:w="211"/>
        <w:gridCol w:w="46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940" w:type="dxa"/>
            <w:gridSpan w:val="4"/>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1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compensation plan asset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8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derivative instruments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compensation plan liability</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3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20"/>
        </w:rPr>
        <w:t xml:space="preserve">The Company did not have any Level 3 assets or liabilities as of September 30, 2026 or </w:t>
      </w:r>
      <w:r>
        <w:rPr>
          <w:rFonts w:ascii="Times New Roman;serif" w:hAnsi="Times New Roman;serif"/>
          <w:b w:val="false"/>
          <w:color w:val="000000"/>
          <w:sz w:val="20"/>
          <w:shd w:fill="FFFFFF" w:val="clear"/>
        </w:rPr>
        <w:t>March 31, 2026.</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Derivatives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interest rate derivative financial instruments, which were designated as cash flow hedges, to manage its exposure to interest rate risk related to its variable rate debt, and reducing volatility of interest expense as the variable-to-fixed interest rate swaps effectively convert a portion of the variable rate debt into fixed interest rate debt. As of September 30, 2026, the Company’s outstanding interest rate swaps have a total notional amount of $200 million and mature on June 30,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interest rate swaps are considered over-the-counter derivatives which are recorded in the condensed consolidated balance sheet on a gross basis at estimated fair value. Fair value is estimated based on the present value of future cash flows using a model-derived valuation that uses Level 2 observable inputs such as interest rate yield curves. The changes in the fair value of interest rate swaps designated as cash flow hedges are recorded in AOCI, net of taxes, and are subsequently reclassified into interest expense, net in the period that the hedged forecasted interest payments are made on the Company's variable-rate debt. Cash flows associated with periodic settlements of interest rate swaps are classified as operating activities in the condensed consolidated statement of cash flows.</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Deferred Compensation Plans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condensed consolidated balance sheets.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the Company's cash and cash equivalents presented on the accompanying condensed consolidated balance sheets include the money market funds disclosed in the table above. As of September 30, 2026 and March 31, 2026, the fair value of the Company’s cash and cash equivalents approximated its carrying value.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Company's long-term debt is carried at amortized cost and fair value is disclosed on a quarterly basis. The estimated fair value of debt is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 The carrying amount and estimated fair value of long-term debt for the periods presented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tbl>
      <w:tblPr>
        <w:tblW w:w="9257" w:type="dxa"/>
        <w:jc w:val="left"/>
        <w:tblInd w:w="0" w:type="dxa"/>
        <w:tblLayout w:type="fixed"/>
        <w:tblCellMar>
          <w:top w:w="28" w:type="dxa"/>
          <w:left w:w="28" w:type="dxa"/>
          <w:bottom w:w="28" w:type="dxa"/>
          <w:right w:w="28" w:type="dxa"/>
        </w:tblCellMar>
      </w:tblPr>
      <w:tblGrid>
        <w:gridCol w:w="418"/>
        <w:gridCol w:w="367"/>
        <w:gridCol w:w="369"/>
        <w:gridCol w:w="365"/>
        <w:gridCol w:w="1066"/>
        <w:gridCol w:w="188"/>
        <w:gridCol w:w="109"/>
        <w:gridCol w:w="109"/>
        <w:gridCol w:w="109"/>
        <w:gridCol w:w="431"/>
        <w:gridCol w:w="1263"/>
        <w:gridCol w:w="225"/>
        <w:gridCol w:w="109"/>
        <w:gridCol w:w="109"/>
        <w:gridCol w:w="109"/>
        <w:gridCol w:w="365"/>
        <w:gridCol w:w="1066"/>
        <w:gridCol w:w="188"/>
        <w:gridCol w:w="109"/>
        <w:gridCol w:w="109"/>
        <w:gridCol w:w="109"/>
        <w:gridCol w:w="422"/>
        <w:gridCol w:w="1233"/>
        <w:gridCol w:w="310"/>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6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8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22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8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31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11. Commitments and Contingencies</w:t>
      </w:r>
    </w:p>
    <w:p>
      <w:pPr>
        <w:pStyle w:val="TextBody"/>
        <w:bidi w:val="0"/>
        <w:spacing w:lineRule="auto" w:line="288" w:before="120" w:after="283"/>
        <w:ind w:left="0" w:right="0" w:hanging="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Government Contracting Matters - Provision for Claimed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it has recorded the appropriate provision for claimed costs for any audit, inquiry, or investigation of which it is aware that may be subject to any reductions and/or penalties. As of September 30, 2026 and March 31, 2026, the Company had recorded liabilities (included in accounts payable and other accrued expenses) of approximately $249 million and $248 million for estimated adjustments to claimed costs based on its historical DCAA audit results, including the final resolution of such audits with the Defense Contract Management Agency (“DCMA”), for claimed costs incurred subsequent to fiscal 2011.</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 November 12, 2025, the Company entered into two separate 15-year lease agreements for two corporate office spaces in Reston, Virginia. The Company plans to relocate its headquarters to these office spaces in the fall of 2027, dependent upon the timing of the completion of various tenant improvements. Under these lease agreements, which were entered into by Booz Allen Hamilton and are guaranteed by the Company, the estimated total undiscounted base lease payments are $240 million and the agreements provide for up to $61 million in tenant improvement allowances as of September 30, 2026. For the quarter ended September 30, 2026, the total lease liabilities arising from obtaining right-of-use assets were $122 million.</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2026 filed with the Securities and Exchange Commission on May 22, 2026, or Annual Report, and under Part II, “Item 1A. Risk Factors,” and “— Special Note Regarding Forward-Looking Statements” of this Quarterly Report. Our actual results may differ materially from those contained in or implied by any forward-looking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Our fiscal year ends March 31 and, unless otherwise noted, references to years or fiscal are for fiscal years ended March 31. See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 xml:space="preserve">Booz Allen is an advanced technology company, building products and solutions for government and business. We are a leader at the forefront of the nation’s technology ecosystem. </w:t>
      </w:r>
      <w:r>
        <w:rPr>
          <w:rFonts w:ascii="Times New Roman;serif" w:hAnsi="Times New Roman;serif"/>
          <w:b w:val="false"/>
          <w:color w:val="000000"/>
          <w:sz w:val="20"/>
          <w:shd w:fill="FFFFFF" w:val="clear"/>
        </w:rPr>
        <w:t xml:space="preserve">Our approximately </w:t>
      </w:r>
      <w:r>
        <w:rPr>
          <w:rFonts w:ascii="Times New Roman;serif" w:hAnsi="Times New Roman;serif"/>
          <w:b w:val="false"/>
          <w:color w:val="000000"/>
          <w:sz w:val="20"/>
        </w:rPr>
        <w:t xml:space="preserve">31,000 </w:t>
      </w:r>
      <w:r>
        <w:rPr>
          <w:rFonts w:ascii="Times New Roman;serif" w:hAnsi="Times New Roman;serif"/>
          <w:b w:val="false"/>
          <w:color w:val="000000"/>
          <w:sz w:val="20"/>
          <w:shd w:fill="FFFFFF" w:val="clear"/>
        </w:rPr>
        <w:t xml:space="preserve">employees build tech for a diverse base of federal government and commercial customers, </w:t>
      </w:r>
      <w:r>
        <w:rPr>
          <w:rFonts w:ascii="Times New Roman;serif" w:hAnsi="Times New Roman;serif"/>
          <w:b w:val="false"/>
          <w:color w:val="000000"/>
          <w:sz w:val="20"/>
        </w:rPr>
        <w:t xml:space="preserve">both domestically and in select foreign locations. By investing in emerging technologies, talent, and new business models, including partnerships with leading technology companies, venture investments, and the development of military grade products, we are accelerating the delivery of tech solutions.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Factors and Trends Affecting Our Results of Operations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been, and we expect them to continue to be, affected by the following factors, which may cause our future results of operations to differ from our historical results of operations discussed under “—Results of Operations.” </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 Budgetary and Regulatory Environment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U.S. continues to face an uncertain and evolving budgetary and regulatory environment, and we expect this uncertainty will continue. Our business performance is affected by the overall level of U.S. government spending and the alignment of our offerings and capabilities with the spending priorities of the U.S. government.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U.S. government continues to review spending across U.S. government agencies to ensure it aligns with the administration’s priorities of maximizing governmental efficiency and productivity. Additionally, U.S. government agencies continue their own independent reviews of their contract portfolios and future procurements in response to recent executive orders focused on efficiency in government procurement. We have been, and will continue to be, subject to these reviews, and we have had, and may in the future have, certain of our contracts impacted, reduced or canceled or experience price adjustments and renegotiations, as a result of these reviews. There can be no assurance that these reviews will not ultimately have a material adverse impact on our business and financial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has put in place a number of executive orders and actions that could impact our business, including orders intended to (i) simplify and accelerate the procurement process through a review and restructuring of the Federal Acquisition Regulation (“FAR”), and its supplements, (ii) modernize defense acquisitions by promoting commercial solutions, innovative acquisition authorities, and other existing streamlined processes, (iii) limit stock buybacks and the payment of dividends by certain defense contractors and (iv) increase the use of firm-fixed price contracts by federal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formal rulemaking process regarding the FAR remains ongoing, with many of the formal rules issued and review of public comments underway; however, proposed rules include changes that formalize the FAR's deviation-based approach and make certain streamlining shifts, as well as incorporating a number of other pending rules. In early November 2025, the Secretary of War announced and released an associated memorandum regarding a new acquisition strategy and directing certain reforms addressing Department of War purchases of military weapons, including elevating and empowering the acquisition workforce, maximizing acquisition flexibility, and improving lifecycle risk management. Additionally, on December 18, 2025, the National Defense Authorization Act (“NDAA”) was signed into law, which included a number of reforms that may also impact our business, including exempting nontraditional contractors from certain burdensome compliance requirements. Further, in August 2026, contemporaneously with the issuance of a portion of the formal FAR rulemaking, the Small Business Administration (“SBA”) proposed revisions to its size standards which are intended to streamline the program but have the potential, if implemented, to reshape the small business landscape by significantly expanding eligibility for SBA programs. The impact of the aforementioned changes remains uncertain. The continued focus on removing barriers to new entrants and any related future legislation could reduce the likelihood of direct awards to companies like Booz Allen and affect our competitive position, while the new acquisition strategy and streamlined procurement processes have the potential to have positive impacts on our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7, 2026, the President signed an executive order, “Prioritizing the Warfighter in Defense Contracting”, which would restrict stock buy-backs or corporate distributions for underperforming defense contractors, as identified by the Secretary of War. If the Company is identified pursuant to this executive order, it may have a negative impact on our dividends, stock buyback programs, and our ability to attract and retain talented executives. Compliance with the requirements of this executive order may be complex, costly and time-consuming, and our subcontractors may not have the necessary resources to ensure compliance. In addition, in March 2026, certain Senators introduced the Warfighter in Defense Contracting Act of 2026, which would codify and go beyond this executive order by instituting, absent a waiver, a blanket prohibition on such dividends, buybacks, and executive compensation above certain levels. In addition, the Senate Armed Services Committee’s version of the NDAA for Fiscal Year 2027 includes a related provision that would require contractors to submit a qualified defense investment plan to increase production capacity or otherwise face restrictions on stockholder distributions. These proposed legislations far exceed the framework contemplated by the executive order and would introduce significant administrative burdens for us and other companies that could be subject to such legislation.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30, 2026, the President signed an executive order, “Promoting Efficiency, Accountability, and Performance in Federal Contracting,” which directs federal agencies, subject to certain exceptions, (i) to increase the use of firm-fixed price contracts for new awards to the maximum extent consistent with law, and (ii) to seek to modify, restructure, or renegotiate, their top ten highest-dollar-value contracts issued on an other-than-fixed price basis. The Company is supportive of the recent focus by the administration on the increased usage of fixed-price and outcomes-based contracting (we refer to firm fixed price contracts where we deliver a specific outcome for a predetermined price as “outcomes-based contracting”). Compared to time-and-materials and cost-reimbursable contracts, outcomes-based contracting generally offers higher margin opportunities because we receive the benefits of any cost savings, but can involve greater financial risk because we bear the impact of any cost overruns. Additionally, we believe outcomes-based contracting results in more efficient contracting outcomes and potential savings for the U.S. government.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2, 2026, the President signed into law a continuing resolution funding the U.S. government through December 11, 2026. A full-year, comprehensive appropriations agreement has not been reached; therefore future federal funding levels remain subject to uncertainty, and delays or disruptions in the appropriations process, including a prolonged government shutdown,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define backlog to include the following three components: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Funded Backlog.</w:t>
      </w:r>
      <w:r>
        <w:rPr>
          <w:color w:val="000000"/>
        </w:rPr>
        <w:t xml:space="preserve"> </w:t>
      </w:r>
      <w:r>
        <w:rPr>
          <w:rFonts w:ascii="Times New Roman;serif" w:hAnsi="Times New Roman;serif"/>
          <w:b w:val="false"/>
          <w:color w:val="000000"/>
          <w:sz w:val="20"/>
        </w:rPr>
        <w:t>Funded backlog represents the value of orders under existing contracts for which funding is appropriated or otherwise authorized less revenue previously recognized on these contracts.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Unfunded Backlog.</w:t>
      </w:r>
      <w:r>
        <w:rPr>
          <w:color w:val="000000"/>
        </w:rPr>
        <w:t xml:space="preserve"> </w:t>
      </w:r>
      <w:r>
        <w:rPr>
          <w:rFonts w:ascii="Times New Roman;serif" w:hAnsi="Times New Roman;serif"/>
          <w:b w:val="false"/>
          <w:color w:val="000000"/>
          <w:sz w:val="20"/>
        </w:rPr>
        <w:t>Unfunded backlog represents the estimated value of orders under existing contracts for which funding has not been appropriated or otherwise authorized.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Priced Options.</w:t>
      </w:r>
      <w:r>
        <w:rPr>
          <w:color w:val="000000"/>
        </w:rPr>
        <w:t xml:space="preserve"> </w:t>
      </w:r>
      <w:r>
        <w:rPr>
          <w:rFonts w:ascii="Times New Roman;serif" w:hAnsi="Times New Roman;serif"/>
          <w:b w:val="false"/>
          <w:color w:val="000000"/>
          <w:sz w:val="20"/>
        </w:rPr>
        <w:t>Priced contract options represent the estimated value of all future contract option periods under existing contracts that may be exercised at our customers’ option and for which funding has not been appropriated or otherwise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backlog does not include contracts that have been awarded but are currently under protest and also does not include any task orders under indefinite delivery/indefinite quantity (“IDIQ”) contracts, General Services Administration (“GSA”) Multiple Award schedule contracts (“GSA schedules”) or other master agreement contract vehicles, except to the extent that task orders have been awarded to us under those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60" w:after="283"/>
        <w:jc w:val="left"/>
        <w:rPr/>
      </w:pPr>
      <w:r>
        <w:rPr>
          <w:rFonts w:ascii="Times New Roman;serif" w:hAnsi="Times New Roman;serif"/>
          <w:b w:val="false"/>
          <w:color w:val="000000"/>
          <w:sz w:val="20"/>
        </w:rPr>
        <w:t>The following table summarizes the value of our contract backlog as of the respective periods presented:</w:t>
      </w:r>
      <w:r>
        <w:rPr>
          <w:color w:val="000000"/>
        </w:rPr>
        <w:t> </w:t>
      </w:r>
    </w:p>
    <w:tbl>
      <w:tblPr>
        <w:tblW w:w="4270" w:type="dxa"/>
        <w:jc w:val="center"/>
        <w:tblInd w:w="0" w:type="dxa"/>
        <w:tblLayout w:type="fixed"/>
        <w:tblCellMar>
          <w:top w:w="28" w:type="dxa"/>
          <w:left w:w="28" w:type="dxa"/>
          <w:bottom w:w="28" w:type="dxa"/>
          <w:right w:w="28" w:type="dxa"/>
        </w:tblCellMar>
      </w:tblPr>
      <w:tblGrid>
        <w:gridCol w:w="468"/>
        <w:gridCol w:w="410"/>
        <w:gridCol w:w="412"/>
        <w:gridCol w:w="264"/>
        <w:gridCol w:w="904"/>
        <w:gridCol w:w="136"/>
        <w:gridCol w:w="109"/>
        <w:gridCol w:w="109"/>
        <w:gridCol w:w="109"/>
        <w:gridCol w:w="262"/>
        <w:gridCol w:w="896"/>
        <w:gridCol w:w="191"/>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Backlog </w:t>
            </w:r>
            <w:r>
              <w:rPr>
                <w:rFonts w:ascii="Times New Roman;serif" w:hAnsi="Times New Roman;serif"/>
                <w:b w:val="false"/>
                <w:color w:val="000000"/>
                <w:sz w:val="13"/>
              </w:rPr>
              <w:t>(1)</w:t>
            </w:r>
            <w:r>
              <w:rPr>
                <w:rFonts w:ascii="Times New Roman;serif" w:hAnsi="Times New Roman;serif"/>
                <w:b w:val="false"/>
                <w:color w:val="000000"/>
                <w:sz w:val="20"/>
              </w:rPr>
              <w:t>:</w:t>
            </w:r>
            <w:r>
              <w:rPr>
                <w:color w:val="000000"/>
              </w:rPr>
              <w:t xml:space="preserve"> </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Unfunded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Priced options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40,933 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Backlog presented includes backlog acquired from the Company’s acquisition of Ultra Mission Solutions during the six months ended September 30, 2026. Total backlog acquired from Ultra was approximately $164 million at the acquisition date.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Our total backlog consists of contractual values which is inclusive of remaining performance obligations, and potential contract value from unexercised option periods and other unexercised optional orders. As of September 30, 2026 and March 31, 2026, the Company had $11.8 billion and $10.7 billion of remaining performance obligations, respectively, and we expect to recognize approximately 65% of the remaining performance obligations as of September 30, 2026 as revenue over the next 12 months, and approximately 75% over the next 24 months. The remainder is expected to be recognized thereafter. We also expect to recognize revenue from a substantial portion of funded backlog as of September 30, 2026, within the next twelve months. However, given the uncertainties discussed below, as well as the risks described in “Item 1A. Risk Factors” of our Annual Report on Form 10-K for the fiscal year ended March 31, 2026, we can give no assurance that we will be able to convert our performance obligations or funded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pStyle w:val="TextBody"/>
        <w:bidi w:val="0"/>
        <w:spacing w:lineRule="auto" w:line="288" w:before="120" w:after="283"/>
        <w:jc w:val="left"/>
        <w:rPr/>
      </w:pPr>
      <w:r>
        <w:rPr>
          <w:rFonts w:ascii="Times New Roman;serif" w:hAnsi="Times New Roman;serif"/>
          <w:b w:val="false"/>
          <w:color w:val="000000"/>
          <w:sz w:val="20"/>
        </w:rPr>
        <w:t>We view growth in total backlog as a key measure of our potential business growth. Total backlog increased by 2% from September 30, 2025 to September 30, 2026. Additions to funded backlog during the twelve months ended September 30, 2026 and 2025 totaled $11.3 billion and $11.4 billion, respectively, as</w:t>
      </w:r>
      <w:r>
        <w:rPr>
          <w:color w:val="000000"/>
          <w:shd w:fill="FFFFFF" w:val="clear"/>
        </w:rPr>
        <w:t xml:space="preserve"> </w:t>
      </w:r>
      <w:r>
        <w:rPr>
          <w:rFonts w:ascii="Times New Roman;serif" w:hAnsi="Times New Roman;serif"/>
          <w:b w:val="false"/>
          <w:color w:val="000000"/>
          <w:sz w:val="20"/>
          <w:shd w:fill="FFFFFF" w:val="clear"/>
        </w:rPr>
        <w:t>a result of the conversion of unfunded backlog to funded backlog, the award of new contracts and tas</w:t>
      </w:r>
      <w:r>
        <w:rPr>
          <w:rFonts w:ascii="Times New Roman;serif" w:hAnsi="Times New Roman;serif"/>
          <w:b w:val="false"/>
          <w:color w:val="000000"/>
          <w:sz w:val="20"/>
        </w:rPr>
        <w:t>k orders under which funding was appropriated, and the exercise and subsequent funding of priced options.</w:t>
      </w:r>
    </w:p>
    <w:p>
      <w:pPr>
        <w:pStyle w:val="TextBody"/>
        <w:bidi w:val="0"/>
        <w:spacing w:lineRule="auto" w:line="288" w:before="120" w:after="283"/>
        <w:jc w:val="left"/>
        <w:rPr/>
      </w:pPr>
      <w:r>
        <w:rPr>
          <w:rFonts w:ascii="Times New Roman;serif" w:hAnsi="Times New Roman;serif"/>
          <w:b w:val="false"/>
          <w:color w:val="000000"/>
          <w:sz w:val="20"/>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include: program schedule changes, contract modifications and our ability to assimilate and deploy new customer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and the other risks and factors listed under “</w:t>
      </w:r>
      <w:r>
        <w:rPr>
          <w:color w:val="000000"/>
        </w:rPr>
        <w:t xml:space="preserve">— </w:t>
      </w:r>
      <w:r>
        <w:rPr>
          <w:rFonts w:ascii="Times New Roman;serif" w:hAnsi="Times New Roman;serif"/>
          <w:b w:val="false"/>
          <w:color w:val="000000"/>
          <w:sz w:val="20"/>
        </w:rPr>
        <w:t>U.S. Budgetary and Regulatory Environment” in this Quarterly Report, as well as those listed under “Risk Factors” in our Annual Report on Form 10-K for the year ended March 31, 2026. In addition, the amount of our funded backlog is also subject to change due to these factors. In our recent experience, the slowed procurement environment and reductions in contract value have had a negative effect on our ability to convert backlog to revenue as of September 30, 2026, and could have additional impacts in the future to our business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 and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items from our condensed consolidated statements of operations for the respective periods shown: </w:t>
      </w:r>
    </w:p>
    <w:tbl>
      <w:tblPr>
        <w:tblW w:w="9841" w:type="dxa"/>
        <w:jc w:val="center"/>
        <w:tblInd w:w="0" w:type="dxa"/>
        <w:tblLayout w:type="fixed"/>
        <w:tblCellMar>
          <w:top w:w="28" w:type="dxa"/>
          <w:left w:w="28" w:type="dxa"/>
          <w:bottom w:w="28" w:type="dxa"/>
          <w:right w:w="28" w:type="dxa"/>
        </w:tblCellMar>
      </w:tblPr>
      <w:tblGrid>
        <w:gridCol w:w="1115"/>
        <w:gridCol w:w="982"/>
        <w:gridCol w:w="992"/>
        <w:gridCol w:w="246"/>
        <w:gridCol w:w="720"/>
        <w:gridCol w:w="129"/>
        <w:gridCol w:w="246"/>
        <w:gridCol w:w="720"/>
        <w:gridCol w:w="129"/>
        <w:gridCol w:w="269"/>
        <w:gridCol w:w="271"/>
        <w:gridCol w:w="417"/>
        <w:gridCol w:w="109"/>
        <w:gridCol w:w="109"/>
        <w:gridCol w:w="109"/>
        <w:gridCol w:w="246"/>
        <w:gridCol w:w="720"/>
        <w:gridCol w:w="129"/>
        <w:gridCol w:w="246"/>
        <w:gridCol w:w="720"/>
        <w:gridCol w:w="129"/>
        <w:gridCol w:w="308"/>
        <w:gridCol w:w="308"/>
        <w:gridCol w:w="472"/>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Billable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p>
      <w:pPr>
        <w:pStyle w:val="TextBody"/>
        <w:bidi w:val="0"/>
        <w:spacing w:lineRule="auto" w:line="288" w:before="120" w:after="283"/>
        <w:jc w:val="left"/>
        <w:rPr/>
      </w:pPr>
      <w:r>
        <w:rPr>
          <w:rFonts w:ascii="Times New Roman;serif" w:hAnsi="Times New Roman;serif"/>
          <w:b w:val="false"/>
          <w:color w:val="000000"/>
          <w:sz w:val="20"/>
          <w:shd w:fill="FFFFFF" w:val="clear"/>
        </w:rPr>
        <w:t>Revenue decreased 4% to $2,778 million, and 4%</w:t>
      </w:r>
      <w:r>
        <w:rPr>
          <w:color w:val="000000"/>
        </w:rPr>
        <w:t xml:space="preserve"> </w:t>
      </w:r>
      <w:r>
        <w:rPr>
          <w:rFonts w:ascii="Times New Roman;serif" w:hAnsi="Times New Roman;serif"/>
          <w:b w:val="false"/>
          <w:color w:val="000000"/>
          <w:sz w:val="20"/>
        </w:rPr>
        <w:t xml:space="preserve">to $5,578, respectively, </w:t>
      </w:r>
      <w:r>
        <w:rPr>
          <w:rFonts w:ascii="Times New Roman;serif" w:hAnsi="Times New Roman;serif"/>
          <w:b w:val="false"/>
          <w:color w:val="000000"/>
          <w:sz w:val="20"/>
          <w:shd w:fill="FFFFFF" w:val="clear"/>
        </w:rPr>
        <w:t>for the three and six months ended September 30, 2026 compared to the prior year pe</w:t>
      </w:r>
      <w:r>
        <w:rPr>
          <w:rFonts w:ascii="Times New Roman;serif" w:hAnsi="Times New Roman;serif"/>
          <w:b w:val="false"/>
          <w:color w:val="000000"/>
          <w:sz w:val="20"/>
        </w:rPr>
        <w:t>riod. The decrease was primarily driven by the impact of a slowed procurement environment in the prior year, which resulted in a slower start to programs in the current year, predominantly from civil customers, leading to reduced headcount and billable expenses.</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Revenue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Costs associated with compensation and related expenses for our people are the most significant component of our operating costs and expenses. The principal factors that affect our costs are the increases or decreases in labor and employee related costs as we are awarded contracts, task orders, and additional work under our existing contracts, and the hiring of people with specific skill sets and security clearances.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Cost of revenue as a percentage of revenue was </w:t>
      </w:r>
      <w:r>
        <w:rPr>
          <w:rFonts w:ascii="Times New Roman;serif" w:hAnsi="Times New Roman;serif"/>
          <w:b w:val="false"/>
          <w:color w:val="000000"/>
          <w:sz w:val="20"/>
        </w:rPr>
        <w:t>48% and 46% for the three months ended September 30, 2026 and 2025, respectively, and 48% for both the six months ended September 30, 2026 and 2025, respectively. Cost of revenue decreased 1% and 3% for the three and six months ended September 30, 2026 as compared to the three and six months ended September 30, 2025</w:t>
      </w:r>
      <w:r>
        <w:rPr>
          <w:rFonts w:ascii="Times New Roman;serif" w:hAnsi="Times New Roman;serif"/>
          <w:b w:val="false"/>
          <w:color w:val="000000"/>
          <w:sz w:val="20"/>
          <w:shd w:fill="FFFFFF" w:val="clear"/>
        </w:rPr>
        <w:t>. The decreases were primarily due to decreases in salaries and related benefits due to overall headcount reductions. The prior year to date period also includes $30 million in costs related to employee severance and related charges, not present in the current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Billable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Billable expenses as a percentage of revenue were 30% and 32%</w:t>
      </w:r>
      <w:r>
        <w:rPr>
          <w:color w:val="000000"/>
        </w:rPr>
        <w:t xml:space="preserve"> </w:t>
      </w:r>
      <w:r>
        <w:rPr>
          <w:rFonts w:ascii="Times New Roman;serif" w:hAnsi="Times New Roman;serif"/>
          <w:b w:val="false"/>
          <w:color w:val="000000"/>
          <w:sz w:val="20"/>
          <w:shd w:fill="FFFFFF" w:val="clear"/>
        </w:rPr>
        <w:t>for the three months ended September 30, 2026 and 2025, respectively, and 30%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31%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September 30, 2026 and 2025, respectively. Billable expenses decreased 11% and 8%</w:t>
      </w:r>
      <w:r>
        <w:rPr>
          <w:color w:val="000000"/>
        </w:rPr>
        <w:t xml:space="preserve"> </w:t>
      </w:r>
      <w:r>
        <w:rPr>
          <w:rFonts w:ascii="Times New Roman;serif" w:hAnsi="Times New Roman;serif"/>
          <w:b w:val="false"/>
          <w:color w:val="000000"/>
          <w:sz w:val="20"/>
          <w:shd w:fill="FFFFFF" w:val="clear"/>
        </w:rPr>
        <w:t>for the three and six months ended September 30, 2026 compared to the three and six months ended September 30, 2025. The decreases were primarily attributable to decreases in other direct expenses and subcontractor expenses, driven by customer demand and timing of customer needs.</w:t>
      </w:r>
    </w:p>
    <w:p>
      <w:pPr>
        <w:pStyle w:val="TextBody"/>
        <w:bidi w:val="0"/>
        <w:spacing w:lineRule="auto" w:line="288" w:before="120" w:after="283"/>
        <w:jc w:val="left"/>
        <w:rPr/>
      </w:pPr>
      <w:r>
        <w:rPr>
          <w:rFonts w:ascii="Times New Roman;serif" w:hAnsi="Times New Roman;serif"/>
          <w:b w:val="false"/>
          <w:i/>
          <w:color w:val="000000"/>
          <w:sz w:val="20"/>
          <w:shd w:fill="FFFFFF" w:val="clear"/>
        </w:rPr>
        <w:t>Genera</w:t>
      </w:r>
      <w:r>
        <w:rPr>
          <w:rFonts w:ascii="Times New Roman;serif" w:hAnsi="Times New Roman;serif"/>
          <w:b w:val="false"/>
          <w:i/>
          <w:color w:val="000000"/>
          <w:sz w:val="20"/>
        </w:rPr>
        <w:t xml:space="preserve">l and Administrative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General and administrative expenses as a percentage of revenue were </w:t>
      </w:r>
      <w:r>
        <w:rPr>
          <w:rFonts w:ascii="Times New Roman;serif" w:hAnsi="Times New Roman;serif"/>
          <w:b w:val="false"/>
          <w:color w:val="000000"/>
          <w:sz w:val="20"/>
        </w:rPr>
        <w:t xml:space="preserve">12% and 11% for the three months ended September 30, 2026 and 2025, respectively, and 11% for both the six months ended </w:t>
      </w:r>
      <w:r>
        <w:rPr>
          <w:rFonts w:ascii="Times New Roman;serif" w:hAnsi="Times New Roman;serif"/>
          <w:b w:val="false"/>
          <w:color w:val="000000"/>
          <w:sz w:val="20"/>
          <w:shd w:fill="FFFFFF" w:val="clear"/>
        </w:rPr>
        <w:t>September 30, 2026 and 2025, respectively. General and administrative expenses</w:t>
      </w:r>
      <w:r>
        <w:rPr>
          <w:color w:val="000000"/>
        </w:rPr>
        <w:t xml:space="preserve"> </w:t>
      </w:r>
      <w:r>
        <w:rPr>
          <w:rFonts w:ascii="Times New Roman;serif" w:hAnsi="Times New Roman;serif"/>
          <w:b w:val="false"/>
          <w:color w:val="000000"/>
          <w:sz w:val="20"/>
        </w:rPr>
        <w:t xml:space="preserve">increased 6%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 xml:space="preserve">September 30, 2026 </w:t>
      </w:r>
      <w:r>
        <w:rPr>
          <w:rFonts w:ascii="Times New Roman;serif" w:hAnsi="Times New Roman;serif"/>
          <w:b w:val="false"/>
          <w:color w:val="000000"/>
          <w:sz w:val="20"/>
        </w:rPr>
        <w:t>and remained flat during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as compared to the same periods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The year-to-date increase was primarily driven by professional fees associated with the Company’s acquisitions, but was partially offset by decreases in salaries and related benefits due to overall headcount reductions.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w:t>
      </w:r>
    </w:p>
    <w:p>
      <w:pPr>
        <w:pStyle w:val="TextBody"/>
        <w:bidi w:val="0"/>
        <w:spacing w:lineRule="auto" w:line="288" w:before="120" w:after="283"/>
        <w:jc w:val="left"/>
        <w:rPr/>
      </w:pPr>
      <w:r>
        <w:rPr>
          <w:rFonts w:ascii="Times New Roman;serif" w:hAnsi="Times New Roman;serif"/>
          <w:b w:val="false"/>
          <w:color w:val="000000"/>
          <w:sz w:val="20"/>
        </w:rPr>
        <w:t xml:space="preserve">Depreciation and amortization includes the depreciation of computers, leasehold improvements, furniture and other equipment, and the amortization of internally developed software, as well as third-party software that we use internally, and of identifiable long-lived intangible assets over their estimated useful lives. </w:t>
      </w:r>
      <w:r>
        <w:rPr>
          <w:rFonts w:ascii="Times New Roman;serif" w:hAnsi="Times New Roman;serif"/>
          <w:b w:val="false"/>
          <w:color w:val="000000"/>
          <w:sz w:val="20"/>
          <w:shd w:fill="FFFFFF" w:val="clear"/>
        </w:rPr>
        <w:t xml:space="preserve">Depreciation and amortization expense </w:t>
      </w:r>
      <w:r>
        <w:rPr>
          <w:rFonts w:ascii="Times New Roman;serif" w:hAnsi="Times New Roman;serif"/>
          <w:b w:val="false"/>
          <w:color w:val="000000"/>
          <w:sz w:val="20"/>
        </w:rPr>
        <w:t>increased 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19%</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xml:space="preserve">, as compared to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2025, </w:t>
      </w:r>
      <w:r>
        <w:rPr>
          <w:rFonts w:ascii="Times New Roman;serif" w:hAnsi="Times New Roman;serif"/>
          <w:b w:val="false"/>
          <w:color w:val="000000"/>
          <w:sz w:val="20"/>
          <w:shd w:fill="FFFFFF" w:val="clear"/>
        </w:rPr>
        <w:t>primarily due to the amortization of acquired intangible assets from Defy Security and Ultra Mission Solutions.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Operating income </w:t>
      </w:r>
      <w:r>
        <w:rPr>
          <w:rFonts w:ascii="Times New Roman;serif" w:hAnsi="Times New Roman;serif"/>
          <w:b w:val="false"/>
          <w:color w:val="000000"/>
          <w:sz w:val="20"/>
        </w:rPr>
        <w:t>decreased 13%</w:t>
      </w:r>
      <w:r>
        <w:rPr>
          <w:color w:val="000000"/>
          <w:shd w:fill="FFFFFF" w:val="clear"/>
        </w:rPr>
        <w:t xml:space="preserve"> </w:t>
      </w:r>
      <w:r>
        <w:rPr>
          <w:rFonts w:ascii="Times New Roman;serif" w:hAnsi="Times New Roman;serif"/>
          <w:b w:val="false"/>
          <w:color w:val="000000"/>
          <w:sz w:val="20"/>
          <w:shd w:fill="FFFFFF" w:val="clear"/>
        </w:rPr>
        <w:t xml:space="preserve">to $245 million and </w:t>
      </w:r>
      <w:r>
        <w:rPr>
          <w:rFonts w:ascii="Times New Roman;serif" w:hAnsi="Times New Roman;serif"/>
          <w:b w:val="false"/>
          <w:color w:val="000000"/>
          <w:sz w:val="20"/>
        </w:rPr>
        <w:t xml:space="preserve">decreased 3% to </w:t>
      </w:r>
      <w:r>
        <w:rPr>
          <w:rFonts w:ascii="Times New Roman;serif" w:hAnsi="Times New Roman;serif"/>
          <w:b w:val="false"/>
          <w:color w:val="000000"/>
          <w:sz w:val="20"/>
          <w:shd w:fill="FFFFFF" w:val="clear"/>
        </w:rPr>
        <w:t>$524 million</w:t>
      </w:r>
      <w:r>
        <w:rPr>
          <w:color w:val="000000"/>
        </w:rPr>
        <w:t xml:space="preserve"> </w:t>
      </w:r>
      <w:r>
        <w:rPr>
          <w:rFonts w:ascii="Times New Roman;serif" w:hAnsi="Times New Roman;serif"/>
          <w:b w:val="false"/>
          <w:color w:val="000000"/>
          <w:sz w:val="20"/>
        </w:rPr>
        <w:t xml:space="preserve">for the three and six months ended September 30, 2026, respectively, compared to the three and six months ended September 30, 2025, </w:t>
      </w:r>
      <w:r>
        <w:rPr>
          <w:rFonts w:ascii="Times New Roman;serif" w:hAnsi="Times New Roman;serif"/>
          <w:b w:val="false"/>
          <w:color w:val="000000"/>
          <w:sz w:val="20"/>
          <w:shd w:fill="FFFFFF" w:val="clear"/>
        </w:rPr>
        <w:t>reflecting a decrease in operating margin from 10% to 9% for the quarter, with the year to date period remaining flat at 9%. Operating income was driven by the increase in expenses and declines in revenue noted above, partially offset by strong contract execution.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Interest expense, net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9%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primarily driven by decreases in interest income from lower cash balances.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(expense) </w:t>
      </w:r>
    </w:p>
    <w:p>
      <w:pPr>
        <w:pStyle w:val="TextBody"/>
        <w:bidi w:val="0"/>
        <w:spacing w:lineRule="auto" w:line="288" w:before="120" w:after="283"/>
        <w:jc w:val="left"/>
        <w:rPr/>
      </w:pPr>
      <w:r>
        <w:rPr>
          <w:rFonts w:ascii="Times New Roman;serif" w:hAnsi="Times New Roman;serif"/>
          <w:b w:val="false"/>
          <w:color w:val="000000"/>
          <w:sz w:val="20"/>
        </w:rPr>
        <w:t>Other income (expense)</w:t>
      </w:r>
      <w:r>
        <w:rPr>
          <w:rFonts w:ascii="Times New Roman;serif" w:hAnsi="Times New Roman;serif"/>
          <w:b w:val="false"/>
          <w:color w:val="000000"/>
          <w:sz w:val="20"/>
          <w:shd w:fill="FFFFFF" w:val="clear"/>
        </w:rPr>
        <w:t xml:space="preserve">, increased to $6 million for the three months ended September 30, 2026 from ($2) million for the three months ended September 30, 2025, and </w:t>
      </w:r>
      <w:r>
        <w:rPr>
          <w:rFonts w:ascii="Times New Roman;serif" w:hAnsi="Times New Roman;serif"/>
          <w:b w:val="false"/>
          <w:color w:val="000000"/>
          <w:sz w:val="20"/>
        </w:rPr>
        <w:t>increased to</w:t>
      </w:r>
      <w:r>
        <w:rPr>
          <w:color w:val="000000"/>
          <w:shd w:fill="FFFFFF" w:val="clear"/>
        </w:rPr>
        <w:t xml:space="preserve"> </w:t>
      </w:r>
      <w:r>
        <w:rPr>
          <w:rFonts w:ascii="Times New Roman;serif" w:hAnsi="Times New Roman;serif"/>
          <w:b w:val="false"/>
          <w:color w:val="000000"/>
          <w:sz w:val="20"/>
          <w:shd w:fill="FFFFFF" w:val="clear"/>
        </w:rPr>
        <w:t xml:space="preserve">$26 million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September 30, 2026 from $1 million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The increases were primarily driven by an additional gain of $10 million from an earnout associated with the group of contracts sold in the fourth quarter of fiscal 2026. The year-to-date period was also affected by larger increases in the fair value of the Company’s investments in fiscal 2027 as compared to fiscal 2026.</w:t>
      </w:r>
    </w:p>
    <w:p>
      <w:pPr>
        <w:pStyle w:val="TextBody"/>
        <w:bidi w:val="0"/>
        <w:spacing w:lineRule="auto" w:line="288" w:before="120" w:after="283"/>
        <w:jc w:val="left"/>
        <w:rPr/>
      </w:pPr>
      <w:r>
        <w:rPr>
          <w:rFonts w:ascii="Times New Roman;serif" w:hAnsi="Times New Roman;serif"/>
          <w:b w:val="false"/>
          <w:i/>
          <w:color w:val="000000"/>
          <w:sz w:val="20"/>
          <w:shd w:fill="FFFFFF" w:val="clear"/>
        </w:rPr>
        <w:t>Income Tax E</w:t>
      </w:r>
      <w:r>
        <w:rPr>
          <w:rFonts w:ascii="Times New Roman;serif" w:hAnsi="Times New Roman;serif"/>
          <w:b w:val="false"/>
          <w:i/>
          <w:color w:val="000000"/>
          <w:sz w:val="20"/>
        </w:rPr>
        <w:t>xpense</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Income tax expense </w:t>
      </w:r>
      <w:r>
        <w:rPr>
          <w:rFonts w:ascii="Times New Roman;serif" w:hAnsi="Times New Roman;serif"/>
          <w:b w:val="false"/>
          <w:color w:val="000000"/>
          <w:sz w:val="20"/>
        </w:rPr>
        <w:t>decreased 69% for the three months ended September 30, 2026 as compared to the three months ended September 30, 2025. The e</w:t>
      </w:r>
      <w:r>
        <w:rPr>
          <w:rFonts w:ascii="Times New Roman;serif" w:hAnsi="Times New Roman;serif"/>
          <w:b w:val="false"/>
          <w:color w:val="000000"/>
          <w:sz w:val="20"/>
          <w:shd w:fill="FFFFFF" w:val="clear"/>
        </w:rPr>
        <w:t xml:space="preserve">ffective tax rate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to 9.0% from 24.9% for the three month period. Income tax expense </w:t>
      </w:r>
      <w:r>
        <w:rPr>
          <w:rFonts w:ascii="Times New Roman;serif" w:hAnsi="Times New Roman;serif"/>
          <w:b w:val="false"/>
          <w:color w:val="000000"/>
          <w:sz w:val="20"/>
        </w:rPr>
        <w:t>increased 2,267% for the six months ended September 30, 2026 as compared to the six months ended September 30, 2025. The effective tax rate increased to 15.8% from 0.7%</w:t>
      </w:r>
      <w:r>
        <w:rPr>
          <w:rFonts w:ascii="Times New Roman;serif" w:hAnsi="Times New Roman;serif"/>
          <w:b w:val="false"/>
          <w:color w:val="000000"/>
          <w:sz w:val="20"/>
          <w:shd w:fill="FFFFFF" w:val="clear"/>
        </w:rPr>
        <w:t>. The year to date increase in tax expense was primarily driven by a prior year reduction in the income tax reserve related to the completion of IRS examination procedures that did not recur in the current period. The quarter to date decrease reflects the impact of tax planning strategies to maximize tax benefit for foreign derived deduction eligible income. See No</w:t>
      </w:r>
      <w:r>
        <w:rPr>
          <w:rFonts w:ascii="Times New Roman;serif" w:hAnsi="Times New Roman;serif"/>
          <w:b w:val="false"/>
          <w:color w:val="000000"/>
          <w:sz w:val="20"/>
        </w:rPr>
        <w:t xml:space="preserve">te </w:t>
      </w:r>
      <w:r>
        <w:rPr>
          <w:rFonts w:ascii="Times New Roman;serif" w:hAnsi="Times New Roman;serif"/>
          <w:b w:val="false"/>
          <w:color w:val="000000"/>
          <w:sz w:val="20"/>
          <w:shd w:fill="FFFFFF" w:val="clear"/>
        </w:rPr>
        <w:t>9</w:t>
      </w:r>
      <w:r>
        <w:rPr>
          <w:rFonts w:ascii="Times New Roman;serif" w:hAnsi="Times New Roman;serif"/>
          <w:b w:val="false"/>
          <w:color w:val="000000"/>
          <w:sz w:val="20"/>
        </w:rPr>
        <w:t>, “</w:t>
      </w:r>
      <w:r>
        <w:rPr>
          <w:rFonts w:ascii="Times New Roman;serif" w:hAnsi="Times New Roman;serif"/>
          <w:b w:val="false"/>
          <w:color w:val="000000"/>
          <w:sz w:val="20"/>
          <w:shd w:fill="FFFFFF" w:val="clear"/>
        </w:rPr>
        <w:t>Income Taxes</w:t>
      </w:r>
      <w:r>
        <w:rPr>
          <w:rFonts w:ascii="Times New Roman;serif" w:hAnsi="Times New Roman;serif"/>
          <w:b w:val="false"/>
          <w:color w:val="000000"/>
          <w:sz w:val="20"/>
        </w:rPr>
        <w:t>,” to the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283"/>
        <w:jc w:val="left"/>
        <w:rPr/>
      </w:pPr>
      <w:r>
        <w:rPr>
          <w:rFonts w:ascii="Times New Roman;serif" w:hAnsi="Times New Roman;serif"/>
          <w:b w:val="false"/>
          <w:color w:val="000000"/>
          <w:sz w:val="20"/>
        </w:rPr>
        <w:t xml:space="preserve">We publicly disclose certain non-GAAP financial measurements, including </w:t>
      </w:r>
      <w:r>
        <w:rPr>
          <w:rFonts w:ascii="Times New Roman;serif" w:hAnsi="Times New Roman;serif"/>
          <w:b w:val="false"/>
          <w:i/>
          <w:color w:val="000000"/>
          <w:sz w:val="20"/>
        </w:rPr>
        <w:t>Revenue, Excluding Billable Expenses</w:t>
      </w:r>
      <w:r>
        <w:rPr>
          <w:rFonts w:ascii="Times New Roman;serif" w:hAnsi="Times New Roman;serif"/>
          <w:b w:val="false"/>
          <w:color w:val="000000"/>
          <w:sz w:val="20"/>
        </w:rPr>
        <w:t xml:space="preserve">,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because management uses these measures for business planning purposes, including to manage our business against internal projected results of operations and measure our performance. We view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w:t>
      </w:r>
      <w:r>
        <w:rPr>
          <w:rFonts w:ascii="Times New Roman;serif" w:hAnsi="Times New Roman;serif"/>
          <w:b w:val="false"/>
          <w:color w:val="000000"/>
          <w:sz w:val="20"/>
          <w:shd w:fill="FFFFFF" w:val="clear"/>
        </w:rPr>
        <w:t xml:space="preserve">ms. In addition, we use </w:t>
      </w:r>
      <w:r>
        <w:rPr>
          <w:rFonts w:ascii="Times New Roman;serif" w:hAnsi="Times New Roman;serif"/>
          <w:b w:val="false"/>
          <w:i/>
          <w:color w:val="000000"/>
          <w:sz w:val="20"/>
          <w:shd w:fill="FFFFFF" w:val="clear"/>
        </w:rPr>
        <w:t xml:space="preserve">Revenue, Excluding Billable Expenses </w:t>
      </w:r>
      <w:r>
        <w:rPr>
          <w:rFonts w:ascii="Times New Roman;serif" w:hAnsi="Times New Roman;serif"/>
          <w:b w:val="false"/>
          <w:color w:val="000000"/>
          <w:sz w:val="20"/>
          <w:shd w:fill="FFFFFF" w:val="clear"/>
        </w:rPr>
        <w:t>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business.These supplemental performance measurements may vary from and may not be comparable to similarly titled measures by other compani</w:t>
      </w:r>
      <w:r>
        <w:rPr>
          <w:rFonts w:ascii="Times New Roman;serif" w:hAnsi="Times New Roman;serif"/>
          <w:b w:val="false"/>
          <w:color w:val="000000"/>
          <w:sz w:val="20"/>
        </w:rPr>
        <w:t xml:space="preserve">es in our industry. </w:t>
      </w:r>
      <w:r>
        <w:rPr>
          <w:rFonts w:ascii="Times New Roman;serif" w:hAnsi="Times New Roman;serif"/>
          <w:b w:val="false"/>
          <w:i/>
          <w:color w:val="000000"/>
          <w:sz w:val="20"/>
        </w:rPr>
        <w:t xml:space="preserve">Revenue, Excluding Billable Expenses, EBITDA,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are not recognized measurements under accounting principles generally accepted in the United States (“GAAP”) and when analyzing our performance, investors should (i) evaluate each adjustment in our reconciliation of revenue to </w:t>
      </w:r>
      <w:r>
        <w:rPr>
          <w:rFonts w:ascii="Times New Roman;serif" w:hAnsi="Times New Roman;serif"/>
          <w:b w:val="false"/>
          <w:i/>
          <w:color w:val="000000"/>
          <w:sz w:val="20"/>
        </w:rPr>
        <w:t>Revenue, Excluding Billable Expenses</w:t>
      </w:r>
      <w:r>
        <w:rPr>
          <w:rFonts w:ascii="Times New Roman;serif" w:hAnsi="Times New Roman;serif"/>
          <w:b w:val="false"/>
          <w:color w:val="000000"/>
          <w:sz w:val="20"/>
        </w:rPr>
        <w:t xml:space="preserve">, net income to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 xml:space="preserve">and (ii) use </w:t>
      </w:r>
      <w:r>
        <w:rPr>
          <w:rFonts w:ascii="Times New Roman;serif" w:hAnsi="Times New Roman;serif"/>
          <w:b w:val="false"/>
          <w:i/>
          <w:color w:val="000000"/>
          <w:sz w:val="20"/>
        </w:rPr>
        <w:t>Revenue, Excluding Billable Expenses, 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in addition to, and not as an alternative to, revenue and net income, as measures of operating results, each as defined under GAAP. We have defined the aforementioned non-GAAP measures as follows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i/>
          <w:color w:val="000000"/>
          <w:sz w:val="20"/>
        </w:rPr>
        <w:t>Revenue, Excluding Billable Expenses</w:t>
      </w:r>
      <w:r>
        <w:rPr>
          <w:color w:val="000000"/>
        </w:rPr>
        <w:t xml:space="preserve"> </w:t>
      </w:r>
      <w:r>
        <w:rPr>
          <w:rFonts w:ascii="Times New Roman;serif" w:hAnsi="Times New Roman;serif"/>
          <w:b w:val="false"/>
          <w:color w:val="000000"/>
          <w:sz w:val="20"/>
        </w:rPr>
        <w:t>represents revenue less billable expenses.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represents net income before income tax expense, interest expense, net and other income (expense), and depreciation and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represents net income before income tax expense, interest expense, net and other income (expense), and depreciation and amortization and before certain other items, including other corporate expenses. The Company prepares</w:t>
      </w:r>
      <w:r>
        <w:rPr>
          <w:color w:val="000000"/>
        </w:rPr>
        <w:t xml:space="preserve">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to eliminate the impact of items it does not consider indicative of ongoing operating performance due to their inherent unusual, extraordinary or non-recurring nature or because they result from an event of a similar nature.</w:t>
      </w:r>
    </w:p>
    <w:p>
      <w:pPr>
        <w:pStyle w:val="TextBody"/>
        <w:bidi w:val="0"/>
        <w:spacing w:lineRule="auto" w:line="288" w:before="120" w:after="283"/>
        <w:jc w:val="left"/>
        <w:rPr/>
      </w:pPr>
      <w:r>
        <w:rPr>
          <w:rFonts w:ascii="Times New Roman;serif" w:hAnsi="Times New Roman;serif"/>
          <w:b w:val="false"/>
          <w:color w:val="000000"/>
          <w:sz w:val="20"/>
        </w:rPr>
        <w:t>Below is a reconciliation of</w:t>
      </w:r>
      <w:r>
        <w:rPr>
          <w:color w:val="000000"/>
        </w:rPr>
        <w:t xml:space="preserve"> </w:t>
      </w:r>
      <w:r>
        <w:rPr>
          <w:rFonts w:ascii="Times New Roman;serif" w:hAnsi="Times New Roman;serif"/>
          <w:b w:val="false"/>
          <w:color w:val="000000"/>
          <w:sz w:val="20"/>
        </w:rPr>
        <w:t xml:space="preserve">our most directly comparable GAAP measures to our non-GAAP measures, Revenue to </w:t>
      </w:r>
      <w:r>
        <w:rPr>
          <w:rFonts w:ascii="Times New Roman;serif" w:hAnsi="Times New Roman;serif"/>
          <w:b w:val="false"/>
          <w:i/>
          <w:color w:val="000000"/>
          <w:sz w:val="20"/>
        </w:rPr>
        <w:t xml:space="preserve">Revenue, Excluding Billable Expenses </w:t>
      </w:r>
      <w:r>
        <w:rPr>
          <w:rFonts w:ascii="Times New Roman;serif" w:hAnsi="Times New Roman;serif"/>
          <w:b w:val="false"/>
          <w:color w:val="000000"/>
          <w:sz w:val="20"/>
        </w:rPr>
        <w:t xml:space="preserve">and Net income to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rFonts w:ascii="Times New Roman;serif" w:hAnsi="Times New Roman;serif"/>
          <w:b w:val="false"/>
          <w:color w:val="000000"/>
          <w:sz w:val="20"/>
        </w:rPr>
        <w:t>, calculated and presented in accordance with GAAP:</w:t>
      </w:r>
    </w:p>
    <w:tbl>
      <w:tblPr>
        <w:tblW w:w="8408" w:type="dxa"/>
        <w:jc w:val="center"/>
        <w:tblInd w:w="0" w:type="dxa"/>
        <w:tblLayout w:type="fixed"/>
        <w:tblCellMar>
          <w:top w:w="28" w:type="dxa"/>
          <w:left w:w="28" w:type="dxa"/>
          <w:bottom w:w="28" w:type="dxa"/>
          <w:right w:w="28" w:type="dxa"/>
        </w:tblCellMar>
      </w:tblPr>
      <w:tblGrid>
        <w:gridCol w:w="1467"/>
        <w:gridCol w:w="1287"/>
        <w:gridCol w:w="1296"/>
        <w:gridCol w:w="460"/>
        <w:gridCol w:w="285"/>
        <w:gridCol w:w="286"/>
        <w:gridCol w:w="460"/>
        <w:gridCol w:w="281"/>
        <w:gridCol w:w="290"/>
        <w:gridCol w:w="109"/>
        <w:gridCol w:w="109"/>
        <w:gridCol w:w="109"/>
        <w:gridCol w:w="391"/>
        <w:gridCol w:w="285"/>
        <w:gridCol w:w="286"/>
        <w:gridCol w:w="391"/>
        <w:gridCol w:w="251"/>
        <w:gridCol w:w="365"/>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share and per share data)</w:t>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0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Excluding Billable Expenses</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Billable expenses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Excluding Billable Expenses</w:t>
            </w:r>
          </w:p>
        </w:tc>
        <w:tc>
          <w:tcPr>
            <w:tcW w:w="4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4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r>
      <w:tr>
        <w:trPr/>
        <w:tc>
          <w:tcPr>
            <w:tcW w:w="840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and other income (expense)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(a)</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r>
    </w:tbl>
    <w:p>
      <w:pPr>
        <w:pStyle w:val="TextBody"/>
        <w:bidi w:val="0"/>
        <w:spacing w:lineRule="auto" w:line="288" w:before="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In fiscal 2027, other corporate expenses consist primarily of acquisition related costs associated with Defy Security in the first quarter of fiscal 2027, and Ultra I&amp;C Mission Solutions business in the second quarter of fiscal 2027.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See Note 20, “Supplemental Consolidated Financial Information,” and Note 21, “Subsequent Events,” to the consolidated financial statements within the Annual Report on Form 10-K for the fiscal year ended March 31, 2026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our total liquidity was $1.8 billion, consisting of $334 million of cash and cash equivalents and $1.5 billion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for the respective periods shown:</w:t>
      </w:r>
    </w:p>
    <w:tbl>
      <w:tblPr>
        <w:tblW w:w="4916" w:type="dxa"/>
        <w:jc w:val="center"/>
        <w:tblInd w:w="0" w:type="dxa"/>
        <w:tblLayout w:type="fixed"/>
        <w:tblCellMar>
          <w:top w:w="28" w:type="dxa"/>
          <w:left w:w="28" w:type="dxa"/>
          <w:bottom w:w="28" w:type="dxa"/>
          <w:right w:w="28" w:type="dxa"/>
        </w:tblCellMar>
      </w:tblPr>
      <w:tblGrid>
        <w:gridCol w:w="820"/>
        <w:gridCol w:w="720"/>
        <w:gridCol w:w="724"/>
        <w:gridCol w:w="293"/>
        <w:gridCol w:w="859"/>
        <w:gridCol w:w="153"/>
        <w:gridCol w:w="109"/>
        <w:gridCol w:w="109"/>
        <w:gridCol w:w="109"/>
        <w:gridCol w:w="219"/>
        <w:gridCol w:w="641"/>
        <w:gridCol w:w="16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tbl>
      <w:tblPr>
        <w:tblW w:w="6536" w:type="dxa"/>
        <w:jc w:val="center"/>
        <w:tblInd w:w="0" w:type="dxa"/>
        <w:tblLayout w:type="fixed"/>
        <w:tblCellMar>
          <w:top w:w="28" w:type="dxa"/>
          <w:left w:w="28" w:type="dxa"/>
          <w:bottom w:w="28" w:type="dxa"/>
          <w:right w:w="28" w:type="dxa"/>
        </w:tblCellMar>
      </w:tblPr>
      <w:tblGrid>
        <w:gridCol w:w="1525"/>
        <w:gridCol w:w="1343"/>
        <w:gridCol w:w="1346"/>
        <w:gridCol w:w="256"/>
        <w:gridCol w:w="586"/>
        <w:gridCol w:w="133"/>
        <w:gridCol w:w="109"/>
        <w:gridCol w:w="109"/>
        <w:gridCol w:w="109"/>
        <w:gridCol w:w="259"/>
        <w:gridCol w:w="571"/>
        <w:gridCol w:w="190"/>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 </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operating expenses, including salaries;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working capital requirements to fund both organic and inorganic growth of our business;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capital expenditures which primarily relate to the purchase of computers, business systems, furniture and leasehold improvements to support our operations;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ongoing maintenance around all financial management systems;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commitments and other discretionary investments, including potential capital calls for venture capital investments;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debt service requirements for borrowings under our Credit Agreement and interest payments for our senior notes; and</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cash taxes to be paid.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evaluate conditions to opportunistically access the financing markets to secure additional debt capital resources and improve the terms of our indebtedness. Some of the possible uses of our remaining excess cash at any point in time may include funding strategic acquisitions and investments, debt repayment, further investment in our business and returning value to stockholders through share repurchases, quarterly dividends and special dividends.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Cash Flow</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Net cash provided </w:t>
      </w:r>
      <w:r>
        <w:rPr>
          <w:rFonts w:ascii="Times New Roman;serif" w:hAnsi="Times New Roman;serif"/>
          <w:b w:val="false"/>
          <w:color w:val="000000"/>
          <w:sz w:val="20"/>
        </w:rPr>
        <w:t>by operations was $575 million for the six months ended September 30, 2026 compared to $540 million in the prior year period. The increase in operating cash was primarily driven by strong working capital management and lower tax payments as compared to the prior year, partially offset by reduced revenue volume.</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Cash Flow</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$1,140 million in the six months ended September 30, 2026 compared to $61 million in the prior year period. The increase in investing cash used over the prior year was primarily due to the Company's acquisitions of Defy Security and Ultra Mission Solutions and an increase in the funding of strategic investments in the first half of fiscal 2027.</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Cash Flow</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Net cash provided by financing activities was $171 million in the six months ended September 30, 2026 compared to $548 million of net cash used in financing activities in the prior year period. The increase in financing cash over the prior year was primarily due to the issuance of senior notes in the second quarter of fiscal 2027, as well as the decrease in share repurchases year over year. </w:t>
      </w:r>
      <w:r>
        <w:rPr>
          <w:rFonts w:ascii="Times New Roman;serif" w:hAnsi="Times New Roman;serif"/>
          <w:b w:val="false"/>
          <w:color w:val="000000"/>
          <w:sz w:val="20"/>
        </w:rPr>
        <w:t xml:space="preserve">The Company borrowed and subsequently repaid $200 million during the six months ended September 30, 2026 and as of both September 30, 2026 and March 31, 2026, there was no outstanding balance on the Revolving Credit Facility. </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 and Share Repurchases</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On October 23, 2026, the Company announced a regular quarterly cash dividend in the amount of $0.59 per share. The quarterly dividend is payable on December 4, 2026 to stockholders of record on November 12, 2026.</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a quarterly cash dividend of 0.59 and</w:t>
      </w:r>
      <w:r>
        <w:rPr>
          <w:color w:val="000000"/>
          <w:shd w:fill="FFFFFF" w:val="clear"/>
        </w:rPr>
        <w:t xml:space="preserve"> </w:t>
      </w:r>
      <w:r>
        <w:rPr>
          <w:rFonts w:ascii="Times New Roman;serif" w:hAnsi="Times New Roman;serif"/>
          <w:b w:val="false"/>
          <w:color w:val="000000"/>
          <w:sz w:val="20"/>
          <w:shd w:fill="FFFFFF" w:val="clear"/>
        </w:rPr>
        <w:t xml:space="preserve">$1.18 per share, respectively, were declared and paid totaling </w:t>
      </w:r>
      <w:r>
        <w:rPr>
          <w:rFonts w:ascii="Times New Roman;serif" w:hAnsi="Times New Roman;serif"/>
          <w:b w:val="false"/>
          <w:color w:val="000000"/>
          <w:sz w:val="20"/>
        </w:rPr>
        <w:t xml:space="preserve">$71 million and $145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76" w:before="120" w:after="283"/>
        <w:jc w:val="left"/>
        <w:rPr/>
      </w:pPr>
      <w:r>
        <w:rPr>
          <w:rFonts w:ascii="Times New Roman;serif" w:hAnsi="Times New Roman;serif"/>
          <w:b w:val="false"/>
          <w:color w:val="000000"/>
          <w:sz w:val="20"/>
        </w:rPr>
        <w:t xml:space="preserve">On December 12, 2011, the Board of Directors initially approved a share repurchase program, which was subsequently increased from time to time, and most recently increased by $500 million to $4,085 million on </w:t>
      </w:r>
      <w:r>
        <w:rPr>
          <w:rFonts w:ascii="Times New Roman;serif" w:hAnsi="Times New Roman;serif"/>
          <w:b w:val="false"/>
          <w:color w:val="000000"/>
          <w:sz w:val="20"/>
          <w:shd w:fill="FFFFFF" w:val="clear"/>
        </w:rPr>
        <w:t>October 22, 2025</w:t>
      </w:r>
      <w:r>
        <w:rPr>
          <w:rFonts w:ascii="Times New Roman;serif" w:hAnsi="Times New Roman;serif"/>
          <w:b w:val="false"/>
          <w:color w:val="000000"/>
          <w:sz w:val="20"/>
        </w:rPr>
        <w:t>. T</w:t>
      </w:r>
      <w:r>
        <w:rPr>
          <w:rFonts w:ascii="Times New Roman;serif" w:hAnsi="Times New Roman;serif"/>
          <w:b w:val="false"/>
          <w:color w:val="000000"/>
          <w:sz w:val="20"/>
          <w:shd w:fill="FFFFFF" w:val="clear"/>
        </w:rPr>
        <w:t xml:space="preserve">he Company may repurchase shares pursuant to the program by means of open market repurchases, directly negotiated repurchases or through agents acting pursuant to negotiated repurchase agreements. During the first six months of fiscal 2027, the Company purchased </w:t>
      </w:r>
      <w:r>
        <w:rPr>
          <w:rFonts w:ascii="Times New Roman;serif" w:hAnsi="Times New Roman;serif"/>
          <w:b w:val="false"/>
          <w:color w:val="000000"/>
          <w:sz w:val="20"/>
        </w:rPr>
        <w:t xml:space="preserve">2.0 million </w:t>
      </w:r>
      <w:r>
        <w:rPr>
          <w:rFonts w:ascii="Times New Roman;serif" w:hAnsi="Times New Roman;serif"/>
          <w:b w:val="false"/>
          <w:color w:val="000000"/>
          <w:sz w:val="20"/>
          <w:shd w:fill="FFFFFF" w:val="clear"/>
        </w:rPr>
        <w:t xml:space="preserve">shares of the Company's Class A Common Stock for an aggregate of $149 million. As of September 30, 2026, the Company had approximately $535 million remaining under the repurchase program.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Summarized Financial Information</w:t>
      </w:r>
    </w:p>
    <w:p>
      <w:pPr>
        <w:pStyle w:val="TextBody"/>
        <w:bidi w:val="0"/>
        <w:spacing w:lineRule="auto" w:line="288" w:before="120" w:after="283"/>
        <w:jc w:val="left"/>
        <w:rPr/>
      </w:pPr>
      <w:r>
        <w:rPr>
          <w:rFonts w:ascii="Times New Roman;serif" w:hAnsi="Times New Roman;serif"/>
          <w:b w:val="false"/>
          <w:color w:val="000000"/>
          <w:sz w:val="20"/>
          <w:shd w:fill="FFFFFF" w:val="clear"/>
        </w:rPr>
        <w:t>The Senior Notes due 2030, 2033, 2034, and 2035 were issued by Booz Allen Hamilton pursuant to the respective Indenture, among Booz Allen Hamilton, the Company and U.S. Bank Trust Company, National Association, as trustee, as supplemented by the respective Supplemental Indenture and are fully and unconditionally guaranteed on an unsecured and unsubordinated basis by the Company</w:t>
      </w:r>
      <w:r>
        <w:rPr>
          <w:color w:val="000000"/>
        </w:rPr>
        <w:t xml:space="preserve"> </w:t>
      </w:r>
      <w:r>
        <w:rPr>
          <w:rFonts w:ascii="Times New Roman;serif" w:hAnsi="Times New Roman;serif"/>
          <w:b w:val="false"/>
          <w:color w:val="000000"/>
          <w:sz w:val="20"/>
        </w:rPr>
        <w:t>pursuant to the respective Indenture.</w:t>
      </w:r>
    </w:p>
    <w:p>
      <w:pPr>
        <w:pStyle w:val="TextBody"/>
        <w:bidi w:val="0"/>
        <w:spacing w:lineRule="auto" w:line="288" w:before="120" w:after="283"/>
        <w:jc w:val="left"/>
        <w:rPr/>
      </w:pPr>
      <w:r>
        <w:rPr>
          <w:rFonts w:ascii="Times New Roman;serif" w:hAnsi="Times New Roman;serif"/>
          <w:b w:val="false"/>
          <w:color w:val="000000"/>
          <w:sz w:val="20"/>
        </w:rPr>
        <w:t xml:space="preserve">The tables below present the summarized financial information as combined for the Company and Booz Allen Hamilton as of March 31, 2026 and as of and for the six months ended September 30, 2026, after the elimination of intercompany transactions and balances between the Company and Booz Allen Hamilton and excluding the subsidiaries of both entities that are not issuers or guarantors of the </w:t>
      </w:r>
      <w:r>
        <w:rPr>
          <w:rFonts w:ascii="Times New Roman;serif" w:hAnsi="Times New Roman;serif"/>
          <w:b w:val="false"/>
          <w:color w:val="000000"/>
          <w:sz w:val="20"/>
          <w:shd w:fill="FFFFFF" w:val="clear"/>
        </w:rPr>
        <w:t>Senior Notes due 2030, 2033, 2034, and 2035</w:t>
      </w:r>
      <w:r>
        <w:rPr>
          <w:rFonts w:ascii="Times New Roman;serif" w:hAnsi="Times New Roman;serif"/>
          <w:b w:val="false"/>
          <w:color w:val="000000"/>
          <w:sz w:val="20"/>
        </w:rPr>
        <w:t>,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Summarized Statements of Financial Condition</w:t>
      </w:r>
    </w:p>
    <w:tbl>
      <w:tblPr>
        <w:tblW w:w="9029" w:type="dxa"/>
        <w:jc w:val="center"/>
        <w:tblInd w:w="0" w:type="dxa"/>
        <w:tblLayout w:type="fixed"/>
        <w:tblCellMar>
          <w:top w:w="28" w:type="dxa"/>
          <w:left w:w="28" w:type="dxa"/>
          <w:bottom w:w="28" w:type="dxa"/>
          <w:right w:w="28" w:type="dxa"/>
        </w:tblCellMar>
      </w:tblPr>
      <w:tblGrid>
        <w:gridCol w:w="1934"/>
        <w:gridCol w:w="1695"/>
        <w:gridCol w:w="1711"/>
        <w:gridCol w:w="397"/>
        <w:gridCol w:w="1165"/>
        <w:gridCol w:w="207"/>
        <w:gridCol w:w="109"/>
        <w:gridCol w:w="109"/>
        <w:gridCol w:w="109"/>
        <w:gridCol w:w="324"/>
        <w:gridCol w:w="948"/>
        <w:gridCol w:w="167"/>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receivables from non-guarantor subsidiaries</w:t>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 of accumulated amortization</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payables to non-guarantor subsidiaries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Summarized Statement of Operations</w:t>
      </w:r>
    </w:p>
    <w:tbl>
      <w:tblPr>
        <w:tblW w:w="5728" w:type="dxa"/>
        <w:jc w:val="center"/>
        <w:tblInd w:w="0" w:type="dxa"/>
        <w:tblLayout w:type="fixed"/>
        <w:tblCellMar>
          <w:top w:w="28" w:type="dxa"/>
          <w:left w:w="28" w:type="dxa"/>
          <w:bottom w:w="28" w:type="dxa"/>
          <w:right w:w="28" w:type="dxa"/>
        </w:tblCellMar>
      </w:tblPr>
      <w:tblGrid>
        <w:gridCol w:w="1595"/>
        <w:gridCol w:w="1153"/>
        <w:gridCol w:w="1166"/>
        <w:gridCol w:w="390"/>
        <w:gridCol w:w="1138"/>
        <w:gridCol w:w="286"/>
      </w:tblGrid>
      <w:tr>
        <w:trPr/>
        <w:tc>
          <w:tcPr>
            <w:tcW w:w="15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September 30, 2026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non-guarantor subsidiaries</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non-guarantor subsidiaries</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Obligor Group</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60" w:after="283"/>
        <w:jc w:val="left"/>
        <w:rPr/>
      </w:pPr>
      <w:r>
        <w:rPr>
          <w:rFonts w:ascii="Times New Roman;serif" w:hAnsi="Times New Roman;serif"/>
          <w:b w:val="false"/>
          <w:color w:val="000000"/>
          <w:sz w:val="20"/>
        </w:rPr>
        <w:t>We are subject to a number of reviews, investigations, claims, lawsuits, and other uncertainties related to our business. For a discussion of these items, refer to Note 11, “</w:t>
      </w:r>
      <w:r>
        <w:rPr>
          <w:rFonts w:ascii="Times New Roman;serif" w:hAnsi="Times New Roman;serif"/>
          <w:b w:val="false"/>
          <w:color w:val="000000"/>
          <w:sz w:val="20"/>
          <w:shd w:fill="FFFFFF" w:val="clear"/>
        </w:rPr>
        <w:t>Commitments and Contingencies,</w:t>
      </w:r>
      <w:r>
        <w:rPr>
          <w:color w:val="000000"/>
        </w:rPr>
        <w:t xml:space="preserve">” </w:t>
      </w:r>
      <w:r>
        <w:rPr>
          <w:rFonts w:ascii="Times New Roman;serif" w:hAnsi="Times New Roman;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or incorporated in this Quarterly Report on Form 10-Q (the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listed under “Item 1A. Risk Factors” and elsewhere in this Quarterly Report, as well as those listed under “Risk Factors” in our Annual Report on Form 10-K for the year ended March 31, 2026.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2026 filed with the Securities and Exchange Commission on May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240" w:after="180"/>
        <w:jc w:val="center"/>
        <w:rPr/>
      </w:pPr>
      <w:r>
        <w:rPr>
          <w:rFonts w:ascii="Times New Roman;serif" w:hAnsi="Times New Roman;serif"/>
          <w:b/>
          <w:color w:val="000000"/>
          <w:sz w:val="20"/>
        </w:rPr>
        <w:t>PART II.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pPr>
      <w:r>
        <w:rPr>
          <w:rFonts w:ascii="Times New Roman;serif" w:hAnsi="Times New Roman;serif"/>
          <w:b w:val="false"/>
          <w:color w:val="000000"/>
          <w:sz w:val="20"/>
        </w:rPr>
        <w:t xml:space="preserve">Disclosure concerning legal proceedings can be found in Part I, Item 1. “Financial Statements, Notes to Unaudited Condensed Consolidated Financial Statements, Note </w:t>
      </w:r>
      <w:r>
        <w:rPr>
          <w:rFonts w:ascii="Times New Roman;serif" w:hAnsi="Times New Roman;serif"/>
          <w:b w:val="false"/>
          <w:color w:val="000000"/>
          <w:sz w:val="20"/>
          <w:shd w:fill="FFFFFF" w:val="clear"/>
        </w:rPr>
        <w:t>11</w:t>
      </w:r>
      <w:r>
        <w:rPr>
          <w:rFonts w:ascii="Times New Roman;serif" w:hAnsi="Times New Roman;serif"/>
          <w:b w:val="false"/>
          <w:color w:val="000000"/>
          <w:sz w:val="20"/>
        </w:rPr>
        <w:t>, “</w:t>
      </w:r>
      <w:r>
        <w:rPr>
          <w:rFonts w:ascii="Times New Roman;serif" w:hAnsi="Times New Roman;serif"/>
          <w:b w:val="false"/>
          <w:color w:val="000000"/>
          <w:sz w:val="20"/>
          <w:shd w:fill="FFFFFF" w:val="clear"/>
        </w:rPr>
        <w:t>Commitments and Contingencies,</w:t>
      </w:r>
      <w:r>
        <w:rPr>
          <w:color w:val="000000"/>
        </w:rPr>
        <w:t xml:space="preserve">” </w:t>
      </w:r>
      <w:r>
        <w:rPr>
          <w:rFonts w:ascii="Times New Roman;serif" w:hAnsi="Times New Roman;serif"/>
          <w:b w:val="false"/>
          <w:color w:val="000000"/>
          <w:sz w:val="20"/>
        </w:rPr>
        <w:t>under the caption, “Litigation,” which is incorporated here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There have been no material changes during the period covered by this Quarterly Report on Form 10-Q to the risk factors disclosed in Part I, Item 1A, of our Annual Report on Form 10-K for the fiscal year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filed with the Securities and Exchange Commission on </w:t>
      </w:r>
      <w:r>
        <w:rPr>
          <w:rFonts w:ascii="Times New Roman;serif" w:hAnsi="Times New Roman;serif"/>
          <w:b w:val="false"/>
          <w:color w:val="000000"/>
          <w:sz w:val="20"/>
        </w:rPr>
        <w:t>May 22,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 repurchase activity for each of the three months in the quarter ended September 30, 2026:</w:t>
      </w:r>
    </w:p>
    <w:tbl>
      <w:tblPr>
        <w:tblW w:w="10205" w:type="dxa"/>
        <w:jc w:val="left"/>
        <w:tblInd w:w="0" w:type="dxa"/>
        <w:tblLayout w:type="fixed"/>
        <w:tblCellMar>
          <w:top w:w="28" w:type="dxa"/>
          <w:left w:w="28" w:type="dxa"/>
          <w:bottom w:w="28" w:type="dxa"/>
          <w:right w:w="28" w:type="dxa"/>
        </w:tblCellMar>
      </w:tblPr>
      <w:tblGrid>
        <w:gridCol w:w="450"/>
        <w:gridCol w:w="367"/>
        <w:gridCol w:w="288"/>
        <w:gridCol w:w="551"/>
        <w:gridCol w:w="551"/>
        <w:gridCol w:w="553"/>
        <w:gridCol w:w="444"/>
        <w:gridCol w:w="444"/>
        <w:gridCol w:w="446"/>
        <w:gridCol w:w="944"/>
        <w:gridCol w:w="944"/>
        <w:gridCol w:w="946"/>
        <w:gridCol w:w="955"/>
        <w:gridCol w:w="955"/>
        <w:gridCol w:w="1367"/>
      </w:tblGrid>
      <w:tr>
        <w:trPr/>
        <w:tc>
          <w:tcPr>
            <w:tcW w:w="4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as Part of Publicly Announced Plans or Programs </w:t>
            </w:r>
          </w:p>
        </w:tc>
        <w:tc>
          <w:tcPr>
            <w:tcW w:w="32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w:t>
            </w:r>
            <w:r>
              <w:rPr>
                <w:rFonts w:ascii="Times New Roman;serif" w:hAnsi="Times New Roman;serif"/>
                <w:b/>
                <w:color w:val="000000"/>
                <w:sz w:val="13"/>
              </w:rPr>
              <w:t>(2)</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(in millions)</w:t>
            </w:r>
          </w:p>
        </w:tc>
      </w:tr>
      <w:tr>
        <w:trPr/>
        <w:tc>
          <w:tcPr>
            <w:tcW w:w="110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165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196,643</w:t>
            </w:r>
          </w:p>
        </w:tc>
        <w:tc>
          <w:tcPr>
            <w:tcW w:w="133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283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196,317</w:t>
            </w:r>
          </w:p>
        </w:tc>
        <w:tc>
          <w:tcPr>
            <w:tcW w:w="3277"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466,205</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464,247</w:t>
            </w:r>
          </w:p>
        </w:tc>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r>
      <w:tr>
        <w:trPr/>
        <w:tc>
          <w:tcPr>
            <w:tcW w:w="11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16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681,760</w:t>
            </w:r>
          </w:p>
        </w:tc>
        <w:tc>
          <w:tcPr>
            <w:tcW w:w="13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681,760</w:t>
            </w:r>
          </w:p>
        </w:tc>
        <w:tc>
          <w:tcPr>
            <w:tcW w:w="327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w:t>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5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1,344,608</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1,342,324</w:t>
            </w:r>
          </w:p>
        </w:tc>
        <w:tc>
          <w:tcPr>
            <w:tcW w:w="3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total number of shares purchased includes shares surrendered to satisfy minimum statutory tax withholding obligations related to the vesting of stock awards.</w:t>
      </w:r>
    </w:p>
    <w:p>
      <w:pPr>
        <w:pStyle w:val="TextBody"/>
        <w:bidi w:val="0"/>
        <w:spacing w:lineRule="auto" w:line="288" w:before="60" w:after="283"/>
        <w:ind w:left="0" w:right="0" w:hanging="27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On December 12, 2011, the Board of Directors initially approved a share repurchase program, which was subsequently increased from time to time, and most recently increased by $500 million to $4,085 million on October 22, 2025. A special committee of the Board of Directors was appointed to evaluate market conditions and other relevant factors and initiate repurchases under the program from time to time. </w:t>
      </w:r>
      <w:r>
        <w:rPr>
          <w:rFonts w:ascii="Times New Roman;serif" w:hAnsi="Times New Roman;serif"/>
          <w:b w:val="false"/>
          <w:color w:val="000000"/>
          <w:sz w:val="20"/>
          <w:shd w:fill="FFFFFF" w:val="clear"/>
        </w:rPr>
        <w:t>The share repurchase program may be suspended, modified or discontinued at any time at the Company’s discretion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Fiscal Year 2027 Vesting Schedule Adjustments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20, 2026, the Compensation, Culture and People Committee of the Board of Directors (the “Board”) approved a modification to the vesting schedule applicable to the time-based restricted stock units (RSUs) granted to our executive officers in connection with the Company’s fiscal 2027 annual equity grants. The time-based RSUs were originally scheduled to vest in three equal installments over a three-year period, subject solely to the executive officer’s continued employment through each applicable vesting date. Effective as of October 20, 2026, the time-based RSUs will instead vest on a quarterly basis over a three-year period, with approximately 16.67% of the time-based RSUs vesting on November 6, 2026 (to account for the quarterly installment that would otherwise have vested during the first fiscal quarter of fiscal year 2027) and the remaining 83.33% vesting in ten equal quarterly installments beginning on January 13, 2027, in each case, subject to the executive officer’s continued employment through each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jc w:val="left"/>
        <w:rPr>
          <w:rFonts w:ascii="Times New Roman;serif" w:hAnsi="Times New Roman;serif"/>
          <w:b/>
          <w:color w:val="212529"/>
          <w:sz w:val="20"/>
        </w:rPr>
      </w:pPr>
      <w:r>
        <w:rPr>
          <w:rFonts w:ascii="Times New Roman;serif" w:hAnsi="Times New Roman;serif"/>
          <w:b/>
          <w:color w:val="212529"/>
          <w:sz w:val="20"/>
        </w:rPr>
        <w:t>Adoption of Amended and Restated Bylaws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and effective as of October 21, 2026, the Company adopted the amended and restated bylaws (the “Amended and Restated Bylaws”). The changes to the Amended and Restated Bylaws, among other things, (i) relate to the designation of, and the roles and responsibilities of, certain of the Company’s officer positions, including clarifying the respective roles of the Chief Executive Officer, President, Chief Financial Officer and Treasurer, (ii) enhance the procedural mechanics applicable to stockholder requests to call special meetings, (iii) update the procedural and informational requirements for stockholder nominations and business proposals, and (iv) revise the provisions related to the conduct, adjournment and postponement of stockholder meetings. In addition to the amendments described above, the Amended and Restated Bylaws also incorporate other administrative, clarifying and conforming changes. The description of the Amended and Restated Bylaws does not purport to be complete and is qualified in its entirety by reference to the full text of the Amended and Restated Bylaws, filed herewith as Exhibit 3.1 to this Form 10-Q and is incorporated by reference herein.</w:t>
      </w:r>
    </w:p>
    <w:p>
      <w:pPr>
        <w:pStyle w:val="TextBody"/>
        <w:bidi w:val="0"/>
        <w:spacing w:lineRule="auto" w:line="288" w:before="120" w:after="283"/>
        <w:jc w:val="left"/>
        <w:rPr>
          <w:rFonts w:ascii="Times New Roman;serif" w:hAnsi="Times New Roman;serif"/>
          <w:b/>
          <w:color w:val="212529"/>
          <w:sz w:val="20"/>
        </w:rPr>
      </w:pPr>
      <w:r>
        <w:rPr>
          <w:rFonts w:ascii="Times New Roman;serif" w:hAnsi="Times New Roman;serif"/>
          <w:b/>
          <w:color w:val="212529"/>
          <w:sz w:val="20"/>
        </w:rPr>
        <w:t>Leadership Updates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combining the leadership of its intelligence and global defense businesses under Tom Pfeifer, who will continue as President of the National Security Sector and, as a result, effective November 2, 2026, Andrea Inserra will no longer serve as President of the Global Defense Sector.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on October 21, 2026, Gretchen McClain, a member of the Board of the Company informed the Board of her intention to retire as a member of the Board for health-related reasons, effective immediately. In connection with Ms. McClain’s retirement, effective as of October 21, 2026, the Board appointed Rory Read as Chair of the Compensation, Culture and People Committee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045"/>
        <w:gridCol w:w="2887"/>
        <w:gridCol w:w="2916"/>
        <w:gridCol w:w="109"/>
        <w:gridCol w:w="15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Stock Purchase Agreement, dated June 19, 2026, among (i) Booz Allen Hamilton Inc., (ii) Ultra I&amp;C Holdings Limited, (iii) Ultra Electronics Holdings Limited, and (iv) Ultra Electronics Advanced Tactical Systems, Inc. (Incorporated by reference to Exhibit 2.1 to the Company’s Current Report on Form 8-K filed on June 22, 2026 (File No. 001-34972))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bahbylawsoctobe.htm">
              <w:r>
                <w:rPr>
                  <w:rStyle w:val="InternetLink"/>
                  <w:rFonts w:ascii="Times New Roman;serif" w:hAnsi="Times New Roman;serif"/>
                  <w:b w:val="false"/>
                  <w:color w:val="0000FF"/>
                  <w:sz w:val="20"/>
                  <w:u w:val="single"/>
                </w:rPr>
                <w:t>Amended and Restated Bylaws of Booz Allen Hamilton Holding Corporation*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Supplemental Indenture (including the form of 5.375% Senior Notes due 2030 and the form of 5.900% Senior Notes due 2034), dated as of August 4, 2026, among Booz Allen Hamilton Inc., Booz Allen Hamilton Holding Corporation, as parent guarantor, and U.S. Bank Trust Company, National Association, as trustee. (Incorporated by reference to Exhibit 4.2 to the Company’s Current Report on Form 8-K filed on August 4, 2026 (File No. 001-34972))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List of Guarantors and Subsidiary Issuers of Guaranteed Securities (Incorporated by reference to Exhibit 22 to the Company’s Annual Report for the fiscal year ended March 31, 2025 on Form 10-K (File No. 001-34972))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fy27.htm">
              <w:r>
                <w:rPr>
                  <w:rStyle w:val="InternetLink"/>
                  <w:rFonts w:ascii="Times New Roman;serif" w:hAnsi="Times New Roman;serif"/>
                  <w:b w:val="false"/>
                  <w:color w:val="0000FF"/>
                  <w:sz w:val="20"/>
                  <w:u w:val="single"/>
                </w:rPr>
                <w:t>Rule 13a-14(a)/15d-14(a) Certification of the Chief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2fy27.htm">
              <w:r>
                <w:rPr>
                  <w:rStyle w:val="InternetLink"/>
                  <w:rFonts w:ascii="Times New Roman;serif" w:hAnsi="Times New Roman;serif"/>
                  <w:b w:val="false"/>
                  <w:color w:val="0000FF"/>
                  <w:sz w:val="20"/>
                  <w:u w:val="single"/>
                </w:rPr>
                <w:t>Rule 13a-14(a)/15d-14(a) Certification of the Chief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fy27.htm">
              <w:r>
                <w:rPr>
                  <w:rStyle w:val="InternetLink"/>
                  <w:rFonts w:ascii="Times New Roman;serif" w:hAnsi="Times New Roman;serif"/>
                  <w:b w:val="false"/>
                  <w:color w:val="0000FF"/>
                  <w:sz w:val="20"/>
                  <w:u w:val="single"/>
                </w:rPr>
                <w:t>Certification of the Chief Executive Officer required by Rule 13a-14(b) or Rule 15d-14(b) and Section 1350 of Chapter 63 of Title 18 of the United States Code (18 U.S.C.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2fy27.htm">
              <w:r>
                <w:rPr>
                  <w:rStyle w:val="InternetLink"/>
                  <w:rFonts w:ascii="Times New Roman;serif" w:hAnsi="Times New Roman;serif"/>
                  <w:b w:val="false"/>
                  <w:color w:val="0000FF"/>
                  <w:sz w:val="20"/>
                  <w:u w:val="single"/>
                </w:rPr>
                <w:t>Certification of the Chief Financial Officer required by Rule 13a-14(b) or Rule 15d-14(b) and Section 1350 of Chapter 63 of Title 18 of the United States Code (18 U.S.C.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Booz Allen Hamilton Holding Corporation’s Quarterly Report on Form 10-Q for the three and six months ended September 30, 2026 formatted in Inline XBRL (eXtensible Business Reporting Language): (i) Condensed Consolidated Balance Sheets at September 30, 2026 and March 31, 2026; (ii) Condensed Consolidated Statements of Operations for the three and six months ended September 30, 2026 and 2025; (iii) Condensed Consolidated Statements of Comprehensive Income for the three and six months ended September 30, 2026 and 2025; (iv) Condensed Consolidated Statements of Cash Flows for the six months ended September 30, 2026 and 2025; and (v) Notes to Condensed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16afd8429e44c8e9a1c3460aa674080_7">
        <w:r>
          <w:rPr>
            <w:rStyle w:val="InternetLink"/>
          </w:rPr>
          <w:t>Table of Contents</w:t>
        </w:r>
      </w:hyperlink>
      <w:hyperlink w:anchor="ic16afd8429e44c8e9a1c3460aa674080_7">
        <w:r>
          <w:rPr>
            <w:rStyle w:val="InternetLink"/>
          </w:rPr>
          <w:t>    </w:t>
        </w:r>
      </w:hyperlink>
      <w:r>
        <w:rPr>
          <w:color w:val="0000FF"/>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107"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374"/>
        <w:gridCol w:w="1374"/>
        <w:gridCol w:w="194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Booz Allen Hamilton Holding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Metzfield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Metzfield</w:t>
              <w:br/>
              <w:t>Vice President, Controller and Chief Accounting Officer</w:t>
              <w:br/>
              <w:t>(Principal Accounting Officer)</w:t>
            </w:r>
          </w:p>
        </w:tc>
      </w:tr>
    </w:tbl>
    <w:p>
      <w:pPr>
        <w:pStyle w:val="TextBody"/>
        <w:bidi w:val="0"/>
        <w:spacing w:before="0" w:after="0"/>
        <w:jc w:val="center"/>
        <w:rPr/>
      </w:pPr>
      <w:bookmarkStart w:id="2" w:name="exhibit31bahbylawsoctobe.htm"/>
      <w:bookmarkStart w:id="3" w:name="ksexhibit31bahbylawsoctobe"/>
      <w:bookmarkEnd w:id="2"/>
      <w:bookmarkEnd w:id="3"/>
      <w:r>
        <w:rPr/>
        <w:drawing>
          <wp:inline distT="0" distB="0" distL="0" distR="0">
            <wp:extent cx="10048875" cy="13001625"/>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jc w:val="center"/>
        <w:rPr>
          <w:color w:val="FFFFFF"/>
          <w:sz w:val="2"/>
        </w:rPr>
      </w:pPr>
      <w:r>
        <w:rPr>
          <w:color w:val="FFFFFF"/>
          <w:sz w:val="2"/>
        </w:rPr>
        <w:t xml:space="preserve">BOOZ ALLEN HAMILTON HOLDING CORPORATION AMENDED AND RESTATED BYLAWS As Adopted on October 21, 2026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MEETINGS OF STOCKHOLDERS ............................................................................... 1 Section 1.01 Annual Meetings ................................................................................................. 1 Section 1.02 Special Meetings ................................................................................................. 1 Section 1.03 Participation in Meetings by Remote Communication ....................................... 4 Section 1.04 Notice of Meetings; Waiver of Notice ................................................................ 4 Section 1.05 Proxies................................................................................................................. 5 Section 1.06 Voting Lists ......................................................................................................... 6 Section 1.07 Quorum ............................................................................................................... 6 Section 1.08 Voting ................................................................................................................. 6 Section 1.09 Adjournment; Postponement .............................................................................. 6 Section 1.10 Organization; Procedure; Inspection of Elections .............................................. 7 Section 1.11 Stockholder Action by Written Consent ............................................................. 8 Section 1.12 Notice of Stockholder Proposals and Nominations ............................................ 8 Article II BOARD OF DIRECTORS ........................................................................................... 15 Section 2.01 General Powers ................................................................................................. 15 Section 2.02 Number and Term of Office ............................................................................. 15 Section 2.03 Regular Meetings .............................................................................................. 16 Section 2.04 Special Meetings ............................................................................................... 16 Section 2.05 Notice of Meetings; Waiver of Notice .............................................................. 16 Section 2.06 Quorum; Voting ................................................................................................ 16 Section 2.07 Communications Equipment ............................................................................. 16 Section 2.08 Adjournment ..................................................................................................... 17 Section 2.09 Action Without a Meeting ................................................................................ 17 Section 2.10 Regulations ....................................................................................................... 17 Section 2.11 Resignations of Directors .................................................................................. 17 Section 2.12 Removal of Directors ........................................................................................ 17 Section 2.13 Vacancies and Newly Created Directorships .................................................... 17 Section 2.14 Director Fees and Expenses .............................................................................. 17 Section 2.15 Reliance on Accounts and Reports, etc............................................................. 18 Article III COMMITTEES ........................................................................................................... 18 Section 3.01 Designation of Committees............................................................................... 18 Section 3.02 Members and Alternate Members ..................................................................... 18 Section 3.03 Committee Procedures ...................................................................................... 18 Section 3.04 Meetings and Actions of Committees ............................................................... 19 Section 3.05 Resignations and Removals .............................................................................. 19 Section 3.06 Vacancies .......................................................................................................... 19 Article IV OFFICERS...................................................................................................................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4.01 Officers ............................................................................................................. 19 Section 4.02 Election ............................................................................................................. 20 Section 4.03 Compensation ................................................................................................... 20 Section 4.04 Removal and Resignation; Vacancies ............................................................... 20 Section 4.05 Authority and Duties of Officers ...................................................................... 20 Section 4.06 Chief Executive Officer .................................................................................... 20 Section 4.07 President ............................................................................................................ 21 Section 4.08 Vice Presidents.................................................................................................. 21 Section 4.09 Secretary ........................................................................................................... 21 Section 4.10 Treasurer ........................................................................................................... 22 Section 4.11 Assistant Secretaries and Treasurers ................................................................. 23 Article V CAPITAL STOCK........................................................................................................ 23 Section 5.01 Certificates of Stock; Uncertificated Shares ..................................................... 23 Section 5.02 Facsimile Signatures ......................................................................................... 23 Section 5.03 Lost, Stolen or Destroyed Certificates .............................................................. 23 Section 5.04 Transfer of Stock............................................................................................... 24 Section 5.05 Registered Stockholders.................................................................................... 24 Section 5.06 Transfer Agent and Registrar ............................................................................ 24 Article VI INDEMNIFICATION ................................................................................................. 24 Section 6.01 Indemnification ................................................................................................. 24 Section 6.02 Advance of Expenses ........................................................................................ 25 Section 6.03 Procedure for Indemnification .......................................................................... 25 Section 6.04 Burden of Proof................................................................................................. 26 Section 6.05 Contract Right; Non-Exclusivity; Survival ....................................................... 26 Section 6.06 Insurance ........................................................................................................... 26 Section 6.07 Employees and Agents ...................................................................................... 27 Section 6.08 Interpretation; Severability ............................................................................... 27 Article VII OFFICES .................................................................................................................... 27 Section 7.01 Registered Office .............................................................................................. 27 Section 7.02 Other Offices ..................................................................................................... 27 Article VIII GENERAL PROVISIONS ....................................................................................... 27 Section 8.01 Dividends .......................................................................................................... 27 Section 8.02 Reserves ............................................................................................................ 28 Section 8.03 Execution of Instruments .................................................................................. 28 Section 8.04 Voting as Stockholder ....................................................................................... 28 Section 8.05 Fiscal Year ........................................................................................................ 28 Section 8.06 Seal .................................................................................................................... 28 Section 8.07 Books and Records; Inspection ......................................................................... 28 Section 8.08 Electronic Transmission....................................................................................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Article IX AMENDMENT OF BYLAWS ................................................................................... 28 Section 9.01 Amendment .......................................................................................................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HOLDING CORPORATION AMENDED AND RESTATED BYLAWS As adopted on October 21, 2026 ARTICLE I MEETINGS OF STOCKHOLDERS Section 1.01 Annual Meetings. The annual meeting of the stockholders of the Booz Allen Hamilton Holding Corporation (the “Corporation”) for the election of directors (each, a “Director”) and for the transaction of such other business as properly may come before such meeting shall be held each year either within or without the State of Delaware at such place, if any, or by means of remote communication, and on such date and at such time, as may be fixed from time to time by resolution of the Corporation’s board of Directors (the “Board”) and set forth in the notice or waiver of notice of the meeting, unless, subject to Section 1.11 of these bylaws and the certificate of incorporation of the Corporation, the stockholders have acted by written consent to elect Directors as permitted by the General Corporation Law of the State of Delaware, as amended from time to time (the “DGCL”). Section 1.02 Special Meetings. (a) A special meeting of the stockholders for any purpose may be called at any time by or at the direction of the Board pursuant to a resolution of the Board adopted by a majority of the total number of Directors then in office. Any special meeting of the stockholders called pursuant to this Section 1.02(a) shall be held at such place, if any, within or without the State of Delaware, or by means of remote communication, and on such date and at such time, as shall be specified in such resolution. (b) A special meeting of the stockholders shall be called by or at the direction of the Board upon the written request to the Secretary of the Corporation (a “Special Meeting Request”) of one or more holders of common stock of the Corporation (“Common Stock”) owning not less than 25% (in the aggregate) of the outstanding shares of Common Stock (the “Requisite Ownership Percentage”) as of the date of such request and who have complied with the requirements set forth in Section 1.02(c) of these bylaws (such date, the “Special Meeting Request Date”). Business transacted at any special meeting of stockholders called pursuant to this Section 1.02(b) (a “Stockholder Requested Special Meeting”) shall be limited to (i) the purpose(s) stated in the valid Special Meeting Request and (ii) any additional matters that the Board determines to include in the Corporation’s notice of the special meeting. Any Stockholder Requested Special Meeting called pursuant to this Section 1.02(b) shall be held at such place, if any, within or without the State of Delaware, or by means of remote communication, and on such date and at such time, as the Board shall fix. For purposes of this Section 1.02(b), a stockholder shall be deemed to own only those shares of Common Stock as to which such person possesses both (1) the full voting and investment rights pertaining to such shares and (2) the full economic interest in such shares; provided that the number of shares calculated in accordance with the foregoing clauses (1) and (2) of this Section 1.02(b) shall not include any shares of Common Stock (x) sold by such stockholder or any of its affiliates (as defined in Rule 12b-2 under the Securities Exchange Act of 1934,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amended (the “Exchange Act”))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or other derivative or similar agreement entered into by such stockholder or any of its affiliates, whether any such instrument or agreement is to be settled with shares of Common Stock or with cash based on the notional amount or value of shares of Common Stock, in any case which instrument or agreement has, or is intended to have, or if exercised would have the purpose or effect of (A) reducing in any manner, to any extent or at any time in the future, such stockholder’s or affiliate’s full right to vote or direct the voting of any such shares or (B) hedging, offsetting or altering to any degree any gain or loss arising from the full economic ownership of such shares by such stockholder or affiliate. The determination as to whether a stockholder owns any shares of Common Stock for these purposes shall be made at the sole discretion of, and in good faith by, the Board, which determination shall be conclusive and binding on the Corporation and the stockholders. (c) A Special Meeting Request shall not be valid, and a Stockholder Requested Special Meeting shall not be held, unless the Special Meeting Request: (i) is signed and dated by one or more stockholders that own, in the aggregate, the Requisite Ownership Percentage; (ii) is accompanied by: 1. a brief description of each matter of business desired to be brought before the Stockholder Requested Special Meeting and the reasons for conducting such business at the Stockholder Requested Special Meeting; 2. the text of the proposal or business (including, without limitation, the text of any resolutions proposed for consideration, which shall not exceed 500 words, and in the event that such business includes a proposal to amend the certificate of incorporation and/or these bylaws, the language of the proposed amendment); 3. documentary evidence that such stockholder owns shares of Common Stock that represent no less than the Requisite Ownership Percentage as of the Special Meeting Request Date; 4. an agreement to (A) continue to own such number of shares of Common Stock representing no less than the Requisite Ownership Percentage through the date of the Stockholder Requested Special Meeting (provided, that the Board shall have the discretion to cancel such Stockholder Requested Special Meeting if the requesting stockholders fail to collectively satisfy this ownership requirement at any time during the period beginning on the expiration of the Special Meeting Request Window and ending upon the conclusion of matters and business at the respective Stockholder Requested Special Meeting) and (B) promptly update and supplement the information provided in the Special Meeting Request to the extent necessary so that the information provided therein is true and correct as of the record date for the Stockholder Requested Special Meeting (such update and supplement to be delivered to the Secretary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principal place of business of the Corporation not later than five days after the record date for the Stockholder Requested Special Meeting) and as of the date that is no more than 10 days prior to the date of the Stockholder Requested Special Meeting (such update and supplement to be delivered to the Secretary of the Corporation at the principal place of business of the Corporation not later than five days prior to the date of such Stockholder Requested Special Meeting); and 5. if the purpose of the Stockholder Requested Special Meeting includes the election of one or more Directors, the information, statements, representations, agreements and other documents that would be required to be set forth in or included with a stockholder’s notice of a nomination pursuant to paragraphs (iii) and (iv) of Section 1.12(a) of these bylaws; (iii) does not relate to any item of business that (1) is the same as, or substantially similar (as determined in good faith by the Board) to, any item of business that stockholders of the Corporation voted on at a meeting of stockholders that occurred (x) within 120 days preceding the Special Meeting Request Date, if such item involves the election of Directors, or (y) within 12 months preceding the Special Meeting Request Date, for all other items (and, for purposes of this clause (iii), the election of Directors shall be deemed “similar” to any item of business involving the election of Directors, the removal of Directors or the size of the Board) or (2) is not a proper subject for stockholder action under applicable law (as determined in good faith by the Board); and (iv) is received by the Secretary of the Corporation more than 90 days before the earlier of (1) the date of the Corporation’s next annual meeting of stockholders, to the extent such date has been publicly announced by the Corporation prior to the Special Meeting Request Date, and (2) the first anniversary of the preceding year’s annual meeting of stockholders. One or more written requests for a special meeting delivered to the Secretary of the Corporation shall constitute a valid Special Meeting Request only if each such written request (x) satisfies the requirements of this Section 1.02(c), (y) is materially consistent in all respects with each other written request, including, without limitation, by identifying substantially the same purpose or purposes of the Stockholder Requested Special Meeting and (z) has been dated and delivered to the Secretary of the Corporation at the principal place of business of the Corporation within 60 days of the earliest dated of such requests (the “Special Meeting Request Window”). The Board shall determine, in its sole discretion and in good faith, the validity of any Special Meeting Request, and its determination shall be conclusive and binding on the Corporation and the stockholders. Any written request that the Board determines in good faith does not satisfy the foregoing requirements shall be disregarded and shall not be counted in determining whether the Requisite Ownership Percentage has been satisfied. (d) A stockholder’s Special Meeting Request shall be deemed revoked with respect to (i) all shares of Common Stock owned by such stockholder as of the date of the Special Meeting Request if such stockholder does not (1) appear at the Stockholder Requested Special Meeting to present the matters to be brought before the special meeting as specified in the Special Meeting Request or (2) promptly update and supplement the information provided in the Special Meeting Request in accordance with Section 1.02(c)(ii)(4)(B), and (ii) the shares of Common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Stock comprising any reduction in the number of shares of Common Stock owned by such stockholder at any time prior to the conclusion of matters and business at the respective Stockholder Requested Special Meeting as compared to the number of shares of Common Stock owned by such stockholder as of the Special Meeting Request Date. (e) Any stockholder who submitted a Special Meeting Request may revoke his, her or its Special Meeting Request at any time by written revocation delivered to the Secretary of the Corporation at the principal place of business of the Corporation. If, following a revocation (whether by specific written revocation or deemed revocation pursuant to Section 1.02(d)) and the expiration of the Special Meeting Request Window, the unrevoked portion of a valid Special Meeting Request represents ownership of less than the Requisite Ownership Percentage, then such stockholder or stockholders, as applicable, shall be deemed to have withdrawn such Special Meeting Request in its entirety and the Board shall have the discretion to determine whether or not to proceed with the Stockholder Requested Special Meeting and there shall be no requirement for the Board to call, or for the Corporation to hold, a Stockholder Requested Special Meeting, regardless of whether notice of such special meeting has been sent, a record date has been fixed or proxies have been solicited for such special meeting. Section 1.03 Participation in Meetings by Remote Communication.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 Section 1.04 Notice of Meetings; Waiver of Notice. (a) The Secretary or any Assistant Secretary shall cause notice of each meeting of stockholders to be given in a manner permitted by the DGCL not less than 10 days nor more than 60 days prior to the meeting to each stockholder of record entitled to vote at such meeting, subject to such exclusions as are then permitted by the DGCL. The notice shall specify (i) the place, if any, date and time of such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stockholders entitled to notice of the meeting), (iv) in the case of a special meeting, the purpose or purposes for which such meeting is called and (v) such other information as may be required by law or as may be deemed appropriate by the Board, the President, the Chief Executive Officer or the Secretary of the Corporation. If the stockholder list referred to in Section 1.06 of these bylaws is made accessible on an electronic network, the notice of meeting must indicate how the stockholder list can be accessed. If notice of a meeting is transmitted electronically, the notice shall be deemed given when directed to the stockholder’s electronic mail address as supplied by the stockholder to the Secretary of the Corporation or as otherwise directed pursuant to the stockholder’s authorization or instructions. A determination of stockholders of record entitled to notice of or to vote at a meeting of stockholders shall apply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adjournment or recess of the meeting; provided, however, that the Board may fix a new record date for determination of stockholders entitled to vote at the adjourned or recessed meeting, and in such case shall also fix as the record date for stockholders entitled to notice of such adjourned or recessed meeting the same date as that fixed for determination of stockholders entitled to vote in accordance herewith at the adjourned or recessed meeting. (b) 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 Section 1.05 Proxies. (a) Each stockholder entitled to vote at a meeting of stockholders or to express consent to or dissent from corporate action in writing without a meeting may authorize another person or persons to act for such stockholder by proxy. (b) A stockholder may authorize a valid proxy by executing a written instrument signed by such stockholder, or by causing his or her signature to be affixed to such writing by any reasonable means, including, without limitation,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 (c) No proxy may be voted or acted upon after the expiration of three years from the date of such proxy, unless such proxy provides for a longer period. Every proxy is revocable at the pleasure of the stockholder providing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 (d) Any stockholder or beneficial owner, if any, or any Stockholder Associated Person (as defined in Section 1.12), other than a stockholder acting on behalf of the Board, directly or indirectly soliciting proxies from other stockholders must use a proxy card color other than white, which shall be reserved for the exclusive use by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1.06 Voting Lists. The officer of the Corporation who has charge of the stock ledger of the Corporation shall prepare, at least 10 days before every meeting of the stockholders (and before any adjournment or postponement thereof for which a new record date has been set), a complete list of the stockholders of record entitled to vote at the meeting, arranged in alphabetical order and showing the address of each stockholder and the number of shares registered in the name of each stockholder. This list, which may be in any format including, without limitation, electronic format, shall be open to the examination of any stockholder prior to the meeting for any purpose germane to the meeting in the manner required by the DGCL and other applicable law, for a period of at least 10 days ending on the day before the meeting date. The stock ledger shall be the only evidence as to who are the stockholders entitled by this section to examine the list required by this section or entitled to vote in person or by proxy at any meeting of stockholders. Section 1.07 Quorum. Except as otherwise provided in the certificate of incorporation or by law, the presence in person or by proxy of the holders of record of a majority of the shares entitled to vote at a meeting of stockholders shall constitute a quorum for the transaction of business at such meeting, provided, however,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In the absence of a quorum, the stockholders so present may, by a majority in voting power thereof, adjourn the meeting from time to time in the manner provided in Section 1.09 of these bylaws until a quorum shall attend. Section 1.08 Voting.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meeting,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or its stockholders, the vote of a majority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 Section 1.09 Adjournment; Postponement. Any meeting of stockholders may be adjourned, for any reason, or without reason, from time to time (including, without limitation, to address a technical failure to convene or continue a meeting using remote communication), if a quorum is (1) present, solely by the Board or the chairperson of the meeting or (2) not present, solely by the Board, chairperson of the meeting, or by a vote of a majority of the shares of stock present in person or represented by proxy at the meeting, to reconvene at the same or some other place. The Board may postpone or reschedule any previously scheduled meeting of the stockholders. Notice need not be given of any such adjourned or postponed meeting if the place, if any, and date and time thereof (and the means of remote communication, if any, by which stockholders and proxy holders may be deemed to be present in person and vote at such meeting) are (i) announced at the meeting at which the adjournment or postponement is taken, (ii) displayed,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during the time scheduled for the meeting, on the same electronic network, if any, used to enable stockholders and proxy holders to participate in the meeting by means of remote communication or (iii) set forth in the notice of meeting given in accordance with Section 1.04 of these bylaws, unless the adjournment or postponement is for more than 30 days or a new record date is fixed for the adjourned or postponed meeting after the adjournment or postponement, in which case notice of the adjourned or postponed meeting in accordance with Section 1.04 of these bylaws shall be given to each stockholder of record entitled to vote at the meeting. At the adjourned or postponed meeting, the Corporation may transact any business that might have been transacted at the original meeting. Section 1.10 Organization; Procedure; Inspection of Elections. (a) At every meeting of stockholders the presiding officer shall be the Chairman of the Board, or in the event of his or her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prescribe rules, regulations and procedures for such meeting and to take all such actions as in the judgment of the presiding officer are appropriate for the proper conduct of such meetings.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(v) restrictions on the use of any audio or video recording devices at the meeting; and (vi)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(b) Preceding any meeting of the stockholders, the Board may, and when required by law shall, appoint one or more persons to act as inspectors of elections,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None of the following persons shall be appointed as an inspector of elections: (i) any stockholder making a nomination or proposal at the meeting pursuant to Section 1.12 of these bylaws; (ii) any affiliate (as defined in Rule 12b-2 under the Exchange Act) of such stockholder;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(iii) any Director; or (iv) any nominee for the office of Director.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 Section 1.11 Stockholder Action by Written Consent. Except as otherwise provided in the certificate of incorporation, any action required or permitted to be taken at any annual or special meeting of stockholders of the Corporation shall be taken only upon the vote of the stockholders at an annual or special meeting duly called and shall not be taken by written consent of the stockholders. Section 1.12 Notice of Stockholder Proposals and Nominations. (a) Annual Meetings. (i) Nominations of persons for election to the Board and proposals of business to be considered by the stockholders at an annual meeting of stockholders shall be made only (x) as specified in the Corporation’s notice of meeting (or any notice supplemental thereto), (y) by or at the direction of the Board, or a committee appointed by the Board for such purpose, or (z) by any stockholder of the Corporation who or which (1) is entitled to vote at the meeting, (2) complies in a timely manner with all notice procedures set forth in this Section 1.12, and (3) is a stockholder of record when the required notice is delivered and through the date of the meeting. A stockholder proposal must constitute a proper matter for corporate action under the DGCL. (ii) Notice in writing of a stockholder nomination or stockholder proposal must be delivered to the Secretary at the principal place of business of the Corporation by the close of business not fewer than 90 days nor more than 120 days prior to the first anniversary of the preceding year’s annual meeting of stockholders; provided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close of business on the 10th day following the day on which public announcement of the date of such meeting is first made. The number of nominees a stockholder of record may nominate for election at the annual meeting (or in the case of one or more stockholder(s) of record giving the notice on behalf of a beneficial owner, may collectively nominate for election at the annual meeting on behalf of such beneficial owner) shall not exceed the number of Directors to be elected at such annual meeting. (iii) Notice of a stockholder nomination shall include, as to each person whom the stockholder of record proposes to nominate for election or re-election as a Director, (i) all information relating to such person required to be disclosed in solicitations of proxies in a contest for election of Directors or is otherwise required, in each case pursuant to and in accordance with Section 14(a) of the Exchange Act, and the rules and regulations promulgated thereunder (including, without limitation, Rules 14a-9 and 14a-19), (ii) a written representation and agreement, signed by such person, pursuant to which such person shall represent and agree that such person consents to being named in the proxy statement and accompanying proxy card as a nominee, and currently intends to serve as a Director for the full term for which such person is standing for election, (iii)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written representation that such person will, consent to a customary background check, and will comply with all applicable policies of the Corporation, (iv) a written representation that such person has obtained all required third-party consents to serve on the Board if elected, including, without limitation, from any other public company board of directors on which such person serves, if applicable, (v) a description of any material pending or threatened legal proceeding in which such person is a party or material participant involving the Corporation or any of its officers or directors, or any affiliate of the Corporation, (vi) a description of any interest in the securities of the Corporation held by a general or limited partnership or similar entity in which such person is a general partner or beneficially owns an interest in a general partner of such partnership or is the manager, managing member or beneficially owns an interest in the manager or managing member of a similar entity, (vii) a description of any material relationship or any direct or indirect compensatory, payment or other financial agreement, arrangement or understanding, whether written or oral, by and between all persons whom the stockholder of record proposes to nominate for election or re-election as a Director, (viii) a questionnaire completed and signed by such person (which questionnaire shall be provided by the Secretary of the Corporation upon written request of any stockholder of record within 10 days of such request) with respect to the background, experience, qualification, security ownership and independence of such proposed nominee, the background of any other person or entity on whose behalf the nomination is being made and any other information requested by the Corporation relating to laws, rules and regulations applicable to the Corporation, (ix) a description of any officer or director positions held at any competitors of the Corporation within the last three years, and (x) a written representation and agreement (in the form provided by the Secretary of the Corporation upon written request of any stockholder of record within 10 days of such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in such person’s individual capacity, would be in compliance, if elected as a director of the Corporation, and will comply with all applicable publicly disclosed corporate governance, conflict of interest, confidentiality and stock ownership and trading policies and guidelines of the Corporation and (D) acknowledges that a material breach of any of the foregoing will constitute grounds for the Corporation not to accept such person’s nomination. Notice of a stockholder proposal shall include a brief description of the business desired to be brought before the meeting, the text of the proposal (including, without limitation, the text of any resolutions, which shall not exceed 500 words, proposed for consideration and if such business includes proposed amendments to the certificate of incorporation and/or these bylaws of the Corporation, the text of the proposed amendments), the reasons for conducting such business at the meeting and any material interest in such business of such stockholder of record and the beneficial owner and any of their affiliates or associates (each as defined in Rule 12b-2 under the Exchange Act), or other person acting in concert therewith, if any, on whose behalf the proposal is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(iv) Notice of a stockholder nomination or proposal shall also set forth, as to the stockholder of record giving the notice and the beneficial owner, if any, on whose behalf the nomination or proposal is made (including, without limitation, any person or entity that would be considered to be a member of a “group” (as such term is used in Rule 13d-5 of the Exchange Act) with the stockholder of record or beneficial owner on whose behalf the nomination or proposal is made): 1. the name and address of such stockholder of record, as they appear on the Corporation’s books and records, and of such beneficial owner; 2. the class or series and number of shares of capital stock of the Corporation which are owned beneficially and of record by such stockholder of record and such beneficial owner; 3. a description of any material relationship or any agreement, arrangement or understanding, whether written or oral, (x) entered into in connection with the proposal of such nomination or other business or (y) pursuant to which any financial assistance, funding or other consideration is received with respect to the investment by such stockholder of record or beneficial owner in the Corporation, in each case, between or among such stockholder of record, any such beneficial owner, any of their respective affiliates or associates, any person or entity controlling, directly or indirectly, or acting in concert, solely with respect to the nomination or proposal of the Corporation, with such stockholder of record (each of the foregoing, a “Stockholder Associated Person”), and any other person or persons (including their names), including, without limitation, all items that would be required to be disclosed pursuant to Item 404 under Regulation S-K if such stockholder of record giving the notice, such beneficial owner or such Stockholder Associated Person were a “registrant” for purposes of such rule and the proposed nominee were a director or executive officer of such registrant; 4. a description of any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of record and/or such beneficial owner, or any other agreement, arrangement or understanding that has been made, the effect or intent of which is to create or mitigate loss to, manage risk or benefit of share price changes for, or increase or decrease the voting power of, such stockholder of record or any such beneficial owner or any such nominee with respect to the Corporation’s securities (a “Derivative Instrument”); 5. to the extent not disclosed pursuant to clause (4) above, the principal amount of any indebtedness of the Corporation or any of its subsidiaries beneficially owned by such stockholder of record or by any such beneficial owner, together with the title of the instrument under which such indebtedness was issued and a description of any Derivative Instrument entered into by or on behalf of such stockholder of record or such beneficial owner relating to the value or payment of any indebtedness of the Corporation or any such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6. a statement indicating whether any Stockholder Associated Person will make any other nomination or proposal at the annual meeting; 7. a description of any interest in the Corporation’s securities held by a general or limited partnership or similar entity in which the nominee is a general partner or beneficially owns an interest in a general partner of such partnership or is the manager, managing member or beneficially owns an interest in the manager or managing member of a similar entity; 8. all other information relating to such stockholder, such beneficial owner, if any, and such Stockholder Associated Person, if any, required to be disclosed in a proxy statement or other filing required to be made in connection with solicitations of proxies for, as applicable, the proposal and/or for the election of directors in an election contest pursuant to and in accordance with Section 14(a) of the Exchange Act; provided, that, for purposes of these bylaws, each such beneficial owner and Stockholder Associated Person shall be deemed a “participant” in such solicitations; 9. all other information relating to such stockholder and such beneficial owner, if any, and such Stockholder Associated Person, if any (including, without limitation, information with respect to any person or entity who would be deemed a member of a “group” (as defined under Rule 13d-5(b) under the Exchange Act) with such stockholder and such beneficial owner, if any) that would be required to be disclosed in a Schedule 13D filed pursuant to Rule 13d-1(a) under the Exchange Act or an amendment pursuant to Rule 13d-2(a) under the Exchange Act as if such a Schedule 13D were required to be filed under the Exchange Act by such stockholder or such beneficial owner; 10. a representation that the stockholder is a holder of record of stock of the Corporation entitled to vote at such meeting and intends to appear in person or by proxy at the meeting to propose such business or nomination; 11. a representation as to whether the stockholder of record, the beneficial owner, or any Stockholder Associated Person, if any, intends or is part of a group which intends (x) to deliver a proxy statement and/or form of proxy to holders of at least the percentage of the Corporation’s outstanding capital stock required to elect the nominee or to approve or adopt the proposal, (y) otherwise to solicit proxies from stockholders in support of such nomination or proposal and (z) to solicit proxies in support of any proposed nominee in accordance with Rule 14a-19 promulgated under the Exchange Act; and 12. to the extent known by the stockholder of record, the names and addresses of any other stockholders (including, without limitation, beneficial owners) of the Corporation known to be providing financial support or meaningful assistance in furtherance of such nomination or proposal. A stockholder of record providing notice of any nomination proposed to be made at a meeting shall notify the Corporation promptly, and in any event within two business days, after it becomes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aware of any change in the information provided or required to be provided in such notice pursuant to this Section 1.12(a); it being understood that providing any such update or supplement shall not be deemed to cure any defect in the stockholder’s notice, extend any applicable deadlines under these bylaws, permit the inclusion of any new nominees or substitute nominees who were not named in the original stockholder notice, or otherwise limit the Corporation’s right to exclude any business proposal or nominee from the meeting on account of such defect. All information provided in the stockholder’s notice must be true and correct in all material respects (or does not omit a material fact necessary to make the statements made not misleading) as of (x) the date of its initial submission to the Corporation, (y) the record date for stockholders entitled to vote at the meeting, and (z) the date that is 10 business days prior to the meeting or any adjournment or postponement (and any such information delivered in connection with (z) must be delivered to the Secretary of the Corporation at the principal place of business of the Corporation not later than eight business days prior to the meeting or any adjournment or postponement thereof), and any supplements to such initial stockholder’s notice shall be true, complete and correct as of the dates provided in the preceding sentence, and any update or supplement shall be made only to the extent that such information has changed since the stockholder’s prior submission of his or her notice. The foregoing notice requirements of this Section 1.12(a) shall be deemed satisfied by a stockholder with respect to business other than a nomination if the stockholder has notified the Corporation of his or her intention to present a proposal at an annual meeting in compliance with the applicable rules and regulations promulgated under the Exchange Act and such stockholder’s proposal has been included in a proxy statement that has been prepared by the Corporation to solicit proxies for such annual meeting. (b) Special Meetings. (i) 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may be made only (x) as specified in the Corporation’s notice of meeting (or any supplement thereto), (y) by or at the direction of the Board, or a committee appointed by the Board for such purpose, if the Corporation’s notice of meeting indicated that the purposes of meeting included the election of Directors and specified the number of Directors to be elected, or (z) subject to the provisions of these bylaws, by any stockholder of the Corporation. A stockholder may nominate persons for election to the Board (a “Stockholder Nomination”) at a special meeting only if the stockholder (1) has submitted a Special Meeting Request pursuant to Section 1.02(c) of these bylaws or (2) in the case of all other special meetings of stockholders, (A) is entitled to vote at the meeting, (B) complies in a timely manner with the notice procedures set forth in paragraph (ii) of this Section 1.12(b), and (C) is a stockholder of record when the required notice is delivered and through the date of the meeting. (ii) Notice in writing of a Stockholder Nomination must be delivered (i) in the case of a Stockholder Requested Special Meeting, in accordance with Section 1.02(c) of these bylaws or (ii) in the case of all other special meetings of stockholders, to the attention of the Secretary at the principal place of business of the Corporation not more than 120 days prior to the date of the meeting and not later than the close of business on the later of the 90th day prior to the meeting or the 10th day following the last to occur of the public announcement by the Corporation of the date of such meeting and the public announcement by the Corporation of the nominees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proposed by the Board to be elected at such meeting, and must comply with the provisions of Sections 1.12(a)(iii) and (iv) of these bylaws. Other than in the case of a Stockholder Requested Special Meeting, the foregoing notice requirements of this Section 1.12(b) shall be deemed satisfied by a stockholder with respect to a proposal other than a nomination if the stockholder has notified the Corporation of his or her intention to present a proposal other than a nomination at such special meeting in compliance with the applicable rules and regulations promulgated under the Exchange Act and such stockholder’s proposal has been included in a proxy statement that has been prepared by the Corporation to solicit proxies for such special meeting. (c) General. (i) Except as otherwise expressly provided in any applicable rule or regulation promulgated under the Exchange Act or these bylaws,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(and, in advance of any meeting of stockholders, the Board) shall have the power and duty (x) to make all necessary determinations relating to nominations of persons for election to the Board and the proposal of other business to be considered by the stockholders, including, without limitation,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 notwithstanding that proxies in respect of such vote may have been received by the Corporation. (ii) The Corporation may require any proposed stockholder nominee for Director to furnish, including, without limitation, by way of interview, within 10 days of a request therefor, such other information as it may reasonably require, including, without limitation, to determine the independence of such proposed nominee or the eligibility of such proposed nominee to serve as a Director. If the stockholder of record (or a qualified representative of such stockholder) making a nomination or proposal under this Section 1.12 or Section 1.02 of these bylaws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of record,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these bylaws, unless otherwise required by law, if any stockholder of record provides notice pursuant to Rule 14a-19(b) promulgated under the Exchange Act with respect to a proposed nominee and subsequently fails to comply with the requirements of Rule 14a-19(a)(2) or Rule 14a-19(a)(3) promulgated under the Exchange Act (or fails to timely provide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evidence sufficient to satisfy the Corporation that such stockholder has met the requirements of Rule 14a-19(a)(3) promulgated under the Exchange Act in accordance with this Section 1.12), then such stockholder’s nomination of each such proposed nominee shall be disregarded, notwithstanding that proxies or votes in respect of the election of such proposed nominees of such stockholder may have been received by the Corporation. A stockholder of record, beneficial owner, or Stockholder Associated Person must notify the Corporation if it no longer intends to solicit proxies in accordance with the representations it has made to the Corporation regarding proxy solicitation and compliance with Rule 14a-19 or otherwise fails to timely satisfy the requirements of Rule 14a-19. A stockholder may not present a nomination (and any nominee shall be disqualified from standing for election or re-election) if such stockholder of record, the beneficial owner on whose behalf such stockholder gave notice, or any Stockholder Associated Person or nominee breaches a representation required by these bylaws or fails to comply with the requirements set forth in this Section 1.12 or applicable law or provides incomplete, false or misleading information to the Corporation. If a stockholder or beneficial owner, if any, or any Stockholder Associated Person intends to solicit proxies in support of any director nominee other than the Corporation’s nominees, such person shall, in addition to the requirements of this Section 1.12, (a) deliver to the Corporation, no later than the earlier of the time provided in this Section 1.12 or the time provided in Rule 14a-19 of the Exchange Act, the notice and other information required in Rule 14a-19 of the Exchange Act and (b) shall deliver to the Corporation, no later than five business days prior to the applicable meeting, reasonable evidence that it has met the requirements of Rule 14a-19(a)(3) promulgated under the Exchange Act. (iii) For purposes of this Section 1.12,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(iv) 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or Section 1.02 of these bylaws, and compliance with paragraphs (a) and (b) of this Section 1.12 or Section 1.02 of these bylaws (if applicable) shall be the exclusive means for a stockholder to make nominations or submit other business (other than, as provided in the last sentences of paragraphs (a) and (b) hereof, business or nominations brought properly under and in compliance with Rule 14a-8 of the Exchange Act, as may be amended from time to time). Nothing in this Section 1.12 or in Section 1.02 of these bylaws shall be deemed to affect any rights of (x) stockholders to request inclusion of proposals other than nominations in the Corporation’s proxy statement pursuant to the mandatory provisions of the Exchange Act and the rules and regulations thereunder or (y) the holders of any series of preferred stock to elect Directors pursuant to any applicable provisions of the certificate of incorporation or of the relevant preferred stock certificate or designation. (v) In no event shall any adjournment, recess, postponement, rescheduling or deferral of an annual or special meeting commence a new time period (and does not extend any time period) for the giving of notice of a Stockholder Nomination or a stockholder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proposal, and in no event shall a stockholder be entitled to make additional or substitute nominations or proposals following the expiration of the time periods set forth in this Section 1.12. ARTICLE II BOARD OF DIRECTORS Section 2.01 General Powers.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 Section 2.02 Number and Term of Office. Subject to the provisions of the certificate of incorporation, and any rights of the holders of shares of any class or series of preferred stock, if any, to elect additional Directors, at each meeting of stockholders for the election of Directors, provided a quorum is present, each Director who is standing for election shall be elected by the vote of the majority of the votes cast with respect to that Director’s election; provided, however, that the Directors shall be elected by the vote of a plurality of votes cast in connection with the election of Directors at any meeting of stockholders with respect to which (i) a stockholder has nominated a person for election to the Board in compliance with the requirements for stockholder nominees for director set forth in Section 1.12 of these bylaws, and (ii) such nomination has not been withdrawn by such stockholder prior to the 10th day preceding the date the Corporation first mails its notice of meeting for such meeting to the stockholders (a “Contested Election”). For purposes of this Section, “a majority of the votes cast” means that the number of shares voted “for” a nominee’s election exceeds the number of shares voted “against” such nominee’s election (with “abstentions” and “broker nonvotes” not counted as a vote cast either “for” or “against” that Director’s election). Any nominee who is an incumbent Director and does not receive a majority of the votes cast in an election that is not a Contested Election must promptly tender his or her resignation contingent on the acceptance of that resignation by the Board to the Chairman of the Board following certification of the election results. In the event that such a resignation is tendered, the Nominating and Corporate Governance Committee, or another duly authorized committee designated by the Board, shall recommend to the Board whether to accept or reject the tendered resignation or whether other action should be taken. The Board shall act on the resignation, considering the Nominating and Corporate Governance Committee’s recommendation no later than at its first regularly scheduled meeting following certification of the election results and shall publicly disclose the Board’s decision (including, if applicable, the reasons for rejecting the tendered resignation) in a periodic or current report filed with the Securities and Exchange Commission. If one or more Directors’ resignations are accepted by the Board, or if a nominee for director who is not an incumbent Director is not elected, the Board may fill the resulting vacancy or vacancies pursuant to Section 2.13 of these bylaws or reduce the size of the Board pursuant to Section 2.02 of these bylaws. Any Director who tenders his or her resignation pursuant to this provision will not participate in the Nominating and Corporate Governance Committee’s recommendation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Board’s decision regarding the tendered resignation. If a majority of the members of the Nominating and Corporate Governance Committee failed to receive a majority vote at the same election, then the Board will appoint a Board committee solely for the purpose of considering the tendered resignations, consisting of one or more of the Directors who were not required to tender a resignation pursuant to this provision, and will recommend to the Board whether to accept or reject them. Section 2.03 Regular Meetings. Regular meetings of the Board shall be held on such dates, and at such times and places as are determined from time to time by resolution of the Board. Section 2.04 Special Meetings. Special meetings of the Board shall be held whenever called by the Chairman or the Chief Executive Officer or, in the event of his or her absence or disability, by the President or by a majority of the Directors then in office, at such place, date and time as may be specified in the respective notices or waivers of notice of such meetings. Any business may be conducted at a special meeting. Section 2.05 Notice of Meetings; Waiver of Notice. (a) Notices of special meetings of the Board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by telephone, by mail or by electronic transmission, directed to each Director at the address from time to time designated by such Director to the Secretary. Each such notice and confirmation must be given (received in the case of personal service or delivery of written or electronic notice) at least 24 hours prior to the time of a meeting; provided, however, that if the Chairman or the Chief Executive Officer determines it to be necessary or appropriate, such special meeting may be called upon shorter notice. (b) A written waiver of notice of meeting of the Board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 Section 2.06 Quorum; Voting. At all meetings of the Board, the presence of a majority of the total authorized number of Directors shall constitute a quorum for the transaction of business. Except as otherwise provided by law, the certificate of incorporation or these bylaws, the vote of a majority of the Directors present at any meeting at which a quorum is present shall be the act of the Board. Section 2.07 Communications Equipment.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Section 2.08 Adjournment. When any meeting is convened, the presiding officer of the meeting or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 Section 2.09 Action Without a Meeting.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 Section 2.10 Regulations.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 Section 2.11 Resignations of Directors.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 Section 2.12 Removal of Directors. Directors may only be removed as set forth in the certificate of incorporation. Section 2.13 Vacancies and Newly Created Directorships. Subject to the rights of the holders of shares of any class or series of preferred stock, if any, to elect additional Directors pursuant to the certificate of incorporation (including, without limitation, any certificate of designation thereunder),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 Director elected to fill a vacancy or a newly created directorship shall hold office until the next succeeding annual meeting of stockholders and until his or her successor has been elected and qualified or until his or her death, disability, resignation, disqualification or removal. Section 2.14 Director Fees and Expenses. The amount, if any, which each Director shall be entitled to receive as compensation for his or her services shall be fixed from time to time by the Board. The Corporation will cause each non-employee Director serving on the Board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reimbursed for all reasonable out-of-pocket costs and expenses incurred by him or her in connection with such service. Section 2.15 Reliance on Accounts and Reports, etc.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 ARTICLE III COMMITTEES Section 3.01 Designation of Committees. The Board shall designate such committees as may be required by applicable laws, regulations or stock exchange rules, and may designate such additional committees as it deems necessary or appropriate. Each committee shall consist of such number of Directors,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 and no committee may delegate any of its power or authority to a subcommittee unless so authorized by the Board. Section 3.02 Members and Alternate Members. The members of each committee and any alternate members shall be selected by the Board. The Board may provide that the members and alternate members serve at the pleasure of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or until his or her earlier death, resignation or removal. Section 3.03 Committee Procedures.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 Section 3.04 Meetings and Actions of Committees. Except to the extent that the same may be inconsistent with the terms of any committee charter required by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 (a) Section 2.03 (to the extent relating to place and time of regular meetings); (b) Section 2.04 (relating to special meetings); (c) Section 2.05 (relating to notice and waiver of notice); (d) Sections 2.07 and 2.09 (relating to telephonic communication and action without a meeting); and (e) Section 2.08 (relating to adjournment and notice of adjournment). Special meetings of committees may also be called by resolution of the Board. Section 3.05 Resignations and Removals. Any member (and any alternate member) of any committee may resign from such position at any time by submitting an electronic transmission or by delivering a written notice of resignation, signed by such member, to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 Section 3.06 Vacancies. If a vacancy occurs in any committee for any reason, the remaining members (and any alternate members) may continue to act if a quorum is present. A committee vacancy may be filled only by the Board. ARTICLE IV OFFICERS Section 4.01 Officers. The Board shall elect a Chief Executive Officer and a Secretary as officers of the Corporation. The Board may also elect a President, a Treasurer, one or more Vice Presidents (any one or more of whom may be designated an Executive Vice President or Senior Vice President),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not hold both the office of President and the office of Secretary. No officer need be a Director of the Corporation.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 Section 4.02 Election.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4.06) shall hold their offices for such terms as may be determined from time to time by the appointing officer. Each officer shall hold office until his or her successor has been elected or appointed and qualified, or until his or her earlier death, resignation or removal. In its discretion, the Board may choose not to fill any office for any period of time as it may deem advisable, and a failure to elect officers shall not dissolve or otherwise affect the Corporation. Section 4.03 Compensation. The salaries and other compensation of all officers and agents of the Corporation shall be fixed by the Board or in the manner established by the Board. Section 4.04 Removal and Resignation; Vacancies. Any officer may be removed for or without cause at any time by the Board, a duly authorized committee thereof or by such officers as may be designated by a resolution of the Board. Any officer granted the power to appoint subordinate officers and agents as provided in Section 4.01 may remove any subordinate officer or agent appointed by such officer, at any time, for or without cause. Any officer or agent may resign at any time by delivering notice of resignation, either in writing signed by such officer or by electronic transmission, to the Chairman, the Chief Executive Officer or Secretary. Unless otherwise specified therein, such resignation shall take effect upon delivery. Any vacancy occurring in any office of the Corporation by death, resignation, removal or otherwise, may be filled by the Board or by the officer, if any, who appointed the person formerly holding such office. Section 4.05 Authority and Duties of Officers.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 Section 4.06 Chief Executive Officer. The Chief Executive Officer shall, unless otherwise provided by the Board,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under the DGCL unless otherwise specified by the Board. He or she shall have the authority to sign, in the name and on behalf of the Corporation, checks, orders, contracts, leases, notes, drafts and all other documents and instruments in connection with the business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Corporation, except if required or permitted by law to be otherwise signed and except if the signing thereof shall be expressly delegated by the Board to some other officer or agent of the Corporation. Except as otherwise determined by the Board, he or she shall have the authority to cause the employment or appointment of such employees (other than the Chief Executive Officer) or agents of the Corporation as the conduct of the business of the Corporation may require, to fix their compensation, and to remove or suspend such employee or any agent employed or appointed by any officer or to suspend any agent appointed by the Board. The Chief Executive Officer shall have the duties and powers of the Treasurer if neither a Treasurer nor the Chief Financial Officer is serving and shall have such other duties and powers as the Board may from time to time prescribe. Section 4.07 President. Unless otherwise determined by the Board, if a President has been elected, the President shall perform such duties and exercise such powers as may be assigned to him or her from time to time by the Board or the Chief Executive Officer. In the event of absence or disability of the Chief Executive Officer, the duties of the Chief Executive shall be performed, and his or her powers may be exercised, by the President. Section 4.08 Vice Presidents. Unless otherwise determined by the Board, if one or more Vice Presidents have been elected, each Vice President shall perform such duties and exercise such powers as may be assigned to him or her from time to time by the Board, the Chief Executive Officer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election to that office. Section 4.09 Secretary. Unless otherwise determined by the Board, the Secretary shall have the following powers and duties: (a) The Secretary shall keep or cause to be kept a record of all the proceedings of the meetings of the stockholders, the Board and any committees thereof in books provided for that purpose. (b) The Secretary shall cause all notices to be duly given in accordance with the provisions of these bylaws and as required by law. (c) Whenever any committee shall be appointed pursuant to a resolution of the Board, the Secretary shall furnish a copy of such resolution to the members of such committee. (d) The Secretary shall be the custodian of the records and of the seal of the Corporation and cause such seal (or a facsimile thereof) to be affixed to all certificates representing shares of the Corporation prior to the issuance thereof and to all documents and instruments that the Board or any officer of the Corporation has determined should be executed under seal, may sign (together with any other authorized officer) any such document or instrument, and when the seal is so affixed he or she may attest the same. (e) The Secretary shall properly maintain and file all books, reports, statements, certificates and all other documents and records required by law, the certificate of incorporation or these bylaws.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 The Secretary shall have charge of the stock books and ledgers of the Corporation and shall cause the stock and transfer books to be kept in such manner as to show at any time the number of shares of stock of the Corporation of each class issued and outstanding, the names (alphabetically arranged) and the addresses of the holders of record of such shares, the number of shares held by each holder and the date as of which each such holder became a holder of record. (g) The Secretary shall sign (unless the Treasurer, an Assistant Treasurer or an Assistant Secretary shall have signed) certificates representing shares of the Corporation the issuance of which shall have been authorized by the Board. (h) The Secretary shall perform, in general, all duties incident to the office of secretary and such other duties as may be specified in these bylaws or as may be assigned to the Secretary from time to time by the Board, the Chief Executive Officer or the President. (i) The Secretary may delegate any of the duties, power and authorities of the Secretary to one or more Assistant Secretaries, unless the Board disapproves the delegation. Section 4.10 Treasurer. The Chief Financial Officer shall be the Treasurer of the Corporation unless the Board shall have designated another officer as the Treasurer. Unless otherwise determined by the Board, the Treasurer, if there be one, shall have the following powers and duties: (a) The Treasurer shall have charge and supervision over and be responsible for the moneys, securities, receipts and disbursements of the Corporation, and shall keep or cause to be kept full and accurate records thereof. (b) The Treasurer shall cause the moneys and other valuable effects of the Corporation to be deposited in the name and to the credit of the Corporation in such banks or trust companies or with such bankers or other depositaries as shall be determined by the Board or the Chief Executive Officer, or by such other officers of the Corporation as may be authorized by the Board or the Chief Executive Officer to make such determinations. (c) The Treasurer shall cause the moneys of the Corporation to be disbursed by checks or drafts (signed by such officer or officers or such agent or agents of the Corporation, and in such manner, as the Board or the Chief Executive Officer may determine from time to time) upon the authorized depositaries of the Corporation and cause to be taken and preserved proper vouchers for all moneys disbursed. (d) The Treasurer shall render to the Board or the Chief Executive Officer, whenever requested, a statement of the financial condition of the Corporation and of the transactions of the Corporation, and render a full financial report at the annual meeting of the stockholders, if called upon to do so. (e) The Treasurer shall be empowered from time to time to require from all officers or agents of the Corporation reports or statements giving such information as he or she may desire with respect to any and all financial transactions of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(f) The Treasurer may sign (unless an Assistant Treasurer or the Secretary or an Assistant Secretary shall have signed) certificates representing shares of stock of the Corporation the issuance of which shall have been authorized by the Board. (g) The Treasurer shall perform, in general, all duties incident to the office of treasurer and such other duties as may be specified in these bylaws or as may be assigned to the Treasurer from time to time by the Board or the Chief Executive Officer. Section 4.11 Assistant Secretaries and Treasurers. The Assistant Secretaries, in order of their seniority, shall perform the duties and exercise the powers and authorities of the Secretary in case of the Secretary’s absence or disability. The Assistant Treasurers, in the order of their seniority, shall perform the duties and exercise the powers and authorities of the Treasurer in case of the Treasurer’s absence or disability. The Assistant Secretaries and Assistant Treasurers shall also perform the duties that may be delegated to them by the Secretary and Treasurer, respectively, and also the duties that the Board, the Chief Executive Officer or the President may prescribe. ARTICLE V CAPITAL STOCK Section 5.01 Certificates of Stock; Uncertificated Shares.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Chief Executive Officer,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 Section 5.02 Facsimile Signatures.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Section 5.03 Lost, Stolen or Destroyed Certificates.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Section 5.04 Transfer of Stock. (a)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 (b) The Corporation may enter into additional agreements with shareholders to restrict the transfer of stock of the Corporation in any manner not prohibited by the DGCL. Section 5.05 Registered Stockholders. Prior to due surrender of a certificate for registration of transfer, the Corporation may treat the registered owner as the person exclusively entitled to receive dividends and other distributions, to vote, to receive notice, participate in meetings and otherwise to exercise all the rights and powers of the owner of the shares represented by such certificate, and the Corporation shall not be bound to recognize any equitable, beneficial or legal claim to or interest in such shares on the part of any other person, whether or not the Corporation shall have notice of such claim or interests.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 Section 5.06 Transfer Agent and Registrar. The Board may appoint one or more transfer agents and one or more registrars, and may require all certificates representing shares to bear the signature of any such transfer agents or registrars. ARTICLE VI INDEMNIFICATION Section 6.01 Indemnification. (a) In General. The Corporation shall indemnify, to the full extent permitted by the DGCL and other applicable law, any person who was or is a party or is threatened to be made a party to any threatened, pending or completed action, suit or proceeding, whether civil, criminal, administrative or investigative (each, a “proceeding”)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or other enterprise or (z) such person is or was serving or has agreed to serve at the request of the Corporation as a Director, officer or manager of another corporation, partnership, joint venture, trust or other enterprise, or by reason of any action alleged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to have been taken or omitted by such person in such capacity, and who satisfies the applicable standard of conduct set forth in the DGCL or other applicable law: (i) in a proceeding other than a proceeding by or in the right of the Corporation, against expenses (including, without limitation, attorneys’ fees), judgments, fines and amounts paid in settlement actually and reasonably incurred by such person or on such person’s behalf in connection with such proceeding and any appeal therefrom, or (ii) in a proceeding by or in the right of the Corporation to procure a judgment in its favor, against expenses (including, without limitation, attorneys’ fees) actually and reasonably incurred by such person or on such person’s behalf in connection with the defense or settlement of such proceeding and any appeal therefrom. (b) Indemnification in Respect of Successful Defense. To the extent that a present or former Director or officer of the Corporation has been successful on the merits or otherwise in defense of any proceeding referred to in Section 6.01(a) or in defense of any claim, issue or matter therein, such person shall be indemnified by the Corporation against expenses (including, without limitation, attorneys’ fees) actually and reasonably incurred by such person in connection therewith. (c) Indemnification in Respect of Proceedings Instituted by Indemnitee. Section 6.01(a) does not require the Corporation to indemnify a present or former Director or officer of the Corporation in respect of a proceeding (or part thereof) instituted by such person on his or her own behalf, unless such proceeding (or part thereof) has been authorized by the Board or the indemnification requested is pursuant to the last sentence of Section 6.03 of these bylaws. Section 6.02 Advance of Expenses. The Corporation shall advance all expenses (including, without limitation,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 Section 6.03 Procedure for Indemnification. Any indemnification under Section 6.01 of these bylaws or any advance of expenses under Section 6.02 of these bylaws shall be made only against a written request therefor (together with supporting documentation) submitted by or on behalf of the person seeking indemnification or advance.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90 days of, or to the extent all or any portion of a requested advance of expenses has not been granted within 20 days of, the submission of such request. All expenses (including,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limitation, reasonable attorneys’ fees) incurred by such person in connection with successfully establishing such person’s right to indemnification or advancement of expenses under this Article, in whole or in part, shall also be indemnified by the Corporation. Section 6.04 Burden of Proof. (a) In any proceeding brought to enforce the right of a person to receive indemnification to which such person is entitled under Section 6.01 of these bylaws, the Corporation has the burden of demonstrating that the standard of conduct applicable under the DGCL or other applicable law was not met. A prior determination by the Corporation (including, without limitation, its Board or any committee thereof, its independent legal counsel, or its stockholders) that the claimant has not met such applicable standard of conduct does not itself constitute evidence that the claimant has not met the applicable standard of conduct. (b) In any proceeding brought to enforce a claim for advances to which a person is entitled under Section 6.02 of these bylaws, the person seeking an advance need only show that he or she has satisfied the requirements expressly set forth in Section 6.02 of these bylaws. Section 6.05 Contract Right; Non-Exclusivity; Survival. (a) The rights to indemnification and advancement of expenses provided by this Article VI shall be deemed to be separate contract rights between the Corporation and each Director and officer who serves in any such capacity at any time while these 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 (b) The rights to indemnification and advancement of expenses provided by this Article VI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 (c) The rights to indemnification and advancement of expenses provided by this Article VI to any present or former Director or officer of the Corporation shall inure to the benefit of the heirs, executors and administrators of such person. Section 6.06 Insurance.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1"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Section 6.07 Employees and Agents. The Board, or any officer authorized by the Board to make indemnification decisions, may cause the Corporation to indemnify any present or former employee or agent of the Corporation in such manner and for such liabilities as the Board may determine, up to the fullest extent permitted by the DGCL and other applicable law. Section 6.08 Interpretation; Severability. Terms defined in Sections 145(h) or (i) of the DGCL have the meanings set forth in such sections when used in this Article VI. If this Article or any portion hereof shall be invalidated on any ground by any court of competent jurisdiction, then the Corporation shall nevertheless indemnify each Director or officer of the Corporation as to costs, charges and expenses (including, without limitation, attorneys’ fees), judgments, fines and amounts paid in settlement with respect to any action, suit or proceeding, whether civil, criminal, administrative or investigative, including, without limitation, an action by or in the right of the Corporation, to the fullest extent permitted by any applicable portion of this Article that shall not have been invalidated and to the fullest extent permitted by applicable law. ARTICLE VII OFFICES Section 7.01 Registered Office. The registered office of the Corporation in the State of Delaware shall be located at the location provided in the Corporation’s certificate of incorporation. Section 7.02 Other Offices. The Corporation may maintain offices or places of business at such other locations within or without the State of Delaware as the Board may from time to time determine or as the business of the Corporation may require. ARTICLE VIII GENERAL PROVISIONS Section 8.01 Dividends. (a) 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 (b) 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Section 8.02 Reserves.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 Section 8.03 Execution of Instruments.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 Section 8.04 Voting as Stockholder. Unless otherwise determined by resolution of the Board, the Chief Executive Officer,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 Section 8.05 Fiscal Year. The fiscal year of the Corporation shall commence on the first day of April of each year (except for the Corporation’s first fiscal year which shall commence on the date of incorporation) and shall terminate in each case on March 31. Section 8.06 Seal.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 Section 8.07 Books and Records; Inspection. Except to the extent otherwise required by law, the books and records of the Corporation shall be kept at such place or places within or without the State of Delaware as may be determined from time to time by the Board. Section 8.08 Electronic Transmission. “Electronic transmission”,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ARTICLE IX AMENDMENT OF BYLAWS Section 9.01 Amendment. Subject to the provisions of the certificate of incorporation, these bylaws may be amended, altered or repealed (a) by resolution adopted by a majority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Board at any special or regular meeting of the Board if, in the case of such special meeting only, notice of such amendment, alteration or repeal is contained in the notice or waiver of notice of such meeting or (b) at any regular or special meeting of the stockholders upon the affirmative vote of at least a majority of the outstanding shares of voting stock of the Corporation entitled to vote at such meeting if, in the case of such special meeting only, notice of such amendment, alteration or repeal is contained in the notice or waiver of notice of such meeting. Notwithstanding the foregoing, no amendment, alteration or repeal of Article VI shall adversely affect any right or protection existing under bylaws immediately prior to such amendment, alteration or repeal, including, without limitation, any right or protection of a Director thereunder in respect of any act or omission occurring prior to the time of such amendment.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Horacio D. Rozanski,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Booz Allen Hamilton Holding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88"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724"/>
        <w:gridCol w:w="724"/>
        <w:gridCol w:w="102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Horacio D. Rozanski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Horacio D. Rozanski</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Troy Lahr,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Booz Allen Hamilton Holding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916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976"/>
        <w:gridCol w:w="1976"/>
        <w:gridCol w:w="279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report on Form 10-Q of Booz Allen Hamilton Holding Corporation (the “Company”) for the fiscal quarter ended September 30, 2026, as filed with the Securities and Exchange Commission on the date hereof (the “Report”), the undersigned Chief Executive Officer of the Company certifies, to the best of his knowledge and belief pursuant to 18 U.S.C. Section 1350, as adopted pursuant to Section 906 of the Sarbanes-Oxley Act of 2002,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88"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724"/>
        <w:gridCol w:w="724"/>
        <w:gridCol w:w="102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Horacio D. Rozanski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Horacio D. Rozanski</w:t>
              <w:br/>
              <w:t>Chief Executive Officer</w:t>
              <w:br/>
              <w:t>(Principal Executive Officer)</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report on Form 10-Q of Booz Allen Hamilton Holding Corporation (the “Company”) for the fiscal quarter ended September 30, 2026,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916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976"/>
        <w:gridCol w:w="1976"/>
        <w:gridCol w:w="279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br/>
              <w:t>Executive Vice President and Chief Financial Officer (Principal Financial Officer)</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3646/000110465926076094/tm2618424d1_ex2-1.htm" TargetMode="External"/><Relationship Id="rId3" Type="http://schemas.openxmlformats.org/officeDocument/2006/relationships/hyperlink" Target="https://www.sec.gov/Archives/edgar/data/1443646/000110465926090450/tm2621893d1_ex4-2.htm" TargetMode="External"/><Relationship Id="rId4" Type="http://schemas.openxmlformats.org/officeDocument/2006/relationships/hyperlink" Target="https://www.sec.gov/Archives/edgar/data/1443646/000144364625000076/bah-ex22xq4fy25.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32482</Words>
  <Characters>178912</Characters>
  <CharactersWithSpaces>210408</CharactersWithSpaces>
  <Paragraphs>2318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exhibit31bahbylawsoctobe</dc:title>
</cp:coreProperties>
</file>