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312420</wp:posOffset>
            </wp:positionH>
            <wp:positionV relativeFrom="page">
              <wp:posOffset>533400</wp:posOffset>
            </wp:positionV>
            <wp:extent cx="693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page">
              <wp:posOffset>312420</wp:posOffset>
            </wp:positionH>
            <wp:positionV relativeFrom="page">
              <wp:posOffset>558165</wp:posOffset>
            </wp:positionV>
            <wp:extent cx="693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166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5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3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ectPr>
          <w:pgSz w:w="11900" w:h="16838" w:orient="portrait"/>
          <w:cols w:equalWidth="0" w:num="1">
            <w:col w:w="11240"/>
          </w:cols>
          <w:pgMar w:left="320" w:top="948" w:right="339" w:bottom="1440" w:gutter="0" w:footer="0" w:header="0"/>
        </w:sectPr>
      </w:pPr>
    </w:p>
    <w:p>
      <w:pPr>
        <w:spacing w:after="0" w:line="200" w:lineRule="exact"/>
        <w:rPr>
          <w:sz w:val="24"/>
          <w:szCs w:val="24"/>
          <w:color w:val="auto"/>
        </w:rPr>
      </w:pPr>
    </w:p>
    <w:p>
      <w:pPr>
        <w:spacing w:after="0" w:line="239"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right="260"/>
        <w:spacing w:after="0" w:line="239" w:lineRule="auto"/>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6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2025</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w:t>
      </w:r>
    </w:p>
    <w:p>
      <w:pPr>
        <w:spacing w:after="0" w:line="5" w:lineRule="exact"/>
        <w:rPr>
          <w:sz w:val="24"/>
          <w:szCs w:val="24"/>
          <w:color w:val="auto"/>
        </w:rPr>
      </w:pPr>
    </w:p>
    <w:p>
      <w:pPr>
        <w:sectPr>
          <w:pgSz w:w="11900" w:h="16838" w:orient="portrait"/>
          <w:cols w:equalWidth="0" w:num="2">
            <w:col w:w="180" w:space="680"/>
            <w:col w:w="10380"/>
          </w:cols>
          <w:pgMar w:left="320" w:top="948" w:right="339" w:bottom="1440" w:gutter="0" w:footer="0" w:header="0"/>
          <w:type w:val="continuous"/>
        </w:sectPr>
      </w:pPr>
    </w:p>
    <w:p>
      <w:pPr>
        <w:ind w:left="860" w:hanging="839"/>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1934</w:t>
      </w:r>
    </w:p>
    <w:p>
      <w:pPr>
        <w:spacing w:after="0" w:line="66" w:lineRule="exact"/>
        <w:rPr>
          <w:sz w:val="24"/>
          <w:szCs w:val="24"/>
          <w:color w:val="auto"/>
        </w:rPr>
      </w:pPr>
    </w:p>
    <w:p>
      <w:pPr>
        <w:jc w:val="right"/>
        <w:ind w:right="4420"/>
        <w:spacing w:after="0"/>
        <w:tabs>
          <w:tab w:leader="none" w:pos="4560" w:val="left"/>
        </w:tabs>
        <w:rPr>
          <w:sz w:val="20"/>
          <w:szCs w:val="20"/>
          <w:color w:val="auto"/>
        </w:rPr>
      </w:pPr>
      <w:r>
        <w:rPr>
          <w:rFonts w:ascii="Times New Roman" w:cs="Times New Roman" w:eastAsia="Times New Roman" w:hAnsi="Times New Roman"/>
          <w:sz w:val="17"/>
          <w:szCs w:val="17"/>
          <w:b w:val="1"/>
          <w:bCs w:val="1"/>
          <w:color w:val="auto"/>
        </w:rPr>
        <w:t>For the transition period from</w:t>
        <w:tab/>
        <w:t>to</w:t>
      </w:r>
    </w:p>
    <w:p>
      <w:pPr>
        <w:spacing w:after="0" w:line="33" w:lineRule="exact"/>
        <w:rPr>
          <w:sz w:val="24"/>
          <w:szCs w:val="24"/>
          <w:color w:val="auto"/>
        </w:rPr>
      </w:pPr>
    </w:p>
    <w:p>
      <w:pPr>
        <w:jc w:val="right"/>
        <w:ind w:right="4460"/>
        <w:spacing w:after="0"/>
        <w:rPr>
          <w:sz w:val="20"/>
          <w:szCs w:val="20"/>
          <w:color w:val="auto"/>
        </w:rPr>
      </w:pPr>
      <w:r>
        <w:rPr>
          <w:rFonts w:ascii="Times New Roman" w:cs="Times New Roman" w:eastAsia="Times New Roman" w:hAnsi="Times New Roman"/>
          <w:sz w:val="17"/>
          <w:szCs w:val="17"/>
          <w:b w:val="1"/>
          <w:bCs w:val="1"/>
          <w:color w:val="auto"/>
        </w:rPr>
        <w:t>Commission File No. 001-34972</w:t>
      </w:r>
    </w:p>
    <w:p>
      <w:pPr>
        <w:spacing w:after="0" w:line="1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Booz Allen Hamilton Holding Corporation</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w:t>
      </w:r>
    </w:p>
    <w:p>
      <w:pPr>
        <w:spacing w:after="0" w:line="113"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3200" w:type="dxa"/>
            <w:vAlign w:val="bottom"/>
            <w:gridSpan w:val="3"/>
          </w:tcPr>
          <w:p>
            <w:pPr>
              <w:jc w:val="center"/>
              <w:ind w:left="382"/>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26-2634160</w:t>
            </w:r>
          </w:p>
        </w:tc>
        <w:tc>
          <w:tcPr>
            <w:tcW w:w="80" w:type="dxa"/>
            <w:vAlign w:val="bottom"/>
          </w:tcPr>
          <w:p>
            <w:pPr>
              <w:spacing w:after="0"/>
              <w:rPr>
                <w:sz w:val="18"/>
                <w:szCs w:val="18"/>
                <w:color w:val="auto"/>
              </w:rPr>
            </w:pPr>
          </w:p>
        </w:tc>
      </w:tr>
      <w:tr>
        <w:trPr>
          <w:trHeight w:val="143"/>
        </w:trPr>
        <w:tc>
          <w:tcPr>
            <w:tcW w:w="3200" w:type="dxa"/>
            <w:vAlign w:val="bottom"/>
            <w:gridSpan w:val="3"/>
          </w:tcPr>
          <w:p>
            <w:pPr>
              <w:jc w:val="center"/>
              <w:ind w:left="402"/>
              <w:spacing w:after="0" w:line="143" w:lineRule="exact"/>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1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0" w:type="dxa"/>
            <w:vAlign w:val="bottom"/>
            <w:gridSpan w:val="2"/>
          </w:tcPr>
          <w:p>
            <w:pPr>
              <w:jc w:val="center"/>
              <w:ind w:left="1643"/>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3200" w:type="dxa"/>
            <w:vAlign w:val="bottom"/>
            <w:gridSpan w:val="3"/>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0" w:type="dxa"/>
            <w:vAlign w:val="bottom"/>
            <w:gridSpan w:val="2"/>
          </w:tcPr>
          <w:p>
            <w:pPr>
              <w:jc w:val="center"/>
              <w:ind w:left="16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71"/>
        </w:trPr>
        <w:tc>
          <w:tcPr>
            <w:tcW w:w="1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8283 Greensboro Drive,</w:t>
            </w: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McLean,</w:t>
            </w:r>
          </w:p>
        </w:tc>
        <w:tc>
          <w:tcPr>
            <w:tcW w:w="3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Virginia</w:t>
            </w:r>
          </w:p>
        </w:tc>
        <w:tc>
          <w:tcPr>
            <w:tcW w:w="2720" w:type="dxa"/>
            <w:vAlign w:val="bottom"/>
          </w:tcPr>
          <w:p>
            <w:pPr>
              <w:jc w:val="right"/>
              <w:ind w:right="163"/>
              <w:spacing w:after="0"/>
              <w:rPr>
                <w:sz w:val="20"/>
                <w:szCs w:val="20"/>
                <w:color w:val="auto"/>
              </w:rPr>
            </w:pPr>
            <w:r>
              <w:rPr>
                <w:rFonts w:ascii="Times New Roman" w:cs="Times New Roman" w:eastAsia="Times New Roman" w:hAnsi="Times New Roman"/>
                <w:sz w:val="17"/>
                <w:szCs w:val="17"/>
                <w:b w:val="1"/>
                <w:bCs w:val="1"/>
                <w:color w:val="auto"/>
              </w:rPr>
              <w:t>22102</w:t>
            </w:r>
          </w:p>
        </w:tc>
        <w:tc>
          <w:tcPr>
            <w:tcW w:w="80" w:type="dxa"/>
            <w:vAlign w:val="bottom"/>
          </w:tcPr>
          <w:p>
            <w:pPr>
              <w:spacing w:after="0"/>
              <w:rPr>
                <w:sz w:val="23"/>
                <w:szCs w:val="23"/>
                <w:color w:val="auto"/>
              </w:rPr>
            </w:pPr>
          </w:p>
        </w:tc>
      </w:tr>
      <w:tr>
        <w:trPr>
          <w:trHeight w:val="183"/>
        </w:trPr>
        <w:tc>
          <w:tcPr>
            <w:tcW w:w="3200" w:type="dxa"/>
            <w:vAlign w:val="bottom"/>
            <w:gridSpan w:val="3"/>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0" w:type="dxa"/>
            <w:vAlign w:val="bottom"/>
            <w:gridSpan w:val="2"/>
          </w:tcPr>
          <w:p>
            <w:pPr>
              <w:jc w:val="center"/>
              <w:ind w:left="1643"/>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297"/>
        </w:trPr>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20" w:type="dxa"/>
            <w:vAlign w:val="bottom"/>
            <w:gridSpan w:val="3"/>
          </w:tcPr>
          <w:p>
            <w:pPr>
              <w:jc w:val="center"/>
              <w:ind w:left="546"/>
              <w:spacing w:after="0"/>
              <w:rPr>
                <w:sz w:val="20"/>
                <w:szCs w:val="20"/>
                <w:color w:val="auto"/>
              </w:rPr>
            </w:pPr>
            <w:r>
              <w:rPr>
                <w:rFonts w:ascii="Times New Roman" w:cs="Times New Roman" w:eastAsia="Times New Roman" w:hAnsi="Times New Roman"/>
                <w:sz w:val="17"/>
                <w:szCs w:val="17"/>
                <w:b w:val="1"/>
                <w:bCs w:val="1"/>
                <w:color w:val="auto"/>
              </w:rPr>
              <w:t>(703) 902-5000</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20" w:type="dxa"/>
            <w:vAlign w:val="bottom"/>
            <w:gridSpan w:val="5"/>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r>
      <w:tr>
        <w:trPr>
          <w:trHeight w:val="179"/>
        </w:trPr>
        <w:tc>
          <w:tcPr>
            <w:tcW w:w="1800" w:type="dxa"/>
            <w:vAlign w:val="bottom"/>
          </w:tcPr>
          <w:p>
            <w:pPr>
              <w:spacing w:after="0"/>
              <w:rPr>
                <w:sz w:val="15"/>
                <w:szCs w:val="15"/>
                <w:color w:val="auto"/>
              </w:rPr>
            </w:pPr>
          </w:p>
        </w:tc>
        <w:tc>
          <w:tcPr>
            <w:tcW w:w="7820" w:type="dxa"/>
            <w:vAlign w:val="bottom"/>
            <w:gridSpan w:val="7"/>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8"/>
              </w:rPr>
              <w:t>(Former name, former address, and former fiscal year if changed since last report.)</w:t>
            </w:r>
          </w:p>
        </w:tc>
      </w:tr>
      <w:tr>
        <w:trPr>
          <w:trHeight w:val="134"/>
        </w:trPr>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20" w:type="dxa"/>
            <w:vAlign w:val="bottom"/>
            <w:gridSpan w:val="3"/>
          </w:tcPr>
          <w:p>
            <w:pPr>
              <w:jc w:val="center"/>
              <w:ind w:left="546"/>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w:t>
            </w: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36"/>
        </w:trPr>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20" w:type="dxa"/>
            <w:vAlign w:val="bottom"/>
            <w:gridSpan w:val="5"/>
          </w:tcPr>
          <w:p>
            <w:pPr>
              <w:jc w:val="center"/>
              <w:ind w:right="2180"/>
              <w:spacing w:after="0"/>
              <w:rPr>
                <w:sz w:val="20"/>
                <w:szCs w:val="20"/>
                <w:color w:val="auto"/>
              </w:rPr>
            </w:pPr>
            <w:r>
              <w:rPr>
                <w:rFonts w:ascii="Times New Roman" w:cs="Times New Roman" w:eastAsia="Times New Roman" w:hAnsi="Times New Roman"/>
                <w:sz w:val="16"/>
                <w:szCs w:val="16"/>
                <w:b w:val="1"/>
                <w:bCs w:val="1"/>
                <w:color w:val="auto"/>
                <w:w w:val="96"/>
              </w:rPr>
              <w:t>Securities registered pursuant to Section 12(b) of the Act:</w:t>
            </w:r>
          </w:p>
        </w:tc>
      </w:tr>
      <w:tr>
        <w:trPr>
          <w:trHeight w:val="226"/>
        </w:trPr>
        <w:tc>
          <w:tcPr>
            <w:tcW w:w="18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Title of Each Class</w:t>
            </w:r>
          </w:p>
        </w:tc>
        <w:tc>
          <w:tcPr>
            <w:tcW w:w="1540" w:type="dxa"/>
            <w:vAlign w:val="bottom"/>
          </w:tcPr>
          <w:p>
            <w:pPr>
              <w:spacing w:after="0"/>
              <w:rPr>
                <w:sz w:val="19"/>
                <w:szCs w:val="19"/>
                <w:color w:val="auto"/>
              </w:rPr>
            </w:pPr>
          </w:p>
        </w:tc>
        <w:tc>
          <w:tcPr>
            <w:tcW w:w="208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0"/>
        </w:trPr>
        <w:tc>
          <w:tcPr>
            <w:tcW w:w="18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2"/>
        </w:trPr>
        <w:tc>
          <w:tcPr>
            <w:tcW w:w="3200" w:type="dxa"/>
            <w:vAlign w:val="bottom"/>
            <w:gridSpan w:val="3"/>
          </w:tcPr>
          <w:p>
            <w:pPr>
              <w:jc w:val="center"/>
              <w:ind w:left="1422"/>
              <w:spacing w:after="0"/>
              <w:rPr>
                <w:sz w:val="20"/>
                <w:szCs w:val="20"/>
                <w:color w:val="auto"/>
              </w:rPr>
            </w:pPr>
            <w:r>
              <w:rPr>
                <w:rFonts w:ascii="Times New Roman" w:cs="Times New Roman" w:eastAsia="Times New Roman" w:hAnsi="Times New Roman"/>
                <w:sz w:val="17"/>
                <w:szCs w:val="17"/>
                <w:color w:val="auto"/>
              </w:rPr>
              <w:t>Class A Common Stock</w:t>
            </w:r>
          </w:p>
        </w:tc>
        <w:tc>
          <w:tcPr>
            <w:tcW w:w="1540" w:type="dxa"/>
            <w:vAlign w:val="bottom"/>
          </w:tcPr>
          <w:p>
            <w:pPr>
              <w:spacing w:after="0"/>
              <w:rPr>
                <w:sz w:val="21"/>
                <w:szCs w:val="21"/>
                <w:color w:val="auto"/>
              </w:rPr>
            </w:pPr>
          </w:p>
        </w:tc>
        <w:tc>
          <w:tcPr>
            <w:tcW w:w="208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BAH</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85" w:lineRule="exact"/>
        <w:rPr>
          <w:sz w:val="24"/>
          <w:szCs w:val="24"/>
          <w:color w:val="auto"/>
        </w:rPr>
      </w:pPr>
    </w:p>
    <w:p>
      <w:pPr>
        <w:jc w:val="both"/>
        <w:ind w:right="2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8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700"/>
        <w:spacing w:after="0" w:line="26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tbl>
      <w:tblPr>
        <w:tblLayout w:type="fixed"/>
        <w:tblInd w:w="20" w:type="dxa"/>
        <w:tblCellMar>
          <w:top w:w="0" w:type="dxa"/>
          <w:left w:w="0" w:type="dxa"/>
          <w:bottom w:w="0" w:type="dxa"/>
          <w:right w:w="0" w:type="dxa"/>
        </w:tblCellMar>
      </w:tblPr>
      <w:tr>
        <w:trPr>
          <w:trHeight w:val="350"/>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14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Accelerated Filer</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8"/>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14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0"/>
        </w:trPr>
        <w:tc>
          <w:tcPr>
            <w:tcW w:w="2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98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6" w:lineRule="exact"/>
        <w:rPr>
          <w:sz w:val="24"/>
          <w:szCs w:val="24"/>
          <w:color w:val="auto"/>
        </w:rPr>
      </w:pPr>
    </w:p>
    <w:p>
      <w:pPr>
        <w:ind w:right="420"/>
        <w:spacing w:after="0" w:line="22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2220"/>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the number of shares outstanding of each of the issuer’s classes of common stock, as of the latest practicable date.</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8700" w:type="dxa"/>
            <w:vAlign w:val="bottom"/>
          </w:tcPr>
          <w:p>
            <w:pPr>
              <w:spacing w:after="0"/>
              <w:rPr>
                <w:sz w:val="17"/>
                <w:szCs w:val="17"/>
                <w:color w:val="auto"/>
              </w:rPr>
            </w:pPr>
          </w:p>
        </w:tc>
        <w:tc>
          <w:tcPr>
            <w:tcW w:w="25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Shares Outstanding</w:t>
            </w:r>
          </w:p>
        </w:tc>
      </w:tr>
      <w:tr>
        <w:trPr>
          <w:trHeight w:val="228"/>
        </w:trPr>
        <w:tc>
          <w:tcPr>
            <w:tcW w:w="8700" w:type="dxa"/>
            <w:vAlign w:val="bottom"/>
          </w:tcPr>
          <w:p>
            <w:pPr>
              <w:spacing w:after="0"/>
              <w:rPr>
                <w:sz w:val="19"/>
                <w:szCs w:val="19"/>
                <w:color w:val="auto"/>
              </w:rPr>
            </w:pPr>
          </w:p>
        </w:tc>
        <w:tc>
          <w:tcPr>
            <w:tcW w:w="25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as of 10/20/2025</w:t>
            </w:r>
          </w:p>
        </w:tc>
      </w:tr>
      <w:tr>
        <w:trPr>
          <w:trHeight w:val="213"/>
        </w:trPr>
        <w:tc>
          <w:tcPr>
            <w:tcW w:w="8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121,301,203</w:t>
            </w:r>
          </w:p>
        </w:tc>
        <w:tc>
          <w:tcPr>
            <w:tcW w:w="360" w:type="dxa"/>
            <w:vAlign w:val="bottom"/>
          </w:tcPr>
          <w:p>
            <w:pPr>
              <w:spacing w:after="0"/>
              <w:rPr>
                <w:sz w:val="18"/>
                <w:szCs w:val="18"/>
                <w:color w:val="auto"/>
              </w:rPr>
            </w:pPr>
          </w:p>
        </w:tc>
      </w:tr>
      <w:tr>
        <w:trPr>
          <w:trHeight w:val="745"/>
        </w:trPr>
        <w:tc>
          <w:tcPr>
            <w:tcW w:w="87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0500" w:type="dxa"/>
            <w:vAlign w:val="bottom"/>
            <w:gridSpan w:val="16"/>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25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7980" w:type="dxa"/>
            <w:vAlign w:val="bottom"/>
            <w:gridSpan w:val="10"/>
            <w:vMerge w:val="restart"/>
          </w:tcPr>
          <w:p>
            <w:pPr>
              <w:spacing w:after="0"/>
              <w:rPr>
                <w:sz w:val="24"/>
                <w:szCs w:val="24"/>
                <w:color w:val="auto"/>
              </w:rPr>
            </w:pPr>
          </w:p>
        </w:tc>
        <w:tc>
          <w:tcPr>
            <w:tcW w:w="74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7980" w:type="dxa"/>
            <w:vAlign w:val="bottom"/>
            <w:gridSpan w:val="10"/>
            <w:vMerge w:val="continue"/>
          </w:tcPr>
          <w:p>
            <w:pPr>
              <w:spacing w:after="0"/>
              <w:rPr>
                <w:sz w:val="14"/>
                <w:szCs w:val="14"/>
                <w:color w:val="auto"/>
              </w:rPr>
            </w:pPr>
          </w:p>
        </w:tc>
        <w:tc>
          <w:tcPr>
            <w:tcW w:w="720" w:type="dxa"/>
            <w:vAlign w:val="bottom"/>
            <w:tcBorders>
              <w:top w:val="single" w:sz="8" w:color="auto"/>
            </w:tcBorders>
            <w:gridSpan w:val="4"/>
          </w:tcPr>
          <w:p>
            <w:pPr>
              <w:jc w:val="right"/>
              <w:ind w:right="20"/>
              <w:spacing w:after="0" w:line="149" w:lineRule="exact"/>
              <w:rPr>
                <w:sz w:val="20"/>
                <w:szCs w:val="20"/>
                <w:color w:val="auto"/>
              </w:rPr>
            </w:pPr>
            <w:r>
              <w:rPr>
                <w:rFonts w:ascii="Times New Roman" w:cs="Times New Roman" w:eastAsia="Times New Roman" w:hAnsi="Times New Roman"/>
                <w:sz w:val="17"/>
                <w:szCs w:val="17"/>
                <w:b w:val="1"/>
                <w:bCs w:val="1"/>
                <w:color w:val="0000FF"/>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gridSpan w:val="2"/>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Financial Statements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Management's Discussion and Analysis of Financial Condition and Results of Operations</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3</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Quantitative and Qualitative Disclosures About Market Risk</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4</w:t>
            </w:r>
          </w:p>
        </w:tc>
        <w:tc>
          <w:tcPr>
            <w:tcW w:w="184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0000FF"/>
              </w:rPr>
              <w:t>Controls and Procedures</w:t>
            </w:r>
          </w:p>
        </w:tc>
        <w:tc>
          <w:tcPr>
            <w:tcW w:w="708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48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Legal Proceedings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1A</w:t>
            </w:r>
          </w:p>
        </w:tc>
        <w:tc>
          <w:tcPr>
            <w:tcW w:w="9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0000FF"/>
                <w:w w:val="99"/>
              </w:rPr>
              <w:t>Risk Factors</w:t>
            </w:r>
          </w:p>
        </w:tc>
        <w:tc>
          <w:tcPr>
            <w:tcW w:w="400" w:type="dxa"/>
            <w:vAlign w:val="bottom"/>
          </w:tcPr>
          <w:p>
            <w:pPr>
              <w:spacing w:after="0"/>
              <w:rPr>
                <w:sz w:val="17"/>
                <w:szCs w:val="17"/>
                <w:color w:val="auto"/>
              </w:rPr>
            </w:pPr>
          </w:p>
        </w:tc>
        <w:tc>
          <w:tcPr>
            <w:tcW w:w="758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Unregistered Sales of Equity Securities and Use of Proceeds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3</w:t>
            </w:r>
          </w:p>
        </w:tc>
        <w:tc>
          <w:tcPr>
            <w:tcW w:w="4380" w:type="dxa"/>
            <w:vAlign w:val="bottom"/>
            <w:gridSpan w:val="11"/>
          </w:tcPr>
          <w:p>
            <w:pPr>
              <w:spacing w:after="0"/>
              <w:rPr>
                <w:sz w:val="20"/>
                <w:szCs w:val="20"/>
                <w:color w:val="auto"/>
              </w:rPr>
            </w:pPr>
            <w:r>
              <w:rPr>
                <w:rFonts w:ascii="Times New Roman" w:cs="Times New Roman" w:eastAsia="Times New Roman" w:hAnsi="Times New Roman"/>
                <w:sz w:val="17"/>
                <w:szCs w:val="17"/>
                <w:b w:val="1"/>
                <w:bCs w:val="1"/>
                <w:color w:val="0000FF"/>
              </w:rPr>
              <w:t>Defaults Upon Senior Securities</w:t>
            </w:r>
          </w:p>
        </w:tc>
        <w:tc>
          <w:tcPr>
            <w:tcW w:w="454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160" w:type="dxa"/>
            <w:vAlign w:val="bottom"/>
            <w:gridSpan w:val="6"/>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4</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Mine Safety Disclosures</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540" w:type="dxa"/>
            <w:vAlign w:val="bottom"/>
            <w:gridSpan w:val="8"/>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5</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Other Information</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13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0000FF"/>
              </w:rPr>
              <w:t>Exhibits</w:t>
            </w:r>
          </w:p>
        </w:tc>
        <w:tc>
          <w:tcPr>
            <w:tcW w:w="754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9"/>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910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525"/>
        </w:trPr>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6"/>
          </w:tcPr>
          <w:p>
            <w:pPr>
              <w:ind w:left="14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1"/>
        </w:trPr>
        <w:tc>
          <w:tcPr>
            <w:tcW w:w="9100" w:type="dxa"/>
            <w:vAlign w:val="bottom"/>
            <w:gridSpan w:val="24"/>
          </w:tcPr>
          <w:p>
            <w:pPr>
              <w:spacing w:after="0"/>
              <w:rPr>
                <w:sz w:val="20"/>
                <w:szCs w:val="20"/>
                <w:color w:val="auto"/>
              </w:rPr>
            </w:pPr>
            <w:r>
              <w:rPr>
                <w:rFonts w:ascii="Times New Roman" w:cs="Times New Roman" w:eastAsia="Times New Roman" w:hAnsi="Times New Roman"/>
                <w:sz w:val="17"/>
                <w:szCs w:val="17"/>
                <w:b w:val="1"/>
                <w:bCs w:val="1"/>
                <w:color w:val="auto"/>
              </w:rPr>
              <w:t>Item 1</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Financial Statements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gridSpan w:val="17"/>
          </w:tcPr>
          <w:p>
            <w:pPr>
              <w:ind w:left="80"/>
              <w:spacing w:after="0"/>
              <w:rPr>
                <w:sz w:val="20"/>
                <w:szCs w:val="20"/>
                <w:color w:val="auto"/>
              </w:rPr>
            </w:pPr>
            <w:r>
              <w:rPr>
                <w:rFonts w:ascii="Times New Roman" w:cs="Times New Roman" w:eastAsia="Times New Roman" w:hAnsi="Times New Roman"/>
                <w:sz w:val="17"/>
                <w:szCs w:val="17"/>
                <w:b w:val="1"/>
                <w:bCs w:val="1"/>
                <w:color w:val="auto"/>
              </w:rPr>
              <w:t>INDEX TO THE UNAUDITED CONDENSED CONSOLIDATED FINANCIAL STATEMENTS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6"/>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140" w:type="dxa"/>
            <w:vAlign w:val="bottom"/>
            <w:gridSpan w:val="6"/>
          </w:tcPr>
          <w:p>
            <w:pPr>
              <w:ind w:left="44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74"/>
        </w:trPr>
        <w:tc>
          <w:tcPr>
            <w:tcW w:w="20" w:type="dxa"/>
            <w:vAlign w:val="bottom"/>
          </w:tcPr>
          <w:p>
            <w:pPr>
              <w:spacing w:after="0"/>
              <w:rPr>
                <w:sz w:val="15"/>
                <w:szCs w:val="15"/>
                <w:color w:val="auto"/>
              </w:rPr>
            </w:pPr>
          </w:p>
        </w:tc>
        <w:tc>
          <w:tcPr>
            <w:tcW w:w="2980" w:type="dxa"/>
            <w:vAlign w:val="bottom"/>
            <w:tcBorders>
              <w:bottom w:val="single" w:sz="8" w:color="0000FF"/>
            </w:tcBorders>
            <w:gridSpan w:val="12"/>
          </w:tcPr>
          <w:p>
            <w:pPr>
              <w:spacing w:after="0" w:line="175" w:lineRule="exact"/>
              <w:rPr>
                <w:sz w:val="20"/>
                <w:szCs w:val="20"/>
                <w:color w:val="auto"/>
              </w:rPr>
            </w:pPr>
            <w:r>
              <w:rPr>
                <w:rFonts w:ascii="Times New Roman" w:cs="Times New Roman" w:eastAsia="Times New Roman" w:hAnsi="Times New Roman"/>
                <w:sz w:val="17"/>
                <w:szCs w:val="17"/>
                <w:b w:val="1"/>
                <w:bCs w:val="1"/>
                <w:color w:val="0000FF"/>
              </w:rPr>
              <w:t>Condensed Consolidated Balance Sheets</w:t>
            </w:r>
          </w:p>
        </w:tc>
        <w:tc>
          <w:tcPr>
            <w:tcW w:w="6100" w:type="dxa"/>
            <w:vAlign w:val="bottom"/>
            <w:gridSpan w:val="11"/>
          </w:tcPr>
          <w:p>
            <w:pPr>
              <w:spacing w:after="0"/>
              <w:rPr>
                <w:sz w:val="15"/>
                <w:szCs w:val="15"/>
                <w:color w:val="auto"/>
              </w:rPr>
            </w:pPr>
          </w:p>
        </w:tc>
        <w:tc>
          <w:tcPr>
            <w:tcW w:w="56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auto"/>
              <w:bottom w:val="single" w:sz="8" w:color="0000FF"/>
            </w:tcBorders>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0000FF"/>
              </w:rPr>
              <w:t>1</w:t>
            </w:r>
          </w:p>
        </w:tc>
        <w:tc>
          <w:tcPr>
            <w:tcW w:w="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2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37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Operations</w:t>
            </w:r>
          </w:p>
        </w:tc>
        <w:tc>
          <w:tcPr>
            <w:tcW w:w="5320" w:type="dxa"/>
            <w:vAlign w:val="bottom"/>
            <w:gridSpan w:val="7"/>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2</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8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Comprehensive Income</w:t>
            </w:r>
          </w:p>
        </w:tc>
        <w:tc>
          <w:tcPr>
            <w:tcW w:w="4200" w:type="dxa"/>
            <w:vAlign w:val="bottom"/>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3</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080" w:type="dxa"/>
            <w:vAlign w:val="bottom"/>
            <w:gridSpan w:val="23"/>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Cash Flows</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4</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Stockholders' Equity</w:t>
            </w:r>
          </w:p>
        </w:tc>
        <w:tc>
          <w:tcPr>
            <w:tcW w:w="4600" w:type="dxa"/>
            <w:vAlign w:val="bottom"/>
            <w:gridSpan w:val="4"/>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5</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080" w:type="dxa"/>
            <w:vAlign w:val="bottom"/>
            <w:gridSpan w:val="23"/>
          </w:tcPr>
          <w:p>
            <w:pPr>
              <w:spacing w:after="0"/>
              <w:rPr>
                <w:sz w:val="20"/>
                <w:szCs w:val="20"/>
                <w:color w:val="auto"/>
              </w:rPr>
            </w:pPr>
            <w:r>
              <w:rPr>
                <w:rFonts w:ascii="Times New Roman" w:cs="Times New Roman" w:eastAsia="Times New Roman" w:hAnsi="Times New Roman"/>
                <w:sz w:val="17"/>
                <w:szCs w:val="17"/>
                <w:b w:val="1"/>
                <w:bCs w:val="1"/>
                <w:color w:val="0000FF"/>
              </w:rPr>
              <w:t>Notes to Unaudited Condensed Consolidated Financial Statements</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7</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80" w:type="dxa"/>
            <w:vAlign w:val="bottom"/>
            <w:tcBorders>
              <w:top w:val="single" w:sz="8" w:color="0000FF"/>
            </w:tcBorders>
            <w:gridSpan w:val="2"/>
          </w:tcPr>
          <w:p>
            <w:pPr>
              <w:ind w:left="320"/>
              <w:spacing w:after="0"/>
              <w:rPr>
                <w:sz w:val="20"/>
                <w:szCs w:val="20"/>
                <w:color w:val="auto"/>
              </w:rPr>
            </w:pPr>
            <w:r>
              <w:rPr>
                <w:rFonts w:ascii="Times New Roman" w:cs="Times New Roman" w:eastAsia="Times New Roman" w:hAnsi="Times New Roman"/>
                <w:sz w:val="17"/>
                <w:szCs w:val="17"/>
                <w:b w:val="1"/>
                <w:bCs w:val="1"/>
                <w:color w:val="0000FF"/>
              </w:rPr>
              <w:t>1.</w:t>
            </w:r>
          </w:p>
        </w:tc>
        <w:tc>
          <w:tcPr>
            <w:tcW w:w="44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7"/>
                <w:szCs w:val="17"/>
                <w:b w:val="1"/>
                <w:bCs w:val="1"/>
                <w:color w:val="0000FF"/>
              </w:rPr>
              <w:t>Business Overview</w:t>
            </w:r>
          </w:p>
        </w:tc>
        <w:tc>
          <w:tcPr>
            <w:tcW w:w="4200" w:type="dxa"/>
            <w:vAlign w:val="bottom"/>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7</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rPr>
              <w:t>2.</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Basis of Presentation</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7</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rPr>
              <w:t>3.</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Revenue</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8</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rPr>
              <w:t>4.</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Earnings Per Share</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9</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rPr>
              <w:t>5.</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Intangible Assets</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10</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rPr>
              <w:t>6.</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Accounts Payable and Other Accrued Expenses</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10</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rPr>
              <w:t>7.</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Accrued Compensation and Benefits</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10</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rPr>
              <w:t>8.</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Debt</w:t>
            </w:r>
          </w:p>
        </w:tc>
        <w:tc>
          <w:tcPr>
            <w:tcW w:w="680" w:type="dxa"/>
            <w:vAlign w:val="bottom"/>
            <w:gridSpan w:val="4"/>
          </w:tcPr>
          <w:p>
            <w:pPr>
              <w:jc w:val="center"/>
              <w:ind w:left="434"/>
              <w:spacing w:after="0"/>
              <w:rPr>
                <w:sz w:val="20"/>
                <w:szCs w:val="20"/>
                <w:color w:val="auto"/>
              </w:rPr>
            </w:pPr>
            <w:r>
              <w:rPr>
                <w:rFonts w:ascii="Times New Roman" w:cs="Times New Roman" w:eastAsia="Times New Roman" w:hAnsi="Times New Roman"/>
                <w:sz w:val="17"/>
                <w:szCs w:val="17"/>
                <w:b w:val="1"/>
                <w:bCs w:val="1"/>
                <w:color w:val="0000FF"/>
                <w:w w:val="93"/>
              </w:rPr>
              <w:t>11</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E32E1"/>
              </w:rPr>
              <w:t>9.</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Income Taxes</w:t>
            </w:r>
          </w:p>
        </w:tc>
        <w:tc>
          <w:tcPr>
            <w:tcW w:w="680" w:type="dxa"/>
            <w:vAlign w:val="bottom"/>
            <w:gridSpan w:val="4"/>
          </w:tcPr>
          <w:p>
            <w:pPr>
              <w:jc w:val="center"/>
              <w:ind w:left="434"/>
              <w:spacing w:after="0"/>
              <w:rPr>
                <w:sz w:val="20"/>
                <w:szCs w:val="20"/>
                <w:color w:val="auto"/>
              </w:rPr>
            </w:pPr>
            <w:r>
              <w:rPr>
                <w:rFonts w:ascii="Times New Roman" w:cs="Times New Roman" w:eastAsia="Times New Roman" w:hAnsi="Times New Roman"/>
                <w:sz w:val="17"/>
                <w:szCs w:val="17"/>
                <w:b w:val="1"/>
                <w:bCs w:val="1"/>
                <w:color w:val="0000FF"/>
                <w:w w:val="93"/>
              </w:rPr>
              <w:t>11</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b w:val="1"/>
                <w:bCs w:val="1"/>
                <w:color w:val="0000FF"/>
              </w:rPr>
              <w:t>10. Accumulated Other Comprehensive Income / (Loss)</w:t>
            </w:r>
          </w:p>
        </w:tc>
        <w:tc>
          <w:tcPr>
            <w:tcW w:w="3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0000FF"/>
                <w:w w:val="93"/>
              </w:rPr>
              <w:t>12</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2"/>
          </w:tcPr>
          <w:p>
            <w:pPr>
              <w:spacing w:after="0"/>
              <w:rPr>
                <w:sz w:val="20"/>
                <w:szCs w:val="20"/>
                <w:color w:val="auto"/>
              </w:rPr>
            </w:pPr>
            <w:r>
              <w:rPr>
                <w:rFonts w:ascii="Times New Roman" w:cs="Times New Roman" w:eastAsia="Times New Roman" w:hAnsi="Times New Roman"/>
                <w:sz w:val="17"/>
                <w:szCs w:val="17"/>
                <w:b w:val="1"/>
                <w:bCs w:val="1"/>
                <w:color w:val="0000FF"/>
              </w:rPr>
              <w:t>11. Fair Value Measurements</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13</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120" w:type="dxa"/>
            <w:vAlign w:val="bottom"/>
            <w:gridSpan w:val="10"/>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b w:val="1"/>
                <w:bCs w:val="1"/>
                <w:color w:val="0000FF"/>
              </w:rPr>
              <w:t>12. Commitments and Contingencies</w:t>
            </w:r>
          </w:p>
        </w:tc>
        <w:tc>
          <w:tcPr>
            <w:tcW w:w="3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0000FF"/>
                <w:w w:val="93"/>
              </w:rPr>
              <w:t>14</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2"/>
          </w:tcPr>
          <w:p>
            <w:pPr>
              <w:spacing w:after="0"/>
              <w:rPr>
                <w:sz w:val="20"/>
                <w:szCs w:val="20"/>
                <w:color w:val="auto"/>
              </w:rPr>
            </w:pPr>
            <w:r>
              <w:rPr>
                <w:rFonts w:ascii="Times New Roman" w:cs="Times New Roman" w:eastAsia="Times New Roman" w:hAnsi="Times New Roman"/>
                <w:sz w:val="17"/>
                <w:szCs w:val="17"/>
                <w:b w:val="1"/>
                <w:bCs w:val="1"/>
                <w:color w:val="0000FF"/>
              </w:rPr>
              <w:t>13. Supplemental Condensed Consolidated Financial Information</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14</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958"/>
        </w:trPr>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6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6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(Amounts in millions, except share and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17"/>
                <w:szCs w:val="17"/>
                <w:color w:val="auto"/>
              </w:rPr>
            </w:pPr>
          </w:p>
        </w:tc>
        <w:tc>
          <w:tcPr>
            <w:tcW w:w="12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31"/>
        </w:trPr>
        <w:tc>
          <w:tcPr>
            <w:tcW w:w="8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24"/>
        </w:trPr>
        <w:tc>
          <w:tcPr>
            <w:tcW w:w="8200" w:type="dxa"/>
            <w:vAlign w:val="bottom"/>
            <w:vMerge w:val="restart"/>
          </w:tcPr>
          <w:p>
            <w:pPr>
              <w:ind w:left="37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Pr>
          <w:p>
            <w:pPr>
              <w:spacing w:after="0"/>
              <w:rPr>
                <w:sz w:val="19"/>
                <w:szCs w:val="19"/>
                <w:color w:val="auto"/>
              </w:rPr>
            </w:pPr>
          </w:p>
        </w:tc>
        <w:tc>
          <w:tcPr>
            <w:tcW w:w="130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2,271</w:t>
            </w:r>
          </w:p>
        </w:tc>
        <w:tc>
          <w:tcPr>
            <w:tcW w:w="0" w:type="dxa"/>
            <w:vAlign w:val="bottom"/>
          </w:tcPr>
          <w:p>
            <w:pPr>
              <w:spacing w:after="0"/>
              <w:rPr>
                <w:sz w:val="1"/>
                <w:szCs w:val="1"/>
                <w:color w:val="auto"/>
              </w:rPr>
            </w:pPr>
          </w:p>
        </w:tc>
      </w:tr>
      <w:tr>
        <w:trPr>
          <w:trHeight w:val="220"/>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3,313</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 of accumulated depreciation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 of accumulated amortization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13"/>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7,312</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shd w:val="clear" w:color="auto" w:fill="CCEEFF"/>
          </w:tcPr>
          <w:p>
            <w:pPr>
              <w:ind w:left="2220"/>
              <w:spacing w:after="0" w:line="186"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3"/>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3,915</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0" w:type="dxa"/>
            <w:vAlign w:val="bottom"/>
          </w:tcPr>
          <w:p>
            <w:pPr>
              <w:spacing w:after="0"/>
              <w:rPr>
                <w:sz w:val="1"/>
                <w:szCs w:val="1"/>
                <w:color w:val="auto"/>
              </w:rPr>
            </w:pPr>
          </w:p>
        </w:tc>
      </w:tr>
      <w:tr>
        <w:trPr>
          <w:trHeight w:val="213"/>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6,309</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200" w:type="dxa"/>
            <w:vAlign w:val="bottom"/>
            <w:shd w:val="clear" w:color="auto" w:fill="CCEEFF"/>
          </w:tcPr>
          <w:p>
            <w:pPr>
              <w:ind w:left="340"/>
              <w:spacing w:after="0" w:line="168" w:lineRule="exact"/>
              <w:rPr>
                <w:sz w:val="20"/>
                <w:szCs w:val="20"/>
                <w:color w:val="auto"/>
              </w:rPr>
            </w:pPr>
            <w:r>
              <w:rPr>
                <w:rFonts w:ascii="Times New Roman" w:cs="Times New Roman" w:eastAsia="Times New Roman" w:hAnsi="Times New Roman"/>
                <w:sz w:val="17"/>
                <w:szCs w:val="17"/>
                <w:color w:val="auto"/>
              </w:rPr>
              <w:t>Common stock, Class A - $0.01 par value - authorized: 600,000,000 shares;</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0" w:type="dxa"/>
            <w:vAlign w:val="bottom"/>
            <w:shd w:val="clear" w:color="auto" w:fill="CCEEFF"/>
          </w:tcPr>
          <w:p>
            <w:pPr>
              <w:ind w:left="340"/>
              <w:spacing w:after="0" w:line="168" w:lineRule="exact"/>
              <w:rPr>
                <w:sz w:val="20"/>
                <w:szCs w:val="20"/>
                <w:color w:val="auto"/>
              </w:rPr>
            </w:pPr>
            <w:r>
              <w:rPr>
                <w:rFonts w:ascii="Times New Roman" w:cs="Times New Roman" w:eastAsia="Times New Roman" w:hAnsi="Times New Roman"/>
                <w:sz w:val="17"/>
                <w:szCs w:val="17"/>
                <w:color w:val="auto"/>
              </w:rPr>
              <w:t>issued: 169,111,128 and 168,522,544 shares at September 30, 2025 and March 31, 2025, respectively;</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outstanding: 122,025,314 and 124,879,004 shares at September 30, 2025 and March 31, 2025, respectively</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Treasury stock, at cost - 47,085,814 and 43,643,540 shares at September 30, 2025 and March 31, 2025</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(3,082)</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0" w:type="dxa"/>
            <w:vAlign w:val="bottom"/>
          </w:tcPr>
          <w:p>
            <w:pPr>
              <w:spacing w:after="0"/>
              <w:rPr>
                <w:sz w:val="1"/>
                <w:szCs w:val="1"/>
                <w:color w:val="auto"/>
              </w:rPr>
            </w:pPr>
          </w:p>
        </w:tc>
      </w:tr>
      <w:tr>
        <w:trPr>
          <w:trHeight w:val="238"/>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3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7"/>
        </w:trPr>
        <w:tc>
          <w:tcPr>
            <w:tcW w:w="36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2260" w:type="dxa"/>
            <w:vAlign w:val="bottom"/>
          </w:tcPr>
          <w:p>
            <w:pPr>
              <w:spacing w:after="0"/>
              <w:rPr>
                <w:sz w:val="24"/>
                <w:szCs w:val="24"/>
                <w:color w:val="auto"/>
              </w:rPr>
            </w:pPr>
          </w:p>
        </w:tc>
        <w:tc>
          <w:tcPr>
            <w:tcW w:w="4620" w:type="dxa"/>
            <w:vAlign w:val="bottom"/>
            <w:gridSpan w:val="7"/>
          </w:tcPr>
          <w:p>
            <w:pPr>
              <w:ind w:left="10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80" w:type="dxa"/>
            <w:vAlign w:val="bottom"/>
            <w:gridSpan w:val="8"/>
          </w:tcPr>
          <w:p>
            <w:pPr>
              <w:jc w:val="center"/>
              <w:ind w:left="149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220" w:type="dxa"/>
            <w:vAlign w:val="bottom"/>
            <w:gridSpan w:val="4"/>
          </w:tcPr>
          <w:p>
            <w:pPr>
              <w:jc w:val="center"/>
              <w:ind w:left="6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640" w:type="dxa"/>
            <w:vAlign w:val="bottom"/>
            <w:gridSpan w:val="5"/>
          </w:tcPr>
          <w:p>
            <w:pPr>
              <w:jc w:val="center"/>
              <w:ind w:left="214"/>
              <w:spacing w:after="0"/>
              <w:rPr>
                <w:sz w:val="20"/>
                <w:szCs w:val="20"/>
                <w:color w:val="auto"/>
              </w:rPr>
            </w:pPr>
            <w:r>
              <w:rPr>
                <w:rFonts w:ascii="Times New Roman" w:cs="Times New Roman" w:eastAsia="Times New Roman" w:hAnsi="Times New Roman"/>
                <w:sz w:val="17"/>
                <w:szCs w:val="17"/>
                <w:b w:val="1"/>
                <w:bCs w:val="1"/>
                <w:color w:val="auto"/>
              </w:rPr>
              <w:t>(Amounts in millions, except per share data)</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5"/>
          </w:tcPr>
          <w:p>
            <w:pPr>
              <w:ind w:left="3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60" w:type="dxa"/>
            <w:vAlign w:val="bottom"/>
          </w:tcPr>
          <w:p>
            <w:pPr>
              <w:spacing w:after="0"/>
              <w:rPr>
                <w:sz w:val="24"/>
                <w:szCs w:val="24"/>
                <w:color w:val="auto"/>
              </w:rPr>
            </w:pPr>
          </w:p>
        </w:tc>
        <w:tc>
          <w:tcPr>
            <w:tcW w:w="2360" w:type="dxa"/>
            <w:vAlign w:val="bottom"/>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6,088</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3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Cost of revenue</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Billable expenses</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3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33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3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6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5,284</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3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Other (expense) income</w:t>
            </w:r>
          </w:p>
        </w:tc>
        <w:tc>
          <w:tcPr>
            <w:tcW w:w="1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3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1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3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Earnings per share of common stock (Note 4):</w:t>
            </w:r>
          </w:p>
        </w:tc>
        <w:tc>
          <w:tcPr>
            <w:tcW w:w="1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60" w:type="dxa"/>
            <w:vAlign w:val="bottom"/>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6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16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20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0" w:type="dxa"/>
            <w:vAlign w:val="bottom"/>
          </w:tcPr>
          <w:p>
            <w:pPr>
              <w:spacing w:after="0"/>
              <w:rPr>
                <w:sz w:val="16"/>
                <w:szCs w:val="16"/>
                <w:color w:val="auto"/>
              </w:rPr>
            </w:pPr>
          </w:p>
        </w:tc>
        <w:tc>
          <w:tcPr>
            <w:tcW w:w="3300" w:type="dxa"/>
            <w:vAlign w:val="bottom"/>
            <w:gridSpan w:val="2"/>
            <w:vMerge w:val="continue"/>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54"/>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3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3.01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4.27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00"/>
          </w:cols>
          <w:pgMar w:left="320" w:top="346" w:right="6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67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577"/>
        </w:trPr>
        <w:tc>
          <w:tcPr>
            <w:tcW w:w="100" w:type="dxa"/>
            <w:vAlign w:val="bottom"/>
            <w:tcBorders>
              <w:top w:val="single" w:sz="8" w:color="0000FF"/>
            </w:tcBorders>
          </w:tcPr>
          <w:p>
            <w:pPr>
              <w:spacing w:after="0"/>
              <w:rPr>
                <w:sz w:val="24"/>
                <w:szCs w:val="24"/>
                <w:color w:val="auto"/>
              </w:rPr>
            </w:pPr>
          </w:p>
        </w:tc>
        <w:tc>
          <w:tcPr>
            <w:tcW w:w="1300" w:type="dxa"/>
            <w:vAlign w:val="bottom"/>
            <w:tcBorders>
              <w:top w:val="single" w:sz="8" w:color="0000FF"/>
            </w:tcBorders>
          </w:tcPr>
          <w:p>
            <w:pPr>
              <w:spacing w:after="0"/>
              <w:rPr>
                <w:sz w:val="24"/>
                <w:szCs w:val="24"/>
                <w:color w:val="auto"/>
              </w:rPr>
            </w:pPr>
          </w:p>
        </w:tc>
        <w:tc>
          <w:tcPr>
            <w:tcW w:w="6440" w:type="dxa"/>
            <w:vAlign w:val="bottom"/>
            <w:gridSpan w:val="4"/>
          </w:tcPr>
          <w:p>
            <w:pPr>
              <w:jc w:val="center"/>
              <w:ind w:left="1914"/>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9"/>
        </w:trPr>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580" w:type="dxa"/>
            <w:vAlign w:val="bottom"/>
            <w:gridSpan w:val="7"/>
          </w:tcPr>
          <w:p>
            <w:pPr>
              <w:jc w:val="center"/>
              <w:ind w:left="77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9"/>
        </w:trPr>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320" w:type="dxa"/>
            <w:vAlign w:val="bottom"/>
          </w:tcPr>
          <w:p>
            <w:pPr>
              <w:jc w:val="center"/>
              <w:ind w:left="30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9"/>
        </w:trPr>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320" w:type="dxa"/>
            <w:vAlign w:val="bottom"/>
          </w:tcPr>
          <w:p>
            <w:pPr>
              <w:jc w:val="center"/>
              <w:ind w:left="3034"/>
              <w:spacing w:after="0"/>
              <w:rPr>
                <w:sz w:val="20"/>
                <w:szCs w:val="20"/>
                <w:color w:val="auto"/>
              </w:rPr>
            </w:pPr>
            <w:r>
              <w:rPr>
                <w:rFonts w:ascii="Times New Roman" w:cs="Times New Roman" w:eastAsia="Times New Roman" w:hAnsi="Times New Roman"/>
                <w:sz w:val="17"/>
                <w:szCs w:val="17"/>
                <w:b w:val="1"/>
                <w:bCs w:val="1"/>
                <w:color w:val="auto"/>
              </w:rPr>
              <w:t>(Amounts in millions)</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5"/>
        </w:trPr>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Pr>
          <w:p>
            <w:pPr>
              <w:spacing w:after="0"/>
              <w:rPr>
                <w:sz w:val="24"/>
                <w:szCs w:val="24"/>
                <w:color w:val="auto"/>
              </w:rPr>
            </w:pPr>
          </w:p>
        </w:tc>
        <w:tc>
          <w:tcPr>
            <w:tcW w:w="1940" w:type="dxa"/>
            <w:vAlign w:val="bottom"/>
            <w:gridSpan w:val="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1"/>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20"/>
                <w:szCs w:val="20"/>
                <w:color w:val="auto"/>
              </w:rPr>
            </w:pPr>
          </w:p>
        </w:tc>
        <w:tc>
          <w:tcPr>
            <w:tcW w:w="194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100" w:type="dxa"/>
            <w:vAlign w:val="bottom"/>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5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3"/>
        </w:trPr>
        <w:tc>
          <w:tcPr>
            <w:tcW w:w="100" w:type="dxa"/>
            <w:vAlign w:val="bottom"/>
          </w:tcPr>
          <w:p>
            <w:pPr>
              <w:spacing w:after="0"/>
              <w:rPr>
                <w:sz w:val="18"/>
                <w:szCs w:val="18"/>
                <w:color w:val="auto"/>
              </w:rPr>
            </w:pPr>
          </w:p>
        </w:tc>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r>
      <w:tr>
        <w:trPr>
          <w:trHeight w:val="220"/>
        </w:trPr>
        <w:tc>
          <w:tcPr>
            <w:tcW w:w="100" w:type="dxa"/>
            <w:vAlign w:val="bottom"/>
          </w:tcPr>
          <w:p>
            <w:pPr>
              <w:spacing w:after="0"/>
              <w:rPr>
                <w:sz w:val="19"/>
                <w:szCs w:val="19"/>
                <w:color w:val="auto"/>
              </w:rPr>
            </w:pP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0"/>
        </w:trPr>
        <w:tc>
          <w:tcPr>
            <w:tcW w:w="100" w:type="dxa"/>
            <w:vAlign w:val="bottom"/>
          </w:tcPr>
          <w:p>
            <w:pPr>
              <w:spacing w:after="0"/>
              <w:rPr>
                <w:sz w:val="19"/>
                <w:szCs w:val="19"/>
                <w:color w:val="auto"/>
              </w:rPr>
            </w:pPr>
          </w:p>
        </w:tc>
        <w:tc>
          <w:tcPr>
            <w:tcW w:w="6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unrealized loss on derivatives designated as cash flow hedges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100" w:type="dxa"/>
            <w:vAlign w:val="bottom"/>
          </w:tcPr>
          <w:p>
            <w:pPr>
              <w:spacing w:after="0"/>
              <w:rPr>
                <w:sz w:val="19"/>
                <w:szCs w:val="19"/>
                <w:color w:val="auto"/>
              </w:rPr>
            </w:pPr>
          </w:p>
        </w:tc>
        <w:tc>
          <w:tcPr>
            <w:tcW w:w="6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Change in postretirement plan costs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10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other comprehensive loss, net of tax</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3"/>
        </w:trPr>
        <w:tc>
          <w:tcPr>
            <w:tcW w:w="10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Comprehensive income</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w:t>
            </w:r>
          </w:p>
        </w:tc>
      </w:tr>
      <w:tr>
        <w:trPr>
          <w:trHeight w:val="20"/>
        </w:trPr>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346"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8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7"/>
        </w:trPr>
        <w:tc>
          <w:tcPr>
            <w:tcW w:w="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6820" w:type="dxa"/>
            <w:vAlign w:val="bottom"/>
          </w:tcPr>
          <w:p>
            <w:pPr>
              <w:jc w:val="center"/>
              <w:ind w:left="1534"/>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820" w:type="dxa"/>
            <w:vAlign w:val="bottom"/>
          </w:tcPr>
          <w:p>
            <w:pPr>
              <w:jc w:val="center"/>
              <w:ind w:left="153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820" w:type="dxa"/>
            <w:vAlign w:val="bottom"/>
          </w:tcPr>
          <w:p>
            <w:pPr>
              <w:jc w:val="center"/>
              <w:ind w:left="15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(Amounts in millions)</w:t>
            </w:r>
          </w:p>
        </w:tc>
        <w:tc>
          <w:tcPr>
            <w:tcW w:w="2540" w:type="dxa"/>
            <w:vAlign w:val="bottom"/>
            <w:gridSpan w:val="4"/>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200" w:type="dxa"/>
            <w:vAlign w:val="bottom"/>
            <w:gridSpan w:val="2"/>
            <w:vMerge w:val="continue"/>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68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Net income</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80" w:type="dxa"/>
            <w:vAlign w:val="bottom"/>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Noncash lease expense</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gains on investments, dispositions, and other</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receivable, net</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Deferred income taxes and income taxes receivable / payable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Prepaid expenses and other current and long-term assets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7"/>
                <w:szCs w:val="17"/>
                <w:color w:val="auto"/>
              </w:rPr>
              <w:t>Other current and long-term liabilities</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Purchases of property, equipment, and software</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Payments for business acquisitions and dispositions, net of cash acquired</w:t>
            </w: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payments for investments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Cash dividends paid</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Repayments on revolving credit facility, term loans, and Senior Notes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equivalents––beginning of period</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equivalents––end of period</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20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paid during the period for:</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taxes</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2"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jc w:val="center"/>
        <w:ind w:left="1160"/>
        <w:spacing w:after="0" w:line="222" w:lineRule="auto"/>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b w:val="1"/>
          <w:bCs w:val="1"/>
          <w:color w:val="auto"/>
        </w:rPr>
        <w:t>(Unaudited)</w:t>
      </w:r>
    </w:p>
    <w:p>
      <w:pPr>
        <w:sectPr>
          <w:pgSz w:w="11900" w:h="16838" w:orient="portrait"/>
          <w:cols w:equalWidth="0" w:num="1">
            <w:col w:w="11340"/>
          </w:cols>
          <w:pgMar w:left="320" w:top="354" w:right="239" w:bottom="1440" w:gutter="0" w:footer="0" w:header="0"/>
        </w:sectPr>
      </w:pPr>
    </w:p>
    <w:p>
      <w:pPr>
        <w:spacing w:after="0" w:line="236" w:lineRule="exact"/>
        <w:rPr>
          <w:sz w:val="20"/>
          <w:szCs w:val="20"/>
          <w:color w:val="auto"/>
        </w:rPr>
      </w:pPr>
    </w:p>
    <w:p>
      <w:pPr>
        <w:ind w:left="640" w:right="100"/>
        <w:spacing w:after="0" w:line="246" w:lineRule="auto"/>
        <w:rPr>
          <w:sz w:val="20"/>
          <w:szCs w:val="20"/>
          <w:color w:val="auto"/>
        </w:rPr>
      </w:pPr>
      <w:r>
        <w:rPr>
          <w:rFonts w:ascii="Times New Roman" w:cs="Times New Roman" w:eastAsia="Times New Roman" w:hAnsi="Times New Roman"/>
          <w:sz w:val="17"/>
          <w:szCs w:val="17"/>
          <w:b w:val="1"/>
          <w:bCs w:val="1"/>
          <w:color w:val="auto"/>
        </w:rPr>
        <w:t>(Amounts in millions, except share data)</w:t>
      </w:r>
    </w:p>
    <w:p>
      <w:pPr>
        <w:spacing w:after="0" w:line="2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Balance at June 30, 2025</w:t>
      </w:r>
    </w:p>
    <w:p>
      <w:pPr>
        <w:spacing w:after="0" w:line="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Issuance of common stock</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Stock options exercised</w:t>
      </w:r>
    </w:p>
    <w:p>
      <w:pPr>
        <w:spacing w:after="0" w:line="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 xml:space="preserve">Repurchase of common stock </w:t>
      </w:r>
      <w:r>
        <w:rPr>
          <w:rFonts w:ascii="Times New Roman" w:cs="Times New Roman" w:eastAsia="Times New Roman" w:hAnsi="Times New Roman"/>
          <w:sz w:val="22"/>
          <w:szCs w:val="22"/>
          <w:color w:val="auto"/>
          <w:vertAlign w:val="superscript"/>
        </w:rPr>
        <w:t>(1)</w:t>
      </w:r>
    </w:p>
    <w:p>
      <w:pPr>
        <w:ind w:left="760"/>
        <w:spacing w:after="0"/>
        <w:rPr>
          <w:sz w:val="20"/>
          <w:szCs w:val="20"/>
          <w:color w:val="auto"/>
        </w:rPr>
      </w:pPr>
      <w:r>
        <w:rPr>
          <w:rFonts w:ascii="Times New Roman" w:cs="Times New Roman" w:eastAsia="Times New Roman" w:hAnsi="Times New Roman"/>
          <w:sz w:val="17"/>
          <w:szCs w:val="17"/>
          <w:color w:val="auto"/>
        </w:rPr>
        <w:t>Net income</w:t>
      </w:r>
    </w:p>
    <w:p>
      <w:pPr>
        <w:spacing w:after="0" w:line="11" w:lineRule="exact"/>
        <w:rPr>
          <w:sz w:val="20"/>
          <w:szCs w:val="20"/>
          <w:color w:val="auto"/>
        </w:rPr>
      </w:pPr>
    </w:p>
    <w:p>
      <w:pPr>
        <w:ind w:left="760"/>
        <w:spacing w:after="0" w:line="238" w:lineRule="auto"/>
        <w:rPr>
          <w:sz w:val="20"/>
          <w:szCs w:val="20"/>
          <w:color w:val="auto"/>
        </w:rPr>
      </w:pPr>
      <w:r>
        <w:rPr>
          <w:rFonts w:ascii="Times New Roman" w:cs="Times New Roman" w:eastAsia="Times New Roman" w:hAnsi="Times New Roman"/>
          <w:sz w:val="17"/>
          <w:szCs w:val="17"/>
          <w:color w:val="auto"/>
        </w:rPr>
        <w:t>Dividends paid of $0.55 per share of common stock</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Stock-based compensation expense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9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1980" w:type="dxa"/>
            <w:vAlign w:val="bottom"/>
            <w:gridSpan w:val="5"/>
            <w:vMerge w:val="restart"/>
          </w:tcPr>
          <w:p>
            <w:pPr>
              <w:ind w:left="620"/>
              <w:spacing w:after="0"/>
              <w:rPr>
                <w:sz w:val="20"/>
                <w:szCs w:val="20"/>
                <w:color w:val="auto"/>
              </w:rPr>
            </w:pPr>
            <w:r>
              <w:rPr>
                <w:rFonts w:ascii="Times New Roman" w:cs="Times New Roman" w:eastAsia="Times New Roman" w:hAnsi="Times New Roman"/>
                <w:sz w:val="17"/>
                <w:szCs w:val="17"/>
                <w:b w:val="1"/>
                <w:bCs w:val="1"/>
                <w:color w:val="auto"/>
              </w:rPr>
              <w:t>Treasury</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960" w:type="dxa"/>
            <w:vAlign w:val="bottom"/>
            <w:gridSpan w:val="5"/>
            <w:vMerge w:val="continue"/>
          </w:tcPr>
          <w:p>
            <w:pPr>
              <w:spacing w:after="0"/>
              <w:rPr>
                <w:sz w:val="7"/>
                <w:szCs w:val="7"/>
                <w:color w:val="auto"/>
              </w:rPr>
            </w:pPr>
          </w:p>
        </w:tc>
        <w:tc>
          <w:tcPr>
            <w:tcW w:w="1980" w:type="dxa"/>
            <w:vAlign w:val="bottom"/>
            <w:gridSpan w:val="5"/>
            <w:vMerge w:val="continue"/>
          </w:tcPr>
          <w:p>
            <w:pPr>
              <w:spacing w:after="0"/>
              <w:rPr>
                <w:sz w:val="7"/>
                <w:szCs w:val="7"/>
                <w:color w:val="auto"/>
              </w:rPr>
            </w:pPr>
          </w:p>
        </w:tc>
        <w:tc>
          <w:tcPr>
            <w:tcW w:w="920" w:type="dxa"/>
            <w:vAlign w:val="bottom"/>
            <w:gridSpan w:val="2"/>
            <w:vMerge w:val="restart"/>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280"/>
              <w:spacing w:after="0" w:line="168" w:lineRule="exact"/>
              <w:rPr>
                <w:sz w:val="20"/>
                <w:szCs w:val="20"/>
                <w:color w:val="auto"/>
              </w:rPr>
            </w:pPr>
            <w:r>
              <w:rPr>
                <w:rFonts w:ascii="Times New Roman" w:cs="Times New Roman" w:eastAsia="Times New Roman" w:hAnsi="Times New Roman"/>
                <w:sz w:val="17"/>
                <w:szCs w:val="17"/>
                <w:b w:val="1"/>
                <w:bCs w:val="1"/>
                <w:color w:val="auto"/>
              </w:rPr>
              <w:t>Other</w:t>
            </w:r>
          </w:p>
        </w:tc>
        <w:tc>
          <w:tcPr>
            <w:tcW w:w="620" w:type="dxa"/>
            <w:vAlign w:val="bottom"/>
            <w:vMerge w:val="restart"/>
          </w:tcPr>
          <w:p>
            <w:pPr>
              <w:jc w:val="center"/>
              <w:ind w:left="214"/>
              <w:spacing w:after="0" w:line="168" w:lineRule="exact"/>
              <w:rPr>
                <w:sz w:val="20"/>
                <w:szCs w:val="20"/>
                <w:color w:val="auto"/>
              </w:rPr>
            </w:pPr>
            <w:r>
              <w:rPr>
                <w:rFonts w:ascii="Times New Roman" w:cs="Times New Roman" w:eastAsia="Times New Roman" w:hAnsi="Times New Roman"/>
                <w:sz w:val="17"/>
                <w:szCs w:val="17"/>
                <w:b w:val="1"/>
                <w:bCs w:val="1"/>
                <w:color w:val="auto"/>
                <w:w w:val="93"/>
              </w:rPr>
              <w:t>Tot</w:t>
            </w:r>
          </w:p>
        </w:tc>
        <w:tc>
          <w:tcPr>
            <w:tcW w:w="0" w:type="dxa"/>
            <w:vAlign w:val="bottom"/>
          </w:tcPr>
          <w:p>
            <w:pPr>
              <w:spacing w:after="0"/>
              <w:rPr>
                <w:sz w:val="1"/>
                <w:szCs w:val="1"/>
                <w:color w:val="auto"/>
              </w:rPr>
            </w:pPr>
          </w:p>
        </w:tc>
      </w:tr>
      <w:tr>
        <w:trPr>
          <w:trHeight w:val="78"/>
        </w:trPr>
        <w:tc>
          <w:tcPr>
            <w:tcW w:w="1880" w:type="dxa"/>
            <w:vAlign w:val="bottom"/>
            <w:gridSpan w:val="4"/>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80" w:type="dxa"/>
            <w:vAlign w:val="bottom"/>
            <w:vMerge w:val="restart"/>
          </w:tcPr>
          <w:p>
            <w:pPr>
              <w:spacing w:after="0"/>
              <w:rPr>
                <w:sz w:val="6"/>
                <w:szCs w:val="6"/>
                <w:color w:val="auto"/>
              </w:rPr>
            </w:pPr>
          </w:p>
        </w:tc>
        <w:tc>
          <w:tcPr>
            <w:tcW w:w="1900" w:type="dxa"/>
            <w:vAlign w:val="bottom"/>
            <w:gridSpan w:val="4"/>
            <w:vMerge w:val="restart"/>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vMerge w:val="restart"/>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88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920" w:type="dxa"/>
            <w:vAlign w:val="bottom"/>
            <w:gridSpan w:val="2"/>
          </w:tcPr>
          <w:p>
            <w:pPr>
              <w:jc w:val="center"/>
              <w:ind w:right="80"/>
              <w:spacing w:after="0" w:line="153" w:lineRule="exact"/>
              <w:rPr>
                <w:sz w:val="20"/>
                <w:szCs w:val="20"/>
                <w:color w:val="auto"/>
              </w:rPr>
            </w:pPr>
            <w:r>
              <w:rPr>
                <w:rFonts w:ascii="Times New Roman" w:cs="Times New Roman" w:eastAsia="Times New Roman" w:hAnsi="Times New Roman"/>
                <w:sz w:val="17"/>
                <w:szCs w:val="17"/>
                <w:b w:val="1"/>
                <w:bCs w:val="1"/>
                <w:color w:val="auto"/>
              </w:rPr>
              <w:t>Paid-In</w:t>
            </w:r>
          </w:p>
        </w:tc>
        <w:tc>
          <w:tcPr>
            <w:tcW w:w="12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900" w:type="dxa"/>
            <w:vAlign w:val="bottom"/>
            <w:gridSpan w:val="4"/>
          </w:tcPr>
          <w:p>
            <w:pPr>
              <w:ind w:left="20"/>
              <w:spacing w:after="0" w:line="153" w:lineRule="exact"/>
              <w:rPr>
                <w:sz w:val="20"/>
                <w:szCs w:val="20"/>
                <w:color w:val="auto"/>
              </w:rPr>
            </w:pPr>
            <w:r>
              <w:rPr>
                <w:rFonts w:ascii="Times New Roman" w:cs="Times New Roman" w:eastAsia="Times New Roman" w:hAnsi="Times New Roman"/>
                <w:sz w:val="17"/>
                <w:szCs w:val="17"/>
                <w:b w:val="1"/>
                <w:bCs w:val="1"/>
                <w:color w:val="auto"/>
              </w:rPr>
              <w:t>Comprehensive  Stockho</w:t>
            </w:r>
          </w:p>
        </w:tc>
        <w:tc>
          <w:tcPr>
            <w:tcW w:w="0" w:type="dxa"/>
            <w:vAlign w:val="bottom"/>
          </w:tcPr>
          <w:p>
            <w:pPr>
              <w:spacing w:after="0"/>
              <w:rPr>
                <w:sz w:val="1"/>
                <w:szCs w:val="1"/>
                <w:color w:val="auto"/>
              </w:rPr>
            </w:pPr>
          </w:p>
        </w:tc>
      </w:tr>
      <w:tr>
        <w:trPr>
          <w:trHeight w:val="229"/>
        </w:trPr>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9"/>
                <w:szCs w:val="19"/>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620" w:type="dxa"/>
            <w:vAlign w:val="bottom"/>
          </w:tcPr>
          <w:p>
            <w:pPr>
              <w:jc w:val="center"/>
              <w:ind w:left="194"/>
              <w:spacing w:after="0"/>
              <w:rPr>
                <w:sz w:val="20"/>
                <w:szCs w:val="20"/>
                <w:color w:val="auto"/>
              </w:rPr>
            </w:pPr>
            <w:r>
              <w:rPr>
                <w:rFonts w:ascii="Times New Roman" w:cs="Times New Roman" w:eastAsia="Times New Roman" w:hAnsi="Times New Roman"/>
                <w:sz w:val="17"/>
                <w:szCs w:val="17"/>
                <w:b w:val="1"/>
                <w:bCs w:val="1"/>
                <w:color w:val="auto"/>
                <w:w w:val="97"/>
              </w:rPr>
              <w:t>Equi</w:t>
            </w:r>
          </w:p>
        </w:tc>
        <w:tc>
          <w:tcPr>
            <w:tcW w:w="0" w:type="dxa"/>
            <w:vAlign w:val="bottom"/>
          </w:tcPr>
          <w:p>
            <w:pPr>
              <w:spacing w:after="0"/>
              <w:rPr>
                <w:sz w:val="1"/>
                <w:szCs w:val="1"/>
                <w:color w:val="auto"/>
              </w:rPr>
            </w:pPr>
          </w:p>
        </w:tc>
      </w:tr>
      <w:tr>
        <w:trPr>
          <w:trHeight w:val="213"/>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168,850,097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(45,141,112)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(3,249)</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1,071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8"/>
        </w:trPr>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145,657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(1,944,702)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-1862455</wp:posOffset>
            </wp:positionH>
            <wp:positionV relativeFrom="paragraph">
              <wp:posOffset>-1110615</wp:posOffset>
            </wp:positionV>
            <wp:extent cx="6803390" cy="147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3390" cy="147955"/>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-814705</wp:posOffset>
            </wp:positionV>
            <wp:extent cx="6803390" cy="139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3390" cy="139700"/>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-534670</wp:posOffset>
            </wp:positionV>
            <wp:extent cx="6803390" cy="139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3390" cy="139700"/>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-139065</wp:posOffset>
            </wp:positionV>
            <wp:extent cx="6803390" cy="139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3390" cy="1397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80" w:space="280"/>
            <w:col w:w="7780"/>
          </w:cols>
          <w:pgMar w:left="320" w:top="354" w:right="239" w:bottom="1440" w:gutter="0" w:footer="0" w:header="0"/>
          <w:type w:val="continuous"/>
        </w:sectPr>
      </w:pPr>
    </w:p>
    <w:tbl>
      <w:tblPr>
        <w:tblLayout w:type="fixed"/>
        <w:tblInd w:w="620" w:type="dxa"/>
        <w:tblCellMar>
          <w:top w:w="0" w:type="dxa"/>
          <w:left w:w="0" w:type="dxa"/>
          <w:bottom w:w="0" w:type="dxa"/>
          <w:right w:w="0" w:type="dxa"/>
        </w:tblCellMar>
      </w:tblPr>
      <w:tr>
        <w:trPr>
          <w:trHeight w:val="213"/>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169,111,128</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(47,085,814)</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3,378</w:t>
            </w:r>
          </w:p>
        </w:tc>
        <w:tc>
          <w:tcPr>
            <w:tcW w:w="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r>
      <w:tr>
        <w:trPr>
          <w:trHeight w:val="187"/>
        </w:trPr>
        <w:tc>
          <w:tcPr>
            <w:tcW w:w="29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r>
      <w:tr>
        <w:trPr>
          <w:trHeight w:val="213"/>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168,522,544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(43,643,540)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r>
      <w:tr>
        <w:trPr>
          <w:trHeight w:val="21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458,931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0"/>
        </w:trPr>
        <w:tc>
          <w:tcPr>
            <w:tcW w:w="2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 options 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129,653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r>
      <w:tr>
        <w:trPr>
          <w:trHeight w:val="220"/>
        </w:trPr>
        <w:tc>
          <w:tcPr>
            <w:tcW w:w="294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Repurchase of common stock </w:t>
            </w:r>
            <w:r>
              <w:rPr>
                <w:rFonts w:ascii="Times New Roman" w:cs="Times New Roman" w:eastAsia="Times New Roman" w:hAnsi="Times New Roman"/>
                <w:sz w:val="22"/>
                <w:szCs w:val="22"/>
                <w:color w:val="auto"/>
                <w:vertAlign w:val="superscript"/>
              </w:rPr>
              <w:t>(2)</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(3,442,274)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9"/>
                <w:szCs w:val="19"/>
                <w:color w:val="auto"/>
              </w:rPr>
            </w:pPr>
          </w:p>
        </w:tc>
      </w:tr>
      <w:tr>
        <w:trPr>
          <w:trHeight w:val="220"/>
        </w:trPr>
        <w:tc>
          <w:tcPr>
            <w:tcW w:w="2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r>
      <w:tr>
        <w:trPr>
          <w:trHeight w:val="22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169"/>
        </w:trPr>
        <w:tc>
          <w:tcPr>
            <w:tcW w:w="2940" w:type="dxa"/>
            <w:vAlign w:val="bottom"/>
          </w:tcPr>
          <w:p>
            <w:pPr>
              <w:ind w:left="140"/>
              <w:spacing w:after="0" w:line="168" w:lineRule="exact"/>
              <w:rPr>
                <w:sz w:val="20"/>
                <w:szCs w:val="20"/>
                <w:color w:val="auto"/>
              </w:rPr>
            </w:pPr>
            <w:r>
              <w:rPr>
                <w:rFonts w:ascii="Times New Roman" w:cs="Times New Roman" w:eastAsia="Times New Roman" w:hAnsi="Times New Roman"/>
                <w:sz w:val="17"/>
                <w:szCs w:val="17"/>
                <w:color w:val="auto"/>
              </w:rPr>
              <w:t>Dividends paid of $1.10 per share of</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33"/>
        </w:trPr>
        <w:tc>
          <w:tcPr>
            <w:tcW w:w="2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0"/>
                <w:szCs w:val="20"/>
                <w:color w:val="auto"/>
              </w:rPr>
            </w:pPr>
          </w:p>
        </w:tc>
      </w:tr>
      <w:tr>
        <w:trPr>
          <w:trHeight w:val="22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9"/>
                <w:szCs w:val="19"/>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169,111,128</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(47,085,814)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3,378</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176" w:lineRule="exact"/>
        <w:rPr>
          <w:sz w:val="20"/>
          <w:szCs w:val="20"/>
          <w:color w:val="auto"/>
        </w:rPr>
      </w:pPr>
    </w:p>
    <w:p>
      <w:pPr>
        <w:ind w:left="620" w:right="100" w:hanging="150"/>
        <w:spacing w:after="0" w:line="244" w:lineRule="auto"/>
        <w:tabs>
          <w:tab w:leader="none" w:pos="638"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During the three months ended September 30, 2025, the Company purchased 1.9 million shares of the Company’s Class A Common Stock for $207 million. Additionally, the Company repurchased shares for $3 million during the three months ended September 30, 2025 to cover the minimum statutory taxes on repurchases and restricted stock units that vested on various dates during the period.</w:t>
      </w:r>
    </w:p>
    <w:p>
      <w:pPr>
        <w:spacing w:after="0" w:line="83" w:lineRule="exact"/>
        <w:rPr>
          <w:rFonts w:ascii="Times New Roman" w:cs="Times New Roman" w:eastAsia="Times New Roman" w:hAnsi="Times New Roman"/>
          <w:sz w:val="21"/>
          <w:szCs w:val="21"/>
          <w:color w:val="auto"/>
          <w:vertAlign w:val="superscript"/>
        </w:rPr>
      </w:pPr>
    </w:p>
    <w:p>
      <w:pPr>
        <w:ind w:left="620" w:right="160" w:hanging="150"/>
        <w:spacing w:after="0" w:line="244" w:lineRule="auto"/>
        <w:tabs>
          <w:tab w:leader="none" w:pos="638"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During the six months ended September 30, 2025, the Company purchased 3.3 million shares of the Company’s Class A Common Stock for $361 million. Additionally, the Company repurchased shares for $16 million during the six months ended September 30, 2025 to cover the minimum statutory taxes on repurchases and restricted stock units that vested on various dates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354" w:right="2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2"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jc w:val="center"/>
        <w:ind w:left="1160"/>
        <w:spacing w:after="0" w:line="222" w:lineRule="auto"/>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6" w:lineRule="exact"/>
        <w:rPr>
          <w:sz w:val="20"/>
          <w:szCs w:val="20"/>
          <w:color w:val="auto"/>
        </w:rPr>
      </w:pPr>
    </w:p>
    <w:tbl>
      <w:tblPr>
        <w:tblLayout w:type="fixed"/>
        <w:tblInd w:w="620" w:type="dxa"/>
        <w:tblCellMar>
          <w:top w:w="0" w:type="dxa"/>
          <w:left w:w="0" w:type="dxa"/>
          <w:bottom w:w="0" w:type="dxa"/>
          <w:right w:w="0" w:type="dxa"/>
        </w:tblCellMar>
      </w:tblPr>
      <w:tr>
        <w:trPr>
          <w:trHeight w:val="215"/>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(Amounts in millions, except share</w:t>
            </w:r>
          </w:p>
        </w:tc>
        <w:tc>
          <w:tcPr>
            <w:tcW w:w="140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5"/>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Treasury</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Tot</w:t>
            </w:r>
          </w:p>
        </w:tc>
        <w:tc>
          <w:tcPr>
            <w:tcW w:w="0" w:type="dxa"/>
            <w:vAlign w:val="bottom"/>
          </w:tcPr>
          <w:p>
            <w:pPr>
              <w:spacing w:after="0"/>
              <w:rPr>
                <w:sz w:val="1"/>
                <w:szCs w:val="1"/>
                <w:color w:val="auto"/>
              </w:rPr>
            </w:pPr>
          </w:p>
        </w:tc>
      </w:tr>
      <w:tr>
        <w:trPr>
          <w:trHeight w:val="169"/>
        </w:trPr>
        <w:tc>
          <w:tcPr>
            <w:tcW w:w="2960" w:type="dxa"/>
            <w:vAlign w:val="bottom"/>
            <w:vMerge w:val="continue"/>
          </w:tcPr>
          <w:p>
            <w:pPr>
              <w:spacing w:after="0"/>
              <w:rPr>
                <w:sz w:val="14"/>
                <w:szCs w:val="14"/>
                <w:color w:val="auto"/>
              </w:rPr>
            </w:pPr>
          </w:p>
        </w:tc>
        <w:tc>
          <w:tcPr>
            <w:tcW w:w="1400" w:type="dxa"/>
            <w:vAlign w:val="bottom"/>
            <w:gridSpan w:val="3"/>
          </w:tcPr>
          <w:p>
            <w:pPr>
              <w:ind w:left="260"/>
              <w:spacing w:after="0" w:line="168" w:lineRule="exact"/>
              <w:rPr>
                <w:sz w:val="20"/>
                <w:szCs w:val="20"/>
                <w:color w:val="auto"/>
              </w:rPr>
            </w:pPr>
            <w:r>
              <w:rPr>
                <w:rFonts w:ascii="Times New Roman" w:cs="Times New Roman" w:eastAsia="Times New Roman" w:hAnsi="Times New Roman"/>
                <w:sz w:val="17"/>
                <w:szCs w:val="17"/>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Stock</w:t>
            </w:r>
          </w:p>
        </w:tc>
        <w:tc>
          <w:tcPr>
            <w:tcW w:w="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00"/>
              <w:spacing w:after="0" w:line="168" w:lineRule="exact"/>
              <w:rPr>
                <w:sz w:val="20"/>
                <w:szCs w:val="20"/>
                <w:color w:val="auto"/>
              </w:rPr>
            </w:pPr>
            <w:r>
              <w:rPr>
                <w:rFonts w:ascii="Times New Roman" w:cs="Times New Roman" w:eastAsia="Times New Roman" w:hAnsi="Times New Roman"/>
                <w:sz w:val="17"/>
                <w:szCs w:val="17"/>
                <w:b w:val="1"/>
                <w:bCs w:val="1"/>
                <w:color w:val="auto"/>
              </w:rPr>
              <w:t>Other</w:t>
            </w: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96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data)</w:t>
            </w: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5"/>
                <w:szCs w:val="5"/>
                <w:color w:val="auto"/>
              </w:rPr>
            </w:pPr>
          </w:p>
        </w:tc>
        <w:tc>
          <w:tcPr>
            <w:tcW w:w="1120" w:type="dxa"/>
            <w:vAlign w:val="bottom"/>
            <w:gridSpan w:val="2"/>
            <w:vMerge w:val="restart"/>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80" w:type="dxa"/>
            <w:vAlign w:val="bottom"/>
            <w:gridSpan w:val="3"/>
            <w:vMerge w:val="restart"/>
          </w:tcPr>
          <w:p>
            <w:pPr>
              <w:ind w:left="40"/>
              <w:spacing w:after="0" w:line="143"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0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Stockho</w:t>
            </w: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Equ</w:t>
            </w:r>
          </w:p>
        </w:tc>
        <w:tc>
          <w:tcPr>
            <w:tcW w:w="0" w:type="dxa"/>
            <w:vAlign w:val="bottom"/>
          </w:tcPr>
          <w:p>
            <w:pPr>
              <w:spacing w:after="0"/>
              <w:rPr>
                <w:sz w:val="1"/>
                <w:szCs w:val="1"/>
                <w:color w:val="auto"/>
              </w:rPr>
            </w:pPr>
          </w:p>
        </w:tc>
      </w:tr>
      <w:tr>
        <w:trPr>
          <w:trHeight w:val="21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167,705,104</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(38,354,730)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options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Repurchase of common stock </w:t>
            </w:r>
            <w:r>
              <w:rPr>
                <w:rFonts w:ascii="Times New Roman" w:cs="Times New Roman" w:eastAsia="Times New Roman" w:hAnsi="Times New Roman"/>
                <w:sz w:val="22"/>
                <w:szCs w:val="22"/>
                <w:color w:val="auto"/>
                <w:vertAlign w:val="superscript"/>
              </w:rPr>
              <w:t>(3)</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(1,584,386)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Dividends paid of $0.51 per share of</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167,841,004</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(39,939,116)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7"/>
        </w:trPr>
        <w:tc>
          <w:tcPr>
            <w:tcW w:w="29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167,402,268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(37,759,145)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348,772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options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Repurchase of common stock </w:t>
            </w:r>
            <w:r>
              <w:rPr>
                <w:rFonts w:ascii="Times New Roman" w:cs="Times New Roman" w:eastAsia="Times New Roman" w:hAnsi="Times New Roman"/>
                <w:sz w:val="22"/>
                <w:szCs w:val="22"/>
                <w:color w:val="auto"/>
                <w:vertAlign w:val="superscript"/>
              </w:rPr>
              <w:t>(4)</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(2,179,971)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Dividends paid of $1.02 per share of</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167,841,004</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(39,939,116)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620" w:right="100" w:hanging="150"/>
        <w:spacing w:after="0" w:line="244" w:lineRule="auto"/>
        <w:tabs>
          <w:tab w:leader="none" w:pos="63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During the three months ended September 30, 2024, the Company purchased 1.6 million shares of the Company’s Class A Common Stock for $230 million. Additionally, the Company repurchased shares for $4 million during the three months ended September 30, 2024 to cover the minimum statutory taxes on repurchases and restricted stock units that vested on various dates during the period.</w:t>
      </w:r>
    </w:p>
    <w:p>
      <w:pPr>
        <w:spacing w:after="0" w:line="83" w:lineRule="exact"/>
        <w:rPr>
          <w:rFonts w:ascii="Times New Roman" w:cs="Times New Roman" w:eastAsia="Times New Roman" w:hAnsi="Times New Roman"/>
          <w:sz w:val="21"/>
          <w:szCs w:val="21"/>
          <w:color w:val="auto"/>
          <w:vertAlign w:val="superscript"/>
        </w:rPr>
      </w:pPr>
    </w:p>
    <w:p>
      <w:pPr>
        <w:ind w:left="620" w:right="160" w:hanging="150"/>
        <w:spacing w:after="0" w:line="244" w:lineRule="auto"/>
        <w:tabs>
          <w:tab w:leader="none" w:pos="63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During the six months ended September 30, 2024, the Company purchased 2.1 million shares of the Company’s Class A Common Stock for $308 million. Additionally, the Company repurchased shares for $16 million during the six months ended September 30, 2024 to cover the minimum statutory taxes on repurchases and restricted stock units that vested on various dates during the period.</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35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Overview</w:t>
      </w:r>
    </w:p>
    <w:p>
      <w:pPr>
        <w:spacing w:after="0" w:line="5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Booz Allen Hamilton Holding Corporation, including its wholly owned subsidiaries, or the Company, we, us, and our, was incorporated in Delaware in May 2008. As an advanced technology company, the Company builds technology solutions using artificial intelligence (“AI”), cyber, and other cutting-edge technologies to advance and protect the nation and its citizens. The Company supports critical missions for a diverse base of federal government customers, including nearly all of the U.S. government’s cabinet-level departments, as well as for commercial customers, both domestically and in select international locations. The Company is headquartered in McLean, Virginia, with approximately 32,500 employees as of September 30, 2025, and reports operating results and financial data in one reportable segment.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Basis of Presentation</w:t>
      </w:r>
    </w:p>
    <w:p>
      <w:pPr>
        <w:spacing w:after="0" w:line="1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the Company and its subsidiaries that are majority-owned or otherwise controlled by the Company, and have been prepared in accordance with accounting principles generally accepted in the United States (“U.S. GAAP”) and the rules and regulations of the U.S. Securities and Exchange Commission (the “SEC”) and should be read in conjunction with the information contained in the Company's Annual Report on Form 10-K for the year ended March 31, 2025. The interim period unaudited condensed consolidated financial statements are presented as described below. Certain information and disclosures normally required for annual financial statements have been condensed or omitted pursuant to U.S. GAAP and SEC rules and regulations. In the opinion of management, all adjustments considered necessary for fair presentation of the results of the interim periods presented have been included. The Company’s fiscal year ends on March 31 and, unless otherwise noted, references to fiscal year or fiscal are for fiscal years ended March 31. The results of operations for the three and six months ended September 30, 2025 are not necessarily indicative of results to be expected for the full fiscal year.</w:t>
      </w:r>
    </w:p>
    <w:p>
      <w:pPr>
        <w:spacing w:after="0" w:line="72"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7"/>
          <w:szCs w:val="17"/>
          <w:color w:val="auto"/>
        </w:rPr>
        <w:t>Certain amounts reported in the Company's prior fiscal year condensed consolidated financial statements have been reclassified to conform to the current year presentation, including the reclassification of interest income for fiscal 2025 from “Other income (expense)” into “Interest expense, net” on the condensed consolidated statement of operations. There are no changes to the Company’s financial position or results of operations as a result of this reclassification.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w:t>
      </w:r>
    </w:p>
    <w:p>
      <w:pPr>
        <w:spacing w:after="0" w:line="68"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7"/>
          <w:szCs w:val="17"/>
          <w:color w:val="auto"/>
        </w:rPr>
        <w:t>As of September 30, 2025 and March 31, 2025, respectively, the total of equity and other investments related to unconsolidated entities included in other long-term assets of the Company’s condensed consolidated balance sheet were $109 million and $90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Estimates</w:t>
      </w:r>
    </w:p>
    <w:p>
      <w:pPr>
        <w:spacing w:after="0" w:line="6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liabilities, revenue and expenses, as well as the disclosure of contingent assets and liabilities at the date of the financial statements or during the relevant reporting periods (as applicable). The Company bases its estimates on historical and forward-looking assumptions that it believes are reasonable and appropriate. Actual results may differ materially from those estimates. Estimates are used for, but not limited to, revenue recognition including the profitability of long-term contracts and cost accruals, the provision for claimed costs, fair value measurements, the valuation and expected lives of acquired intangible assets, incentive compensation, income taxes including reserves for uncertain tax positions, postretirement obligations and contingencies. See Note 2, “Summary of Significant Accounting Policies” to the Company’s consolidated financial statements included in the Annual Report on Form 10-K for the year ended March 31, 2025 for further details on significant estimates and assumptions used.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66"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(the “FASB”) issued ASU 2023-09,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xml:space="preserve"> The standard includes amendments that enhance annual income tax disclosures, primarily through standardization and disaggregation of rate reconciliation categories and income taxes paid by jurisdiction. The Company is required to adopt this standard in its Fiscal 2026 Form 10-K and does not expect it to have a material impact on its consolidated financial statements and related disclosures.</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38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which is intended to enhance transparency into the nature and function of certain expenses as specified by the ASU. The guidance does not change the expense captions an entity presents on the face of the income statement; rather, it requires public business entities to provide disaggregated disclosures of certain expense captions in the notes to the financial statements. The ASU is effective for annual periods beginning after December 15, 2026, and interim periods within fiscal years beginning after December 15, 2027, and can be applied retrospectively or prospectively. The Company is currently assessing the impact of this update; however, its adoption will affect only the Company’s disclosures, with no impacts to its financial conditions or results of operations.</w:t>
      </w:r>
    </w:p>
    <w:p>
      <w:pPr>
        <w:spacing w:after="0" w:line="1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Targeted Improvements to the Accounting for Internal-Use Software</w:t>
      </w:r>
      <w:r>
        <w:rPr>
          <w:rFonts w:ascii="Times New Roman" w:cs="Times New Roman" w:eastAsia="Times New Roman" w:hAnsi="Times New Roman"/>
          <w:sz w:val="17"/>
          <w:szCs w:val="17"/>
          <w:color w:val="auto"/>
        </w:rPr>
        <w:t>, to modernize the accounting for and disclosure of internal-use software costs. The guidance removes all references to project stages, defines the threshold to begin capitalizing costs, and clarifies the disclosure requirements of capitalized software costs. The ASU is effective for annual periods beginning after December 15, 2027, and interim periods within those fiscal years, and can be applied retrospectively, prospectively, or on a modified transition approach. Early adoption is permitted. The Company is currently assessing the impact of this update.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w:t>
      </w:r>
    </w:p>
    <w:p>
      <w:pPr>
        <w:spacing w:after="0" w:line="66"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We disaggregate our revenue from contracts with customers by contract type and by customer type, as well as by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by Contract Type:</w:t>
            </w:r>
          </w:p>
        </w:tc>
        <w:tc>
          <w:tcPr>
            <w:tcW w:w="260" w:type="dxa"/>
            <w:vAlign w:val="bottom"/>
          </w:tcPr>
          <w:p>
            <w:pPr>
              <w:spacing w:after="0"/>
              <w:rPr>
                <w:sz w:val="17"/>
                <w:szCs w:val="17"/>
                <w:color w:val="auto"/>
              </w:rPr>
            </w:pPr>
          </w:p>
        </w:tc>
        <w:tc>
          <w:tcPr>
            <w:tcW w:w="2760" w:type="dxa"/>
            <w:vAlign w:val="bottom"/>
            <w:gridSpan w:val="5"/>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8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580" w:type="dxa"/>
            <w:vAlign w:val="bottom"/>
          </w:tcPr>
          <w:p>
            <w:pPr>
              <w:spacing w:after="0"/>
              <w:rPr>
                <w:sz w:val="17"/>
                <w:szCs w:val="17"/>
                <w:color w:val="auto"/>
              </w:rPr>
            </w:pPr>
          </w:p>
        </w:tc>
      </w:tr>
      <w:tr>
        <w:trPr>
          <w:trHeight w:val="231"/>
        </w:trPr>
        <w:tc>
          <w:tcPr>
            <w:tcW w:w="3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80" w:type="dxa"/>
            <w:vAlign w:val="bottom"/>
            <w:tcBorders>
              <w:bottom w:val="single" w:sz="8" w:color="auto"/>
            </w:tcBorders>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2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Cost-reimbursable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1,713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1,781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3,471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3,441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r>
      <w:tr>
        <w:trPr>
          <w:trHeight w:val="220"/>
        </w:trPr>
        <w:tc>
          <w:tcPr>
            <w:tcW w:w="32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Time-and-materials</w:t>
            </w:r>
          </w:p>
        </w:tc>
        <w:tc>
          <w:tcPr>
            <w:tcW w:w="260" w:type="dxa"/>
            <w:vAlign w:val="bottom"/>
          </w:tcPr>
          <w:p>
            <w:pPr>
              <w:spacing w:after="0"/>
              <w:rPr>
                <w:sz w:val="19"/>
                <w:szCs w:val="19"/>
                <w:color w:val="auto"/>
              </w:rPr>
            </w:pPr>
          </w:p>
        </w:tc>
        <w:tc>
          <w:tcPr>
            <w:tcW w:w="9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638</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722</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1,276</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1,393</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220"/>
        </w:trPr>
        <w:tc>
          <w:tcPr>
            <w:tcW w:w="320" w:type="dxa"/>
            <w:vAlign w:val="bottom"/>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Fixed-price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539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643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1,067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1,254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13"/>
        </w:trPr>
        <w:tc>
          <w:tcPr>
            <w:tcW w:w="32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2,890</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3,146</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5,814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6,088</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3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Revenue by Customer Type </w:t>
            </w:r>
            <w:r>
              <w:rPr>
                <w:rFonts w:ascii="Times New Roman" w:cs="Times New Roman" w:eastAsia="Times New Roman" w:hAnsi="Times New Roman"/>
                <w:sz w:val="22"/>
                <w:szCs w:val="22"/>
                <w:b w:val="1"/>
                <w:bCs w:val="1"/>
                <w:i w:val="1"/>
                <w:iCs w:val="1"/>
                <w:color w:val="auto"/>
                <w:vertAlign w:val="superscript"/>
              </w:rPr>
              <w:t>(1)</w:t>
            </w:r>
            <w:r>
              <w:rPr>
                <w:rFonts w:ascii="Times New Roman" w:cs="Times New Roman" w:eastAsia="Times New Roman" w:hAnsi="Times New Roman"/>
                <w:sz w:val="17"/>
                <w:szCs w:val="17"/>
                <w:b w:val="1"/>
                <w:bCs w:val="1"/>
                <w:i w:val="1"/>
                <w:iCs w:val="1"/>
                <w:color w:val="auto"/>
              </w:rPr>
              <w:t>:</w:t>
            </w:r>
          </w:p>
        </w:tc>
        <w:tc>
          <w:tcPr>
            <w:tcW w:w="260" w:type="dxa"/>
            <w:vAlign w:val="bottom"/>
          </w:tcPr>
          <w:p>
            <w:pPr>
              <w:spacing w:after="0"/>
              <w:rPr>
                <w:sz w:val="21"/>
                <w:szCs w:val="21"/>
                <w:color w:val="auto"/>
              </w:rPr>
            </w:pPr>
          </w:p>
        </w:tc>
        <w:tc>
          <w:tcPr>
            <w:tcW w:w="2740" w:type="dxa"/>
            <w:vAlign w:val="bottom"/>
            <w:gridSpan w:val="5"/>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20" w:type="dxa"/>
            <w:vAlign w:val="bottom"/>
            <w:gridSpan w:val="4"/>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580" w:type="dxa"/>
            <w:vAlign w:val="bottom"/>
          </w:tcPr>
          <w:p>
            <w:pPr>
              <w:spacing w:after="0"/>
              <w:rPr>
                <w:sz w:val="21"/>
                <w:szCs w:val="21"/>
                <w:color w:val="auto"/>
              </w:rPr>
            </w:pPr>
          </w:p>
        </w:tc>
      </w:tr>
      <w:tr>
        <w:trPr>
          <w:trHeight w:val="182"/>
        </w:trPr>
        <w:tc>
          <w:tcPr>
            <w:tcW w:w="3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594"/>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594"/>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580" w:type="dxa"/>
            <w:vAlign w:val="bottom"/>
            <w:tcBorders>
              <w:bottom w:val="single" w:sz="8" w:color="auto"/>
            </w:tcBorders>
          </w:tcPr>
          <w:p>
            <w:pPr>
              <w:spacing w:after="0"/>
              <w:rPr>
                <w:sz w:val="15"/>
                <w:szCs w:val="15"/>
                <w:color w:val="auto"/>
              </w:rPr>
            </w:pPr>
          </w:p>
        </w:tc>
      </w:tr>
      <w:tr>
        <w:trPr>
          <w:trHeight w:val="213"/>
        </w:trPr>
        <w:tc>
          <w:tcPr>
            <w:tcW w:w="320" w:type="dxa"/>
            <w:vAlign w:val="bottom"/>
          </w:tcPr>
          <w:p>
            <w:pPr>
              <w:spacing w:after="0"/>
              <w:rPr>
                <w:sz w:val="18"/>
                <w:szCs w:val="18"/>
                <w:color w:val="auto"/>
              </w:rPr>
            </w:pPr>
          </w:p>
        </w:tc>
        <w:tc>
          <w:tcPr>
            <w:tcW w:w="2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Defense Customers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1,580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1,547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3,097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2,968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r>
      <w:tr>
        <w:trPr>
          <w:trHeight w:val="220"/>
        </w:trPr>
        <w:tc>
          <w:tcPr>
            <w:tcW w:w="3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Intelligence Customers</w:t>
            </w:r>
          </w:p>
        </w:tc>
        <w:tc>
          <w:tcPr>
            <w:tcW w:w="260" w:type="dxa"/>
            <w:vAlign w:val="bottom"/>
          </w:tcPr>
          <w:p>
            <w:pPr>
              <w:spacing w:after="0"/>
              <w:rPr>
                <w:sz w:val="19"/>
                <w:szCs w:val="19"/>
                <w:color w:val="auto"/>
              </w:rPr>
            </w:pPr>
          </w:p>
        </w:tc>
        <w:tc>
          <w:tcPr>
            <w:tcW w:w="9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483</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494</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967</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951</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20"/>
        </w:trPr>
        <w:tc>
          <w:tcPr>
            <w:tcW w:w="320" w:type="dxa"/>
            <w:vAlign w:val="bottom"/>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Civil Customers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827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1,105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1,750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2,169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r>
      <w:tr>
        <w:trPr>
          <w:trHeight w:val="213"/>
        </w:trPr>
        <w:tc>
          <w:tcPr>
            <w:tcW w:w="32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2,890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3,146</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5,814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6,088</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780" w:right="360" w:hanging="154"/>
        <w:spacing w:after="0" w:line="248" w:lineRule="auto"/>
        <w:tabs>
          <w:tab w:leader="none" w:pos="781"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Customer type is based on public market as determined by government agency hierarchy mapping. Revenue by customer type for comparative periods for certain contracts has been reclassified to align to the most recent mapping.</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by Whether the Company Acts as a</w:t>
            </w:r>
          </w:p>
        </w:tc>
        <w:tc>
          <w:tcPr>
            <w:tcW w:w="240" w:type="dxa"/>
            <w:vAlign w:val="bottom"/>
          </w:tcPr>
          <w:p>
            <w:pPr>
              <w:spacing w:after="0"/>
              <w:rPr>
                <w:sz w:val="16"/>
                <w:szCs w:val="16"/>
                <w:color w:val="auto"/>
              </w:rPr>
            </w:pPr>
          </w:p>
        </w:tc>
        <w:tc>
          <w:tcPr>
            <w:tcW w:w="2740" w:type="dxa"/>
            <w:vAlign w:val="bottom"/>
            <w:gridSpan w:val="5"/>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00" w:type="dxa"/>
            <w:vAlign w:val="bottom"/>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580" w:type="dxa"/>
            <w:vAlign w:val="bottom"/>
          </w:tcPr>
          <w:p>
            <w:pPr>
              <w:spacing w:after="0"/>
              <w:rPr>
                <w:sz w:val="16"/>
                <w:szCs w:val="16"/>
                <w:color w:val="auto"/>
              </w:rPr>
            </w:pPr>
          </w:p>
        </w:tc>
      </w:tr>
      <w:tr>
        <w:trPr>
          <w:trHeight w:val="232"/>
        </w:trPr>
        <w:tc>
          <w:tcPr>
            <w:tcW w:w="3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Prime Contractor or a Subcontractor:</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80" w:type="dxa"/>
            <w:vAlign w:val="bottom"/>
            <w:tcBorders>
              <w:bottom w:val="single" w:sz="8" w:color="auto"/>
            </w:tcBorders>
          </w:tcPr>
          <w:p>
            <w:pPr>
              <w:spacing w:after="0"/>
              <w:rPr>
                <w:sz w:val="20"/>
                <w:szCs w:val="20"/>
                <w:color w:val="auto"/>
              </w:rPr>
            </w:pPr>
          </w:p>
        </w:tc>
      </w:tr>
      <w:tr>
        <w:trPr>
          <w:trHeight w:val="215"/>
        </w:trPr>
        <w:tc>
          <w:tcPr>
            <w:tcW w:w="320" w:type="dxa"/>
            <w:vAlign w:val="bottom"/>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Prime Contractor</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2,701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3,001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5,442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5,809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r>
      <w:tr>
        <w:trPr>
          <w:trHeight w:val="220"/>
        </w:trPr>
        <w:tc>
          <w:tcPr>
            <w:tcW w:w="320" w:type="dxa"/>
            <w:vAlign w:val="bottom"/>
          </w:tcPr>
          <w:p>
            <w:pPr>
              <w:spacing w:after="0"/>
              <w:rPr>
                <w:sz w:val="19"/>
                <w:szCs w:val="19"/>
                <w:color w:val="auto"/>
              </w:rPr>
            </w:pPr>
          </w:p>
        </w:tc>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Subcontractor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189</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145</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372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279</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38"/>
        </w:trPr>
        <w:tc>
          <w:tcPr>
            <w:tcW w:w="320" w:type="dxa"/>
            <w:vAlign w:val="bottom"/>
          </w:tcPr>
          <w:p>
            <w:pPr>
              <w:spacing w:after="0"/>
              <w:rPr>
                <w:sz w:val="20"/>
                <w:szCs w:val="20"/>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2,890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3,146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5,814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6,088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3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Obligations</w:t>
      </w:r>
    </w:p>
    <w:p>
      <w:pPr>
        <w:spacing w:after="0" w:line="68"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7"/>
          <w:szCs w:val="17"/>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7"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7"/>
          <w:szCs w:val="17"/>
          <w:color w:val="auto"/>
        </w:rPr>
        <w:t>As of September 30, 2025 and March 31, 2025, the Company had $12.1 billion and $9.5 billion of remaining performance obligations, respectively. We expect to recognize approximately 65% of the remaining performance obligations at September 30, 2025 as revenue over the next 12 months, and approximately 70% over the next 24 months. The remainder is expected to be recognized thereafter.</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68" w:lineRule="exact"/>
        <w:rPr>
          <w:sz w:val="20"/>
          <w:szCs w:val="20"/>
          <w:color w:val="auto"/>
        </w:rPr>
      </w:pPr>
    </w:p>
    <w:p>
      <w:pPr>
        <w:ind w:right="880"/>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contract assets and liabilities, and accounts receivable, net of allowance recognized on the Company’s condensed consolidated balance sheets:</w:t>
      </w:r>
    </w:p>
    <w:tbl>
      <w:tblPr>
        <w:tblLayout w:type="fixed"/>
        <w:tblInd w:w="0" w:type="dxa"/>
        <w:tblCellMar>
          <w:top w:w="0" w:type="dxa"/>
          <w:left w:w="0" w:type="dxa"/>
          <w:bottom w:w="0" w:type="dxa"/>
          <w:right w:w="0" w:type="dxa"/>
        </w:tblCellMar>
      </w:tblPr>
      <w:tr>
        <w:trPr>
          <w:trHeight w:val="177"/>
        </w:trPr>
        <w:tc>
          <w:tcPr>
            <w:tcW w:w="7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5"/>
                <w:szCs w:val="15"/>
                <w:color w:val="auto"/>
              </w:rPr>
            </w:pPr>
          </w:p>
        </w:tc>
        <w:tc>
          <w:tcPr>
            <w:tcW w:w="1280" w:type="dxa"/>
            <w:vAlign w:val="bottom"/>
          </w:tcPr>
          <w:p>
            <w:pPr>
              <w:jc w:val="right"/>
              <w:ind w:right="294"/>
              <w:spacing w:after="0" w:line="176"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31"/>
        </w:trPr>
        <w:tc>
          <w:tcPr>
            <w:tcW w:w="7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0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0"/>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receivable–billed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4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r>
      <w:tr>
        <w:trPr>
          <w:trHeight w:val="220"/>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receivable–unbilled (contract assets)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w:t>
            </w:r>
          </w:p>
        </w:tc>
      </w:tr>
      <w:tr>
        <w:trPr>
          <w:trHeight w:val="220"/>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2,271</w:t>
            </w:r>
          </w:p>
        </w:tc>
      </w:tr>
      <w:tr>
        <w:trPr>
          <w:trHeight w:val="220"/>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receivable–unbilled (contract assets)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3"/>
        </w:trPr>
        <w:tc>
          <w:tcPr>
            <w:tcW w:w="75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accounts receivable,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2,276</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2,329</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75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Other current liabilities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6"/>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Advance payments, billings in excess of costs incurred and deferred revenue (contract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bl>
    <w:p>
      <w:pPr>
        <w:spacing w:after="0" w:line="119"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Changes in contract assets and contract liabilities are primarily due to the timing difference between the Company’s performance of services and payments from customers. For both the three months ended September 30, 2025 and 2024, we recognized revenue of $1 million, and for the six months ended September 30, 2025 and 2024, we recognized revenue of $12 million and $10 million, respectively, related to our contract liabilities on April 1, 2025 and 2024, respectively.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Earnings Per Share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provides a reconciliation of the income used to compute basic and diluted EPS for the periods presented: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5"/>
          </w:tcPr>
          <w:p>
            <w:pPr>
              <w:ind w:left="3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Pr>
          <w:p>
            <w:pPr>
              <w:spacing w:after="0"/>
              <w:rPr>
                <w:sz w:val="17"/>
                <w:szCs w:val="17"/>
                <w:color w:val="auto"/>
              </w:rPr>
            </w:pPr>
          </w:p>
        </w:tc>
        <w:tc>
          <w:tcPr>
            <w:tcW w:w="2380" w:type="dxa"/>
            <w:vAlign w:val="bottom"/>
            <w:gridSpan w:val="4"/>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1"/>
        </w:trPr>
        <w:tc>
          <w:tcPr>
            <w:tcW w:w="5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00"/>
        </w:trPr>
        <w:tc>
          <w:tcPr>
            <w:tcW w:w="57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7"/>
                <w:szCs w:val="17"/>
                <w:color w:val="auto"/>
              </w:rPr>
              <w:t xml:space="preserve">Numerator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7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Earnings for basic computations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4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0" w:type="dxa"/>
            <w:vAlign w:val="bottom"/>
          </w:tcPr>
          <w:p>
            <w:pPr>
              <w:spacing w:after="0"/>
              <w:rPr>
                <w:sz w:val="1"/>
                <w:szCs w:val="1"/>
                <w:color w:val="auto"/>
              </w:rPr>
            </w:pPr>
          </w:p>
        </w:tc>
      </w:tr>
      <w:tr>
        <w:trPr>
          <w:trHeight w:val="220"/>
        </w:trPr>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Earnings for diluted computations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0" w:type="dxa"/>
            <w:vAlign w:val="bottom"/>
          </w:tcPr>
          <w:p>
            <w:pPr>
              <w:spacing w:after="0"/>
              <w:rPr>
                <w:sz w:val="1"/>
                <w:szCs w:val="1"/>
                <w:color w:val="auto"/>
              </w:rPr>
            </w:pPr>
          </w:p>
        </w:tc>
      </w:tr>
      <w:tr>
        <w:trPr>
          <w:trHeight w:val="220"/>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Weighted-average common stock shares outstanding, basic</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122,662,037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128,391,878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123,388,093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128,893,263</w:t>
            </w:r>
          </w:p>
        </w:tc>
        <w:tc>
          <w:tcPr>
            <w:tcW w:w="0" w:type="dxa"/>
            <w:vAlign w:val="bottom"/>
          </w:tcPr>
          <w:p>
            <w:pPr>
              <w:spacing w:after="0"/>
              <w:rPr>
                <w:sz w:val="1"/>
                <w:szCs w:val="1"/>
                <w:color w:val="auto"/>
              </w:rPr>
            </w:pPr>
          </w:p>
        </w:tc>
      </w:tr>
      <w:tr>
        <w:trPr>
          <w:trHeight w:val="220"/>
        </w:trPr>
        <w:tc>
          <w:tcPr>
            <w:tcW w:w="5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Dilutive stock options and restricted stock</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219,526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456,199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289,899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494,459</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Weighted-average common stock shares outstanding, diluted</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122,881,563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128,848,077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123,677,992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129,387,722</w:t>
            </w:r>
          </w:p>
        </w:tc>
        <w:tc>
          <w:tcPr>
            <w:tcW w:w="0" w:type="dxa"/>
            <w:vAlign w:val="bottom"/>
          </w:tcPr>
          <w:p>
            <w:pPr>
              <w:spacing w:after="0"/>
              <w:rPr>
                <w:sz w:val="1"/>
                <w:szCs w:val="1"/>
                <w:color w:val="auto"/>
              </w:rPr>
            </w:pPr>
          </w:p>
        </w:tc>
      </w:tr>
      <w:tr>
        <w:trPr>
          <w:trHeight w:val="22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Earnings per common share: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0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29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3.01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3.58</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3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4.27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240" w:right="40" w:hanging="158"/>
        <w:spacing w:after="0" w:line="243" w:lineRule="auto"/>
        <w:tabs>
          <w:tab w:leader="none" w:pos="385"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difference between earnings for basic and diluted computations and net income presented on the condensed consolidated statements of operations is due to undistributed earnings and dividends allocated to the participating securities. There were approximately 0.9 million and 0.8 million shares, respectively, of participating securities for three months ended September 30, 2025 and 2024, and 0.9 million and 0.7 million shares of participating securities for the six months ended September 30, 2025 and 2024, respectively.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5. Intangible Assets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4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Intangible assets consisted of the following at the periods presented below:</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4"/>
              <w:spacing w:after="0" w:line="162"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Carrying</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7"/>
                <w:szCs w:val="17"/>
                <w:b w:val="1"/>
                <w:bCs w:val="1"/>
                <w:color w:val="auto"/>
              </w:rPr>
              <w:t>Gross</w:t>
            </w:r>
          </w:p>
        </w:tc>
        <w:tc>
          <w:tcPr>
            <w:tcW w:w="10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Carrying</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4"/>
              <w:spacing w:after="0" w:line="168"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00" w:type="dxa"/>
            <w:vAlign w:val="bottom"/>
          </w:tcPr>
          <w:p>
            <w:pPr>
              <w:spacing w:after="0"/>
              <w:rPr>
                <w:sz w:val="20"/>
                <w:szCs w:val="20"/>
                <w:color w:val="auto"/>
              </w:rPr>
            </w:pPr>
          </w:p>
        </w:tc>
        <w:tc>
          <w:tcPr>
            <w:tcW w:w="8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00"/>
        </w:trPr>
        <w:tc>
          <w:tcPr>
            <w:tcW w:w="50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Amortizable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340" w:type="dxa"/>
            <w:vAlign w:val="bottom"/>
          </w:tcPr>
          <w:p>
            <w:pPr>
              <w:ind w:left="200"/>
              <w:spacing w:after="0" w:line="168" w:lineRule="exact"/>
              <w:rPr>
                <w:sz w:val="20"/>
                <w:szCs w:val="20"/>
                <w:color w:val="auto"/>
              </w:rPr>
            </w:pPr>
            <w:r>
              <w:rPr>
                <w:rFonts w:ascii="Times New Roman" w:cs="Times New Roman" w:eastAsia="Times New Roman" w:hAnsi="Times New Roman"/>
                <w:sz w:val="17"/>
                <w:szCs w:val="17"/>
                <w:color w:val="auto"/>
              </w:rPr>
              <w:t>Customer contracts and related customer</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00" w:type="dxa"/>
            <w:vAlign w:val="bottom"/>
          </w:tcPr>
          <w:p>
            <w:pPr>
              <w:spacing w:after="0"/>
              <w:rPr>
                <w:sz w:val="20"/>
                <w:szCs w:val="20"/>
                <w:color w:val="auto"/>
              </w:rPr>
            </w:pPr>
          </w:p>
        </w:tc>
        <w:tc>
          <w:tcPr>
            <w:tcW w:w="3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Software</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amortizable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0" w:type="dxa"/>
            <w:vAlign w:val="bottom"/>
          </w:tcPr>
          <w:p>
            <w:pPr>
              <w:spacing w:after="0"/>
              <w:rPr>
                <w:sz w:val="1"/>
                <w:szCs w:val="1"/>
                <w:color w:val="auto"/>
              </w:rPr>
            </w:pPr>
          </w:p>
        </w:tc>
      </w:tr>
      <w:tr>
        <w:trPr>
          <w:trHeight w:val="200"/>
        </w:trPr>
        <w:tc>
          <w:tcPr>
            <w:tcW w:w="50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Unamortizable intangible assets: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3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Trade name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6. Accounts Payable and Other Accrued Expenses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9"/>
        </w:trPr>
        <w:tc>
          <w:tcPr>
            <w:tcW w:w="7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 payable and other accrued expenses consisted of the following at the periods presented below:</w:t>
            </w: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194"/>
        </w:trPr>
        <w:tc>
          <w:tcPr>
            <w:tcW w:w="7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6"/>
                <w:szCs w:val="16"/>
                <w:color w:val="auto"/>
              </w:rPr>
            </w:pPr>
          </w:p>
        </w:tc>
        <w:tc>
          <w:tcPr>
            <w:tcW w:w="1320" w:type="dxa"/>
            <w:vAlign w:val="bottom"/>
          </w:tcPr>
          <w:p>
            <w:pPr>
              <w:jc w:val="right"/>
              <w:ind w:right="334"/>
              <w:spacing w:after="0" w:line="194"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31"/>
        </w:trPr>
        <w:tc>
          <w:tcPr>
            <w:tcW w:w="720" w:type="dxa"/>
            <w:vAlign w:val="bottom"/>
          </w:tcPr>
          <w:p>
            <w:pPr>
              <w:spacing w:after="0"/>
              <w:rPr>
                <w:sz w:val="20"/>
                <w:szCs w:val="20"/>
                <w:color w:val="auto"/>
              </w:rPr>
            </w:pPr>
          </w:p>
        </w:tc>
        <w:tc>
          <w:tcPr>
            <w:tcW w:w="7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6"/>
        </w:trPr>
        <w:tc>
          <w:tcPr>
            <w:tcW w:w="720" w:type="dxa"/>
            <w:vAlign w:val="bottom"/>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Vendor payables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r>
      <w:tr>
        <w:trPr>
          <w:trHeight w:val="220"/>
        </w:trPr>
        <w:tc>
          <w:tcPr>
            <w:tcW w:w="7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claimed costs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20"/>
        </w:trPr>
        <w:tc>
          <w:tcPr>
            <w:tcW w:w="72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0"/>
        </w:trPr>
        <w:tc>
          <w:tcPr>
            <w:tcW w:w="720" w:type="dxa"/>
            <w:vAlign w:val="bottom"/>
          </w:tcPr>
          <w:p>
            <w:pPr>
              <w:spacing w:after="0"/>
              <w:rPr>
                <w:sz w:val="19"/>
                <w:szCs w:val="19"/>
                <w:color w:val="auto"/>
              </w:rPr>
            </w:pPr>
          </w:p>
        </w:tc>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38"/>
        </w:trPr>
        <w:tc>
          <w:tcPr>
            <w:tcW w:w="720" w:type="dxa"/>
            <w:vAlign w:val="bottom"/>
          </w:tcPr>
          <w:p>
            <w:pPr>
              <w:spacing w:after="0"/>
              <w:rPr>
                <w:sz w:val="20"/>
                <w:szCs w:val="20"/>
                <w:color w:val="auto"/>
              </w:rPr>
            </w:pPr>
          </w:p>
        </w:tc>
        <w:tc>
          <w:tcPr>
            <w:tcW w:w="7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accounts payable and other accrued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w:t>
            </w:r>
          </w:p>
        </w:tc>
      </w:tr>
      <w:tr>
        <w:trPr>
          <w:trHeight w:val="20"/>
        </w:trPr>
        <w:tc>
          <w:tcPr>
            <w:tcW w:w="72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7"/>
          <w:szCs w:val="17"/>
          <w:color w:val="auto"/>
        </w:rPr>
        <w:t>See Note 12, “Commitments and Contingencies,” to the condensed consolidated financial statements for further discussion of the Company’s provision for claimed costs.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7. Accrued Compensation and Benefits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9"/>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compensation and benefits consisted of the following at the periods presented below:</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00"/>
        </w:trPr>
        <w:tc>
          <w:tcPr>
            <w:tcW w:w="5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17"/>
                <w:szCs w:val="17"/>
                <w:color w:val="auto"/>
              </w:rPr>
            </w:pP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8"/>
        </w:trPr>
        <w:tc>
          <w:tcPr>
            <w:tcW w:w="520" w:type="dxa"/>
            <w:vAlign w:val="bottom"/>
          </w:tcPr>
          <w:p>
            <w:pPr>
              <w:spacing w:after="0"/>
              <w:rPr>
                <w:sz w:val="19"/>
                <w:szCs w:val="19"/>
                <w:color w:val="auto"/>
              </w:rPr>
            </w:pPr>
          </w:p>
        </w:tc>
        <w:tc>
          <w:tcPr>
            <w:tcW w:w="7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3"/>
        </w:trPr>
        <w:tc>
          <w:tcPr>
            <w:tcW w:w="520" w:type="dxa"/>
            <w:vAlign w:val="bottom"/>
          </w:tcPr>
          <w:p>
            <w:pPr>
              <w:spacing w:after="0"/>
              <w:rPr>
                <w:sz w:val="18"/>
                <w:szCs w:val="18"/>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payroll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r>
      <w:tr>
        <w:trPr>
          <w:trHeight w:val="220"/>
        </w:trPr>
        <w:tc>
          <w:tcPr>
            <w:tcW w:w="5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retirement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20"/>
        </w:trPr>
        <w:tc>
          <w:tcPr>
            <w:tcW w:w="5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paid time off</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20"/>
        </w:trPr>
        <w:tc>
          <w:tcPr>
            <w:tcW w:w="520" w:type="dxa"/>
            <w:vAlign w:val="bottom"/>
          </w:tcPr>
          <w:p>
            <w:pPr>
              <w:spacing w:after="0"/>
              <w:rPr>
                <w:sz w:val="19"/>
                <w:szCs w:val="19"/>
                <w:color w:val="auto"/>
              </w:rPr>
            </w:pPr>
          </w:p>
        </w:tc>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8"/>
        </w:trPr>
        <w:tc>
          <w:tcPr>
            <w:tcW w:w="520" w:type="dxa"/>
            <w:vAlign w:val="bottom"/>
          </w:tcPr>
          <w:p>
            <w:pPr>
              <w:spacing w:after="0"/>
              <w:rPr>
                <w:sz w:val="20"/>
                <w:szCs w:val="20"/>
                <w:color w:val="auto"/>
              </w:rPr>
            </w:pPr>
          </w:p>
        </w:tc>
        <w:tc>
          <w:tcPr>
            <w:tcW w:w="7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accrued compensation and benefits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r>
      <w:tr>
        <w:trPr>
          <w:trHeight w:val="20"/>
        </w:trPr>
        <w:tc>
          <w:tcPr>
            <w:tcW w:w="520" w:type="dxa"/>
            <w:vAlign w:val="bottom"/>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8. Debt</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9"/>
        </w:trPr>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Debt consisted of the following at the periods presented below:</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46"/>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74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120" w:type="dxa"/>
            <w:vAlign w:val="bottom"/>
          </w:tcPr>
          <w:p>
            <w:pPr>
              <w:spacing w:after="0"/>
              <w:rPr>
                <w:sz w:val="21"/>
                <w:szCs w:val="21"/>
                <w:color w:val="auto"/>
              </w:rPr>
            </w:pPr>
          </w:p>
        </w:tc>
        <w:tc>
          <w:tcPr>
            <w:tcW w:w="276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March 31, 2025</w:t>
            </w:r>
          </w:p>
        </w:tc>
      </w:tr>
      <w:tr>
        <w:trPr>
          <w:trHeight w:val="162"/>
        </w:trPr>
        <w:tc>
          <w:tcPr>
            <w:tcW w:w="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7"/>
                <w:szCs w:val="17"/>
                <w:b w:val="1"/>
                <w:bCs w:val="1"/>
                <w:color w:val="auto"/>
              </w:rPr>
              <w:t>Interest</w:t>
            </w:r>
          </w:p>
        </w:tc>
        <w:tc>
          <w:tcPr>
            <w:tcW w:w="160" w:type="dxa"/>
            <w:vAlign w:val="bottom"/>
          </w:tcPr>
          <w:p>
            <w:pPr>
              <w:spacing w:after="0"/>
              <w:rPr>
                <w:sz w:val="14"/>
                <w:szCs w:val="14"/>
                <w:color w:val="auto"/>
              </w:rPr>
            </w:pPr>
          </w:p>
        </w:tc>
        <w:tc>
          <w:tcPr>
            <w:tcW w:w="1180" w:type="dxa"/>
            <w:vAlign w:val="bottom"/>
          </w:tcPr>
          <w:p>
            <w:pPr>
              <w:jc w:val="right"/>
              <w:ind w:right="114"/>
              <w:spacing w:after="0" w:line="162"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120" w:type="dxa"/>
            <w:vAlign w:val="bottom"/>
          </w:tcPr>
          <w:p>
            <w:pPr>
              <w:spacing w:after="0"/>
              <w:rPr>
                <w:sz w:val="14"/>
                <w:szCs w:val="14"/>
                <w:color w:val="auto"/>
              </w:rPr>
            </w:pPr>
          </w:p>
        </w:tc>
        <w:tc>
          <w:tcPr>
            <w:tcW w:w="1560" w:type="dxa"/>
            <w:vAlign w:val="bottom"/>
            <w:gridSpan w:val="3"/>
          </w:tcPr>
          <w:p>
            <w:pPr>
              <w:jc w:val="right"/>
              <w:ind w:right="534"/>
              <w:spacing w:after="0" w:line="162" w:lineRule="exact"/>
              <w:rPr>
                <w:sz w:val="20"/>
                <w:szCs w:val="20"/>
                <w:color w:val="auto"/>
              </w:rPr>
            </w:pPr>
            <w:r>
              <w:rPr>
                <w:rFonts w:ascii="Times New Roman" w:cs="Times New Roman" w:eastAsia="Times New Roman" w:hAnsi="Times New Roman"/>
                <w:sz w:val="17"/>
                <w:szCs w:val="17"/>
                <w:b w:val="1"/>
                <w:bCs w:val="1"/>
                <w:color w:val="auto"/>
              </w:rPr>
              <w:t>Interest</w:t>
            </w:r>
          </w:p>
        </w:tc>
        <w:tc>
          <w:tcPr>
            <w:tcW w:w="1200" w:type="dxa"/>
            <w:vAlign w:val="bottom"/>
          </w:tcPr>
          <w:p>
            <w:pPr>
              <w:jc w:val="right"/>
              <w:ind w:right="134"/>
              <w:spacing w:after="0" w:line="162" w:lineRule="exact"/>
              <w:rPr>
                <w:sz w:val="20"/>
                <w:szCs w:val="20"/>
                <w:color w:val="auto"/>
              </w:rPr>
            </w:pPr>
            <w:r>
              <w:rPr>
                <w:rFonts w:ascii="Times New Roman" w:cs="Times New Roman" w:eastAsia="Times New Roman" w:hAnsi="Times New Roman"/>
                <w:sz w:val="17"/>
                <w:szCs w:val="17"/>
                <w:b w:val="1"/>
                <w:bCs w:val="1"/>
                <w:color w:val="auto"/>
              </w:rPr>
              <w:t>Outstanding</w:t>
            </w:r>
          </w:p>
        </w:tc>
      </w:tr>
      <w:tr>
        <w:trPr>
          <w:trHeight w:val="231"/>
        </w:trPr>
        <w:tc>
          <w:tcPr>
            <w:tcW w:w="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Rate</w:t>
            </w:r>
          </w:p>
        </w:tc>
        <w:tc>
          <w:tcPr>
            <w:tcW w:w="160" w:type="dxa"/>
            <w:vAlign w:val="bottom"/>
          </w:tcPr>
          <w:p>
            <w:pPr>
              <w:spacing w:after="0"/>
              <w:rPr>
                <w:sz w:val="20"/>
                <w:szCs w:val="20"/>
                <w:color w:val="auto"/>
              </w:rPr>
            </w:pPr>
          </w:p>
        </w:tc>
        <w:tc>
          <w:tcPr>
            <w:tcW w:w="118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20" w:type="dxa"/>
            <w:vAlign w:val="bottom"/>
          </w:tcPr>
          <w:p>
            <w:pPr>
              <w:spacing w:after="0"/>
              <w:rPr>
                <w:sz w:val="20"/>
                <w:szCs w:val="20"/>
                <w:color w:val="auto"/>
              </w:rPr>
            </w:pPr>
          </w:p>
        </w:tc>
        <w:tc>
          <w:tcPr>
            <w:tcW w:w="1560" w:type="dxa"/>
            <w:vAlign w:val="bottom"/>
            <w:gridSpan w:val="3"/>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Rate</w:t>
            </w: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Balance</w:t>
            </w:r>
          </w:p>
        </w:tc>
      </w:tr>
      <w:tr>
        <w:trPr>
          <w:trHeight w:val="216"/>
        </w:trPr>
        <w:tc>
          <w:tcPr>
            <w:tcW w:w="4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5.666 %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5.675 %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w:t>
            </w:r>
          </w:p>
        </w:tc>
      </w:tr>
      <w:tr>
        <w:trPr>
          <w:trHeight w:val="220"/>
        </w:trPr>
        <w:tc>
          <w:tcPr>
            <w:tcW w:w="4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due 2028</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3.875 %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220"/>
        </w:trPr>
        <w:tc>
          <w:tcPr>
            <w:tcW w:w="40" w:type="dxa"/>
            <w:vAlign w:val="bottom"/>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2029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20"/>
        </w:trPr>
        <w:tc>
          <w:tcPr>
            <w:tcW w:w="40" w:type="dxa"/>
            <w:vAlign w:val="bottom"/>
          </w:tcPr>
          <w:p>
            <w:pPr>
              <w:spacing w:after="0"/>
              <w:rPr>
                <w:sz w:val="19"/>
                <w:szCs w:val="19"/>
                <w:color w:val="auto"/>
              </w:rPr>
            </w:pPr>
          </w:p>
        </w:tc>
        <w:tc>
          <w:tcPr>
            <w:tcW w:w="54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Senior Notes due 2033</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5.950 %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20"/>
        </w:trPr>
        <w:tc>
          <w:tcPr>
            <w:tcW w:w="40" w:type="dxa"/>
            <w:vAlign w:val="bottom"/>
          </w:tcPr>
          <w:p>
            <w:pPr>
              <w:spacing w:after="0"/>
              <w:rPr>
                <w:sz w:val="19"/>
                <w:szCs w:val="19"/>
                <w:color w:val="auto"/>
              </w:rPr>
            </w:pPr>
          </w:p>
        </w:tc>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Senior Notes due 2035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20"/>
        </w:trPr>
        <w:tc>
          <w:tcPr>
            <w:tcW w:w="40" w:type="dxa"/>
            <w:vAlign w:val="bottom"/>
          </w:tcPr>
          <w:p>
            <w:pPr>
              <w:spacing w:after="0"/>
              <w:rPr>
                <w:sz w:val="19"/>
                <w:szCs w:val="19"/>
                <w:color w:val="auto"/>
              </w:rPr>
            </w:pPr>
          </w:p>
        </w:tc>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Less: Unamortized debt issuance costs and discount on debt</w:t>
            </w: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3"/>
        </w:trPr>
        <w:tc>
          <w:tcPr>
            <w:tcW w:w="4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3,998</w:t>
            </w:r>
          </w:p>
        </w:tc>
      </w:tr>
      <w:tr>
        <w:trPr>
          <w:trHeight w:val="220"/>
        </w:trPr>
        <w:tc>
          <w:tcPr>
            <w:tcW w:w="40" w:type="dxa"/>
            <w:vAlign w:val="bottom"/>
          </w:tcPr>
          <w:p>
            <w:pPr>
              <w:spacing w:after="0"/>
              <w:rPr>
                <w:sz w:val="19"/>
                <w:szCs w:val="19"/>
                <w:color w:val="auto"/>
              </w:rPr>
            </w:pPr>
          </w:p>
        </w:tc>
        <w:tc>
          <w:tcPr>
            <w:tcW w:w="5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38"/>
        </w:trPr>
        <w:tc>
          <w:tcPr>
            <w:tcW w:w="40" w:type="dxa"/>
            <w:vAlign w:val="bottom"/>
          </w:tcPr>
          <w:p>
            <w:pPr>
              <w:spacing w:after="0"/>
              <w:rPr>
                <w:sz w:val="20"/>
                <w:szCs w:val="20"/>
                <w:color w:val="auto"/>
              </w:rPr>
            </w:pPr>
          </w:p>
        </w:tc>
        <w:tc>
          <w:tcPr>
            <w:tcW w:w="546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3,877</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3,915</w:t>
            </w:r>
          </w:p>
        </w:tc>
      </w:tr>
      <w:tr>
        <w:trPr>
          <w:trHeight w:val="20"/>
        </w:trPr>
        <w:tc>
          <w:tcPr>
            <w:tcW w:w="4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Booz Allen Hamilton Inc. (“Booz Allen Hamilton”), Booz Allen Hamilton Investor Corporation, and certain wholly owned subsidiaries of Booz Allen Hamilton are parties to a Credit Agreement dated as of July 31, 2012, as amended, which provided Booz Allen Hamilton with a $1,485 million Term Loan and a $1.0 billion revolving credit facility (the “Revolving Credit Facility”), with a sub-limit for letters of credit of $200 million as of September 30, 2025.</w:t>
      </w:r>
    </w:p>
    <w:p>
      <w:pPr>
        <w:spacing w:after="0" w:line="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The senior notes due 2035, senior notes due 2033, senior notes due 2029 and senior notes due 2028 (together, the “Senior Notes”) were issued by Booz Allen Hamilton in four separate and distinct tranches, which all bear interest at specified rates and have individual and separate maturity dates. All Senior Notes’ indentures are guaranteed by Booz Allen Holding Corporation or certain of its subsidiaries and contain certain covenants, events of default and other customary provisions.</w:t>
      </w:r>
    </w:p>
    <w:p>
      <w:pPr>
        <w:spacing w:after="0" w:line="12"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7"/>
          <w:szCs w:val="17"/>
          <w:color w:val="auto"/>
        </w:rPr>
        <w:t>The Company occasionally borrows under the Revolving Credit Facility for our working capital needs. There were no borrowings during the six months ended September 30, 2025 and as of both September 30, 2025 and March 31, 2025, respectively, there was no outstanding balance on the Revolving Credit Facility.</w:t>
      </w:r>
    </w:p>
    <w:p>
      <w:pPr>
        <w:spacing w:after="0" w:line="43" w:lineRule="exact"/>
        <w:rPr>
          <w:sz w:val="20"/>
          <w:szCs w:val="20"/>
          <w:color w:val="auto"/>
        </w:rPr>
      </w:pPr>
    </w:p>
    <w:p>
      <w:pPr>
        <w:ind w:right="640"/>
        <w:spacing w:after="0" w:line="273" w:lineRule="auto"/>
        <w:rPr>
          <w:sz w:val="20"/>
          <w:szCs w:val="20"/>
          <w:color w:val="auto"/>
        </w:rPr>
      </w:pPr>
      <w:r>
        <w:rPr>
          <w:rFonts w:ascii="Times New Roman" w:cs="Times New Roman" w:eastAsia="Times New Roman" w:hAnsi="Times New Roman"/>
          <w:sz w:val="17"/>
          <w:szCs w:val="17"/>
          <w:color w:val="auto"/>
        </w:rPr>
        <w:t>As of September 30, 2025 and March 31, 2025, Booz Allen Hamilton was in compliance with all financial covenants associated with its debt. For further information on the Company’s debt, including material terms, conditions, restrictions and redemption options, see Note 10, “Debt,” of the Company’s consolidated financial statements included in the fiscal 2025 Annual Report on Form 10-K.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Income Taxes</w:t>
      </w:r>
    </w:p>
    <w:p>
      <w:pPr>
        <w:spacing w:after="0" w:line="6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Company’s effective income tax rates were 24.9% and 24.0% for the three months ended September 30, 2025 and 2024, respectively, and 0.7% and 23.7% for the six months ended September 30, 2025 and September 30, 2024, respectively. Our effective tax rates for these periods differ from the federal statutory rate of 21.0% primarily due to the inclusion of state and foreign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 Derived Intangible Income deduction. In addition, the fiscal year 2026 effective tax rate was also lower related to adjustments to the Company’s uncertain tax position reserves as outlined below.</w:t>
      </w:r>
    </w:p>
    <w:p>
      <w:pPr>
        <w:spacing w:after="0" w:line="1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As of September 30, 2025 and March 31, 2025, the Company recorded $56 million and $142 million, respectively, of reserves for uncertain tax positions (“UTPs”) primarily related to research and development tax credits. The UTP reduction during the six months ended September 30, 2025 is primarily related to an $86 million adjustment from the completion of Internal Revenue Service (the “IRS”) examination procedures of the Company's amended federal income tax returns through fiscal year 2021 recorded in the first quarter. The Company also accrued $22 million of interest (net of tax effect) on the related long-term receivable for the refund requested in the amended returns. Due to the magnitude of the refund requested in the amended returns, the case will be referred to the</w:t>
      </w:r>
    </w:p>
    <w:p>
      <w:pPr>
        <w:spacing w:after="0" w:line="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Joint Committee on Taxation (the “JCT”) for further evaluation, as required by law for tax refunds or reductions exceeding $5 million. While the JCT has not yet reviewed this case, management does not anticipate that the resolution of this review will have a material adverse effect on the Company's financial position or results of operations.</w:t>
      </w:r>
    </w:p>
    <w:p>
      <w:pPr>
        <w:spacing w:after="0" w:line="7"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7"/>
          <w:szCs w:val="17"/>
          <w:color w:val="auto"/>
        </w:rPr>
        <w:t>As of September 30, 2025 and March 31, 2025, the Company recorded long-term income tax receivables of $174 million, including interest, and $152 million, respectively, which represents the amended U.S. federal return refund claims related to the audits referenced above and remains classified as other long-term assets on the condensed consolidated balance sheet as the case is subject to JCT review.</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38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On July 4, 2025, the One Big Beautiful Bill Act (“OBBB”) was enacted in the U.S. The OBBB includes significant provisions, such as the permanent extension of certain expiring provisions of the Tax Cuts and Jobs Act, restoration of favorable tax treatment for certain business provisions including the expensing of domestic research and development expenditures, and modifications to the international tax framework. The Company has incorporated the impact of the new legislation into its year-to-date effective tax rate and continues to assess the impact on the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Accumulated Other Comprehensive Income (Loss)</w:t>
      </w:r>
    </w:p>
    <w:p>
      <w:pPr>
        <w:spacing w:after="0" w:line="66"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Amounts recorded in other comprehensive income (loss) (“OCI”) are related to the Company's post-retirement plans and interest rate swaps designated as cash flow hedges. The following table presents the changes in Accumulated OCI (“AOCI”) during the periods presented below:</w:t>
      </w:r>
    </w:p>
    <w:tbl>
      <w:tblPr>
        <w:tblLayout w:type="fixed"/>
        <w:tblInd w:w="0" w:type="dxa"/>
        <w:tblCellMar>
          <w:top w:w="0" w:type="dxa"/>
          <w:left w:w="0" w:type="dxa"/>
          <w:bottom w:w="0" w:type="dxa"/>
          <w:right w:w="0" w:type="dxa"/>
        </w:tblCellMar>
      </w:tblPr>
      <w:tr>
        <w:trPr>
          <w:trHeight w:val="177"/>
        </w:trPr>
        <w:tc>
          <w:tcPr>
            <w:tcW w:w="4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3"/>
          </w:tcPr>
          <w:p>
            <w:pPr>
              <w:ind w:left="740"/>
              <w:spacing w:after="0" w:line="176" w:lineRule="exact"/>
              <w:rPr>
                <w:sz w:val="20"/>
                <w:szCs w:val="20"/>
                <w:color w:val="auto"/>
              </w:rPr>
            </w:pPr>
            <w:r>
              <w:rPr>
                <w:rFonts w:ascii="Times New Roman" w:cs="Times New Roman" w:eastAsia="Times New Roman" w:hAnsi="Times New Roman"/>
                <w:sz w:val="17"/>
                <w:szCs w:val="17"/>
                <w:b w:val="1"/>
                <w:bCs w:val="1"/>
                <w:color w:val="auto"/>
              </w:rPr>
              <w:t>Six Months Ended</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Post-</w:t>
            </w:r>
          </w:p>
        </w:tc>
        <w:tc>
          <w:tcPr>
            <w:tcW w:w="120" w:type="dxa"/>
            <w:vAlign w:val="bottom"/>
          </w:tcPr>
          <w:p>
            <w:pPr>
              <w:spacing w:after="0"/>
              <w:rPr>
                <w:sz w:val="14"/>
                <w:szCs w:val="14"/>
                <w:color w:val="auto"/>
              </w:rPr>
            </w:pPr>
          </w:p>
        </w:tc>
        <w:tc>
          <w:tcPr>
            <w:tcW w:w="1140" w:type="dxa"/>
            <w:vAlign w:val="bottom"/>
          </w:tcPr>
          <w:p>
            <w:pPr>
              <w:jc w:val="center"/>
              <w:ind w:right="54"/>
              <w:spacing w:after="0" w:line="164" w:lineRule="exact"/>
              <w:rPr>
                <w:sz w:val="20"/>
                <w:szCs w:val="20"/>
                <w:color w:val="auto"/>
              </w:rPr>
            </w:pPr>
            <w:r>
              <w:rPr>
                <w:rFonts w:ascii="Times New Roman" w:cs="Times New Roman" w:eastAsia="Times New Roman" w:hAnsi="Times New Roman"/>
                <w:sz w:val="17"/>
                <w:szCs w:val="17"/>
                <w:b w:val="1"/>
                <w:bCs w:val="1"/>
                <w:color w:val="auto"/>
              </w:rPr>
              <w:t>Derivatives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7"/>
              </w:rPr>
              <w:t>Post-</w:t>
            </w:r>
          </w:p>
        </w:tc>
        <w:tc>
          <w:tcPr>
            <w:tcW w:w="120" w:type="dxa"/>
            <w:vAlign w:val="bottom"/>
          </w:tcPr>
          <w:p>
            <w:pPr>
              <w:spacing w:after="0"/>
              <w:rPr>
                <w:sz w:val="14"/>
                <w:szCs w:val="14"/>
                <w:color w:val="auto"/>
              </w:rPr>
            </w:pPr>
          </w:p>
        </w:tc>
        <w:tc>
          <w:tcPr>
            <w:tcW w:w="1120" w:type="dxa"/>
            <w:vAlign w:val="bottom"/>
          </w:tcPr>
          <w:p>
            <w:pPr>
              <w:jc w:val="center"/>
              <w:ind w:right="14"/>
              <w:spacing w:after="0" w:line="164" w:lineRule="exact"/>
              <w:rPr>
                <w:sz w:val="20"/>
                <w:szCs w:val="20"/>
                <w:color w:val="auto"/>
              </w:rPr>
            </w:pPr>
            <w:r>
              <w:rPr>
                <w:rFonts w:ascii="Times New Roman" w:cs="Times New Roman" w:eastAsia="Times New Roman" w:hAnsi="Times New Roman"/>
                <w:sz w:val="17"/>
                <w:szCs w:val="17"/>
                <w:b w:val="1"/>
                <w:bCs w:val="1"/>
                <w:color w:val="auto"/>
                <w:w w:val="99"/>
              </w:rPr>
              <w:t>Derivatives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74"/>
              <w:spacing w:after="0" w:line="168" w:lineRule="exact"/>
              <w:rPr>
                <w:sz w:val="20"/>
                <w:szCs w:val="20"/>
                <w:color w:val="auto"/>
              </w:rPr>
            </w:pPr>
            <w:r>
              <w:rPr>
                <w:rFonts w:ascii="Times New Roman" w:cs="Times New Roman" w:eastAsia="Times New Roman" w:hAnsi="Times New Roman"/>
                <w:sz w:val="17"/>
                <w:szCs w:val="17"/>
                <w:b w:val="1"/>
                <w:bCs w:val="1"/>
                <w:color w:val="auto"/>
              </w:rPr>
              <w:t>designated as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4"/>
              <w:spacing w:after="0" w:line="168" w:lineRule="exact"/>
              <w:rPr>
                <w:sz w:val="20"/>
                <w:szCs w:val="20"/>
                <w:color w:val="auto"/>
              </w:rPr>
            </w:pPr>
            <w:r>
              <w:rPr>
                <w:rFonts w:ascii="Times New Roman" w:cs="Times New Roman" w:eastAsia="Times New Roman" w:hAnsi="Times New Roman"/>
                <w:sz w:val="17"/>
                <w:szCs w:val="17"/>
                <w:b w:val="1"/>
                <w:bCs w:val="1"/>
                <w:color w:val="auto"/>
              </w:rPr>
              <w:t>designated as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7"/>
                <w:szCs w:val="17"/>
                <w:b w:val="1"/>
                <w:bCs w:val="1"/>
                <w:color w:val="auto"/>
              </w:rPr>
              <w:t>retirement</w:t>
            </w:r>
          </w:p>
        </w:tc>
        <w:tc>
          <w:tcPr>
            <w:tcW w:w="120" w:type="dxa"/>
            <w:vAlign w:val="bottom"/>
          </w:tcPr>
          <w:p>
            <w:pPr>
              <w:spacing w:after="0"/>
              <w:rPr>
                <w:sz w:val="15"/>
                <w:szCs w:val="15"/>
                <w:color w:val="auto"/>
              </w:rPr>
            </w:pPr>
          </w:p>
        </w:tc>
        <w:tc>
          <w:tcPr>
            <w:tcW w:w="114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7"/>
                <w:szCs w:val="17"/>
                <w:b w:val="1"/>
                <w:bCs w:val="1"/>
                <w:color w:val="auto"/>
              </w:rPr>
              <w:t>cash flow</w:t>
            </w:r>
          </w:p>
        </w:tc>
        <w:tc>
          <w:tcPr>
            <w:tcW w:w="14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0" w:type="dxa"/>
            <w:vAlign w:val="bottom"/>
          </w:tcPr>
          <w:p>
            <w:pPr>
              <w:spacing w:after="0"/>
              <w:rPr>
                <w:sz w:val="15"/>
                <w:szCs w:val="15"/>
                <w:color w:val="auto"/>
              </w:rPr>
            </w:pPr>
          </w:p>
        </w:tc>
        <w:tc>
          <w:tcPr>
            <w:tcW w:w="96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7"/>
                <w:szCs w:val="17"/>
                <w:b w:val="1"/>
                <w:bCs w:val="1"/>
                <w:color w:val="auto"/>
              </w:rPr>
              <w:t>retirement</w:t>
            </w:r>
          </w:p>
        </w:tc>
        <w:tc>
          <w:tcPr>
            <w:tcW w:w="120" w:type="dxa"/>
            <w:vAlign w:val="bottom"/>
          </w:tcPr>
          <w:p>
            <w:pPr>
              <w:spacing w:after="0"/>
              <w:rPr>
                <w:sz w:val="15"/>
                <w:szCs w:val="15"/>
                <w:color w:val="auto"/>
              </w:rPr>
            </w:pPr>
          </w:p>
        </w:tc>
        <w:tc>
          <w:tcPr>
            <w:tcW w:w="1120" w:type="dxa"/>
            <w:vAlign w:val="bottom"/>
          </w:tcPr>
          <w:p>
            <w:pPr>
              <w:jc w:val="center"/>
              <w:ind w:right="14"/>
              <w:spacing w:after="0" w:line="181" w:lineRule="exact"/>
              <w:rPr>
                <w:sz w:val="20"/>
                <w:szCs w:val="20"/>
                <w:color w:val="auto"/>
              </w:rPr>
            </w:pPr>
            <w:r>
              <w:rPr>
                <w:rFonts w:ascii="Times New Roman" w:cs="Times New Roman" w:eastAsia="Times New Roman" w:hAnsi="Times New Roman"/>
                <w:sz w:val="17"/>
                <w:szCs w:val="17"/>
                <w:b w:val="1"/>
                <w:bCs w:val="1"/>
                <w:color w:val="auto"/>
              </w:rPr>
              <w:t>cash flow</w:t>
            </w:r>
          </w:p>
        </w:tc>
        <w:tc>
          <w:tcPr>
            <w:tcW w:w="160" w:type="dxa"/>
            <w:vAlign w:val="bottom"/>
          </w:tcPr>
          <w:p>
            <w:pPr>
              <w:spacing w:after="0"/>
              <w:rPr>
                <w:sz w:val="15"/>
                <w:szCs w:val="15"/>
                <w:color w:val="auto"/>
              </w:rPr>
            </w:pPr>
          </w:p>
        </w:tc>
        <w:tc>
          <w:tcPr>
            <w:tcW w:w="64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0"/>
        </w:trPr>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7"/>
              </w:rPr>
              <w:t>plans</w:t>
            </w:r>
          </w:p>
        </w:tc>
        <w:tc>
          <w:tcPr>
            <w:tcW w:w="120" w:type="dxa"/>
            <w:vAlign w:val="bottom"/>
          </w:tcPr>
          <w:p>
            <w:pPr>
              <w:spacing w:after="0"/>
              <w:rPr>
                <w:sz w:val="19"/>
                <w:szCs w:val="19"/>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hedges</w:t>
            </w:r>
          </w:p>
        </w:tc>
        <w:tc>
          <w:tcPr>
            <w:tcW w:w="1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plans</w:t>
            </w:r>
          </w:p>
        </w:tc>
        <w:tc>
          <w:tcPr>
            <w:tcW w:w="120" w:type="dxa"/>
            <w:vAlign w:val="bottom"/>
          </w:tcPr>
          <w:p>
            <w:pPr>
              <w:spacing w:after="0"/>
              <w:rPr>
                <w:sz w:val="19"/>
                <w:szCs w:val="19"/>
                <w:color w:val="auto"/>
              </w:rPr>
            </w:pPr>
          </w:p>
        </w:tc>
        <w:tc>
          <w:tcPr>
            <w:tcW w:w="112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hedges</w:t>
            </w:r>
          </w:p>
        </w:tc>
        <w:tc>
          <w:tcPr>
            <w:tcW w:w="1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center"/>
              <w:ind w:left="254"/>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3"/>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Amounts reclassified from AOCI to earnings, before income taxes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8"/>
                <w:szCs w:val="18"/>
                <w:color w:val="auto"/>
              </w:rPr>
            </w:pPr>
          </w:p>
        </w:tc>
        <w:tc>
          <w:tcPr>
            <w:tcW w:w="680" w:type="dxa"/>
            <w:vAlign w:val="bottom"/>
          </w:tcPr>
          <w:p>
            <w:pPr>
              <w:jc w:val="center"/>
              <w:ind w:left="27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194"/>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9"/>
        </w:trPr>
        <w:tc>
          <w:tcPr>
            <w:tcW w:w="4840" w:type="dxa"/>
            <w:vAlign w:val="bottom"/>
          </w:tcPr>
          <w:p>
            <w:pPr>
              <w:ind w:left="220"/>
              <w:spacing w:after="0" w:line="149" w:lineRule="exact"/>
              <w:rPr>
                <w:sz w:val="20"/>
                <w:szCs w:val="20"/>
                <w:color w:val="auto"/>
              </w:rPr>
            </w:pPr>
            <w:r>
              <w:rPr>
                <w:rFonts w:ascii="Times New Roman" w:cs="Times New Roman" w:eastAsia="Times New Roman" w:hAnsi="Times New Roman"/>
                <w:sz w:val="17"/>
                <w:szCs w:val="17"/>
                <w:color w:val="auto"/>
              </w:rPr>
              <w:t>Amounts reclassified from AOCI to earnings, net of income</w:t>
            </w: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840" w:type="dxa"/>
            <w:vAlign w:val="bottom"/>
          </w:tcPr>
          <w:p>
            <w:pPr>
              <w:ind w:left="220"/>
              <w:spacing w:after="0" w:line="233" w:lineRule="exact"/>
              <w:rPr>
                <w:sz w:val="20"/>
                <w:szCs w:val="20"/>
                <w:color w:val="auto"/>
              </w:rPr>
            </w:pPr>
            <w:r>
              <w:rPr>
                <w:rFonts w:ascii="Times New Roman" w:cs="Times New Roman" w:eastAsia="Times New Roman" w:hAnsi="Times New Roman"/>
                <w:sz w:val="17"/>
                <w:szCs w:val="17"/>
                <w:color w:val="auto"/>
              </w:rPr>
              <w:t>taxes</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0"/>
                <w:szCs w:val="20"/>
                <w:color w:val="auto"/>
              </w:rPr>
            </w:pPr>
          </w:p>
        </w:tc>
        <w:tc>
          <w:tcPr>
            <w:tcW w:w="760" w:type="dxa"/>
            <w:vAlign w:val="bottom"/>
            <w:gridSpan w:val="2"/>
          </w:tcPr>
          <w:p>
            <w:pPr>
              <w:jc w:val="center"/>
              <w:ind w:left="194"/>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Current-period OCI, net of income taxes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ind w:left="27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480" w:hanging="165"/>
        <w:spacing w:after="0"/>
        <w:tabs>
          <w:tab w:leader="none" w:pos="4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The reclassifications from accumulated OCI to net income are included in interest expense, net in the Condensed Consolidated Statements of Operations.</w:t>
      </w:r>
    </w:p>
    <w:tbl>
      <w:tblPr>
        <w:tblLayout w:type="fixed"/>
        <w:tblInd w:w="0" w:type="dxa"/>
        <w:tblCellMar>
          <w:top w:w="0" w:type="dxa"/>
          <w:left w:w="0" w:type="dxa"/>
          <w:bottom w:w="0" w:type="dxa"/>
          <w:right w:w="0" w:type="dxa"/>
        </w:tblCellMar>
      </w:tblPr>
      <w:tr>
        <w:trPr>
          <w:trHeight w:val="194"/>
        </w:trPr>
        <w:tc>
          <w:tcPr>
            <w:tcW w:w="4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3"/>
          </w:tcPr>
          <w:p>
            <w:pPr>
              <w:jc w:val="center"/>
              <w:ind w:left="514"/>
              <w:spacing w:after="0" w:line="194"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3"/>
          </w:tcPr>
          <w:p>
            <w:pPr>
              <w:jc w:val="right"/>
              <w:ind w:right="34"/>
              <w:spacing w:after="0" w:line="194" w:lineRule="exact"/>
              <w:rPr>
                <w:sz w:val="20"/>
                <w:szCs w:val="20"/>
                <w:color w:val="auto"/>
              </w:rPr>
            </w:pPr>
            <w:r>
              <w:rPr>
                <w:rFonts w:ascii="Times New Roman" w:cs="Times New Roman" w:eastAsia="Times New Roman" w:hAnsi="Times New Roman"/>
                <w:sz w:val="17"/>
                <w:szCs w:val="17"/>
                <w:b w:val="1"/>
                <w:bCs w:val="1"/>
                <w:color w:val="auto"/>
              </w:rPr>
              <w:t>Six Months Ended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left="574"/>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Post-</w:t>
            </w:r>
          </w:p>
        </w:tc>
        <w:tc>
          <w:tcPr>
            <w:tcW w:w="140" w:type="dxa"/>
            <w:vAlign w:val="bottom"/>
          </w:tcPr>
          <w:p>
            <w:pPr>
              <w:spacing w:after="0"/>
              <w:rPr>
                <w:sz w:val="14"/>
                <w:szCs w:val="14"/>
                <w:color w:val="auto"/>
              </w:rPr>
            </w:pPr>
          </w:p>
        </w:tc>
        <w:tc>
          <w:tcPr>
            <w:tcW w:w="1140" w:type="dxa"/>
            <w:vAlign w:val="bottom"/>
          </w:tcPr>
          <w:p>
            <w:pPr>
              <w:jc w:val="center"/>
              <w:ind w:right="34"/>
              <w:spacing w:after="0" w:line="164" w:lineRule="exact"/>
              <w:rPr>
                <w:sz w:val="20"/>
                <w:szCs w:val="20"/>
                <w:color w:val="auto"/>
              </w:rPr>
            </w:pPr>
            <w:r>
              <w:rPr>
                <w:rFonts w:ascii="Times New Roman" w:cs="Times New Roman" w:eastAsia="Times New Roman" w:hAnsi="Times New Roman"/>
                <w:sz w:val="17"/>
                <w:szCs w:val="17"/>
                <w:b w:val="1"/>
                <w:bCs w:val="1"/>
                <w:color w:val="auto"/>
                <w:w w:val="99"/>
              </w:rPr>
              <w:t>Derivatives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Post-</w:t>
            </w:r>
          </w:p>
        </w:tc>
        <w:tc>
          <w:tcPr>
            <w:tcW w:w="140" w:type="dxa"/>
            <w:vAlign w:val="bottom"/>
          </w:tcPr>
          <w:p>
            <w:pPr>
              <w:spacing w:after="0"/>
              <w:rPr>
                <w:sz w:val="14"/>
                <w:szCs w:val="14"/>
                <w:color w:val="auto"/>
              </w:rPr>
            </w:pPr>
          </w:p>
        </w:tc>
        <w:tc>
          <w:tcPr>
            <w:tcW w:w="1120" w:type="dxa"/>
            <w:vAlign w:val="bottom"/>
          </w:tcPr>
          <w:p>
            <w:pPr>
              <w:jc w:val="center"/>
              <w:ind w:right="34"/>
              <w:spacing w:after="0" w:line="164" w:lineRule="exact"/>
              <w:rPr>
                <w:sz w:val="20"/>
                <w:szCs w:val="20"/>
                <w:color w:val="auto"/>
              </w:rPr>
            </w:pPr>
            <w:r>
              <w:rPr>
                <w:rFonts w:ascii="Times New Roman" w:cs="Times New Roman" w:eastAsia="Times New Roman" w:hAnsi="Times New Roman"/>
                <w:sz w:val="17"/>
                <w:szCs w:val="17"/>
                <w:b w:val="1"/>
                <w:bCs w:val="1"/>
                <w:color w:val="auto"/>
              </w:rPr>
              <w:t>Derivatives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b w:val="1"/>
                <w:bCs w:val="1"/>
                <w:color w:val="auto"/>
              </w:rPr>
              <w:t>designated as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14"/>
              <w:spacing w:after="0" w:line="168" w:lineRule="exact"/>
              <w:rPr>
                <w:sz w:val="20"/>
                <w:szCs w:val="20"/>
                <w:color w:val="auto"/>
              </w:rPr>
            </w:pPr>
            <w:r>
              <w:rPr>
                <w:rFonts w:ascii="Times New Roman" w:cs="Times New Roman" w:eastAsia="Times New Roman" w:hAnsi="Times New Roman"/>
                <w:sz w:val="17"/>
                <w:szCs w:val="17"/>
                <w:b w:val="1"/>
                <w:bCs w:val="1"/>
                <w:color w:val="auto"/>
              </w:rPr>
              <w:t>designated as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b w:val="1"/>
                <w:bCs w:val="1"/>
                <w:color w:val="auto"/>
              </w:rPr>
              <w:t>retirement</w:t>
            </w:r>
          </w:p>
        </w:tc>
        <w:tc>
          <w:tcPr>
            <w:tcW w:w="140" w:type="dxa"/>
            <w:vAlign w:val="bottom"/>
          </w:tcPr>
          <w:p>
            <w:pPr>
              <w:spacing w:after="0"/>
              <w:rPr>
                <w:sz w:val="14"/>
                <w:szCs w:val="14"/>
                <w:color w:val="auto"/>
              </w:rPr>
            </w:pPr>
          </w:p>
        </w:tc>
        <w:tc>
          <w:tcPr>
            <w:tcW w:w="114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b w:val="1"/>
                <w:bCs w:val="1"/>
                <w:color w:val="auto"/>
              </w:rPr>
              <w:t>cash flow</w:t>
            </w:r>
          </w:p>
        </w:tc>
        <w:tc>
          <w:tcPr>
            <w:tcW w:w="160" w:type="dxa"/>
            <w:vAlign w:val="bottom"/>
          </w:tcPr>
          <w:p>
            <w:pPr>
              <w:spacing w:after="0"/>
              <w:rPr>
                <w:sz w:val="14"/>
                <w:szCs w:val="14"/>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0" w:type="dxa"/>
            <w:vAlign w:val="bottom"/>
          </w:tcPr>
          <w:p>
            <w:pPr>
              <w:spacing w:after="0"/>
              <w:rPr>
                <w:sz w:val="14"/>
                <w:szCs w:val="14"/>
                <w:color w:val="auto"/>
              </w:rPr>
            </w:pPr>
          </w:p>
        </w:tc>
        <w:tc>
          <w:tcPr>
            <w:tcW w:w="94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b w:val="1"/>
                <w:bCs w:val="1"/>
                <w:color w:val="auto"/>
              </w:rPr>
              <w:t>retirement</w:t>
            </w:r>
          </w:p>
        </w:tc>
        <w:tc>
          <w:tcPr>
            <w:tcW w:w="140" w:type="dxa"/>
            <w:vAlign w:val="bottom"/>
          </w:tcPr>
          <w:p>
            <w:pPr>
              <w:spacing w:after="0"/>
              <w:rPr>
                <w:sz w:val="14"/>
                <w:szCs w:val="14"/>
                <w:color w:val="auto"/>
              </w:rPr>
            </w:pPr>
          </w:p>
        </w:tc>
        <w:tc>
          <w:tcPr>
            <w:tcW w:w="1120" w:type="dxa"/>
            <w:vAlign w:val="bottom"/>
          </w:tcPr>
          <w:p>
            <w:pPr>
              <w:jc w:val="center"/>
              <w:ind w:right="34"/>
              <w:spacing w:after="0" w:line="168" w:lineRule="exact"/>
              <w:rPr>
                <w:sz w:val="20"/>
                <w:szCs w:val="20"/>
                <w:color w:val="auto"/>
              </w:rPr>
            </w:pPr>
            <w:r>
              <w:rPr>
                <w:rFonts w:ascii="Times New Roman" w:cs="Times New Roman" w:eastAsia="Times New Roman" w:hAnsi="Times New Roman"/>
                <w:sz w:val="17"/>
                <w:szCs w:val="17"/>
                <w:b w:val="1"/>
                <w:bCs w:val="1"/>
                <w:color w:val="auto"/>
              </w:rPr>
              <w:t>cash flow</w:t>
            </w:r>
          </w:p>
        </w:tc>
        <w:tc>
          <w:tcPr>
            <w:tcW w:w="160" w:type="dxa"/>
            <w:vAlign w:val="bottom"/>
          </w:tcPr>
          <w:p>
            <w:pPr>
              <w:spacing w:after="0"/>
              <w:rPr>
                <w:sz w:val="14"/>
                <w:szCs w:val="14"/>
                <w:color w:val="auto"/>
              </w:rPr>
            </w:pPr>
          </w:p>
        </w:tc>
        <w:tc>
          <w:tcPr>
            <w:tcW w:w="64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3"/>
        </w:trPr>
        <w:tc>
          <w:tcPr>
            <w:tcW w:w="4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7"/>
              </w:rPr>
              <w:t>plans</w:t>
            </w:r>
          </w:p>
        </w:tc>
        <w:tc>
          <w:tcPr>
            <w:tcW w:w="140" w:type="dxa"/>
            <w:vAlign w:val="bottom"/>
          </w:tcPr>
          <w:p>
            <w:pPr>
              <w:spacing w:after="0"/>
              <w:rPr>
                <w:sz w:val="20"/>
                <w:szCs w:val="20"/>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hedges</w:t>
            </w:r>
          </w:p>
        </w:tc>
        <w:tc>
          <w:tcPr>
            <w:tcW w:w="16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7"/>
              </w:rPr>
              <w:t>plans</w:t>
            </w:r>
          </w:p>
        </w:tc>
        <w:tc>
          <w:tcPr>
            <w:tcW w:w="140" w:type="dxa"/>
            <w:vAlign w:val="bottom"/>
          </w:tcPr>
          <w:p>
            <w:pPr>
              <w:spacing w:after="0"/>
              <w:rPr>
                <w:sz w:val="20"/>
                <w:szCs w:val="20"/>
                <w:color w:val="auto"/>
              </w:rPr>
            </w:pPr>
          </w:p>
        </w:tc>
        <w:tc>
          <w:tcPr>
            <w:tcW w:w="112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hedges</w:t>
            </w: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center"/>
              <w:ind w:left="834"/>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3"/>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OCI, before reclassifications and income taxes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140" w:type="dxa"/>
            <w:vAlign w:val="bottom"/>
          </w:tcPr>
          <w:p>
            <w:pPr>
              <w:jc w:val="center"/>
              <w:ind w:left="814"/>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taxes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834"/>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OCI before reclassifications, net of income taxes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814"/>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Amounts reclassified from AOCI to earnings, before income taxes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814"/>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0"/>
        </w:trPr>
        <w:tc>
          <w:tcPr>
            <w:tcW w:w="4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Income taxes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834"/>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7"/>
                <w:szCs w:val="17"/>
                <w:color w:val="auto"/>
              </w:rPr>
              <w:t>Amounts reclassified from AOCI to earnings, net of income</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840" w:type="dxa"/>
            <w:vAlign w:val="bottom"/>
            <w:shd w:val="clear" w:color="auto" w:fill="CCEEFF"/>
          </w:tcPr>
          <w:p>
            <w:pPr>
              <w:ind w:left="220"/>
              <w:spacing w:after="0" w:line="233" w:lineRule="exact"/>
              <w:rPr>
                <w:sz w:val="20"/>
                <w:szCs w:val="20"/>
                <w:color w:val="auto"/>
              </w:rPr>
            </w:pPr>
            <w:r>
              <w:rPr>
                <w:rFonts w:ascii="Times New Roman" w:cs="Times New Roman" w:eastAsia="Times New Roman" w:hAnsi="Times New Roman"/>
                <w:sz w:val="17"/>
                <w:szCs w:val="17"/>
                <w:color w:val="auto"/>
              </w:rPr>
              <w:t>taxes</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center"/>
              <w:ind w:left="814"/>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Current-period OCI, net of income taxes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814"/>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center"/>
              <w:ind w:left="814"/>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jc w:val="center"/>
        <w:ind w:left="5540" w:right="160" w:hanging="5225"/>
        <w:spacing w:after="0" w:line="874" w:lineRule="auto"/>
        <w:tabs>
          <w:tab w:leader="none" w:pos="491"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reclassifications from accumulated OCI to net income are included in interest expense, net in the Condensed Consolidated Statements of Operations.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-370840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Fair Value Measurements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68"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The financial instruments measured at fair value in the accompanying condensed consolidated balance sheets consisted of the following at the periods presented below:</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28"/>
        </w:trPr>
        <w:tc>
          <w:tcPr>
            <w:tcW w:w="4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6"/>
          </w:tcPr>
          <w:p>
            <w:pPr>
              <w:jc w:val="center"/>
              <w:ind w:left="474"/>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6"/>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760" w:type="dxa"/>
            <w:vAlign w:val="bottom"/>
            <w:tcBorders>
              <w:bottom w:val="single" w:sz="8" w:color="auto"/>
            </w:tcBorders>
          </w:tcPr>
          <w:p>
            <w:pPr>
              <w:spacing w:after="0"/>
              <w:rPr>
                <w:sz w:val="19"/>
                <w:szCs w:val="19"/>
                <w:color w:val="auto"/>
              </w:rPr>
            </w:pPr>
          </w:p>
        </w:tc>
      </w:tr>
      <w:tr>
        <w:trPr>
          <w:trHeight w:val="213"/>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6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Level 2</w:t>
            </w:r>
          </w:p>
        </w:tc>
        <w:tc>
          <w:tcPr>
            <w:tcW w:w="18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0"/>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20"/>
        </w:trPr>
        <w:tc>
          <w:tcPr>
            <w:tcW w:w="4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derivative 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Long-term deferred compensation plan asset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4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derivative 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Long-term derivative instruments</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4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Long-term deferred compensation plan liability</w:t>
            </w:r>
          </w:p>
        </w:tc>
        <w:tc>
          <w:tcPr>
            <w:tcW w:w="14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did not have any Level 3 assets or liabilities as of September 30, 2025 or March 31,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Derivatives</w:t>
      </w:r>
    </w:p>
    <w:p>
      <w:pPr>
        <w:spacing w:after="0" w:line="1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Company utilizes interest rate derivative financial instruments, which were designated as cash flow hedges, to manage its exposure to interest rate risk related to its variable rate debt and reducing volatility of interest expense as the variable-to-fixed interest rate swaps effectively convert a portion of the variable rate debt into fixed interest rate debt. The Company’s outstanding interest rate swaps have a total notional amount of $350 million as of September 30, 2025 and mature from June 30, 2026 to June 30, 2027.</w:t>
      </w:r>
    </w:p>
    <w:p>
      <w:pPr>
        <w:spacing w:after="0" w:line="6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Company’s interest rate swaps are considered over-the-counter derivatives which are recorded in the condensed consolidated balance sheet on a gross basis at estimated fair value. Fair value is estimated based on the present value of future cash flows using a model-derived valuation that uses Level 2 observable inputs such as interest rate yield curves. The changes in the fair value of interest rate swaps designated as cash flow hedges are recorded in AOCI, net of taxes, and are subsequently reclassified into interest expense, net in the period that the hedged forecasted interest payments are made on the Company's variable-rate debt. Over the next 12 months, the Company estimates that approximately $1 million will be reclassified as an increase to interest expense. Cash flows associated with periodic settlements of interest rate swaps are classified as operating activities in the condensed consolidated statement of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Deferred Compensation Plans</w:t>
      </w:r>
    </w:p>
    <w:p>
      <w:pPr>
        <w:spacing w:after="0" w:line="11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are recorded in other long-term assets and represent investments held in a consolidated trust to fund the Company's non-qualified deferred compensation plan, which is recorded in other long-term liabilities on our condensed consolidated balance sheets.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Marketable Securities</w:t>
      </w:r>
    </w:p>
    <w:p>
      <w:pPr>
        <w:spacing w:after="0" w:line="6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7"/>
          <w:szCs w:val="17"/>
          <w:color w:val="auto"/>
        </w:rPr>
        <w:t>The fair value of the Company's cash and cash equivalents, which are Level 1 inputs, approximated its carrying value at September 30, 2025 and March 31, 2025. The Company’s cash and cash equivalent balances presented on the accompanying condensed consolidated balance sheets include $370 million and $802 million of marketable securities in money market funds as of September 30, 2025 and March 31, 2025,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Debt</w:t>
      </w:r>
    </w:p>
    <w:p>
      <w:pPr>
        <w:spacing w:after="0" w:line="6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Company's long-term debt is carried at amortized cost and fair value is disclosed on a quarterly basis. The estimated fair values of debt are determined using quoted prices or other market information obtained from recent trading activity of the debt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are determined using quoted prices or other market information obtained from recent trading activity in the high-yield bond market (Level 2 inputs). The estimated fair value of long-term debt as of September 30, 2025 and March 31, 2025 was $3,991 million and $3,954 million, respectively.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68" w:lineRule="exact"/>
        <w:rPr>
          <w:sz w:val="20"/>
          <w:szCs w:val="20"/>
          <w:color w:val="auto"/>
        </w:rPr>
      </w:pPr>
    </w:p>
    <w:p>
      <w:pPr>
        <w:jc w:val="both"/>
        <w:ind w:right="220"/>
        <w:spacing w:after="0" w:line="273" w:lineRule="auto"/>
        <w:rPr>
          <w:sz w:val="20"/>
          <w:szCs w:val="20"/>
          <w:color w:val="auto"/>
        </w:rPr>
      </w:pPr>
      <w:r>
        <w:rPr>
          <w:rFonts w:ascii="Times New Roman" w:cs="Times New Roman" w:eastAsia="Times New Roman" w:hAnsi="Times New Roman"/>
          <w:sz w:val="17"/>
          <w:szCs w:val="17"/>
          <w:color w:val="auto"/>
        </w:rPr>
        <w:t>As of September 30, 2025 and March 31, 2025, the total of our investments that are accounted for at fair value on a non-recurring basis under the measurement alternative were $103 million and $85 million, respectively. While these assets are not measured at fair value on an ongoing basis, they are subject to fair value adjustments in certain circumstances (e.g., observable price changes or impairment).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Commitments and Contingencies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Contracting Matters - Provision for Claimed Costs</w:t>
      </w:r>
    </w:p>
    <w:p>
      <w:pPr>
        <w:spacing w:after="0" w:line="68"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U.S. government contracts and subcontracts are subject to extensive legal and regulatory requirements. From time to time and in the ordinary course of business, agencies of the U.S. government, including the Defense Contract Audit Agency (“DCAA”), audit the Company’s claimed costs and conduct inquiries and investigations of our business practices with respect to government contracts to determine whether the Company's operations are conducted in accordance with these requirements and the terms of the relevant contracts.</w:t>
      </w:r>
    </w:p>
    <w:p>
      <w:pPr>
        <w:spacing w:after="0" w:line="1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As of September 30, 2025 and March 31, 2025, the Company had recorded liabilities of approximately $247 million and $245 million, respectively, for estimated adjustments to claimed costs based on its historical DCAA audit results, including the final resolution of such audits with DCMA, for claimed costs incurred subsequent to fiscal 2011.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customers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Supplemental Condensed Consolidated Financial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Severance and Related Charges</w:t>
      </w:r>
    </w:p>
    <w:p>
      <w:pPr>
        <w:spacing w:after="0" w:line="68"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The Company incurs costs related to employee severance and related charges including stock-based compensation, employee benefits and payroll taxes related to employees terminated pursuant to cost management initiatives. The Company records these costs when it is probable that employees will be entitled to termination benefits and the amounts can be reasonably estimated.</w:t>
      </w:r>
    </w:p>
    <w:p>
      <w:pPr>
        <w:spacing w:after="0" w:line="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 the first quarter of fiscal 2026, the Company’s condensed consolidated statement of operations included $36 million of severance and related expenses resulting from a cost management initiative and restructuring of the Civil business, comprised of $30 million in cost of revenue expenses and $6 million in general and administrative expenses. As of September 30, 2025, there are no remaining liabilities associated with this restructuring.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third quarter of fiscal 2026, the Company began actions to reduce cost by approximately $150 million annually.</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16"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7"/>
          <w:szCs w:val="17"/>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5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2025 filed with the Securities and Exchange Commission on May 23, 2025,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66" w:lineRule="exact"/>
        <w:rPr>
          <w:sz w:val="20"/>
          <w:szCs w:val="20"/>
          <w:color w:val="auto"/>
        </w:rPr>
      </w:pPr>
    </w:p>
    <w:p>
      <w:pPr>
        <w:ind w:right="380"/>
        <w:spacing w:after="0" w:line="351" w:lineRule="auto"/>
        <w:rPr>
          <w:sz w:val="20"/>
          <w:szCs w:val="20"/>
          <w:color w:val="auto"/>
        </w:rPr>
      </w:pPr>
      <w:r>
        <w:rPr>
          <w:rFonts w:ascii="Times New Roman" w:cs="Times New Roman" w:eastAsia="Times New Roman" w:hAnsi="Times New Roman"/>
          <w:sz w:val="17"/>
          <w:szCs w:val="17"/>
          <w:i w:val="1"/>
          <w:iCs w:val="1"/>
          <w:color w:val="auto"/>
        </w:rPr>
        <w:t xml:space="preserve">Our fiscal year ends March 31 and, unless otherwise noted, references to years or fiscal are for fiscal years ended March 31. See “—Results of Operations.” </w:t>
      </w:r>
      <w:r>
        <w:rPr>
          <w:rFonts w:ascii="Times New Roman" w:cs="Times New Roman" w:eastAsia="Times New Roman" w:hAnsi="Times New Roman"/>
          <w:sz w:val="17"/>
          <w:szCs w:val="17"/>
          <w:b w:val="1"/>
          <w:bCs w:val="1"/>
          <w:color w:val="auto"/>
        </w:rPr>
        <w:t>Overview</w:t>
      </w:r>
    </w:p>
    <w:p>
      <w:pPr>
        <w:spacing w:after="0" w:line="1" w:lineRule="exact"/>
        <w:rPr>
          <w:sz w:val="20"/>
          <w:szCs w:val="20"/>
          <w:color w:val="auto"/>
        </w:rPr>
      </w:pPr>
    </w:p>
    <w:p>
      <w:pPr>
        <w:jc w:val="both"/>
        <w:ind w:right="280"/>
        <w:spacing w:after="0" w:line="273" w:lineRule="auto"/>
        <w:rPr>
          <w:sz w:val="20"/>
          <w:szCs w:val="20"/>
          <w:color w:val="auto"/>
        </w:rPr>
      </w:pPr>
      <w:r>
        <w:rPr>
          <w:rFonts w:ascii="Times New Roman" w:cs="Times New Roman" w:eastAsia="Times New Roman" w:hAnsi="Times New Roman"/>
          <w:sz w:val="17"/>
          <w:szCs w:val="17"/>
          <w:color w:val="auto"/>
        </w:rPr>
        <w:t>Trusted to transform missions with the power of tomorrow’s technologies, Booz Allen advances the nation’s most critical civil, defense, and national security priorities. As an advanced technology company, we build technology solutions using AI, cyber, and other cutting-edge technologies to advance and protect the nation and its citizens. By focusing on outcomes, we enable our people and customers to transform missions for the nation.</w:t>
      </w:r>
    </w:p>
    <w:p>
      <w:pPr>
        <w:spacing w:after="0" w:line="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Our approximately 32,500 employees support critical missions for a diverse base of federal government customers, including nearly all of the U.S. government's cabinet-level departments, as well as for commercial customers, both domestically and in select international locations. Our work is designed to protect soldiers in combat, secure our national infrastructure, enable enhanced digital services, and improve government efficiency to achieve better outcomes. Drawing on our deep expertise and leading position as a cybersecurity provider, we bring advanced tradecraft to commercial customers across industries, including financial services, health and life sciences, energy, and technology.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and Trends Affecting Our Results of Operations</w:t>
      </w:r>
    </w:p>
    <w:p>
      <w:pPr>
        <w:spacing w:after="0" w:line="66"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Our results of operations have been, and we expect them to continue to be, affected by the following factors, which may cause our future results of operations to differ from our historical results of operations discussed under “—Results of Operations.” As a result, we began actions in October to reduce cost by approximately $150 million annually.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Budgetary and Regulatory Environment</w:t>
      </w:r>
    </w:p>
    <w:p>
      <w:pPr>
        <w:spacing w:after="0" w:line="68"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7"/>
          <w:szCs w:val="17"/>
          <w:color w:val="auto"/>
        </w:rPr>
        <w:t>The U.S. continues to face an uncertain and evolving budgetary and regulatory environment, and we expect this uncertainty will continue. Our business performance is affected by the overall level of U.S. government spending and the alignment of our offerings and capabilities with the spending priorities of the U.S. government.</w:t>
      </w:r>
    </w:p>
    <w:p>
      <w:pPr>
        <w:spacing w:after="0" w:line="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U.S. government is driving changes in the structure and priorities of U.S. government agencies and the U.S. government is currently in the process of reviewing spending across U.S. government agencies to ensure it aligns with the administration’s priorities of maximizing governmental efficiency and productivity. We have been, and will continue to be, subject to these reviews, and we have had, and may in the future have, certain of our contracts impacted, reduced or canceled as a result of these reviews. We have also experienced price adjustments and renegotiations prior to option exercise of certain of our contracts as a result of these reviews and may in the future continue to experience such adjustments. Further, we are, and may in the future be, subject to customer mandates to formulate additional methods by which to achieve efficiencies in providing our services, and we remain in ongoing discussions with various U.S. government departments and agencies in relation to cost reductions and other potential contract modifications. There can be no assurance that these reviews will not ultimately have a material adverse impact on our business and financial performance. There has been a marked increase in negative publicity regarding government contractors (including the Company) in connection with the U.S. government’s efforts to improve efficiency and reduce costs, which could harm our reputation and could have a material impact on our business, results of operations and financial condition.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administration is putting in place a number of Executive Orders and actions that have and could continue to affect our business. U.S. government agencies are also undertaking their own independent reviews of their contract portfolios and reviewing future procurements in response to recent Executive Orders focused on efficiency in government procurement. At the same time that the scrutiny is increasing, there have been reductions in personnel at U.S. government agencies with which we do business. These reductions in personnel, along with the changing regulatory environment, has led to a slowed procurement environment, with delays in the granting of new contract awards, increased willingness by agencies to not spend government money, delays in the processing of payments by government payment offices, as well as increased processing times for security clearances and other governmental consents. This slowed procurement environment has resulted in a substantial reduction in the ordinary end of government fiscal year funding surge when compared to prior fiscal years and, in the aggregate, has resulted in negative impacts to our business and financial performance.</w:t>
      </w:r>
    </w:p>
    <w:p>
      <w:pPr>
        <w:spacing w:after="0" w:line="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President has issued two specific Executive Orders that may cause future changes, the impact of which remains uncertain, that are intended to (i) simplify and accelerate the procurement process through a review and restructuring of the Federal Acquisition Regulation (“FAR”), and its supplements and (ii) modernize defense acquisitions by promoting commercial solutions, innovative acquisition authorities, and other existing streamlined processes. Likewise, both the House and Senate versions of the National Defense Authorization Act contemplate “generational” procurement reforms that introduce further uncertainty. The Senate draft contains a provision that would favor new entrants over traditional defense contractors by removing certain obligations only for new entrants. While the impact of these reforms on our business is uncertain, they could potentially lead to changes in the way we interact with the U.S. government. If certain commercial preferences are narrowly defined, these reforms could introduce new barriers that reduce the likelihood of direct award to companies such as Booz Allen.</w:t>
      </w:r>
    </w:p>
    <w:p>
      <w:pPr>
        <w:spacing w:after="0" w:line="22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On March 15, 2025, the President signed into law the Full-Year Continuing Appropriations and Extensions Act, 2025, which funded the U.S. government under a continuing resolution through September 30, 2025. At this time, Congress has failed to approve additional appropriations to fund the U.S. government, resulting in a government shutdown. A prolonged government shutdown is expected to have a negative impact on our business, financial condition and operating results.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Backlog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define backlog to include the following three components:</w:t>
      </w:r>
    </w:p>
    <w:p>
      <w:pPr>
        <w:spacing w:after="0" w:line="62" w:lineRule="exact"/>
        <w:rPr>
          <w:sz w:val="20"/>
          <w:szCs w:val="20"/>
          <w:color w:val="auto"/>
        </w:rPr>
      </w:pPr>
    </w:p>
    <w:p>
      <w:pPr>
        <w:ind w:left="620" w:right="520" w:hanging="305"/>
        <w:spacing w:after="0" w:line="286" w:lineRule="auto"/>
        <w:tabs>
          <w:tab w:leader="none" w:pos="616"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Funded Backlog. </w:t>
      </w:r>
      <w:r>
        <w:rPr>
          <w:rFonts w:ascii="Times New Roman" w:cs="Times New Roman" w:eastAsia="Times New Roman" w:hAnsi="Times New Roman"/>
          <w:sz w:val="17"/>
          <w:szCs w:val="17"/>
          <w:color w:val="auto"/>
        </w:rPr>
        <w:t>Funded backlog represents the revenue value of orders for services under existing contracts for which funding is appropriated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otherwise authorized less revenue previously recognized on these contracts.</w:t>
      </w:r>
    </w:p>
    <w:p>
      <w:pPr>
        <w:ind w:left="620" w:right="140" w:hanging="305"/>
        <w:spacing w:after="0" w:line="286"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Unfunded Backlog. </w:t>
      </w:r>
      <w:r>
        <w:rPr>
          <w:rFonts w:ascii="Times New Roman" w:cs="Times New Roman" w:eastAsia="Times New Roman" w:hAnsi="Times New Roman"/>
          <w:sz w:val="17"/>
          <w:szCs w:val="17"/>
          <w:color w:val="auto"/>
        </w:rPr>
        <w:t>Unfunded backlog represents the revenue value of orders (including optional orders) for services under existing contracts for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funding has not been appropriated or otherwise authorized.</w:t>
      </w:r>
    </w:p>
    <w:p>
      <w:pPr>
        <w:ind w:left="620" w:right="280" w:hanging="305"/>
        <w:spacing w:after="0" w:line="294"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Priced Options. </w:t>
      </w:r>
      <w:r>
        <w:rPr>
          <w:rFonts w:ascii="Times New Roman" w:cs="Times New Roman" w:eastAsia="Times New Roman" w:hAnsi="Times New Roman"/>
          <w:sz w:val="17"/>
          <w:szCs w:val="17"/>
          <w:color w:val="auto"/>
        </w:rPr>
        <w:t>Priced contract options represent 100% of the revenue value of all future contract option periods under existing contracts that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exercised at our customers’ option and for which funding has not been appropriated or otherwise authorized.</w:t>
      </w:r>
    </w:p>
    <w:p>
      <w:pPr>
        <w:spacing w:after="0" w:line="42"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Our backlog does not include contracts that have been awarded but are currently under protest and also does not include any task orders under indefinite delivery/indefinite quantity (“IDIQ”) contracts, General Services Administration (“GSA”) Multiple Award schedule contracts (“GSA schedules”) or other master agreement contract vehicles, except to the extent that task orders have been awarded to us under those contracts.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value of our contract backlog as of the respective periods presented:</w:t>
      </w:r>
    </w:p>
    <w:p>
      <w:pPr>
        <w:spacing w:after="0" w:line="29" w:lineRule="exact"/>
        <w:rPr>
          <w:sz w:val="20"/>
          <w:szCs w:val="20"/>
          <w:color w:val="auto"/>
        </w:rPr>
      </w:pPr>
    </w:p>
    <w:tbl>
      <w:tblPr>
        <w:tblLayout w:type="fixed"/>
        <w:tblInd w:w="820" w:type="dxa"/>
        <w:tblCellMar>
          <w:top w:w="0" w:type="dxa"/>
          <w:left w:w="0" w:type="dxa"/>
          <w:bottom w:w="0" w:type="dxa"/>
          <w:right w:w="0" w:type="dxa"/>
        </w:tblCellMar>
      </w:tblPr>
      <w:tr>
        <w:trPr>
          <w:trHeight w:val="195"/>
        </w:trPr>
        <w:tc>
          <w:tcPr>
            <w:tcW w:w="6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60" w:type="dxa"/>
            <w:vAlign w:val="bottom"/>
          </w:tcPr>
          <w:p>
            <w:pPr>
              <w:spacing w:after="0"/>
              <w:rPr>
                <w:sz w:val="16"/>
                <w:szCs w:val="16"/>
                <w:color w:val="auto"/>
              </w:rPr>
            </w:pPr>
          </w:p>
        </w:tc>
        <w:tc>
          <w:tcPr>
            <w:tcW w:w="138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31"/>
        </w:trPr>
        <w:tc>
          <w:tcPr>
            <w:tcW w:w="6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4"/>
          </w:tcPr>
          <w:p>
            <w:pPr>
              <w:jc w:val="right"/>
              <w:ind w:right="1054"/>
              <w:spacing w:after="0"/>
              <w:rPr>
                <w:sz w:val="20"/>
                <w:szCs w:val="20"/>
                <w:color w:val="auto"/>
              </w:rPr>
            </w:pPr>
            <w:r>
              <w:rPr>
                <w:rFonts w:ascii="Times New Roman" w:cs="Times New Roman" w:eastAsia="Times New Roman" w:hAnsi="Times New Roman"/>
                <w:sz w:val="17"/>
                <w:szCs w:val="17"/>
                <w:b w:val="1"/>
                <w:bCs w:val="1"/>
                <w:color w:val="auto"/>
              </w:rPr>
              <w:t>(In millions)</w:t>
            </w:r>
          </w:p>
        </w:tc>
      </w:tr>
      <w:tr>
        <w:trPr>
          <w:trHeight w:val="220"/>
        </w:trPr>
        <w:tc>
          <w:tcPr>
            <w:tcW w:w="644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Backlog</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0"/>
        </w:trPr>
        <w:tc>
          <w:tcPr>
            <w:tcW w:w="6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Funded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5,794</w:t>
            </w:r>
          </w:p>
        </w:tc>
      </w:tr>
      <w:tr>
        <w:trPr>
          <w:trHeight w:val="220"/>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Unfunded</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8,946</w:t>
            </w:r>
          </w:p>
        </w:tc>
      </w:tr>
      <w:tr>
        <w:trPr>
          <w:trHeight w:val="220"/>
        </w:trPr>
        <w:tc>
          <w:tcPr>
            <w:tcW w:w="6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Priced options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24,326</w:t>
            </w:r>
          </w:p>
        </w:tc>
      </w:tr>
      <w:tr>
        <w:trPr>
          <w:trHeight w:val="238"/>
        </w:trPr>
        <w:tc>
          <w:tcPr>
            <w:tcW w:w="64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backlog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39,066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280" w:right="1000" w:hanging="155"/>
        <w:spacing w:after="0" w:line="212"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Amounts reflect the Company’s change in policy during the fourth quarter of fiscal 2025 to exclude contracts for which the period of performance has expired.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Our total backlog consists of contractual values which is inclusive of remaining performance obligations, unexercised option periods and other unexercised optional orders. As of September 30, 2025 and March 31, 2025, the Company had $12.1 billion and $9.5 billion of remaining performance obligations, respectively, and we expect to recognize approximately 65% of the remaining performance obligations as of September 30, 2025 as revenue over the next 12 months, and approximately 70% over the next 24 months. The remainder is expected to be recognized thereafter. We also expect to recognize revenue from a substantial portion of funded backlog as of September 30, 2025, within the next twelve months. However, given the uncertainties discussed below, as well as the risks described in “Item 1A. Risk Factors” of our Annual Report on Form 10-K for the fiscal year ended March 31, 2025, we can give no assurance that we will be able to convert our performance obligations or funded backlog into revenue in any particular period, if at all. Our backlog includes orders under contracts that in some cases extend for several years. The U.S. Congress generally appropriates funds for our customers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7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We view growth in total backlog as a key measure of our potential business growth. Total backlog increased by 3% from September 30, 2024 to September 30, 2025. Additions to funded backlog during the twelve months ended September 30, 2025 and 2024 totaled $11.4 billion and $11.7 billion, respectively, as a result of the conversion of unfunded backlog to funded backlog, the award of new contracts and task orders under which funding was appropriated, and the exercise and subsequent funding of priced options.</w:t>
      </w:r>
    </w:p>
    <w:p>
      <w:pPr>
        <w:spacing w:after="0" w:line="6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include contract modifications, including reductions in contract value, a reduction in U.S. government spending, whether due to cost cutting initiatives or other efforts to reduce spending, delayed funding of our contracts, and the other risks and factors listed under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U.S. Budgetary and Regulatory Environment” in this Quarterly Report, as well as those listed under “Risk Factors” in our Annual Report on Form 10-K for the year ended March 31, 2025. In addition, the amount of our funded backlog is also subject to change due to these factors. In our recent experience, the slowed procurement environment and reductions in contract value have had a negative effect on our ability to convert backlog to revenue as of September 30, 2025, and could have additional impacts in the future to our business and financial performance.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 and Policies</w:t>
      </w:r>
    </w:p>
    <w:p>
      <w:pPr>
        <w:spacing w:after="0" w:line="118"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2025.</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items from our condensed consolidated statements of operations for the respective periods shown: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4"/>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4"/>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Six Months Ended</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3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9"/>
        </w:trPr>
        <w:tc>
          <w:tcPr>
            <w:tcW w:w="3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7"/>
                <w:szCs w:val="17"/>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60" w:type="dxa"/>
            <w:vAlign w:val="bottom"/>
          </w:tcPr>
          <w:p>
            <w:pPr>
              <w:spacing w:after="0"/>
              <w:rPr>
                <w:sz w:val="17"/>
                <w:szCs w:val="17"/>
                <w:color w:val="auto"/>
              </w:rPr>
            </w:pP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7"/>
                <w:szCs w:val="17"/>
                <w:color w:val="auto"/>
              </w:rPr>
            </w:pP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8"/>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4"/>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2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8"/>
                <w:szCs w:val="18"/>
                <w:color w:val="auto"/>
              </w:rPr>
            </w:pPr>
          </w:p>
        </w:tc>
        <w:tc>
          <w:tcPr>
            <w:tcW w:w="2500" w:type="dxa"/>
            <w:vAlign w:val="bottom"/>
            <w:gridSpan w:val="4"/>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00" w:type="dxa"/>
            <w:vAlign w:val="bottom"/>
          </w:tcPr>
          <w:p>
            <w:pPr>
              <w:spacing w:after="0"/>
              <w:rPr>
                <w:sz w:val="18"/>
                <w:szCs w:val="18"/>
                <w:color w:val="auto"/>
              </w:rPr>
            </w:pP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3"/>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5,814</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5"/>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5"/>
        </w:trPr>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Billable expenses</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0"/>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05"/>
        </w:trPr>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33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198"/>
        </w:trPr>
        <w:tc>
          <w:tcPr>
            <w:tcW w:w="33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05"/>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3"/>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5"/>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2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1" w:lineRule="exact"/>
        <w:rPr>
          <w:sz w:val="20"/>
          <w:szCs w:val="20"/>
          <w:color w:val="auto"/>
        </w:rPr>
      </w:pPr>
    </w:p>
    <w:p>
      <w:pPr>
        <w:jc w:val="both"/>
        <w:ind w:right="60"/>
        <w:spacing w:after="0" w:line="238" w:lineRule="auto"/>
        <w:rPr>
          <w:sz w:val="20"/>
          <w:szCs w:val="20"/>
          <w:color w:val="auto"/>
        </w:rPr>
      </w:pPr>
      <w:r>
        <w:rPr>
          <w:rFonts w:ascii="Times New Roman" w:cs="Times New Roman" w:eastAsia="Times New Roman" w:hAnsi="Times New Roman"/>
          <w:sz w:val="17"/>
          <w:szCs w:val="17"/>
          <w:color w:val="auto"/>
        </w:rPr>
        <w:t>Revenue decreased 8% to $2,890 million, and 5% to $5,814 million, respectively, for the three and six months ended September 30, 2025 compared to the prior year period. The decrease was primarily driven by a decrease in headcount due to the impact of a slowed procurement environment and continued uncertainty in the U.S. government and regulatory environment. In addition, revenue was positively impacted in the prior year by $122 million representing the reduction to our provision for claimed costs recorded during the second quarter of fiscal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105"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72"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7"/>
          <w:szCs w:val="17"/>
          <w:color w:val="auto"/>
        </w:rPr>
        <w:t>Cost of revenue includes direct labor, related employee benefits, and overhead. Overhead consists of indirect costs, including indirect labor relating to infrastructure, management and administration, and other expenses. Cost of revenue as a percentage of revenue was 46% and 43% for the three months ended September 30, 2025 and 2024, respectively, and 48% and 45% for the six months ended September 30, 2025 and 2024, respectively. Cost of revenue decreased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and increased 1% for the three and six months ended September 30, 2025, respectively, as compared to the three and six months ended September 30, 2024.</w:t>
      </w:r>
    </w:p>
    <w:p>
      <w:pPr>
        <w:spacing w:after="0" w:line="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decrease for the quarter-to-date period was primarily due to decreases in salaries and related benefits due to overall headcount reductions. The increase for the year-to-date period was primarily due to increases in salary and related benefits. Cost of revenue for the year-to-date period includes costs incurred related to employee severance and related charges from the restructuring disclosed in the first quarter. See Note 13, “Supplemental Condensed Consolidated Financial Information,” to the condensed consolidated financial statements for further information. The increase for the year-to-date period was also due to higher medical benefits partially offset by decreases in other business expenses as a result of overall headcount reductions.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Billable Expenses</w:t>
      </w:r>
    </w:p>
    <w:p>
      <w:pPr>
        <w:spacing w:after="0" w:line="11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Billable expenses include direct subcontractor expenses, travel expenses, and other expenses incurred to perform on contracts. Billable expenses as a percentage of revenue were 32% and 31% for the three months ended September 30, 2025 and 2024, respectively, and 31% for both the six months ended September 30, 2025 and 2024. Billable expenses decreased 5% and 6% for the three and six months ended September 30, 2025, respectively, compared to the three and six months ended September 30, 2024. The decreases were primarily attributable to decreases in the use of subcontractors driven by customer demand and timing of customer needs, partially offset by increases in expenses from contracts requiring the Company to incur other direct expenses on behalf of customers as compared to the prior year.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1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General and administrative expenses include indirect labor of executive management and corporate administrative functions, marketing and bid and proposal costs, legal costs, and other discretionary spending. General and administrative expenses as a percentage of revenue were 11% and 7% for the three months ended September 30, 2025 and 2024, respectively, and 11% and 9% for the six months ended September 30, 2025 and 2024, respectively. General and administrative expenses increased 37% and 14% for the three and six months ended September 30, 2025, respectively, compared to the three and six months ended September 30, 2024.</w:t>
      </w:r>
    </w:p>
    <w:p>
      <w:pPr>
        <w:spacing w:after="0" w:line="6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Fiscal 2025 reflects $115 million in insurance recoveries from claims related to the Company’s fiscal 2024 settlement as described in Note 20, “Commitments and Contingencies,” to the consolidated financial statements contained within the Annual Report on Form 10-K for the fiscal year ended March 31, 2024, which primarily drove the increase for both the quarter and year-to-date periods. This was partially offset by decreases in salaries and related benefits, primarily due to overall headcount reductions. General and administrative expenses for the year-to-date period include costs incurred related to employee severance and related charges from the restructuring disclosed in the first quarter. See Note 13, “Supplemental Condensed Consolidated Financial Information,” to the condensed consolidated financial statements for further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1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Depreciation and amortization includes the depreciation of computers, leasehold improvements, furniture and other equipment, and the amortization of internally developed software, as well as third-party software that we use internally, and of identifiable long-lived intangible assets over their estimated useful lives. Depreciation and amortization expense decreased 2% for both the three and six months ended September 30, 2025, as compared to the three and six months ended September 30, 2024.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Income</w:t>
      </w:r>
    </w:p>
    <w:p>
      <w:pPr>
        <w:spacing w:after="0" w:line="118"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17"/>
          <w:szCs w:val="17"/>
          <w:color w:val="auto"/>
        </w:rPr>
        <w:t>Operating income decreased 48% to $283 million and decreased 33% to $540 million for the three and six months ended September 30, 2025, respectively, compared to the three and six months ended September 30, 2024, reflecting decreases in operating margin from 17% to 10% and from 13% to 9%. Operating income was driven by the factors noted above.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net</w:t>
      </w:r>
    </w:p>
    <w:p>
      <w:pPr>
        <w:spacing w:after="0" w:line="11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Interest expense, net increased 4% and 10% for the three and six months ended September 30, 2025, respectively, as compared to the three and six months ended September 30, 2024, primarily due to increases of $10 million and $19 million in bond interest expense, respectively, driven by the $650 million Senior Notes due 2035 (issued in March of fiscal 2025). This was partially offset by lower interest rates on the Company’s term loans, as well as increases in interest income, reflecting the higher cash balances following the bond issuance noted above.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(Expense) Income</w:t>
      </w:r>
    </w:p>
    <w:p>
      <w:pPr>
        <w:spacing w:after="0" w:line="118"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Other (expense) income decreased to $(2) million for the three months ended September 30, 2025 from $10 million for the three months ended September 30, 2024, and decreased to $1 million for the six months ended September 30, 2025 from $7 million for the six months ended September 30, 2024. The decreases in other (expense) income were primarily driven by larger increases in the fair value of the Company’s investments reflected in fiscal 2025 as compared to fiscal 2026.</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118" w:lineRule="exact"/>
        <w:rPr>
          <w:sz w:val="20"/>
          <w:szCs w:val="20"/>
          <w:color w:val="auto"/>
        </w:rPr>
      </w:pPr>
    </w:p>
    <w:p>
      <w:pPr>
        <w:ind w:right="560"/>
        <w:spacing w:after="0" w:line="292" w:lineRule="auto"/>
        <w:rPr>
          <w:sz w:val="20"/>
          <w:szCs w:val="20"/>
          <w:color w:val="auto"/>
        </w:rPr>
      </w:pPr>
      <w:r>
        <w:rPr>
          <w:rFonts w:ascii="Times New Roman" w:cs="Times New Roman" w:eastAsia="Times New Roman" w:hAnsi="Times New Roman"/>
          <w:sz w:val="17"/>
          <w:szCs w:val="17"/>
          <w:color w:val="auto"/>
        </w:rPr>
        <w:t>Income tax expense decreased 53% for the three months ended September 30, 2025 as compared to the three months ended September 30, 2024, while the effective tax rate increased to 24.9% from 24.0%. The decrease in income tax expense was primarily driven by the decrease in pre-tax income.</w:t>
      </w:r>
    </w:p>
    <w:p>
      <w:pPr>
        <w:spacing w:after="0" w:line="43"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7"/>
          <w:szCs w:val="17"/>
          <w:color w:val="auto"/>
        </w:rPr>
        <w:t>Income tax expense decreased 98% for the six months ended September 30, 2025 as compared to the six months ended September 30, 2024, while the effective tax rate decreased to 0.7% from 23.7%. The decrease in tax expense was primarily driven by a reduction in the income tax reserve related to the completion of IRS examination procedures in the prior quarter, the decrease in pre-tax income, and the accrual of interest income on the long-term tax receivable.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Measures</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 xml:space="preserve">We publicly disclose certain non-GAAP financial measurements, including </w:t>
      </w:r>
      <w:r>
        <w:rPr>
          <w:rFonts w:ascii="Times New Roman" w:cs="Times New Roman" w:eastAsia="Times New Roman" w:hAnsi="Times New Roman"/>
          <w:sz w:val="17"/>
          <w:szCs w:val="17"/>
          <w:i w:val="1"/>
          <w:iCs w:val="1"/>
          <w:color w:val="auto"/>
        </w:rPr>
        <w:t>Revenue, Excluding Billable Expenses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EBITDA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xml:space="preserve">, because management uses these measures for business planning purposes, including to manage our business against internal projected results of operations and measure our performance. We view </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xml:space="preserve"> as a measure of our core operating business, which excludes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w:t>
      </w:r>
      <w:r>
        <w:rPr>
          <w:rFonts w:ascii="Times New Roman" w:cs="Times New Roman" w:eastAsia="Times New Roman" w:hAnsi="Times New Roman"/>
          <w:sz w:val="17"/>
          <w:szCs w:val="17"/>
          <w:i w:val="1"/>
          <w:iCs w:val="1"/>
          <w:color w:val="auto"/>
        </w:rPr>
        <w:t>Revenue, Excluding Billable Expenses</w:t>
      </w:r>
      <w:r>
        <w:rPr>
          <w:rFonts w:ascii="Times New Roman" w:cs="Times New Roman" w:eastAsia="Times New Roman" w:hAnsi="Times New Roman"/>
          <w:sz w:val="17"/>
          <w:szCs w:val="17"/>
          <w:color w:val="auto"/>
        </w:rPr>
        <w:t xml:space="preserve"> because it provides management useful information about the Company's operating performance by excluding the impact of costs such as subcontractor expenses, travel expenses, and other non-labor expenses incurred to perform on contracts. Billable expenses generally have lower margin and thus are less indicative of our profit generation capacity. Management believes this metric provides useful information about our business. These supplemental performance measurements may vary from and may not be comparable to similarly titled measures by other companies in our industry. </w:t>
      </w:r>
      <w:r>
        <w:rPr>
          <w:rFonts w:ascii="Times New Roman" w:cs="Times New Roman" w:eastAsia="Times New Roman" w:hAnsi="Times New Roman"/>
          <w:sz w:val="17"/>
          <w:szCs w:val="17"/>
          <w:i w:val="1"/>
          <w:iCs w:val="1"/>
          <w:color w:val="auto"/>
        </w:rPr>
        <w:t>Revenue, Excluding Billable Expenses, EBITDA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xml:space="preserve"> are not recognized measurements under accounting principles generally accepted in the United States (“GAAP”) and when analyzing our performance, investors should (i) evaluate each adjustment in our reconciliation of revenue to </w:t>
      </w:r>
      <w:r>
        <w:rPr>
          <w:rFonts w:ascii="Times New Roman" w:cs="Times New Roman" w:eastAsia="Times New Roman" w:hAnsi="Times New Roman"/>
          <w:sz w:val="17"/>
          <w:szCs w:val="17"/>
          <w:i w:val="1"/>
          <w:iCs w:val="1"/>
          <w:color w:val="auto"/>
        </w:rPr>
        <w:t>Revenue, Excluding Billable Expenses</w:t>
      </w:r>
      <w:r>
        <w:rPr>
          <w:rFonts w:ascii="Times New Roman" w:cs="Times New Roman" w:eastAsia="Times New Roman" w:hAnsi="Times New Roman"/>
          <w:sz w:val="17"/>
          <w:szCs w:val="17"/>
          <w:color w:val="auto"/>
        </w:rPr>
        <w:t xml:space="preserve">, net income to </w:t>
      </w:r>
      <w:r>
        <w:rPr>
          <w:rFonts w:ascii="Times New Roman" w:cs="Times New Roman" w:eastAsia="Times New Roman" w:hAnsi="Times New Roman"/>
          <w:sz w:val="17"/>
          <w:szCs w:val="17"/>
          <w:i w:val="1"/>
          <w:iCs w:val="1"/>
          <w:color w:val="auto"/>
        </w:rPr>
        <w:t>EBITDA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xml:space="preserve"> and</w:t>
      </w:r>
    </w:p>
    <w:p>
      <w:pPr>
        <w:spacing w:after="0" w:line="9" w:lineRule="exact"/>
        <w:rPr>
          <w:sz w:val="20"/>
          <w:szCs w:val="20"/>
          <w:color w:val="auto"/>
        </w:rPr>
      </w:pPr>
    </w:p>
    <w:p>
      <w:pPr>
        <w:ind w:right="60" w:firstLine="4"/>
        <w:spacing w:after="0" w:line="269" w:lineRule="auto"/>
        <w:tabs>
          <w:tab w:leader="none" w:pos="25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use </w:t>
      </w:r>
      <w:r>
        <w:rPr>
          <w:rFonts w:ascii="Times New Roman" w:cs="Times New Roman" w:eastAsia="Times New Roman" w:hAnsi="Times New Roman"/>
          <w:sz w:val="17"/>
          <w:szCs w:val="17"/>
          <w:i w:val="1"/>
          <w:iCs w:val="1"/>
          <w:color w:val="auto"/>
        </w:rPr>
        <w:t>Revenue, Excluding Billable Expenses, EBITDA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xml:space="preserve"> in addition to, and not as an alternative to, revenue and net income, as measures of operating results, each as defined under GAAP. We have defined the aforementioned non-GAAP measures as follows:</w:t>
      </w:r>
    </w:p>
    <w:p>
      <w:pPr>
        <w:spacing w:after="0" w:line="7"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1"/>
          <w:numId w:val="9"/>
        </w:numPr>
        <w:rPr>
          <w:rFonts w:ascii="Arial" w:cs="Arial" w:eastAsia="Arial" w:hAnsi="Arial"/>
          <w:sz w:val="17"/>
          <w:szCs w:val="17"/>
          <w:color w:val="auto"/>
        </w:rPr>
      </w:pPr>
      <w:r>
        <w:rPr>
          <w:rFonts w:ascii="Times New Roman" w:cs="Times New Roman" w:eastAsia="Times New Roman" w:hAnsi="Times New Roman"/>
          <w:sz w:val="17"/>
          <w:szCs w:val="17"/>
          <w:i w:val="1"/>
          <w:iCs w:val="1"/>
          <w:color w:val="auto"/>
        </w:rPr>
        <w:t xml:space="preserve">Revenue, Excluding Billable Expenses </w:t>
      </w:r>
      <w:r>
        <w:rPr>
          <w:rFonts w:ascii="Times New Roman" w:cs="Times New Roman" w:eastAsia="Times New Roman" w:hAnsi="Times New Roman"/>
          <w:sz w:val="17"/>
          <w:szCs w:val="17"/>
          <w:color w:val="auto"/>
        </w:rPr>
        <w:t>represents revenue less billable expenses.</w:t>
      </w:r>
    </w:p>
    <w:p>
      <w:pPr>
        <w:spacing w:after="0" w:line="63" w:lineRule="exact"/>
        <w:rPr>
          <w:rFonts w:ascii="Arial" w:cs="Arial" w:eastAsia="Arial" w:hAnsi="Arial"/>
          <w:sz w:val="17"/>
          <w:szCs w:val="17"/>
          <w:color w:val="auto"/>
        </w:rPr>
      </w:pPr>
    </w:p>
    <w:p>
      <w:pPr>
        <w:ind w:left="620" w:hanging="305"/>
        <w:spacing w:after="0"/>
        <w:tabs>
          <w:tab w:leader="none" w:pos="6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EBITDA </w:t>
      </w:r>
      <w:r>
        <w:rPr>
          <w:rFonts w:ascii="Times New Roman" w:cs="Times New Roman" w:eastAsia="Times New Roman" w:hAnsi="Times New Roman"/>
          <w:sz w:val="17"/>
          <w:szCs w:val="17"/>
          <w:color w:val="auto"/>
        </w:rPr>
        <w:t>represents net income before income taxes, interest expense, net and other income (expense), and depreciation and amortization.</w:t>
      </w:r>
    </w:p>
    <w:p>
      <w:pPr>
        <w:spacing w:after="0" w:line="63" w:lineRule="exact"/>
        <w:rPr>
          <w:rFonts w:ascii="Times New Roman" w:cs="Times New Roman" w:eastAsia="Times New Roman" w:hAnsi="Times New Roman"/>
          <w:sz w:val="17"/>
          <w:szCs w:val="17"/>
          <w:color w:val="auto"/>
        </w:rPr>
      </w:pPr>
    </w:p>
    <w:p>
      <w:pPr>
        <w:ind w:left="620" w:right="40" w:hanging="305"/>
        <w:spacing w:after="0" w:line="267" w:lineRule="auto"/>
        <w:tabs>
          <w:tab w:leader="none" w:pos="61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Adjusted EBITDA </w:t>
      </w:r>
      <w:r>
        <w:rPr>
          <w:rFonts w:ascii="Times New Roman" w:cs="Times New Roman" w:eastAsia="Times New Roman" w:hAnsi="Times New Roman"/>
          <w:sz w:val="17"/>
          <w:szCs w:val="17"/>
          <w:color w:val="auto"/>
        </w:rPr>
        <w:t>represents net income before income tax expense, interest expense, net and other income (expense), and depreciation and amortization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before certain other items, including change in provision for claimed costs for historical rate years, certain other corporate expenses, and certain insurance recoveries. The Company prepares </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xml:space="preserve"> to eliminate the impact of items it does not consider indicative of ongoing operating performance due to their inherent unusual, extraordinary or non-recurring nature or because they result from an event of a similar nature.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Below is a reconciliation of our most directly comparable GAAP measures to our non-GAAP measures, Revenue to </w:t>
      </w:r>
      <w:r>
        <w:rPr>
          <w:rFonts w:ascii="Times New Roman" w:cs="Times New Roman" w:eastAsia="Times New Roman" w:hAnsi="Times New Roman"/>
          <w:sz w:val="17"/>
          <w:szCs w:val="17"/>
          <w:i w:val="1"/>
          <w:iCs w:val="1"/>
          <w:color w:val="auto"/>
        </w:rPr>
        <w:t>Revenue, Excluding Billable Expenses</w:t>
      </w:r>
      <w:r>
        <w:rPr>
          <w:rFonts w:ascii="Times New Roman" w:cs="Times New Roman" w:eastAsia="Times New Roman" w:hAnsi="Times New Roman"/>
          <w:sz w:val="17"/>
          <w:szCs w:val="17"/>
          <w:color w:val="auto"/>
        </w:rPr>
        <w:t xml:space="preserve">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Net income to </w:t>
      </w:r>
      <w:r>
        <w:rPr>
          <w:rFonts w:ascii="Times New Roman" w:cs="Times New Roman" w:eastAsia="Times New Roman" w:hAnsi="Times New Roman"/>
          <w:sz w:val="17"/>
          <w:szCs w:val="17"/>
          <w:i w:val="1"/>
          <w:iCs w:val="1"/>
          <w:color w:val="auto"/>
        </w:rPr>
        <w:t>EBITDA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calculated and presented in accordance with GAAP:</w:t>
      </w:r>
    </w:p>
    <w:p>
      <w:pPr>
        <w:spacing w:after="0" w:line="11"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5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Pr>
          <w:p>
            <w:pPr>
              <w:spacing w:after="0"/>
              <w:rPr>
                <w:sz w:val="17"/>
                <w:szCs w:val="17"/>
                <w:color w:val="auto"/>
              </w:rPr>
            </w:pPr>
          </w:p>
        </w:tc>
        <w:tc>
          <w:tcPr>
            <w:tcW w:w="2420" w:type="dxa"/>
            <w:vAlign w:val="bottom"/>
            <w:gridSpan w:val="4"/>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8"/>
        </w:trPr>
        <w:tc>
          <w:tcPr>
            <w:tcW w:w="5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20" w:type="dxa"/>
            <w:vAlign w:val="bottom"/>
            <w:tcBorders>
              <w:bottom w:val="single" w:sz="8" w:color="auto"/>
            </w:tcBorders>
          </w:tcPr>
          <w:p>
            <w:pPr>
              <w:spacing w:after="0"/>
              <w:rPr>
                <w:sz w:val="19"/>
                <w:szCs w:val="19"/>
                <w:color w:val="auto"/>
              </w:rPr>
            </w:pPr>
          </w:p>
        </w:tc>
      </w:tr>
      <w:tr>
        <w:trPr>
          <w:trHeight w:val="219"/>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 except share and per share data)</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2024</w:t>
            </w:r>
          </w:p>
        </w:tc>
      </w:tr>
      <w:tr>
        <w:trPr>
          <w:trHeight w:val="213"/>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820" w:type="dxa"/>
            <w:vAlign w:val="bottom"/>
          </w:tcPr>
          <w:p>
            <w:pPr>
              <w:spacing w:after="0"/>
              <w:rPr>
                <w:sz w:val="18"/>
                <w:szCs w:val="18"/>
                <w:color w:val="auto"/>
              </w:rPr>
            </w:pP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Revenue, Excluding Billable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0"/>
        </w:trPr>
        <w:tc>
          <w:tcPr>
            <w:tcW w:w="5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2,890</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3,146</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5,814</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6,088</w:t>
            </w:r>
          </w:p>
        </w:tc>
      </w:tr>
      <w:tr>
        <w:trPr>
          <w:trHeight w:val="220"/>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Billable expenses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918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1,799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1,913</w:t>
            </w:r>
          </w:p>
        </w:tc>
      </w:tr>
      <w:tr>
        <w:trPr>
          <w:trHeight w:val="213"/>
        </w:trPr>
        <w:tc>
          <w:tcPr>
            <w:tcW w:w="5540" w:type="dxa"/>
            <w:vAlign w:val="bottom"/>
          </w:tcPr>
          <w:p>
            <w:pPr>
              <w:ind w:left="460"/>
              <w:spacing w:after="0" w:line="213" w:lineRule="exact"/>
              <w:rPr>
                <w:sz w:val="20"/>
                <w:szCs w:val="20"/>
                <w:color w:val="auto"/>
              </w:rPr>
            </w:pPr>
            <w:r>
              <w:rPr>
                <w:rFonts w:ascii="Times New Roman" w:cs="Times New Roman" w:eastAsia="Times New Roman" w:hAnsi="Times New Roman"/>
                <w:sz w:val="17"/>
                <w:szCs w:val="17"/>
                <w:color w:val="auto"/>
              </w:rPr>
              <w:t>Revenue, Excluding Billable Expenses</w:t>
            </w:r>
            <w:r>
              <w:rPr>
                <w:rFonts w:ascii="Times New Roman" w:cs="Times New Roman" w:eastAsia="Times New Roman" w:hAnsi="Times New Roman"/>
                <w:sz w:val="22"/>
                <w:szCs w:val="22"/>
                <w:color w:val="auto"/>
                <w:vertAlign w:val="superscript"/>
              </w:rPr>
              <w:t>*</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1,972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2,178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4,015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4,175</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6"/>
        </w:trPr>
        <w:tc>
          <w:tcPr>
            <w:tcW w:w="554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i w:val="1"/>
                <w:iCs w:val="1"/>
                <w:color w:val="auto"/>
              </w:rPr>
              <w:t>EBITDA and Adjusted EBITDA</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20"/>
        </w:trPr>
        <w:tc>
          <w:tcPr>
            <w:tcW w:w="5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555</w:t>
            </w:r>
          </w:p>
        </w:tc>
      </w:tr>
      <w:tr>
        <w:trPr>
          <w:trHeight w:val="220"/>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172</w:t>
            </w:r>
          </w:p>
        </w:tc>
      </w:tr>
      <w:tr>
        <w:trPr>
          <w:trHeight w:val="220"/>
        </w:trPr>
        <w:tc>
          <w:tcPr>
            <w:tcW w:w="5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 net and other income (expense)</w:t>
            </w:r>
          </w:p>
        </w:tc>
        <w:tc>
          <w:tcPr>
            <w:tcW w:w="28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77</w:t>
            </w:r>
          </w:p>
        </w:tc>
      </w:tr>
      <w:tr>
        <w:trPr>
          <w:trHeight w:val="220"/>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83</w:t>
            </w:r>
          </w:p>
        </w:tc>
      </w:tr>
      <w:tr>
        <w:trPr>
          <w:trHeight w:val="213"/>
        </w:trPr>
        <w:tc>
          <w:tcPr>
            <w:tcW w:w="55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EBITDA</w:t>
            </w:r>
          </w:p>
        </w:tc>
        <w:tc>
          <w:tcPr>
            <w:tcW w:w="28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887</w:t>
            </w:r>
          </w:p>
        </w:tc>
      </w:tr>
      <w:tr>
        <w:trPr>
          <w:trHeight w:val="22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Change in provision for claimed costs (a)</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(113)</w:t>
            </w:r>
          </w:p>
        </w:tc>
      </w:tr>
      <w:tr>
        <w:trPr>
          <w:trHeight w:val="220"/>
        </w:trPr>
        <w:tc>
          <w:tcPr>
            <w:tcW w:w="55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corporate expenses (b)</w:t>
            </w: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Insurance recoveries (c)</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(115)</w:t>
            </w:r>
          </w:p>
        </w:tc>
      </w:tr>
      <w:tr>
        <w:trPr>
          <w:trHeight w:val="213"/>
        </w:trPr>
        <w:tc>
          <w:tcPr>
            <w:tcW w:w="55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Adjusted EBITDA</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324</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635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666</w:t>
            </w: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7"/>
          <w:szCs w:val="17"/>
          <w:color w:val="auto"/>
        </w:rPr>
        <w:t>*Revenue, Excluding Billable Expenses includes $113 million of revenue for the three and six months ending September 30, 2024, resulting from the reduction to our provision for claimed costs as noted below.</w:t>
      </w:r>
    </w:p>
    <w:p>
      <w:pPr>
        <w:spacing w:after="0" w:line="1" w:lineRule="exact"/>
        <w:rPr>
          <w:sz w:val="20"/>
          <w:szCs w:val="20"/>
          <w:color w:val="auto"/>
        </w:rPr>
      </w:pPr>
    </w:p>
    <w:p>
      <w:pPr>
        <w:ind w:left="620" w:right="140" w:hanging="227"/>
        <w:spacing w:after="0" w:line="267" w:lineRule="auto"/>
        <w:tabs>
          <w:tab w:leader="none" w:pos="62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reduction to our provision for claimed costs for years prior to fiscal 2025 recorded during the second quarter of fiscal 2025, which resulted in a corresponding increase to revenue, as a result of the Defense Contract Audit Agency's findings related to its audits of our claimed costs for multiple fiscal years. See Note 19, “Commitments and Contingencies,” to the consolidated financial statements in the Company's Form 10-K for the fiscal year ended March 31, 2025 for further information.</w:t>
      </w:r>
    </w:p>
    <w:p>
      <w:pPr>
        <w:spacing w:after="0" w:line="11" w:lineRule="exact"/>
        <w:rPr>
          <w:rFonts w:ascii="Times New Roman" w:cs="Times New Roman" w:eastAsia="Times New Roman" w:hAnsi="Times New Roman"/>
          <w:sz w:val="17"/>
          <w:szCs w:val="17"/>
          <w:color w:val="auto"/>
        </w:rPr>
      </w:pPr>
    </w:p>
    <w:p>
      <w:pPr>
        <w:ind w:left="620" w:hanging="227"/>
        <w:spacing w:after="0" w:line="267" w:lineRule="auto"/>
        <w:tabs>
          <w:tab w:leader="none" w:pos="63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fiscal 2026, other corporate expenses consist primarily of nonrecoverable costs associated with employee severance from a cost management initiative and restructuring of the Civil business. See Note 13, “Supplemental Condensed Consolidated Financial Information,” to the condensed consolidated financial statements for further information. In fiscal 2025, other corporate expenses consist primarily of acquisition related costs from the acquisition of PAR Government Systems Corporation (“PGSC”).</w:t>
      </w:r>
    </w:p>
    <w:p>
      <w:pPr>
        <w:spacing w:after="0" w:line="11" w:lineRule="exact"/>
        <w:rPr>
          <w:rFonts w:ascii="Times New Roman" w:cs="Times New Roman" w:eastAsia="Times New Roman" w:hAnsi="Times New Roman"/>
          <w:sz w:val="17"/>
          <w:szCs w:val="17"/>
          <w:color w:val="auto"/>
        </w:rPr>
      </w:pPr>
    </w:p>
    <w:p>
      <w:pPr>
        <w:ind w:left="620" w:right="120" w:hanging="227"/>
        <w:spacing w:after="0" w:line="292" w:lineRule="auto"/>
        <w:tabs>
          <w:tab w:leader="none" w:pos="62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insurance recoveries from claims related to the Company’s fiscal 2024 settlement as described in Note 20, “Commitments and Contingencies,” to the consolidated financial statements contained within the Annual Report on Form 10-K for the fiscal year ended March 31,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7"/>
          <w:szCs w:val="17"/>
          <w:color w:val="auto"/>
        </w:rPr>
        <w:t>As of September 30, 2025, our total liquidity was $1.8 billion, consisting of $816 million of cash and cash equivalents and $999 million available under the Revolving Credit Facility.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presents selected financial information for the respective periods shown:</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94"/>
        </w:trPr>
        <w:tc>
          <w:tcPr>
            <w:tcW w:w="3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440" w:type="dxa"/>
            <w:vAlign w:val="bottom"/>
          </w:tcPr>
          <w:p>
            <w:pPr>
              <w:spacing w:after="0"/>
              <w:rPr>
                <w:sz w:val="16"/>
                <w:szCs w:val="16"/>
                <w:color w:val="auto"/>
              </w:rPr>
            </w:pPr>
          </w:p>
        </w:tc>
        <w:tc>
          <w:tcPr>
            <w:tcW w:w="1400" w:type="dxa"/>
            <w:vAlign w:val="bottom"/>
          </w:tcPr>
          <w:p>
            <w:pPr>
              <w:jc w:val="right"/>
              <w:ind w:right="454"/>
              <w:spacing w:after="0" w:line="194"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31"/>
        </w:trPr>
        <w:tc>
          <w:tcPr>
            <w:tcW w:w="30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179"/>
        </w:trPr>
        <w:tc>
          <w:tcPr>
            <w:tcW w:w="30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3"/>
        </w:trPr>
        <w:tc>
          <w:tcPr>
            <w:tcW w:w="30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15"/>
                <w:szCs w:val="15"/>
                <w:color w:val="auto"/>
              </w:rPr>
            </w:pPr>
          </w:p>
        </w:tc>
      </w:tr>
      <w:tr>
        <w:trPr>
          <w:trHeight w:val="23"/>
        </w:trPr>
        <w:tc>
          <w:tcPr>
            <w:tcW w:w="3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0"/>
        </w:trPr>
        <w:tc>
          <w:tcPr>
            <w:tcW w:w="300" w:type="dxa"/>
            <w:vAlign w:val="bottom"/>
          </w:tcPr>
          <w:p>
            <w:pPr>
              <w:spacing w:after="0"/>
              <w:rPr>
                <w:sz w:val="19"/>
                <w:szCs w:val="19"/>
                <w:color w:val="auto"/>
              </w:rPr>
            </w:pP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w:t>
            </w:r>
          </w:p>
        </w:tc>
      </w:tr>
      <w:tr>
        <w:trPr>
          <w:trHeight w:val="226"/>
        </w:trPr>
        <w:tc>
          <w:tcPr>
            <w:tcW w:w="300" w:type="dxa"/>
            <w:vAlign w:val="bottom"/>
          </w:tcPr>
          <w:p>
            <w:pPr>
              <w:spacing w:after="0"/>
              <w:rPr>
                <w:sz w:val="19"/>
                <w:szCs w:val="19"/>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3,960</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3,998</w:t>
            </w:r>
          </w:p>
        </w:tc>
      </w:tr>
    </w:tbl>
    <w:p>
      <w:pPr>
        <w:spacing w:after="0" w:line="15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7"/>
          <w:szCs w:val="17"/>
          <w:b w:val="1"/>
          <w:bCs w:val="1"/>
          <w:color w:val="auto"/>
        </w:rPr>
        <w:t>Six Months Ended</w:t>
      </w:r>
    </w:p>
    <w:p>
      <w:pPr>
        <w:jc w:val="center"/>
        <w:ind w:left="704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11" w:lineRule="exact"/>
        <w:rPr>
          <w:sz w:val="20"/>
          <w:szCs w:val="20"/>
          <w:color w:val="auto"/>
        </w:rPr>
      </w:pPr>
    </w:p>
    <w:tbl>
      <w:tblPr>
        <w:tblLayout w:type="fixed"/>
        <w:tblInd w:w="220" w:type="dxa"/>
        <w:tblCellMar>
          <w:top w:w="0" w:type="dxa"/>
          <w:left w:w="0" w:type="dxa"/>
          <w:bottom w:w="0" w:type="dxa"/>
          <w:right w:w="0" w:type="dxa"/>
        </w:tblCellMar>
      </w:tblPr>
      <w:tr>
        <w:trPr>
          <w:trHeight w:val="226"/>
        </w:trPr>
        <w:tc>
          <w:tcPr>
            <w:tcW w:w="70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76"/>
        </w:trPr>
        <w:tc>
          <w:tcPr>
            <w:tcW w:w="7040" w:type="dxa"/>
            <w:vAlign w:val="bottom"/>
          </w:tcPr>
          <w:p>
            <w:pPr>
              <w:spacing w:after="0"/>
              <w:rPr>
                <w:sz w:val="15"/>
                <w:szCs w:val="15"/>
                <w:color w:val="auto"/>
              </w:rPr>
            </w:pPr>
          </w:p>
        </w:tc>
        <w:tc>
          <w:tcPr>
            <w:tcW w:w="136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83"/>
        </w:trPr>
        <w:tc>
          <w:tcPr>
            <w:tcW w:w="7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15"/>
                <w:szCs w:val="15"/>
                <w:color w:val="auto"/>
              </w:rPr>
            </w:pPr>
          </w:p>
        </w:tc>
      </w:tr>
      <w:tr>
        <w:trPr>
          <w:trHeight w:val="23"/>
        </w:trPr>
        <w:tc>
          <w:tcPr>
            <w:tcW w:w="7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36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r>
      <w:tr>
        <w:trPr>
          <w:trHeight w:val="220"/>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2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3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213"/>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1360" w:type="dxa"/>
            <w:vAlign w:val="bottom"/>
            <w:tcBorders>
              <w:bottom w:val="single" w:sz="8" w:color="auto"/>
            </w:tcBorders>
          </w:tcPr>
          <w:p>
            <w:pPr>
              <w:jc w:val="right"/>
              <w:ind w:right="117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70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7"/>
          <w:szCs w:val="17"/>
          <w:color w:val="auto"/>
        </w:rPr>
        <w:t>Some of the possible uses of our remaining excess cash at any point in time may include funding strategic acquisitions and investments, debt repayment, further investment in our business and returning value to shareholders through share repurchases, quarterly dividends, and special dividends.</w:t>
      </w:r>
    </w:p>
    <w:p>
      <w:pPr>
        <w:spacing w:after="0" w:line="4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Historically, we have been able to generate sufficient cash to fund our operations, mandatory debt and interest payments, capital expenditures, and discretionary funding needs. However, due to the trends and developments described above under “—Factors and Trends Affecting Our Results of Operations”, it may be necessary to borrow under our Credit Agreement to meet cash demands in the future.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22" w:lineRule="exact"/>
        <w:rPr>
          <w:sz w:val="20"/>
          <w:szCs w:val="20"/>
          <w:color w:val="auto"/>
        </w:rPr>
      </w:pPr>
    </w:p>
    <w:p>
      <w:pPr>
        <w:ind w:left="620" w:hanging="305"/>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expenses, including salaries;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working capital requirements to fund both organic and inorganic growth of our business;</w:t>
      </w:r>
    </w:p>
    <w:p>
      <w:pPr>
        <w:spacing w:after="0" w:line="63" w:lineRule="exact"/>
        <w:rPr>
          <w:rFonts w:ascii="Times New Roman" w:cs="Times New Roman" w:eastAsia="Times New Roman" w:hAnsi="Times New Roman"/>
          <w:sz w:val="17"/>
          <w:szCs w:val="17"/>
          <w:color w:val="auto"/>
        </w:rPr>
      </w:pPr>
    </w:p>
    <w:p>
      <w:pPr>
        <w:ind w:left="620" w:right="620" w:hanging="305"/>
        <w:spacing w:after="0" w:line="29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which primarily relate to the purchase of computers, business systems, furniture and leasehold improvements to support our operations;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20" w:hanging="305"/>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ongoing maintenance around all financial management systems;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commitments and other discretionary investments;</w:t>
      </w:r>
    </w:p>
    <w:p>
      <w:pPr>
        <w:spacing w:after="0" w:line="63" w:lineRule="exact"/>
        <w:rPr>
          <w:rFonts w:ascii="Times New Roman" w:cs="Times New Roman" w:eastAsia="Times New Roman" w:hAnsi="Times New Roman"/>
          <w:sz w:val="17"/>
          <w:szCs w:val="17"/>
          <w:color w:val="auto"/>
        </w:rPr>
      </w:pPr>
    </w:p>
    <w:p>
      <w:pPr>
        <w:ind w:left="620" w:right="120" w:hanging="305"/>
        <w:spacing w:after="0" w:line="286"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service requirements for borrowings under our Credit Agreement and interest payments for the Senior Notes due 2028, Senior Notes due 2029 and Senior Notes due 2033, Senior Notes due 2035; and</w:t>
      </w:r>
    </w:p>
    <w:p>
      <w:pPr>
        <w:ind w:left="620" w:hanging="305"/>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taxes to be paid.</w:t>
      </w:r>
    </w:p>
    <w:p>
      <w:pPr>
        <w:spacing w:after="0" w:line="116"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color w:val="auto"/>
        </w:rPr>
        <w:t>From time to time, we evaluate conditions to opportunistically access the financing markets to secure additional debt capital resources and improve the terms of our indebtedness.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Cash Flow</w:t>
      </w:r>
    </w:p>
    <w:p>
      <w:pPr>
        <w:spacing w:after="0" w:line="11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Net cash provided by operations was $540 million for the six months ended September 30, 2025 compared to $639 million in the prior year period. Fiscal 2025 operating cash reflects $115 million in insurance recoveries from claims related to the Company’s fiscal 2024 settlement (as described in Note 20, “Commitments and Contingencies,” to the consolidated financial statements contained within the Annual Report on Form 10-K for the fiscal year ended March 31, 2024), as well as the change to the Company’s payroll cadence during the second quarter of fiscal 2025, both resulting in a positive operating cash flow impact for fiscal 2025. The overall decrease in operating cash flow was partially offset by lower cash taxes paid in fiscal 2026 as compared to fiscal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Cash Flow</w:t>
      </w:r>
    </w:p>
    <w:p>
      <w:pPr>
        <w:spacing w:after="0" w:line="118"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Net cash used in investing activities was $61 million in the six months ended September 30, 2025 compared to $153 million in the prior year period. The decrease in investing cash used over the prior year was primarily due to the Company's acquisition of PGSC in the prior year.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Cash Flow</w:t>
      </w:r>
    </w:p>
    <w:p>
      <w:pPr>
        <w:spacing w:after="0" w:line="118"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7"/>
          <w:szCs w:val="17"/>
          <w:color w:val="auto"/>
        </w:rPr>
        <w:t>Net cash used in financing activities was $548 million in the six months ended September 30, 2025 compared to $481 million in the prior year period. The increase in financing cash used year over year was primarily due to an increase in share repurchases of $47 million and an increase in term loan payments of $21 million.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 and Share Repurchases</w:t>
      </w:r>
    </w:p>
    <w:p>
      <w:pPr>
        <w:spacing w:after="0" w:line="120" w:lineRule="exact"/>
        <w:rPr>
          <w:sz w:val="20"/>
          <w:szCs w:val="20"/>
          <w:color w:val="auto"/>
        </w:rPr>
      </w:pPr>
    </w:p>
    <w:p>
      <w:pPr>
        <w:ind w:right="720"/>
        <w:spacing w:after="0" w:line="292" w:lineRule="auto"/>
        <w:rPr>
          <w:sz w:val="20"/>
          <w:szCs w:val="20"/>
          <w:color w:val="auto"/>
        </w:rPr>
      </w:pPr>
      <w:r>
        <w:rPr>
          <w:rFonts w:ascii="Times New Roman" w:cs="Times New Roman" w:eastAsia="Times New Roman" w:hAnsi="Times New Roman"/>
          <w:sz w:val="17"/>
          <w:szCs w:val="17"/>
          <w:color w:val="auto"/>
        </w:rPr>
        <w:t>On October 24, 2025, the Company announced a regular quarterly cash dividend in the amount of $0.55 per share. The quarterly dividend is payable on December 2, 2025 to stockholders of record on November 14, 2025.</w:t>
      </w:r>
    </w:p>
    <w:p>
      <w:pPr>
        <w:spacing w:after="0" w:line="43"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color w:val="auto"/>
        </w:rPr>
        <w:t>During the three and six months ended September 30, 2025, quarterly cash dividends of $0.55 and $1.10 per share, respectively, were declared and paid totaling $68 million and $138 million, respectively.</w:t>
      </w:r>
    </w:p>
    <w:p>
      <w:pPr>
        <w:spacing w:after="0" w:line="4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7"/>
          <w:szCs w:val="17"/>
          <w:color w:val="auto"/>
        </w:rPr>
        <w:t>On December 12, 2011, the Board of Directors initially approved a share repurchase program, which was subsequently increased from time to time, and most recently increased by $500 million to $4,085 million on October 22, 2025. The Company may repurchase shares pursuant to the program by means of open market repurchases, directly negotiated repurchases or through agents acting pursuant to negotiated repurchase agreements. During the first six months of fiscal 2026, the Company purchased 3.3 million shares of the Company's Class A Common Stock for an aggregate of $361 million. As of September 30, 2025, the Company had approximately $384 million remaining under the repurchase program.</w:t>
      </w:r>
    </w:p>
    <w:p>
      <w:pPr>
        <w:spacing w:after="0" w:line="76"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Summarized Financial Information</w:t>
      </w:r>
    </w:p>
    <w:p>
      <w:pPr>
        <w:spacing w:after="0" w:line="66"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7"/>
          <w:szCs w:val="17"/>
          <w:color w:val="auto"/>
        </w:rPr>
        <w:t>The Senior Notes due 2033 and Senior Notes due 2035 were issued by Booz Allen Hamilton pursuant to the Base Indenture, among Booz Allen Hamilton, the Company and U.S. Bank Trust Company, National Association, as trustee, as supplemented by the respective Supplemental Indenture and are fully and unconditionally guaranteed on an unsecured and unsubordinated basis by the Company pursuant to the Base Indenture.</w:t>
      </w:r>
    </w:p>
    <w:p>
      <w:pPr>
        <w:spacing w:after="0" w:line="5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tables below present the summarized financial information as combined for the Company and Booz Allen Hamilton as of March 31, 2025 and as of and for the six months ended September 30, 2025, after the elimination of intercompany transactions and balances between the Company and Booz Allen Hamilton and excluding the subsidiaries of both entities that are not issuers or guarantors of the Senior Notes due 2033 and Senior Notes due 2035, including earnings from and investments in these entities. The summarized financial information is provided in accordance with the reporting requirements of Rule 13-01 under Regulation S-X and is not intended to present our financial position or results of operations in accordance with GAAP.</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5"/>
        </w:trPr>
        <w:tc>
          <w:tcPr>
            <w:tcW w:w="1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4"/>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Statements of Financial Condition</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200" w:type="dxa"/>
            <w:vAlign w:val="bottom"/>
          </w:tcPr>
          <w:p>
            <w:pPr>
              <w:spacing w:after="0"/>
              <w:rPr>
                <w:sz w:val="21"/>
                <w:szCs w:val="21"/>
                <w:color w:val="auto"/>
              </w:rPr>
            </w:pPr>
          </w:p>
        </w:tc>
        <w:tc>
          <w:tcPr>
            <w:tcW w:w="198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280" w:type="dxa"/>
            <w:vAlign w:val="bottom"/>
          </w:tcPr>
          <w:p>
            <w:pPr>
              <w:spacing w:after="0"/>
              <w:rPr>
                <w:sz w:val="21"/>
                <w:szCs w:val="21"/>
                <w:color w:val="auto"/>
              </w:rPr>
            </w:pPr>
          </w:p>
        </w:tc>
        <w:tc>
          <w:tcPr>
            <w:tcW w:w="18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0" w:type="dxa"/>
            <w:vAlign w:val="bottom"/>
          </w:tcPr>
          <w:p>
            <w:pPr>
              <w:spacing w:after="0"/>
              <w:rPr>
                <w:sz w:val="1"/>
                <w:szCs w:val="1"/>
                <w:color w:val="auto"/>
              </w:rPr>
            </w:pPr>
          </w:p>
        </w:tc>
      </w:tr>
      <w:tr>
        <w:trPr>
          <w:trHeight w:val="213"/>
        </w:trPr>
        <w:tc>
          <w:tcPr>
            <w:tcW w:w="6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Intercompany receivables from non-guarantor subsidiaries</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current assets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3,186</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3,272</w:t>
            </w:r>
          </w:p>
        </w:tc>
        <w:tc>
          <w:tcPr>
            <w:tcW w:w="0" w:type="dxa"/>
            <w:vAlign w:val="bottom"/>
          </w:tcPr>
          <w:p>
            <w:pPr>
              <w:spacing w:after="0"/>
              <w:rPr>
                <w:sz w:val="1"/>
                <w:szCs w:val="1"/>
                <w:color w:val="auto"/>
              </w:rPr>
            </w:pPr>
          </w:p>
        </w:tc>
      </w:tr>
      <w:tr>
        <w:trPr>
          <w:trHeight w:val="22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and intangible assets, net of accumulated amortization</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1,501</w:t>
            </w:r>
          </w:p>
        </w:tc>
        <w:tc>
          <w:tcPr>
            <w:tcW w:w="0" w:type="dxa"/>
            <w:vAlign w:val="bottom"/>
          </w:tcPr>
          <w:p>
            <w:pPr>
              <w:spacing w:after="0"/>
              <w:rPr>
                <w:sz w:val="1"/>
                <w:szCs w:val="1"/>
                <w:color w:val="auto"/>
              </w:rPr>
            </w:pPr>
          </w:p>
        </w:tc>
      </w:tr>
      <w:tr>
        <w:trPr>
          <w:trHeight w:val="22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non-current assets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978</w:t>
            </w:r>
          </w:p>
        </w:tc>
        <w:tc>
          <w:tcPr>
            <w:tcW w:w="0" w:type="dxa"/>
            <w:vAlign w:val="bottom"/>
          </w:tcPr>
          <w:p>
            <w:pPr>
              <w:spacing w:after="0"/>
              <w:rPr>
                <w:sz w:val="1"/>
                <w:szCs w:val="1"/>
                <w:color w:val="auto"/>
              </w:rPr>
            </w:pPr>
          </w:p>
        </w:tc>
      </w:tr>
      <w:tr>
        <w:trPr>
          <w:trHeight w:val="22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Intercompany payables to non-guarantor subsidiaries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2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current liabilities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1,819</w:t>
            </w:r>
          </w:p>
        </w:tc>
        <w:tc>
          <w:tcPr>
            <w:tcW w:w="0" w:type="dxa"/>
            <w:vAlign w:val="bottom"/>
          </w:tcPr>
          <w:p>
            <w:pPr>
              <w:spacing w:after="0"/>
              <w:rPr>
                <w:sz w:val="1"/>
                <w:szCs w:val="1"/>
                <w:color w:val="auto"/>
              </w:rPr>
            </w:pPr>
          </w:p>
        </w:tc>
      </w:tr>
      <w:tr>
        <w:trPr>
          <w:trHeight w:val="22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3,915</w:t>
            </w:r>
          </w:p>
        </w:tc>
        <w:tc>
          <w:tcPr>
            <w:tcW w:w="0" w:type="dxa"/>
            <w:vAlign w:val="bottom"/>
          </w:tcPr>
          <w:p>
            <w:pPr>
              <w:spacing w:after="0"/>
              <w:rPr>
                <w:sz w:val="1"/>
                <w:szCs w:val="1"/>
                <w:color w:val="auto"/>
              </w:rPr>
            </w:pPr>
          </w:p>
        </w:tc>
      </w:tr>
      <w:tr>
        <w:trPr>
          <w:trHeight w:val="22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non-current liabilities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535</w:t>
            </w:r>
          </w:p>
        </w:tc>
        <w:tc>
          <w:tcPr>
            <w:tcW w:w="0" w:type="dxa"/>
            <w:vAlign w:val="bottom"/>
          </w:tcPr>
          <w:p>
            <w:pPr>
              <w:spacing w:after="0"/>
              <w:rPr>
                <w:sz w:val="1"/>
                <w:szCs w:val="1"/>
                <w:color w:val="auto"/>
              </w:rPr>
            </w:pPr>
          </w:p>
        </w:tc>
      </w:tr>
      <w:tr>
        <w:trPr>
          <w:trHeight w:val="396"/>
        </w:trPr>
        <w:tc>
          <w:tcPr>
            <w:tcW w:w="6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Operations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0" w:type="dxa"/>
            <w:vAlign w:val="bottom"/>
            <w:gridSpan w:val="5"/>
          </w:tcPr>
          <w:p>
            <w:pPr>
              <w:jc w:val="right"/>
              <w:ind w:right="1000"/>
              <w:spacing w:after="0" w:line="194" w:lineRule="exact"/>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3"/>
        </w:trPr>
        <w:tc>
          <w:tcPr>
            <w:tcW w:w="66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gridSpan w:val="5"/>
          </w:tcPr>
          <w:p>
            <w:pPr>
              <w:jc w:val="right"/>
              <w:ind w:right="940"/>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0" w:type="dxa"/>
            <w:vAlign w:val="bottom"/>
          </w:tcPr>
          <w:p>
            <w:pPr>
              <w:spacing w:after="0"/>
              <w:rPr>
                <w:sz w:val="1"/>
                <w:szCs w:val="1"/>
                <w:color w:val="auto"/>
              </w:rPr>
            </w:pPr>
          </w:p>
        </w:tc>
      </w:tr>
      <w:tr>
        <w:trPr>
          <w:trHeight w:val="213"/>
        </w:trPr>
        <w:tc>
          <w:tcPr>
            <w:tcW w:w="6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Revenue from non-guarantor subsidiaries</w:t>
            </w:r>
          </w:p>
        </w:tc>
        <w:tc>
          <w:tcPr>
            <w:tcW w:w="200" w:type="dxa"/>
            <w:vAlign w:val="bottom"/>
          </w:tcPr>
          <w:p>
            <w:pPr>
              <w:spacing w:after="0"/>
              <w:rPr>
                <w:sz w:val="19"/>
                <w:szCs w:val="19"/>
                <w:color w:val="auto"/>
              </w:rPr>
            </w:pPr>
          </w:p>
        </w:tc>
        <w:tc>
          <w:tcPr>
            <w:tcW w:w="1880" w:type="dxa"/>
            <w:vAlign w:val="bottom"/>
            <w:gridSpan w:val="2"/>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2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loss from non-guarantor subsidiaries</w:t>
            </w:r>
          </w:p>
        </w:tc>
        <w:tc>
          <w:tcPr>
            <w:tcW w:w="200" w:type="dxa"/>
            <w:vAlign w:val="bottom"/>
          </w:tcPr>
          <w:p>
            <w:pPr>
              <w:spacing w:after="0"/>
              <w:rPr>
                <w:sz w:val="19"/>
                <w:szCs w:val="19"/>
                <w:color w:val="auto"/>
              </w:rPr>
            </w:pPr>
          </w:p>
        </w:tc>
        <w:tc>
          <w:tcPr>
            <w:tcW w:w="1880" w:type="dxa"/>
            <w:vAlign w:val="bottom"/>
            <w:gridSpan w:val="2"/>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the Obligor Group</w:t>
            </w:r>
          </w:p>
        </w:tc>
        <w:tc>
          <w:tcPr>
            <w:tcW w:w="200" w:type="dxa"/>
            <w:vAlign w:val="bottom"/>
          </w:tcPr>
          <w:p>
            <w:pPr>
              <w:spacing w:after="0"/>
              <w:rPr>
                <w:sz w:val="19"/>
                <w:szCs w:val="19"/>
                <w:color w:val="auto"/>
              </w:rPr>
            </w:pPr>
          </w:p>
        </w:tc>
        <w:tc>
          <w:tcPr>
            <w:tcW w:w="1880" w:type="dxa"/>
            <w:vAlign w:val="bottom"/>
            <w:gridSpan w:val="2"/>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66" w:lineRule="exact"/>
        <w:rPr>
          <w:sz w:val="20"/>
          <w:szCs w:val="20"/>
          <w:color w:val="auto"/>
        </w:rPr>
      </w:pPr>
    </w:p>
    <w:p>
      <w:pPr>
        <w:jc w:val="both"/>
        <w:ind w:right="300"/>
        <w:spacing w:after="0" w:line="292" w:lineRule="auto"/>
        <w:rPr>
          <w:sz w:val="20"/>
          <w:szCs w:val="20"/>
          <w:color w:val="auto"/>
        </w:rPr>
      </w:pPr>
      <w:r>
        <w:rPr>
          <w:rFonts w:ascii="Times New Roman" w:cs="Times New Roman" w:eastAsia="Times New Roman" w:hAnsi="Times New Roman"/>
          <w:sz w:val="17"/>
          <w:szCs w:val="17"/>
          <w:color w:val="auto"/>
        </w:rPr>
        <w:t>We are subject to a number of reviews, investigations, claims, lawsuits, and other uncertainties related to our business. For a discussion of these items, refer to Note 12, “Commitments and Contingencies,” to our condensed consolidated financial statements.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 Looking Statements</w:t>
      </w:r>
    </w:p>
    <w:p>
      <w:pPr>
        <w:spacing w:after="0" w:line="6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Certain statements contained or incorporated in this Quarterly Report on Form 10-Q (the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22" w:lineRule="exact"/>
        <w:rPr>
          <w:sz w:val="20"/>
          <w:szCs w:val="20"/>
          <w:color w:val="auto"/>
        </w:rPr>
      </w:pPr>
    </w:p>
    <w:p>
      <w:pPr>
        <w:ind w:left="620" w:right="120" w:hanging="305"/>
        <w:spacing w:after="0" w:line="286"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issue that compromises our relationships with the U.S. government or damages our professional reputation, including negative publicity concerning government contractors in general or us in particular;</w:t>
      </w:r>
    </w:p>
    <w:p>
      <w:pPr>
        <w:jc w:val="both"/>
        <w:ind w:left="620" w:right="520" w:hanging="305"/>
        <w:spacing w:after="0" w:line="27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government spending, including a continuation of efforts by the U.S. government to reduce U.S. government spending, increased insourcing by certain U.S. government agencies, and shifts in expenditures away from agencies or programs that we support, as well as associated uncertainty around the timing, extent, nature and effect of such efforts;</w:t>
      </w:r>
    </w:p>
    <w:p>
      <w:pPr>
        <w:spacing w:after="0" w:line="7"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government shutdowns as well as delayed long-term funding of our contracts;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7"/>
          <w:szCs w:val="17"/>
          <w:color w:val="auto"/>
        </w:rPr>
        <w:t>failure to comply with new and existing U.S. and international laws and regulations;</w:t>
      </w:r>
    </w:p>
    <w:p>
      <w:pPr>
        <w:spacing w:after="0" w:line="63" w:lineRule="exact"/>
        <w:rPr>
          <w:rFonts w:ascii="Arial" w:cs="Arial" w:eastAsia="Arial" w:hAnsi="Arial"/>
          <w:sz w:val="17"/>
          <w:szCs w:val="17"/>
          <w:color w:val="auto"/>
        </w:rPr>
      </w:pPr>
    </w:p>
    <w:p>
      <w:pPr>
        <w:ind w:left="620" w:right="300" w:hanging="305"/>
        <w:spacing w:after="0" w:line="286"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effectively in the competitive bidding process and delays or losses of contract awards caused by competitors’ protests of major contract awards received by us;</w:t>
      </w:r>
    </w:p>
    <w:p>
      <w:pPr>
        <w:ind w:left="620" w:hanging="305"/>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U.S. government GSA Schedules or our position as prime contractor on government-wide acquisition contract vehicles (“GWACs”);</w:t>
      </w:r>
    </w:p>
    <w:p>
      <w:pPr>
        <w:spacing w:after="0" w:line="63" w:lineRule="exact"/>
        <w:rPr>
          <w:rFonts w:ascii="Times New Roman" w:cs="Times New Roman" w:eastAsia="Times New Roman" w:hAnsi="Times New Roman"/>
          <w:sz w:val="17"/>
          <w:szCs w:val="17"/>
          <w:color w:val="auto"/>
        </w:rPr>
      </w:pPr>
    </w:p>
    <w:p>
      <w:pPr>
        <w:ind w:left="620" w:right="220" w:hanging="305"/>
        <w:spacing w:after="0" w:line="286"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purchasing patterns under certain of our U.S. government contracts and changes in the mix of our contracts including our ability to accurately estimate or otherwise recover expenses, time, and resources for our contracts;</w:t>
      </w:r>
    </w:p>
    <w:p>
      <w:pPr>
        <w:ind w:left="620" w:right="80" w:hanging="305"/>
        <w:spacing w:after="0" w:line="292"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full value of and replenish our backlog, generate revenue under certain of our contracts, and the timing of our receipt of revenue under contracts included in backlog;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20" w:right="220" w:hanging="305"/>
        <w:spacing w:after="0" w:line="286"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system or service failures and security breaches, including, but not limited to, those resulting from external or internal threats, including cyber attacks on our network and internal systems or on our customers’ network or internal systems;</w:t>
      </w:r>
    </w:p>
    <w:p>
      <w:pPr>
        <w:ind w:left="620" w:right="360" w:hanging="305"/>
        <w:spacing w:after="0" w:line="286"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misconduct or other improper activities from our employees, subcontractors, or suppliers, including the improper access, use or release of our or our customers’ sensitive or classified information;</w:t>
      </w:r>
    </w:p>
    <w:p>
      <w:pPr>
        <w:ind w:left="620" w:right="320" w:hanging="305"/>
        <w:spacing w:after="0" w:line="286"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strong relationships with other contractors, or the failure of contractors with which we have entered into a sub or prime-contractor relationship to meet their obligations to us or our customers;</w:t>
      </w:r>
    </w:p>
    <w:p>
      <w:pPr>
        <w:jc w:val="both"/>
        <w:ind w:left="620" w:right="300" w:hanging="305"/>
        <w:spacing w:after="0" w:line="273"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7" w:lineRule="exact"/>
        <w:rPr>
          <w:rFonts w:ascii="Times New Roman" w:cs="Times New Roman" w:eastAsia="Times New Roman" w:hAnsi="Times New Roman"/>
          <w:sz w:val="17"/>
          <w:szCs w:val="17"/>
          <w:color w:val="auto"/>
        </w:rPr>
      </w:pPr>
    </w:p>
    <w:p>
      <w:pPr>
        <w:ind w:left="620" w:right="460" w:hanging="305"/>
        <w:spacing w:after="0" w:line="286"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 possible recession and volatility or instability of the global financial system, including the failures of financial institutions and the resulting impact on counterparties and business conditions generally;</w:t>
      </w:r>
    </w:p>
    <w:p>
      <w:pPr>
        <w:ind w:left="620" w:hanging="305"/>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 deterioration of economic conditions or weakening in credit or capital markets;</w:t>
      </w:r>
    </w:p>
    <w:p>
      <w:pPr>
        <w:spacing w:after="0" w:line="63" w:lineRule="exact"/>
        <w:rPr>
          <w:rFonts w:ascii="Times New Roman" w:cs="Times New Roman" w:eastAsia="Times New Roman" w:hAnsi="Times New Roman"/>
          <w:sz w:val="17"/>
          <w:szCs w:val="17"/>
          <w:color w:val="auto"/>
        </w:rPr>
      </w:pPr>
    </w:p>
    <w:p>
      <w:pPr>
        <w:ind w:left="620" w:hanging="305"/>
        <w:spacing w:after="0" w:line="273"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pending, completed and future acquisitions and dispositions, including the ability to satisfy specified closing conditions for pending transactions, such as those related to receipt of regulatory approval or lack of regulatory intervention, and to realize the expected benefits from completed acquisitions and dispositions;</w:t>
      </w:r>
    </w:p>
    <w:p>
      <w:pPr>
        <w:spacing w:after="0" w:line="7"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inherent in the government contracting environment;</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indebtedness and credit facilities which contain financial and operating covenants; and</w:t>
      </w:r>
    </w:p>
    <w:p>
      <w:pPr>
        <w:spacing w:after="0" w:line="63" w:lineRule="exact"/>
        <w:rPr>
          <w:rFonts w:ascii="Times New Roman" w:cs="Times New Roman" w:eastAsia="Times New Roman" w:hAnsi="Times New Roman"/>
          <w:sz w:val="17"/>
          <w:szCs w:val="17"/>
          <w:color w:val="auto"/>
        </w:rPr>
      </w:pPr>
    </w:p>
    <w:p>
      <w:pPr>
        <w:ind w:left="620" w:right="260" w:hanging="305"/>
        <w:spacing w:after="0" w:line="291" w:lineRule="auto"/>
        <w:tabs>
          <w:tab w:leader="none" w:pos="616"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other risks and factors listed under “Item 1A. Risk Factors” and elsewhere in this Quarterly Report, as well as those listed under “Risk Factors” in our Annual Report on Form 10-K for the year ended March 31, 2025.</w:t>
      </w:r>
    </w:p>
    <w:p>
      <w:pPr>
        <w:spacing w:after="0" w:line="44" w:lineRule="exact"/>
        <w:rPr>
          <w:sz w:val="20"/>
          <w:szCs w:val="20"/>
          <w:color w:val="auto"/>
        </w:rPr>
      </w:pPr>
    </w:p>
    <w:p>
      <w:pPr>
        <w:jc w:val="both"/>
        <w:ind w:right="380"/>
        <w:spacing w:after="0" w:line="273" w:lineRule="auto"/>
        <w:rPr>
          <w:sz w:val="20"/>
          <w:szCs w:val="20"/>
          <w:color w:val="auto"/>
        </w:rPr>
      </w:pPr>
      <w:r>
        <w:rPr>
          <w:rFonts w:ascii="Times New Roman" w:cs="Times New Roman" w:eastAsia="Times New Roman" w:hAnsi="Times New Roman"/>
          <w:sz w:val="17"/>
          <w:szCs w:val="17"/>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18"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2025 filed with the Securities and Exchange Commission on May 23,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66"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7"/>
          <w:szCs w:val="17"/>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the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66"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0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Disclosure concerning legal proceedings can be found in Part I, Item 1. “Financial Statements, Notes to Unaudited Condensed Consolidated Financial Statements, Note 12, “Commitments and Contingencies,” under the caption, “Litigation,” which is incorporated here by this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8"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7"/>
          <w:szCs w:val="17"/>
          <w:color w:val="auto"/>
        </w:rPr>
        <w:t>There have been no material changes during the period covered by this Quarterly Report on Form 10-Q to the risk factors disclosed in Part I, Item 1A, of our Annual Report on Form 10-K for the fiscal year ended March 31, 2025 filed with the Securities and Exchange Commission on May 23, 2025.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share repurchase activity for each of the three months in the quarter ended September 30,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Approximate Dollar</w:t>
            </w: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120" w:type="dxa"/>
            <w:vAlign w:val="bottom"/>
          </w:tcPr>
          <w:p>
            <w:pPr>
              <w:spacing w:after="0"/>
              <w:rPr>
                <w:sz w:val="15"/>
                <w:szCs w:val="15"/>
                <w:color w:val="auto"/>
              </w:rPr>
            </w:pPr>
          </w:p>
        </w:tc>
        <w:tc>
          <w:tcPr>
            <w:tcW w:w="1800" w:type="dxa"/>
            <w:vAlign w:val="bottom"/>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rPr>
              <w:t>Value of Shares that</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May Yet Be Purchased</w:t>
            </w: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0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Average Price Paid per</w:t>
            </w:r>
          </w:p>
        </w:tc>
        <w:tc>
          <w:tcPr>
            <w:tcW w:w="18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Purchased as Part of</w:t>
            </w:r>
          </w:p>
        </w:tc>
        <w:tc>
          <w:tcPr>
            <w:tcW w:w="120" w:type="dxa"/>
            <w:vAlign w:val="bottom"/>
          </w:tcPr>
          <w:p>
            <w:pPr>
              <w:spacing w:after="0"/>
              <w:rPr>
                <w:sz w:val="14"/>
                <w:szCs w:val="14"/>
                <w:color w:val="auto"/>
              </w:rPr>
            </w:pPr>
          </w:p>
        </w:tc>
        <w:tc>
          <w:tcPr>
            <w:tcW w:w="18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Under the Plans or</w:t>
            </w:r>
          </w:p>
        </w:tc>
        <w:tc>
          <w:tcPr>
            <w:tcW w:w="0" w:type="dxa"/>
            <w:vAlign w:val="bottom"/>
          </w:tcPr>
          <w:p>
            <w:pPr>
              <w:spacing w:after="0"/>
              <w:rPr>
                <w:sz w:val="1"/>
                <w:szCs w:val="1"/>
                <w:color w:val="auto"/>
              </w:rPr>
            </w:pPr>
          </w:p>
        </w:tc>
      </w:tr>
      <w:tr>
        <w:trPr>
          <w:trHeight w:val="182"/>
        </w:trPr>
        <w:tc>
          <w:tcPr>
            <w:tcW w:w="372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8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Publicly Announced</w:t>
            </w:r>
          </w:p>
        </w:tc>
        <w:tc>
          <w:tcPr>
            <w:tcW w:w="120" w:type="dxa"/>
            <w:vAlign w:val="bottom"/>
          </w:tcPr>
          <w:p>
            <w:pPr>
              <w:spacing w:after="0"/>
              <w:rPr>
                <w:sz w:val="15"/>
                <w:szCs w:val="15"/>
                <w:color w:val="auto"/>
              </w:rPr>
            </w:pPr>
          </w:p>
        </w:tc>
        <w:tc>
          <w:tcPr>
            <w:tcW w:w="18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w w:val="97"/>
              </w:rPr>
              <w:t xml:space="preserve">Programs </w:t>
            </w:r>
            <w:r>
              <w:rPr>
                <w:rFonts w:ascii="Times New Roman" w:cs="Times New Roman" w:eastAsia="Times New Roman" w:hAnsi="Times New Roman"/>
                <w:sz w:val="21"/>
                <w:szCs w:val="21"/>
                <w:b w:val="1"/>
                <w:bCs w:val="1"/>
                <w:color w:val="auto"/>
                <w:w w:val="97"/>
                <w:vertAlign w:val="superscript"/>
              </w:rPr>
              <w:t>(2)</w:t>
            </w:r>
          </w:p>
        </w:tc>
        <w:tc>
          <w:tcPr>
            <w:tcW w:w="0" w:type="dxa"/>
            <w:vAlign w:val="bottom"/>
          </w:tcPr>
          <w:p>
            <w:pPr>
              <w:spacing w:after="0"/>
              <w:rPr>
                <w:sz w:val="1"/>
                <w:szCs w:val="1"/>
                <w:color w:val="auto"/>
              </w:rPr>
            </w:pPr>
          </w:p>
        </w:tc>
      </w:tr>
      <w:tr>
        <w:trPr>
          <w:trHeight w:val="220"/>
        </w:trPr>
        <w:tc>
          <w:tcPr>
            <w:tcW w:w="3720" w:type="dxa"/>
            <w:vAlign w:val="bottom"/>
            <w:gridSpan w:val="2"/>
            <w:vMerge w:val="continue"/>
          </w:tcPr>
          <w:p>
            <w:pPr>
              <w:spacing w:after="0"/>
              <w:rPr>
                <w:sz w:val="19"/>
                <w:szCs w:val="19"/>
                <w:color w:val="auto"/>
              </w:rPr>
            </w:pPr>
          </w:p>
        </w:tc>
        <w:tc>
          <w:tcPr>
            <w:tcW w:w="1760" w:type="dxa"/>
            <w:vAlign w:val="bottom"/>
          </w:tcPr>
          <w:p>
            <w:pPr>
              <w:jc w:val="center"/>
              <w:spacing w:after="0" w:line="221" w:lineRule="exact"/>
              <w:rPr>
                <w:sz w:val="20"/>
                <w:szCs w:val="20"/>
                <w:color w:val="auto"/>
              </w:rPr>
            </w:pPr>
            <w:r>
              <w:rPr>
                <w:rFonts w:ascii="Times New Roman" w:cs="Times New Roman" w:eastAsia="Times New Roman" w:hAnsi="Times New Roman"/>
                <w:sz w:val="17"/>
                <w:szCs w:val="17"/>
                <w:b w:val="1"/>
                <w:bCs w:val="1"/>
                <w:color w:val="auto"/>
                <w:w w:val="97"/>
              </w:rPr>
              <w:t>Shares Purchased</w:t>
            </w:r>
            <w:r>
              <w:rPr>
                <w:rFonts w:ascii="Times New Roman" w:cs="Times New Roman" w:eastAsia="Times New Roman" w:hAnsi="Times New Roman"/>
                <w:sz w:val="22"/>
                <w:szCs w:val="22"/>
                <w:b w:val="1"/>
                <w:bCs w:val="1"/>
                <w:color w:val="auto"/>
                <w:w w:val="97"/>
                <w:vertAlign w:val="superscript"/>
              </w:rPr>
              <w:t>(1)</w:t>
            </w:r>
          </w:p>
        </w:tc>
        <w:tc>
          <w:tcPr>
            <w:tcW w:w="100" w:type="dxa"/>
            <w:vAlign w:val="bottom"/>
          </w:tcPr>
          <w:p>
            <w:pPr>
              <w:spacing w:after="0"/>
              <w:rPr>
                <w:sz w:val="19"/>
                <w:szCs w:val="19"/>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Plans or Programs</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 millions)</w:t>
            </w:r>
          </w:p>
        </w:tc>
        <w:tc>
          <w:tcPr>
            <w:tcW w:w="0" w:type="dxa"/>
            <w:vAlign w:val="bottom"/>
          </w:tcPr>
          <w:p>
            <w:pPr>
              <w:spacing w:after="0"/>
              <w:rPr>
                <w:sz w:val="1"/>
                <w:szCs w:val="1"/>
                <w:color w:val="auto"/>
              </w:rPr>
            </w:pPr>
          </w:p>
        </w:tc>
      </w:tr>
      <w:tr>
        <w:trPr>
          <w:trHeight w:val="213"/>
        </w:trPr>
        <w:tc>
          <w:tcPr>
            <w:tcW w:w="362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July 2025</w:t>
            </w:r>
          </w:p>
        </w:tc>
        <w:tc>
          <w:tcPr>
            <w:tcW w:w="100" w:type="dxa"/>
            <w:vAlign w:val="bottom"/>
            <w:tcBorders>
              <w:top w:val="single" w:sz="8" w:color="BFE4FF"/>
            </w:tcBorders>
            <w:shd w:val="clear" w:color="auto" w:fill="BFE4FF"/>
          </w:tcPr>
          <w:p>
            <w:pPr>
              <w:spacing w:after="0"/>
              <w:rPr>
                <w:sz w:val="18"/>
                <w:szCs w:val="18"/>
                <w:color w:val="auto"/>
              </w:rPr>
            </w:pPr>
          </w:p>
        </w:tc>
        <w:tc>
          <w:tcPr>
            <w:tcW w:w="17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531,956</w:t>
            </w:r>
          </w:p>
        </w:tc>
        <w:tc>
          <w:tcPr>
            <w:tcW w:w="100" w:type="dxa"/>
            <w:vAlign w:val="bottom"/>
            <w:tcBorders>
              <w:top w:val="single" w:sz="8" w:color="BFE4FF"/>
            </w:tcBorders>
            <w:shd w:val="clear" w:color="auto" w:fill="BFE4FF"/>
          </w:tcPr>
          <w:p>
            <w:pPr>
              <w:spacing w:after="0"/>
              <w:rPr>
                <w:sz w:val="18"/>
                <w:szCs w:val="18"/>
                <w:color w:val="auto"/>
              </w:rPr>
            </w:pPr>
          </w:p>
        </w:tc>
        <w:tc>
          <w:tcPr>
            <w:tcW w:w="174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w w:val="99"/>
              </w:rPr>
              <w:t>$108</w:t>
            </w:r>
          </w:p>
        </w:tc>
        <w:tc>
          <w:tcPr>
            <w:tcW w:w="120" w:type="dxa"/>
            <w:vAlign w:val="bottom"/>
            <w:tcBorders>
              <w:top w:val="single" w:sz="8" w:color="BFE4FF"/>
            </w:tcBorders>
            <w:shd w:val="clear" w:color="auto" w:fill="BFE4FF"/>
          </w:tcPr>
          <w:p>
            <w:pPr>
              <w:spacing w:after="0"/>
              <w:rPr>
                <w:sz w:val="18"/>
                <w:szCs w:val="18"/>
                <w:color w:val="auto"/>
              </w:rPr>
            </w:pPr>
          </w:p>
        </w:tc>
        <w:tc>
          <w:tcPr>
            <w:tcW w:w="180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531,277</w:t>
            </w:r>
          </w:p>
        </w:tc>
        <w:tc>
          <w:tcPr>
            <w:tcW w:w="120" w:type="dxa"/>
            <w:vAlign w:val="bottom"/>
            <w:tcBorders>
              <w:top w:val="single" w:sz="8" w:color="BFE4FF"/>
            </w:tcBorders>
            <w:shd w:val="clear" w:color="auto" w:fill="BFE4FF"/>
          </w:tcPr>
          <w:p>
            <w:pPr>
              <w:spacing w:after="0"/>
              <w:rPr>
                <w:sz w:val="18"/>
                <w:szCs w:val="18"/>
                <w:color w:val="auto"/>
              </w:rPr>
            </w:pPr>
          </w:p>
        </w:tc>
        <w:tc>
          <w:tcPr>
            <w:tcW w:w="180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$534</w:t>
            </w:r>
          </w:p>
        </w:tc>
        <w:tc>
          <w:tcPr>
            <w:tcW w:w="0" w:type="dxa"/>
            <w:vAlign w:val="bottom"/>
          </w:tcPr>
          <w:p>
            <w:pPr>
              <w:spacing w:after="0"/>
              <w:rPr>
                <w:sz w:val="1"/>
                <w:szCs w:val="1"/>
                <w:color w:val="auto"/>
              </w:rPr>
            </w:pPr>
          </w:p>
        </w:tc>
      </w:tr>
      <w:tr>
        <w:trPr>
          <w:trHeight w:val="22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2025</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685,605</w:t>
            </w:r>
          </w:p>
        </w:tc>
        <w:tc>
          <w:tcPr>
            <w:tcW w:w="184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9"/>
              </w:rPr>
              <w:t>$110</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683,084</w:t>
            </w:r>
          </w:p>
        </w:tc>
        <w:tc>
          <w:tcPr>
            <w:tcW w:w="192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$459</w:t>
            </w:r>
          </w:p>
        </w:tc>
        <w:tc>
          <w:tcPr>
            <w:tcW w:w="0" w:type="dxa"/>
            <w:vAlign w:val="bottom"/>
          </w:tcPr>
          <w:p>
            <w:pPr>
              <w:spacing w:after="0"/>
              <w:rPr>
                <w:sz w:val="1"/>
                <w:szCs w:val="1"/>
                <w:color w:val="auto"/>
              </w:rPr>
            </w:pPr>
          </w:p>
        </w:tc>
      </w:tr>
      <w:tr>
        <w:trPr>
          <w:trHeight w:val="220"/>
        </w:trPr>
        <w:tc>
          <w:tcPr>
            <w:tcW w:w="37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September 2025</w:t>
            </w:r>
          </w:p>
        </w:tc>
        <w:tc>
          <w:tcPr>
            <w:tcW w:w="1760" w:type="dxa"/>
            <w:vAlign w:val="bottom"/>
            <w:tcBorders>
              <w:bottom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727,141</w:t>
            </w:r>
          </w:p>
        </w:tc>
        <w:tc>
          <w:tcPr>
            <w:tcW w:w="1840" w:type="dxa"/>
            <w:vAlign w:val="bottom"/>
            <w:gridSpan w:val="2"/>
            <w:shd w:val="clear" w:color="auto" w:fill="BFE4FF"/>
          </w:tcPr>
          <w:p>
            <w:pPr>
              <w:jc w:val="center"/>
              <w:ind w:left="14"/>
              <w:spacing w:after="0"/>
              <w:rPr>
                <w:sz w:val="20"/>
                <w:szCs w:val="20"/>
                <w:color w:val="auto"/>
              </w:rPr>
            </w:pPr>
            <w:r>
              <w:rPr>
                <w:rFonts w:ascii="Times New Roman" w:cs="Times New Roman" w:eastAsia="Times New Roman" w:hAnsi="Times New Roman"/>
                <w:sz w:val="17"/>
                <w:szCs w:val="17"/>
                <w:color w:val="auto"/>
                <w:w w:val="99"/>
              </w:rPr>
              <w:t>$104</w:t>
            </w:r>
          </w:p>
        </w:tc>
        <w:tc>
          <w:tcPr>
            <w:tcW w:w="120" w:type="dxa"/>
            <w:vAlign w:val="bottom"/>
            <w:shd w:val="clear" w:color="auto" w:fill="BFE4FF"/>
          </w:tcPr>
          <w:p>
            <w:pPr>
              <w:spacing w:after="0"/>
              <w:rPr>
                <w:sz w:val="19"/>
                <w:szCs w:val="19"/>
                <w:color w:val="auto"/>
              </w:rPr>
            </w:pPr>
          </w:p>
        </w:tc>
        <w:tc>
          <w:tcPr>
            <w:tcW w:w="1800" w:type="dxa"/>
            <w:vAlign w:val="bottom"/>
            <w:tcBorders>
              <w:bottom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722,166</w:t>
            </w:r>
          </w:p>
        </w:tc>
        <w:tc>
          <w:tcPr>
            <w:tcW w:w="1920" w:type="dxa"/>
            <w:vAlign w:val="bottom"/>
            <w:gridSpan w:val="2"/>
            <w:shd w:val="clear" w:color="auto" w:fill="BFE4FF"/>
          </w:tcPr>
          <w:p>
            <w:pPr>
              <w:jc w:val="center"/>
              <w:ind w:left="34"/>
              <w:spacing w:after="0"/>
              <w:rPr>
                <w:sz w:val="20"/>
                <w:szCs w:val="20"/>
                <w:color w:val="auto"/>
              </w:rPr>
            </w:pPr>
            <w:r>
              <w:rPr>
                <w:rFonts w:ascii="Times New Roman" w:cs="Times New Roman" w:eastAsia="Times New Roman" w:hAnsi="Times New Roman"/>
                <w:sz w:val="17"/>
                <w:szCs w:val="17"/>
                <w:color w:val="auto"/>
              </w:rPr>
              <w:t>$384</w:t>
            </w:r>
          </w:p>
        </w:tc>
        <w:tc>
          <w:tcPr>
            <w:tcW w:w="0" w:type="dxa"/>
            <w:vAlign w:val="bottom"/>
          </w:tcPr>
          <w:p>
            <w:pPr>
              <w:spacing w:after="0"/>
              <w:rPr>
                <w:sz w:val="1"/>
                <w:szCs w:val="1"/>
                <w:color w:val="auto"/>
              </w:rPr>
            </w:pPr>
          </w:p>
        </w:tc>
      </w:tr>
      <w:tr>
        <w:trPr>
          <w:trHeight w:val="213"/>
        </w:trPr>
        <w:tc>
          <w:tcPr>
            <w:tcW w:w="37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1,944,702</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1,936,527</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320" w:right="360" w:hanging="238"/>
        <w:spacing w:after="0" w:line="238" w:lineRule="auto"/>
        <w:tabs>
          <w:tab w:leader="none" w:pos="246"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The total number of shares purchased includes shares surrendered to satisfy minimum statutory tax withholding obligations related to the vesting of stock awards.</w:t>
      </w:r>
    </w:p>
    <w:p>
      <w:pPr>
        <w:spacing w:after="0" w:line="33" w:lineRule="exact"/>
        <w:rPr>
          <w:rFonts w:ascii="Times New Roman" w:cs="Times New Roman" w:eastAsia="Times New Roman" w:hAnsi="Times New Roman"/>
          <w:sz w:val="21"/>
          <w:szCs w:val="21"/>
          <w:color w:val="auto"/>
          <w:vertAlign w:val="superscript"/>
        </w:rPr>
      </w:pPr>
    </w:p>
    <w:p>
      <w:pPr>
        <w:ind w:left="320" w:right="80" w:hanging="238"/>
        <w:spacing w:after="0" w:line="247" w:lineRule="auto"/>
        <w:tabs>
          <w:tab w:leader="none" w:pos="246"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On December 12, 2011, the Board of Directors initially approved a share repurchase program, which was subsequently increased from time to time, and most recently increased by $500 million to $4,085 million on October 22, 2025.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of Trading Arrangements</w:t>
      </w:r>
    </w:p>
    <w:p>
      <w:pPr>
        <w:spacing w:after="0" w:line="118"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Item 408(a) of Regulation S-K requires the Company to disclose whether any director or officer of the Company has adopted or terminated (i) any trading arrangement that is intended to satisfy the affirmative defense conditions of Rule 10b5-1(c) (a “Rule 10b5-1 trading arrangement”); and/or (ii) any written trading arrangement that meets the requirements of a “non-Rule 10b5-1 trading arrangement” as defined in Item 408(c) of Regulation S-K.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activity occurred requiring disclosure under Item 408(a) of Regulation S-K:</w:t>
      </w:r>
    </w:p>
    <w:p>
      <w:pPr>
        <w:spacing w:after="0" w:line="116" w:lineRule="exact"/>
        <w:rPr>
          <w:sz w:val="20"/>
          <w:szCs w:val="20"/>
          <w:color w:val="auto"/>
        </w:rPr>
      </w:pPr>
    </w:p>
    <w:p>
      <w:pPr>
        <w:jc w:val="both"/>
        <w:ind w:right="140"/>
        <w:spacing w:after="0" w:line="273" w:lineRule="auto"/>
        <w:rPr>
          <w:sz w:val="20"/>
          <w:szCs w:val="20"/>
          <w:color w:val="auto"/>
        </w:rPr>
      </w:pPr>
      <w:r>
        <w:rPr>
          <w:rFonts w:ascii="Times New Roman" w:cs="Times New Roman" w:eastAsia="Times New Roman" w:hAnsi="Times New Roman"/>
          <w:sz w:val="17"/>
          <w:szCs w:val="17"/>
          <w:color w:val="auto"/>
        </w:rPr>
        <w:t>Matthew Calderone, our Chief Financial Officer, adopted a new Rule 10b5-1 trading arrangement on June 13, 2025 that will terminate on June 12, 2026. Under the trading arrangement, up to an aggregate of 10,000 shares of common stock are available to be sold by the broker upon reaching pricing targets defined in the trading arrangement.</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Exhibit</w:t>
      </w:r>
    </w:p>
    <w:p>
      <w:pPr>
        <w:ind w:left="140"/>
        <w:spacing w:after="0"/>
        <w:tabs>
          <w:tab w:leader="none" w:pos="940" w:val="left"/>
        </w:tabs>
        <w:rPr>
          <w:sz w:val="20"/>
          <w:szCs w:val="20"/>
          <w:color w:val="auto"/>
        </w:rPr>
      </w:pPr>
      <w:r>
        <w:rPr>
          <w:rFonts w:ascii="Times New Roman" w:cs="Times New Roman" w:eastAsia="Times New Roman" w:hAnsi="Times New Roman"/>
          <w:sz w:val="17"/>
          <w:szCs w:val="17"/>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38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50" w:lineRule="exact"/>
        <w:rPr>
          <w:sz w:val="20"/>
          <w:szCs w:val="20"/>
          <w:color w:val="auto"/>
        </w:rPr>
      </w:pPr>
    </w:p>
    <w:p>
      <w:pPr>
        <w:ind w:left="960" w:right="260" w:hanging="939"/>
        <w:spacing w:after="0" w:line="244" w:lineRule="auto"/>
        <w:tabs>
          <w:tab w:leader="none" w:pos="960" w:val="left"/>
        </w:tabs>
        <w:numPr>
          <w:ilvl w:val="0"/>
          <w:numId w:val="16"/>
        </w:numPr>
        <w:rPr>
          <w:rFonts w:ascii="Times New Roman" w:cs="Times New Roman" w:eastAsia="Times New Roman" w:hAnsi="Times New Roman"/>
          <w:sz w:val="17"/>
          <w:szCs w:val="17"/>
          <w:u w:val="single" w:color="auto"/>
          <w:color w:val="0000FF"/>
        </w:rPr>
      </w:pPr>
      <w:hyperlink r:id="rId60">
        <w:r>
          <w:rPr>
            <w:rFonts w:ascii="Times New Roman" w:cs="Times New Roman" w:eastAsia="Times New Roman" w:hAnsi="Times New Roman"/>
            <w:sz w:val="17"/>
            <w:szCs w:val="17"/>
            <w:u w:val="single" w:color="auto"/>
            <w:color w:val="0000FF"/>
          </w:rPr>
          <w:t>List of Guarantors and Subsidiary Issuers of Guaranteed Securities (Incorporated by reference to Exhibit 22 to the Company’s Annual Report for</w:t>
        </w:r>
      </w:hyperlink>
      <w:r>
        <w:rPr>
          <w:rFonts w:ascii="Times New Roman" w:cs="Times New Roman" w:eastAsia="Times New Roman" w:hAnsi="Times New Roman"/>
          <w:sz w:val="17"/>
          <w:szCs w:val="17"/>
          <w:u w:val="single" w:color="auto"/>
          <w:color w:val="0000FF"/>
        </w:rPr>
        <w:t xml:space="preserve"> </w:t>
      </w:r>
      <w:hyperlink r:id="rId60">
        <w:r>
          <w:rPr>
            <w:rFonts w:ascii="Times New Roman" w:cs="Times New Roman" w:eastAsia="Times New Roman" w:hAnsi="Times New Roman"/>
            <w:sz w:val="17"/>
            <w:szCs w:val="17"/>
            <w:u w:val="single" w:color="auto"/>
            <w:color w:val="0000FF"/>
          </w:rPr>
          <w:t>the fiscal year ended March 31, 2025 on Form 10-K (File No. 001-34972))</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2540</wp:posOffset>
            </wp:positionH>
            <wp:positionV relativeFrom="paragraph">
              <wp:posOffset>-248285</wp:posOffset>
            </wp:positionV>
            <wp:extent cx="7138035" cy="255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8035" cy="2552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960" w:type="dxa"/>
            <w:vAlign w:val="bottom"/>
          </w:tcPr>
          <w:p>
            <w:pPr>
              <w:jc w:val="right"/>
              <w:ind w:right="554"/>
              <w:spacing w:after="0" w:line="191" w:lineRule="exact"/>
              <w:rPr>
                <w:sz w:val="20"/>
                <w:szCs w:val="20"/>
                <w:color w:val="auto"/>
              </w:rPr>
            </w:pPr>
            <w:r>
              <w:rPr>
                <w:rFonts w:ascii="Times New Roman" w:cs="Times New Roman" w:eastAsia="Times New Roman" w:hAnsi="Times New Roman"/>
                <w:sz w:val="17"/>
                <w:szCs w:val="17"/>
                <w:color w:val="auto"/>
              </w:rPr>
              <w:t>31.1</w:t>
            </w:r>
          </w:p>
        </w:tc>
        <w:tc>
          <w:tcPr>
            <w:tcW w:w="10280" w:type="dxa"/>
            <w:vAlign w:val="bottom"/>
            <w:gridSpan w:val="6"/>
          </w:tcPr>
          <w:p>
            <w:pPr>
              <w:spacing w:after="0" w:line="191" w:lineRule="exact"/>
              <w:rPr>
                <w:sz w:val="20"/>
                <w:szCs w:val="20"/>
                <w:color w:val="auto"/>
              </w:rPr>
            </w:pPr>
            <w:r>
              <w:rPr>
                <w:rFonts w:ascii="Times New Roman" w:cs="Times New Roman" w:eastAsia="Times New Roman" w:hAnsi="Times New Roman"/>
                <w:sz w:val="17"/>
                <w:szCs w:val="17"/>
                <w:color w:val="0000FF"/>
              </w:rPr>
              <w:t>Rule 13a-14(a)/15d-14(a) Certification of the Chief Executive Officer*</w:t>
            </w:r>
          </w:p>
        </w:tc>
      </w:tr>
      <w:tr>
        <w:trPr>
          <w:trHeight w:val="210"/>
        </w:trPr>
        <w:tc>
          <w:tcPr>
            <w:tcW w:w="960" w:type="dxa"/>
            <w:vAlign w:val="bottom"/>
            <w:tcBorders>
              <w:bottom w:val="single" w:sz="8" w:color="CCEEFF"/>
            </w:tcBorders>
            <w:shd w:val="clear" w:color="auto" w:fill="CCEEFF"/>
          </w:tcPr>
          <w:p>
            <w:pPr>
              <w:jc w:val="right"/>
              <w:ind w:right="554"/>
              <w:spacing w:after="0" w:line="191" w:lineRule="exact"/>
              <w:rPr>
                <w:sz w:val="20"/>
                <w:szCs w:val="20"/>
                <w:color w:val="auto"/>
              </w:rPr>
            </w:pPr>
            <w:r>
              <w:rPr>
                <w:rFonts w:ascii="Times New Roman" w:cs="Times New Roman" w:eastAsia="Times New Roman" w:hAnsi="Times New Roman"/>
                <w:sz w:val="17"/>
                <w:szCs w:val="17"/>
                <w:color w:val="auto"/>
              </w:rPr>
              <w:t>31.2</w:t>
            </w:r>
          </w:p>
        </w:tc>
        <w:tc>
          <w:tcPr>
            <w:tcW w:w="4880" w:type="dxa"/>
            <w:vAlign w:val="bottom"/>
            <w:tcBorders>
              <w:top w:val="single" w:sz="8" w:color="0000FF"/>
              <w:bottom w:val="single" w:sz="8" w:color="0000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0000FF"/>
              </w:rPr>
              <w:t>Rule 13a-14(a)/15d-14(a) Certification of the Chief Financial Officer*</w:t>
            </w: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5360" w:type="dxa"/>
            <w:vAlign w:val="bottom"/>
            <w:tcBorders>
              <w:bottom w:val="single" w:sz="8" w:color="CCEEFF"/>
            </w:tcBorders>
            <w:gridSpan w:val="3"/>
            <w:shd w:val="clear" w:color="auto" w:fill="CCEEFF"/>
          </w:tcPr>
          <w:p>
            <w:pPr>
              <w:spacing w:after="0"/>
              <w:rPr>
                <w:sz w:val="18"/>
                <w:szCs w:val="18"/>
                <w:color w:val="auto"/>
              </w:rPr>
            </w:pPr>
          </w:p>
        </w:tc>
      </w:tr>
      <w:tr>
        <w:trPr>
          <w:trHeight w:val="182"/>
        </w:trPr>
        <w:tc>
          <w:tcPr>
            <w:tcW w:w="960" w:type="dxa"/>
            <w:vAlign w:val="bottom"/>
          </w:tcPr>
          <w:p>
            <w:pPr>
              <w:jc w:val="right"/>
              <w:ind w:right="554"/>
              <w:spacing w:after="0" w:line="181" w:lineRule="exact"/>
              <w:rPr>
                <w:sz w:val="20"/>
                <w:szCs w:val="20"/>
                <w:color w:val="auto"/>
              </w:rPr>
            </w:pPr>
            <w:r>
              <w:rPr>
                <w:rFonts w:ascii="Times New Roman" w:cs="Times New Roman" w:eastAsia="Times New Roman" w:hAnsi="Times New Roman"/>
                <w:sz w:val="17"/>
                <w:szCs w:val="17"/>
                <w:color w:val="auto"/>
              </w:rPr>
              <w:t>32.1</w:t>
            </w:r>
          </w:p>
        </w:tc>
        <w:tc>
          <w:tcPr>
            <w:tcW w:w="10280" w:type="dxa"/>
            <w:vAlign w:val="bottom"/>
            <w:gridSpan w:val="6"/>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Chief Executive Officer required by Rule 13a-14(b) or Rule 15d-14(b) and Section 1350 of Chapter 63 of Title 18 of the United</w:t>
            </w:r>
          </w:p>
        </w:tc>
      </w:tr>
      <w:tr>
        <w:trPr>
          <w:trHeight w:val="149"/>
        </w:trPr>
        <w:tc>
          <w:tcPr>
            <w:tcW w:w="960" w:type="dxa"/>
            <w:vAlign w:val="bottom"/>
          </w:tcPr>
          <w:p>
            <w:pPr>
              <w:spacing w:after="0"/>
              <w:rPr>
                <w:sz w:val="12"/>
                <w:szCs w:val="12"/>
                <w:color w:val="auto"/>
              </w:rPr>
            </w:pPr>
          </w:p>
        </w:tc>
        <w:tc>
          <w:tcPr>
            <w:tcW w:w="10200" w:type="dxa"/>
            <w:vAlign w:val="bottom"/>
            <w:tcBorders>
              <w:top w:val="single" w:sz="8" w:color="0000FF"/>
            </w:tcBorders>
            <w:gridSpan w:val="5"/>
          </w:tcPr>
          <w:p>
            <w:pPr>
              <w:spacing w:after="0" w:line="149" w:lineRule="exact"/>
              <w:rPr>
                <w:sz w:val="20"/>
                <w:szCs w:val="20"/>
                <w:color w:val="auto"/>
              </w:rPr>
            </w:pPr>
            <w:r>
              <w:rPr>
                <w:rFonts w:ascii="Times New Roman" w:cs="Times New Roman" w:eastAsia="Times New Roman" w:hAnsi="Times New Roman"/>
                <w:sz w:val="17"/>
                <w:szCs w:val="17"/>
                <w:color w:val="0000FF"/>
              </w:rPr>
              <w:t>States Code (18 U.S.C. 1350)*</w:t>
            </w:r>
          </w:p>
        </w:tc>
        <w:tc>
          <w:tcPr>
            <w:tcW w:w="80" w:type="dxa"/>
            <w:vAlign w:val="bottom"/>
          </w:tcPr>
          <w:p>
            <w:pPr>
              <w:spacing w:after="0"/>
              <w:rPr>
                <w:sz w:val="12"/>
                <w:szCs w:val="12"/>
                <w:color w:val="auto"/>
              </w:rPr>
            </w:pPr>
          </w:p>
        </w:tc>
      </w:tr>
      <w:tr>
        <w:trPr>
          <w:trHeight w:val="32"/>
        </w:trPr>
        <w:tc>
          <w:tcPr>
            <w:tcW w:w="960" w:type="dxa"/>
            <w:vAlign w:val="bottom"/>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27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960" w:type="dxa"/>
            <w:vAlign w:val="bottom"/>
            <w:shd w:val="clear" w:color="auto" w:fill="CCEEFF"/>
          </w:tcPr>
          <w:p>
            <w:pPr>
              <w:jc w:val="right"/>
              <w:ind w:right="554"/>
              <w:spacing w:after="0" w:line="181" w:lineRule="exact"/>
              <w:rPr>
                <w:sz w:val="20"/>
                <w:szCs w:val="20"/>
                <w:color w:val="auto"/>
              </w:rPr>
            </w:pPr>
            <w:r>
              <w:rPr>
                <w:rFonts w:ascii="Times New Roman" w:cs="Times New Roman" w:eastAsia="Times New Roman" w:hAnsi="Times New Roman"/>
                <w:sz w:val="17"/>
                <w:szCs w:val="17"/>
                <w:color w:val="auto"/>
              </w:rPr>
              <w:t>32.2</w:t>
            </w:r>
          </w:p>
        </w:tc>
        <w:tc>
          <w:tcPr>
            <w:tcW w:w="10280" w:type="dxa"/>
            <w:vAlign w:val="bottom"/>
            <w:gridSpan w:val="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Chief Financial Officer required by Rule 13a-14(b) or Rule 15d-14(b) and Section 1350 of Chapter 63 of Title 18 of the United</w:t>
            </w:r>
          </w:p>
        </w:tc>
      </w:tr>
      <w:tr>
        <w:trPr>
          <w:trHeight w:val="149"/>
        </w:trPr>
        <w:tc>
          <w:tcPr>
            <w:tcW w:w="960" w:type="dxa"/>
            <w:vAlign w:val="bottom"/>
            <w:tcBorders>
              <w:top w:val="single" w:sz="8" w:color="CCEEFF"/>
            </w:tcBorders>
            <w:shd w:val="clear" w:color="auto" w:fill="CCEEFF"/>
          </w:tcPr>
          <w:p>
            <w:pPr>
              <w:spacing w:after="0"/>
              <w:rPr>
                <w:sz w:val="12"/>
                <w:szCs w:val="12"/>
                <w:color w:val="auto"/>
              </w:rPr>
            </w:pPr>
          </w:p>
        </w:tc>
        <w:tc>
          <w:tcPr>
            <w:tcW w:w="10160" w:type="dxa"/>
            <w:vAlign w:val="bottom"/>
            <w:tcBorders>
              <w:top w:val="single" w:sz="8" w:color="0000FF"/>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States Code (18 U.S.C. 1350)*</w:t>
            </w:r>
          </w:p>
        </w:tc>
        <w:tc>
          <w:tcPr>
            <w:tcW w:w="120" w:type="dxa"/>
            <w:vAlign w:val="bottom"/>
            <w:tcBorders>
              <w:top w:val="single" w:sz="8" w:color="CCEEFF"/>
            </w:tcBorders>
            <w:gridSpan w:val="2"/>
            <w:shd w:val="clear" w:color="auto" w:fill="CCEEFF"/>
          </w:tcPr>
          <w:p>
            <w:pPr>
              <w:spacing w:after="0"/>
              <w:rPr>
                <w:sz w:val="12"/>
                <w:szCs w:val="12"/>
                <w:color w:val="auto"/>
              </w:rPr>
            </w:pPr>
          </w:p>
        </w:tc>
      </w:tr>
      <w:tr>
        <w:trPr>
          <w:trHeight w:val="32"/>
        </w:trPr>
        <w:tc>
          <w:tcPr>
            <w:tcW w:w="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0000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ind w:left="960" w:right="100" w:hanging="939"/>
        <w:spacing w:after="0" w:line="222" w:lineRule="auto"/>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Booz Allen Hamilton Holding Corporation’s Quarterly Report on Form 10-Q for the three and six months ended September 30, 2025 formatted in Inline XBRL (eXtensible Business Reporting Language): (i) Condensed Consolidated Balance Sheets at September 30, 2025 and March 31, 2025; (ii) Condensed Consolidated Statements of Operations for the three and six months ended September 30, 2025 and 2024; (iii) Condensed Consolidated Statements of Comprehensive Income for the three and six months ended September 30, 2025 and 2024; (iv) Condensed Consolidated Statements of Cash Flows for the six months ended September 30, 2025 and 2024; and (v) Notes to Condensed Consolidated Financial Statements.</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39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ind w:left="20"/>
        <w:spacing w:after="0"/>
        <w:tabs>
          <w:tab w:leader="none" w:pos="94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97"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64"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 Filed electronically herewith.</w:t>
      </w:r>
    </w:p>
    <w:p>
      <w:pPr>
        <w:spacing w:after="0" w:line="200" w:lineRule="exact"/>
        <w:rPr>
          <w:rFonts w:ascii="Times New Roman" w:cs="Times New Roman" w:eastAsia="Times New Roman" w:hAnsi="Times New Roman"/>
          <w:sz w:val="17"/>
          <w:szCs w:val="17"/>
          <w:color w:val="auto"/>
        </w:rPr>
      </w:pPr>
    </w:p>
    <w:p>
      <w:pPr>
        <w:spacing w:after="0" w:line="344"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8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7"/>
          <w:szCs w:val="17"/>
          <w:u w:val="single" w:color="auto"/>
          <w:color w:val="auto"/>
        </w:rPr>
        <w:t>Booz Allen Hamilton Holding Corporation</w:t>
      </w:r>
    </w:p>
    <w:p>
      <w:pPr>
        <w:spacing w:after="0" w:line="31"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7"/>
          <w:szCs w:val="17"/>
          <w:color w:val="auto"/>
        </w:rPr>
        <w:t>Registrant</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4800" w:val="left"/>
          <w:tab w:leader="none" w:pos="5260" w:val="left"/>
        </w:tabs>
        <w:rPr>
          <w:sz w:val="20"/>
          <w:szCs w:val="20"/>
          <w:color w:val="auto"/>
        </w:rPr>
      </w:pPr>
      <w:r>
        <w:rPr>
          <w:rFonts w:ascii="Times New Roman" w:cs="Times New Roman" w:eastAsia="Times New Roman" w:hAnsi="Times New Roman"/>
          <w:sz w:val="17"/>
          <w:szCs w:val="17"/>
          <w:color w:val="auto"/>
        </w:rPr>
        <w:t>Date: October 24, 2025</w:t>
      </w:r>
      <w:r>
        <w:rPr>
          <w:sz w:val="20"/>
          <w:szCs w:val="20"/>
          <w:color w:val="auto"/>
        </w:rPr>
        <w:tab/>
      </w:r>
      <w:r>
        <w:rPr>
          <w:rFonts w:ascii="Times New Roman" w:cs="Times New Roman" w:eastAsia="Times New Roman" w:hAnsi="Times New Roman"/>
          <w:sz w:val="17"/>
          <w:szCs w:val="17"/>
          <w:color w:val="auto"/>
        </w:rPr>
        <w:t>By:</w:t>
        <w:tab/>
        <w:t>/s/ Dennis Metzfield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19050</wp:posOffset>
            </wp:positionV>
            <wp:extent cx="37871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787140" cy="8255"/>
                    </a:xfrm>
                    <a:prstGeom prst="rect">
                      <a:avLst/>
                    </a:prstGeom>
                    <a:noFill/>
                  </pic:spPr>
                </pic:pic>
              </a:graphicData>
            </a:graphic>
          </wp:anchor>
        </w:drawing>
      </w:r>
    </w:p>
    <w:p>
      <w:pPr>
        <w:spacing w:after="0" w:line="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Dennis Metzfield</w:t>
      </w:r>
    </w:p>
    <w:p>
      <w:pPr>
        <w:ind w:left="5280"/>
        <w:spacing w:after="0" w:line="222" w:lineRule="auto"/>
        <w:rPr>
          <w:sz w:val="20"/>
          <w:szCs w:val="20"/>
          <w:color w:val="auto"/>
        </w:rPr>
      </w:pPr>
      <w:r>
        <w:rPr>
          <w:rFonts w:ascii="Times New Roman" w:cs="Times New Roman" w:eastAsia="Times New Roman" w:hAnsi="Times New Roman"/>
          <w:sz w:val="17"/>
          <w:szCs w:val="17"/>
          <w:color w:val="auto"/>
        </w:rPr>
        <w:t>Vice President, Controller and Chief Accounting Officer</w:t>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820"/>
          </w:cols>
          <w:pgMar w:left="320" w:top="121" w:right="75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 PURSUANT TO RULE 13A-14(A) OF THE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 AS AMENDED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Horacio D. Rozanski, certify that:</w:t>
      </w:r>
    </w:p>
    <w:p>
      <w:pPr>
        <w:spacing w:after="0" w:line="168" w:lineRule="exact"/>
        <w:rPr>
          <w:sz w:val="20"/>
          <w:szCs w:val="20"/>
          <w:color w:val="auto"/>
        </w:rPr>
      </w:pPr>
    </w:p>
    <w:p>
      <w:pPr>
        <w:ind w:left="180" w:hanging="176"/>
        <w:spacing w:after="0"/>
        <w:tabs>
          <w:tab w:leader="none" w:pos="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Booz Allen Hamilton Holding Corporation.</w:t>
      </w:r>
    </w:p>
    <w:p>
      <w:pPr>
        <w:spacing w:after="0" w:line="167" w:lineRule="exact"/>
        <w:rPr>
          <w:rFonts w:ascii="Times New Roman" w:cs="Times New Roman" w:eastAsia="Times New Roman" w:hAnsi="Times New Roman"/>
          <w:sz w:val="17"/>
          <w:szCs w:val="17"/>
          <w:color w:val="auto"/>
        </w:rPr>
      </w:pPr>
    </w:p>
    <w:p>
      <w:pPr>
        <w:ind w:right="240" w:firstLine="4"/>
        <w:spacing w:after="0" w:line="292" w:lineRule="auto"/>
        <w:tabs>
          <w:tab w:leader="none" w:pos="17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right="180" w:firstLine="4"/>
        <w:spacing w:after="0" w:line="273" w:lineRule="auto"/>
        <w:tabs>
          <w:tab w:leader="none" w:pos="17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ind w:right="140" w:firstLine="4"/>
        <w:spacing w:after="0" w:line="273" w:lineRule="auto"/>
        <w:tabs>
          <w:tab w:leader="none" w:pos="2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7"/>
          <w:szCs w:val="17"/>
          <w:color w:val="auto"/>
        </w:rPr>
      </w:pPr>
    </w:p>
    <w:p>
      <w:pPr>
        <w:ind w:right="200" w:firstLine="4"/>
        <w:spacing w:after="0" w:line="273" w:lineRule="auto"/>
        <w:tabs>
          <w:tab w:leader="none" w:pos="24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7"/>
          <w:szCs w:val="17"/>
          <w:color w:val="auto"/>
        </w:rPr>
      </w:pPr>
    </w:p>
    <w:p>
      <w:pPr>
        <w:ind w:right="320" w:firstLine="4"/>
        <w:spacing w:after="0" w:line="292" w:lineRule="auto"/>
        <w:tabs>
          <w:tab w:leader="none" w:pos="2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w:t>
      </w:r>
    </w:p>
    <w:p>
      <w:pPr>
        <w:spacing w:after="0" w:line="30" w:lineRule="exact"/>
        <w:rPr>
          <w:rFonts w:ascii="Times New Roman" w:cs="Times New Roman" w:eastAsia="Times New Roman" w:hAnsi="Times New Roman"/>
          <w:sz w:val="17"/>
          <w:szCs w:val="17"/>
          <w:color w:val="auto"/>
        </w:rPr>
      </w:pPr>
    </w:p>
    <w:p>
      <w:pPr>
        <w:ind w:right="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fourth fiscal quarter in the case of an annual report) that has materially affected, or is reasonably likely to materially affect, the registrant's internal control over financial reporting.</w:t>
      </w:r>
    </w:p>
    <w:p>
      <w:pPr>
        <w:spacing w:after="0" w:line="114" w:lineRule="exact"/>
        <w:rPr>
          <w:sz w:val="20"/>
          <w:szCs w:val="20"/>
          <w:color w:val="auto"/>
        </w:rPr>
      </w:pPr>
    </w:p>
    <w:p>
      <w:pPr>
        <w:ind w:right="120" w:firstLine="4"/>
        <w:spacing w:after="0" w:line="292" w:lineRule="auto"/>
        <w:tabs>
          <w:tab w:leader="none" w:pos="17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5" w:lineRule="exact"/>
        <w:rPr>
          <w:sz w:val="20"/>
          <w:szCs w:val="20"/>
          <w:color w:val="auto"/>
        </w:rPr>
      </w:pPr>
    </w:p>
    <w:p>
      <w:pPr>
        <w:ind w:right="480" w:firstLine="4"/>
        <w:spacing w:after="0" w:line="292" w:lineRule="auto"/>
        <w:tabs>
          <w:tab w:leader="none" w:pos="2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right="80" w:firstLine="4"/>
        <w:spacing w:after="0" w:line="292" w:lineRule="auto"/>
        <w:tabs>
          <w:tab w:leader="none" w:pos="24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20"/>
        <w:spacing w:after="0"/>
        <w:tabs>
          <w:tab w:leader="none" w:pos="6960" w:val="left"/>
          <w:tab w:leader="none" w:pos="7420" w:val="left"/>
        </w:tabs>
        <w:rPr>
          <w:sz w:val="20"/>
          <w:szCs w:val="20"/>
          <w:color w:val="auto"/>
        </w:rPr>
      </w:pPr>
      <w:r>
        <w:rPr>
          <w:rFonts w:ascii="Times New Roman" w:cs="Times New Roman" w:eastAsia="Times New Roman" w:hAnsi="Times New Roman"/>
          <w:sz w:val="17"/>
          <w:szCs w:val="17"/>
          <w:color w:val="auto"/>
        </w:rPr>
        <w:t>Date: October 24, 2025</w:t>
      </w:r>
      <w:r>
        <w:rPr>
          <w:sz w:val="20"/>
          <w:szCs w:val="20"/>
          <w:color w:val="auto"/>
        </w:rPr>
        <w:tab/>
      </w:r>
      <w:r>
        <w:rPr>
          <w:rFonts w:ascii="Times New Roman" w:cs="Times New Roman" w:eastAsia="Times New Roman" w:hAnsi="Times New Roman"/>
          <w:sz w:val="17"/>
          <w:szCs w:val="17"/>
          <w:color w:val="auto"/>
        </w:rPr>
        <w:t>By:</w:t>
        <w:tab/>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19050</wp:posOffset>
            </wp:positionV>
            <wp:extent cx="24123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Horacio D. Rozanski</w:t>
      </w:r>
    </w:p>
    <w:p>
      <w:pPr>
        <w:ind w:left="7440"/>
        <w:spacing w:after="0" w:line="222" w:lineRule="auto"/>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858"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FINANCIAL OFFICER PURSUANT TO RULE 13A-14(A) OF THE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 AS AMENDED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Matthew A. Calderone, certify that:</w:t>
      </w:r>
    </w:p>
    <w:p>
      <w:pPr>
        <w:spacing w:after="0" w:line="168" w:lineRule="exact"/>
        <w:rPr>
          <w:sz w:val="20"/>
          <w:szCs w:val="20"/>
          <w:color w:val="auto"/>
        </w:rPr>
      </w:pPr>
    </w:p>
    <w:p>
      <w:pPr>
        <w:ind w:left="180" w:hanging="176"/>
        <w:spacing w:after="0"/>
        <w:tabs>
          <w:tab w:leader="none" w:pos="1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Booz Allen Hamilton Holding Corporation.</w:t>
      </w:r>
    </w:p>
    <w:p>
      <w:pPr>
        <w:spacing w:after="0" w:line="167" w:lineRule="exact"/>
        <w:rPr>
          <w:rFonts w:ascii="Times New Roman" w:cs="Times New Roman" w:eastAsia="Times New Roman" w:hAnsi="Times New Roman"/>
          <w:sz w:val="17"/>
          <w:szCs w:val="17"/>
          <w:color w:val="auto"/>
        </w:rPr>
      </w:pPr>
    </w:p>
    <w:p>
      <w:pPr>
        <w:ind w:right="240" w:firstLine="4"/>
        <w:spacing w:after="0" w:line="292" w:lineRule="auto"/>
        <w:tabs>
          <w:tab w:leader="none" w:pos="17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right="180" w:firstLine="4"/>
        <w:spacing w:after="0" w:line="273" w:lineRule="auto"/>
        <w:tabs>
          <w:tab w:leader="none" w:pos="17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ind w:right="140" w:firstLine="4"/>
        <w:spacing w:after="0" w:line="273" w:lineRule="auto"/>
        <w:tabs>
          <w:tab w:leader="none" w:pos="2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7"/>
          <w:szCs w:val="17"/>
          <w:color w:val="auto"/>
        </w:rPr>
      </w:pPr>
    </w:p>
    <w:p>
      <w:pPr>
        <w:ind w:right="200" w:firstLine="4"/>
        <w:spacing w:after="0" w:line="273" w:lineRule="auto"/>
        <w:tabs>
          <w:tab w:leader="none" w:pos="24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7"/>
          <w:szCs w:val="17"/>
          <w:color w:val="auto"/>
        </w:rPr>
      </w:pPr>
    </w:p>
    <w:p>
      <w:pPr>
        <w:ind w:right="320" w:firstLine="4"/>
        <w:spacing w:after="0" w:line="292" w:lineRule="auto"/>
        <w:tabs>
          <w:tab w:leader="none" w:pos="2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w:t>
      </w:r>
    </w:p>
    <w:p>
      <w:pPr>
        <w:spacing w:after="0" w:line="30" w:lineRule="exact"/>
        <w:rPr>
          <w:rFonts w:ascii="Times New Roman" w:cs="Times New Roman" w:eastAsia="Times New Roman" w:hAnsi="Times New Roman"/>
          <w:sz w:val="17"/>
          <w:szCs w:val="17"/>
          <w:color w:val="auto"/>
        </w:rPr>
      </w:pPr>
    </w:p>
    <w:p>
      <w:pPr>
        <w:ind w:right="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fourth fiscal quarter in the case of an annual report) that has materially affected, or is reasonably likely to materially affect, the registrant's internal control over financial reporting.</w:t>
      </w:r>
    </w:p>
    <w:p>
      <w:pPr>
        <w:spacing w:after="0" w:line="114" w:lineRule="exact"/>
        <w:rPr>
          <w:sz w:val="20"/>
          <w:szCs w:val="20"/>
          <w:color w:val="auto"/>
        </w:rPr>
      </w:pPr>
    </w:p>
    <w:p>
      <w:pPr>
        <w:ind w:right="120" w:firstLine="4"/>
        <w:spacing w:after="0" w:line="292" w:lineRule="auto"/>
        <w:tabs>
          <w:tab w:leader="none" w:pos="17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5" w:lineRule="exact"/>
        <w:rPr>
          <w:sz w:val="20"/>
          <w:szCs w:val="20"/>
          <w:color w:val="auto"/>
        </w:rPr>
      </w:pPr>
    </w:p>
    <w:p>
      <w:pPr>
        <w:ind w:right="480" w:firstLine="4"/>
        <w:spacing w:after="0" w:line="292" w:lineRule="auto"/>
        <w:tabs>
          <w:tab w:leader="none" w:pos="2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right="80" w:firstLine="4"/>
        <w:spacing w:after="0" w:line="292" w:lineRule="auto"/>
        <w:tabs>
          <w:tab w:leader="none" w:pos="24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20"/>
        <w:spacing w:after="0"/>
        <w:tabs>
          <w:tab w:leader="none" w:pos="5600" w:val="left"/>
          <w:tab w:leader="none" w:pos="6060" w:val="left"/>
        </w:tabs>
        <w:rPr>
          <w:sz w:val="20"/>
          <w:szCs w:val="20"/>
          <w:color w:val="auto"/>
        </w:rPr>
      </w:pPr>
      <w:r>
        <w:rPr>
          <w:rFonts w:ascii="Times New Roman" w:cs="Times New Roman" w:eastAsia="Times New Roman" w:hAnsi="Times New Roman"/>
          <w:sz w:val="17"/>
          <w:szCs w:val="17"/>
          <w:color w:val="auto"/>
        </w:rPr>
        <w:t>Date: October 24, 2025</w:t>
      </w:r>
      <w:r>
        <w:rPr>
          <w:sz w:val="20"/>
          <w:szCs w:val="20"/>
          <w:color w:val="auto"/>
        </w:rPr>
        <w:tab/>
      </w:r>
      <w:r>
        <w:rPr>
          <w:rFonts w:ascii="Times New Roman" w:cs="Times New Roman" w:eastAsia="Times New Roman" w:hAnsi="Times New Roman"/>
          <w:sz w:val="17"/>
          <w:szCs w:val="17"/>
          <w:color w:val="auto"/>
        </w:rPr>
        <w:t>By:</w:t>
        <w:tab/>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19050</wp:posOffset>
            </wp:positionV>
            <wp:extent cx="32683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26834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Matthew A. Calderone</w:t>
      </w:r>
    </w:p>
    <w:p>
      <w:pPr>
        <w:ind w:left="6080"/>
        <w:spacing w:after="0" w:line="222" w:lineRule="auto"/>
        <w:rPr>
          <w:sz w:val="20"/>
          <w:szCs w:val="20"/>
          <w:color w:val="auto"/>
        </w:rPr>
      </w:pPr>
      <w:r>
        <w:rPr>
          <w:rFonts w:ascii="Times New Roman" w:cs="Times New Roman" w:eastAsia="Times New Roman" w:hAnsi="Times New Roman"/>
          <w:sz w:val="17"/>
          <w:szCs w:val="17"/>
          <w:color w:val="auto"/>
        </w:rPr>
        <w:t>Executive Vice President and Chief Financial Officer (Principal Financial</w:t>
      </w:r>
    </w:p>
    <w:p>
      <w:pPr>
        <w:spacing w:after="0" w:line="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Officer)</w:t>
      </w:r>
    </w:p>
    <w:p>
      <w:pPr>
        <w:sectPr>
          <w:pgSz w:w="11900" w:h="16838" w:orient="portrait"/>
          <w:cols w:equalWidth="0" w:num="1">
            <w:col w:w="11240"/>
          </w:cols>
          <w:pgMar w:left="320" w:top="85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 connection with the report on Form 10-Q of Booz Allen Hamilton Holding Corporation (the “Company”) for the fiscal quarter ended September 30, 2025,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11" w:lineRule="exact"/>
        <w:rPr>
          <w:sz w:val="20"/>
          <w:szCs w:val="20"/>
          <w:color w:val="auto"/>
        </w:rPr>
      </w:pPr>
    </w:p>
    <w:p>
      <w:pPr>
        <w:ind w:left="240" w:hanging="236"/>
        <w:spacing w:after="0"/>
        <w:tabs>
          <w:tab w:leader="none" w:pos="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w:t>
      </w:r>
    </w:p>
    <w:p>
      <w:pPr>
        <w:spacing w:after="0" w:line="167"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23" w:lineRule="exact"/>
        <w:rPr>
          <w:sz w:val="20"/>
          <w:szCs w:val="20"/>
          <w:color w:val="auto"/>
        </w:rPr>
      </w:pPr>
    </w:p>
    <w:p>
      <w:pPr>
        <w:ind w:left="20"/>
        <w:spacing w:after="0"/>
        <w:tabs>
          <w:tab w:leader="none" w:pos="6400" w:val="left"/>
        </w:tabs>
        <w:rPr>
          <w:sz w:val="20"/>
          <w:szCs w:val="20"/>
          <w:color w:val="auto"/>
        </w:rPr>
      </w:pPr>
      <w:r>
        <w:rPr>
          <w:rFonts w:ascii="Times New Roman" w:cs="Times New Roman" w:eastAsia="Times New Roman" w:hAnsi="Times New Roman"/>
          <w:sz w:val="17"/>
          <w:szCs w:val="17"/>
          <w:color w:val="auto"/>
        </w:rPr>
        <w:t>Date: October 24, 2025</w:t>
      </w:r>
      <w:r>
        <w:rPr>
          <w:sz w:val="20"/>
          <w:szCs w:val="20"/>
          <w:color w:val="auto"/>
        </w:rPr>
        <w:tab/>
      </w:r>
      <w:r>
        <w:rPr>
          <w:rFonts w:ascii="Times New Roman" w:cs="Times New Roman" w:eastAsia="Times New Roman" w:hAnsi="Times New Roman"/>
          <w:sz w:val="17"/>
          <w:szCs w:val="17"/>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4242435</wp:posOffset>
            </wp:positionH>
            <wp:positionV relativeFrom="paragraph">
              <wp:posOffset>19050</wp:posOffset>
            </wp:positionV>
            <wp:extent cx="28816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881630" cy="8255"/>
                    </a:xfrm>
                    <a:prstGeom prst="rect">
                      <a:avLst/>
                    </a:prstGeom>
                    <a:noFill/>
                  </pic:spPr>
                </pic:pic>
              </a:graphicData>
            </a:graphic>
          </wp:anchor>
        </w:drawing>
      </w:r>
    </w:p>
    <w:p>
      <w:pPr>
        <w:spacing w:after="0" w:line="1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Horacio D. Rozanski</w:t>
      </w:r>
    </w:p>
    <w:p>
      <w:pPr>
        <w:ind w:left="6700"/>
        <w:spacing w:after="0" w:line="222" w:lineRule="auto"/>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40"/>
          </w:cols>
          <w:pgMar w:left="320" w:top="858"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 connection with the report on Form 10-Q of Booz Allen Hamilton Holding Corporation (the “Company”) for the fiscal quarter ended September 30, 2025,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spacing w:after="0" w:line="111" w:lineRule="exact"/>
        <w:rPr>
          <w:sz w:val="20"/>
          <w:szCs w:val="20"/>
          <w:color w:val="auto"/>
        </w:rPr>
      </w:pPr>
    </w:p>
    <w:p>
      <w:pPr>
        <w:ind w:left="240" w:hanging="236"/>
        <w:spacing w:after="0"/>
        <w:tabs>
          <w:tab w:leader="none" w:pos="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w:t>
      </w:r>
    </w:p>
    <w:p>
      <w:pPr>
        <w:spacing w:after="0" w:line="167"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23"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7"/>
          <w:szCs w:val="17"/>
          <w:color w:val="auto"/>
        </w:rPr>
        <w:t>Date: October 24, 2025</w:t>
      </w:r>
      <w:r>
        <w:rPr>
          <w:sz w:val="20"/>
          <w:szCs w:val="20"/>
          <w:color w:val="auto"/>
        </w:rPr>
        <w:tab/>
      </w:r>
      <w:r>
        <w:rPr>
          <w:rFonts w:ascii="Times New Roman" w:cs="Times New Roman" w:eastAsia="Times New Roman" w:hAnsi="Times New Roman"/>
          <w:sz w:val="17"/>
          <w:szCs w:val="17"/>
          <w:color w:val="auto"/>
        </w:rPr>
        <w:t>By: /s/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19050</wp:posOffset>
            </wp:positionV>
            <wp:extent cx="33921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spacing w:after="0" w:line="1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Matthew A. Calderone</w:t>
      </w:r>
    </w:p>
    <w:p>
      <w:pPr>
        <w:ind w:left="5880"/>
        <w:spacing w:after="0" w:line="222" w:lineRule="auto"/>
        <w:rPr>
          <w:sz w:val="20"/>
          <w:szCs w:val="20"/>
          <w:color w:val="auto"/>
        </w:rPr>
      </w:pPr>
      <w:r>
        <w:rPr>
          <w:rFonts w:ascii="Times New Roman" w:cs="Times New Roman" w:eastAsia="Times New Roman" w:hAnsi="Times New Roman"/>
          <w:sz w:val="17"/>
          <w:szCs w:val="17"/>
          <w:color w:val="auto"/>
        </w:rPr>
        <w:t>Executive Vice President and Chief Financial Officer (Principal Financial</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Officer)</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3"/>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2"/>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lowerRoman"/>
      <w:start w:val="2"/>
    </w:lvl>
    <w:lvl w:ilvl="1">
      <w:lvlJc w:val="left"/>
      <w:lvlText w:val="•"/>
      <w:numFmt w:val="bullet"/>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22"/>
    </w:lvl>
  </w:abstractNum>
  <w:abstractNum w:abstractNumId="16">
    <w:nsid w:val="721DA317"/>
    <w:multiLevelType w:val="hybridMultilevel"/>
    <w:lvl w:ilvl="0">
      <w:lvlJc w:val="left"/>
      <w:lvlText w:val="%1"/>
      <w:numFmt w:val="decimal"/>
      <w:start w:val="10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60" Type="http://schemas.openxmlformats.org/officeDocument/2006/relationships/hyperlink" Target="https://www.sec.gov/Archives/edgar/data/1443646/000144364625000076/bah-ex22xq4fy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2025-10-24T05:57:55Z</dcterms:created>
  <dcterms:modified xsi:type="dcterms:W3CDTF">2025-10-24T05:57:55Z</dcterms:modified>
</cp:coreProperties>
</file>