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2013</w:t>
      </w:r>
    </w:p>
    <w:p>
      <w:pPr>
        <w:spacing w:after="0" w:line="1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001-34972</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080" w:type="dxa"/>
            <w:vAlign w:val="bottom"/>
            <w:gridSpan w:val="2"/>
          </w:tcPr>
          <w:p>
            <w:pPr>
              <w:jc w:val="center"/>
              <w:ind w:right="3881"/>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jc w:val="right"/>
              <w:ind w:right="897"/>
              <w:spacing w:after="0"/>
              <w:rPr>
                <w:sz w:val="20"/>
                <w:szCs w:val="20"/>
                <w:color w:val="auto"/>
              </w:rPr>
            </w:pPr>
            <w:r>
              <w:rPr>
                <w:rFonts w:ascii="Arial" w:cs="Arial" w:eastAsia="Arial" w:hAnsi="Arial"/>
                <w:sz w:val="18"/>
                <w:szCs w:val="18"/>
                <w:b w:val="1"/>
                <w:bCs w:val="1"/>
                <w:color w:val="auto"/>
                <w:w w:val="93"/>
              </w:rPr>
              <w:t>26-2634160</w:t>
            </w:r>
          </w:p>
        </w:tc>
        <w:tc>
          <w:tcPr>
            <w:tcW w:w="0" w:type="dxa"/>
            <w:vAlign w:val="bottom"/>
          </w:tcPr>
          <w:p>
            <w:pPr>
              <w:spacing w:after="0"/>
              <w:rPr>
                <w:sz w:val="1"/>
                <w:szCs w:val="1"/>
                <w:color w:val="auto"/>
              </w:rPr>
            </w:pPr>
          </w:p>
        </w:tc>
      </w:tr>
      <w:tr>
        <w:trPr>
          <w:trHeight w:val="180"/>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5"/>
                <w:szCs w:val="15"/>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7320" w:type="dxa"/>
            <w:vAlign w:val="bottom"/>
            <w:gridSpan w:val="3"/>
          </w:tcPr>
          <w:p>
            <w:pPr>
              <w:jc w:val="center"/>
              <w:ind w:right="164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jc w:val="right"/>
              <w:ind w:right="1117"/>
              <w:spacing w:after="0"/>
              <w:rPr>
                <w:sz w:val="20"/>
                <w:szCs w:val="20"/>
                <w:color w:val="auto"/>
              </w:rPr>
            </w:pPr>
            <w:r>
              <w:rPr>
                <w:rFonts w:ascii="Arial" w:cs="Arial" w:eastAsia="Arial" w:hAnsi="Arial"/>
                <w:sz w:val="18"/>
                <w:szCs w:val="18"/>
                <w:b w:val="1"/>
                <w:bCs w:val="1"/>
                <w:color w:val="auto"/>
              </w:rPr>
              <w:t>22102</w:t>
            </w:r>
          </w:p>
        </w:tc>
        <w:tc>
          <w:tcPr>
            <w:tcW w:w="0" w:type="dxa"/>
            <w:vAlign w:val="bottom"/>
          </w:tcPr>
          <w:p>
            <w:pPr>
              <w:spacing w:after="0"/>
              <w:rPr>
                <w:sz w:val="1"/>
                <w:szCs w:val="1"/>
                <w:color w:val="auto"/>
              </w:rPr>
            </w:pPr>
          </w:p>
        </w:tc>
      </w:tr>
      <w:tr>
        <w:trPr>
          <w:trHeight w:val="218"/>
        </w:trPr>
        <w:tc>
          <w:tcPr>
            <w:tcW w:w="7320" w:type="dxa"/>
            <w:vAlign w:val="bottom"/>
            <w:gridSpan w:val="3"/>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tcPr>
          <w:p>
            <w:pPr>
              <w:jc w:val="center"/>
              <w:ind w:right="85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9"/>
        </w:trPr>
        <w:tc>
          <w:tcPr>
            <w:tcW w:w="7320" w:type="dxa"/>
            <w:vAlign w:val="bottom"/>
            <w:gridSpan w:val="3"/>
          </w:tcPr>
          <w:p>
            <w:pPr>
              <w:jc w:val="right"/>
              <w:ind w:right="961"/>
              <w:spacing w:after="0"/>
              <w:rPr>
                <w:sz w:val="20"/>
                <w:szCs w:val="20"/>
                <w:color w:val="auto"/>
              </w:rPr>
            </w:pPr>
            <w:r>
              <w:rPr>
                <w:rFonts w:ascii="Arial" w:cs="Arial" w:eastAsia="Arial" w:hAnsi="Arial"/>
                <w:sz w:val="18"/>
                <w:szCs w:val="18"/>
                <w:b w:val="1"/>
                <w:bCs w:val="1"/>
                <w:color w:val="auto"/>
              </w:rPr>
              <w:t>(703) 902-5000</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9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64"/>
        </w:trPr>
        <w:tc>
          <w:tcPr>
            <w:tcW w:w="7320" w:type="dxa"/>
            <w:vAlign w:val="bottom"/>
            <w:gridSpan w:val="3"/>
          </w:tcPr>
          <w:p>
            <w:pPr>
              <w:jc w:val="center"/>
              <w:ind w:right="1601"/>
              <w:spacing w:after="0"/>
              <w:rPr>
                <w:sz w:val="20"/>
                <w:szCs w:val="20"/>
                <w:color w:val="auto"/>
              </w:rPr>
            </w:pPr>
            <w:r>
              <w:rPr>
                <w:rFonts w:ascii="Arial" w:cs="Arial" w:eastAsia="Arial" w:hAnsi="Arial"/>
                <w:sz w:val="18"/>
                <w:szCs w:val="18"/>
                <w:color w:val="auto"/>
                <w:w w:val="90"/>
              </w:rPr>
              <w:t>Class A Common Stock</w:t>
            </w:r>
          </w:p>
        </w:tc>
        <w:tc>
          <w:tcPr>
            <w:tcW w:w="400" w:type="dxa"/>
            <w:vAlign w:val="bottom"/>
          </w:tcPr>
          <w:p>
            <w:pPr>
              <w:spacing w:after="0"/>
              <w:rPr>
                <w:sz w:val="22"/>
                <w:szCs w:val="22"/>
                <w:color w:val="auto"/>
              </w:rPr>
            </w:pPr>
          </w:p>
        </w:tc>
        <w:tc>
          <w:tcPr>
            <w:tcW w:w="2420" w:type="dxa"/>
            <w:vAlign w:val="bottom"/>
            <w:gridSpan w:val="2"/>
          </w:tcPr>
          <w:p>
            <w:pPr>
              <w:jc w:val="center"/>
              <w:ind w:right="317"/>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6"/>
                <w:szCs w:val="16"/>
                <w:b w:val="1"/>
                <w:bCs w:val="1"/>
                <w:color w:val="auto"/>
                <w:w w:val="89"/>
              </w:rPr>
              <w:t>None.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jc w:val="right"/>
              <w:ind w:right="801"/>
              <w:spacing w:after="0"/>
              <w:rPr>
                <w:sz w:val="20"/>
                <w:szCs w:val="20"/>
                <w:color w:val="auto"/>
              </w:rPr>
            </w:pPr>
            <w:r>
              <w:rPr>
                <w:rFonts w:ascii="Arial" w:cs="Arial" w:eastAsia="Arial" w:hAnsi="Arial"/>
                <w:sz w:val="16"/>
                <w:szCs w:val="16"/>
                <w:color w:val="auto"/>
              </w:rPr>
              <w:t>__________________</w:t>
            </w:r>
          </w:p>
        </w:tc>
        <w:tc>
          <w:tcPr>
            <w:tcW w:w="400" w:type="dxa"/>
            <w:vAlign w:val="bottom"/>
          </w:tcPr>
          <w:p>
            <w:pPr>
              <w:spacing w:after="0"/>
              <w:rPr>
                <w:sz w:val="16"/>
                <w:szCs w:val="16"/>
                <w:color w:val="auto"/>
              </w:rPr>
            </w:pPr>
          </w:p>
        </w:tc>
        <w:tc>
          <w:tcPr>
            <w:tcW w:w="520" w:type="dxa"/>
            <w:vAlign w:val="bottom"/>
            <w:vMerge w:val="restart"/>
          </w:tcPr>
          <w:p>
            <w:pPr>
              <w:ind w:left="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00" w:type="dxa"/>
            <w:vAlign w:val="bottom"/>
            <w:vMerge w:val="restart"/>
          </w:tcPr>
          <w:p>
            <w:pPr>
              <w:jc w:val="center"/>
              <w:ind w:right="1077"/>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720" w:type="dxa"/>
            <w:vAlign w:val="bottom"/>
            <w:gridSpan w:val="4"/>
          </w:tcPr>
          <w:p>
            <w:pPr>
              <w:spacing w:after="0" w:line="159"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2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240" w:type="dxa"/>
            <w:vAlign w:val="bottom"/>
            <w:gridSpan w:val="5"/>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Section 15(d) of the Act.  Yes</w:t>
            </w:r>
          </w:p>
        </w:tc>
        <w:tc>
          <w:tcPr>
            <w:tcW w:w="1900" w:type="dxa"/>
            <w:vAlign w:val="bottom"/>
          </w:tcPr>
          <w:p>
            <w:pPr>
              <w:jc w:val="center"/>
              <w:ind w:right="1097"/>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20"/>
        <w:spacing w:after="0" w:line="246"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ind w:right="140"/>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00"/>
        <w:spacing w:after="0" w:line="28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5" w:lineRule="exact"/>
        <w:rPr>
          <w:sz w:val="24"/>
          <w:szCs w:val="24"/>
          <w:color w:val="auto"/>
        </w:rPr>
      </w:pPr>
    </w:p>
    <w:p>
      <w:pPr>
        <w:ind w:right="22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1084" w:right="27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4">
            <w:col w:w="1720" w:space="720"/>
            <w:col w:w="4880" w:space="720"/>
            <w:col w:w="2220" w:space="720"/>
            <w:col w:w="400"/>
          </w:cols>
          <w:pgMar w:left="240" w:top="1084"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720" w:space="720"/>
            <w:col w:w="140" w:space="80"/>
            <w:col w:w="4660" w:space="720"/>
            <w:col w:w="2220" w:space="720"/>
            <w:col w:w="400"/>
          </w:cols>
          <w:pgMar w:left="240" w:top="1084"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7380" w:space="180"/>
            <w:col w:w="240" w:space="80"/>
            <w:col w:w="140" w:space="180"/>
            <w:col w:w="200" w:space="80"/>
            <w:col w:w="2900"/>
          </w:cols>
          <w:pgMar w:left="240" w:top="1084" w:right="279" w:bottom="1440" w:gutter="0" w:footer="0" w:header="0"/>
          <w:type w:val="continuous"/>
        </w:sectPr>
      </w:pPr>
    </w:p>
    <w:p>
      <w:pPr>
        <w:spacing w:after="0"/>
        <w:rPr>
          <w:sz w:val="20"/>
          <w:szCs w:val="20"/>
          <w:color w:val="auto"/>
        </w:rPr>
      </w:pPr>
      <w:r>
        <w:rPr>
          <w:rFonts w:ascii="Arial" w:cs="Arial" w:eastAsia="Arial" w:hAnsi="Arial"/>
          <w:sz w:val="14"/>
          <w:szCs w:val="14"/>
          <w:color w:val="auto"/>
        </w:rPr>
        <w:t>As of September 30, 2012, the market value of the voting and non-voting common equity held by non-affiliates based on the closing price as of that day was $500,465,332.</w:t>
      </w:r>
    </w:p>
    <w:p>
      <w:pPr>
        <w:sectPr>
          <w:pgSz w:w="11900" w:h="16838" w:orient="portrait"/>
          <w:cols w:equalWidth="0" w:num="1">
            <w:col w:w="11380"/>
          </w:cols>
          <w:pgMar w:left="240" w:top="1084"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1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280" w:type="dxa"/>
            <w:vAlign w:val="bottom"/>
          </w:tcPr>
          <w:p>
            <w:pPr>
              <w:spacing w:after="0"/>
              <w:rPr>
                <w:sz w:val="16"/>
                <w:szCs w:val="16"/>
                <w:color w:val="auto"/>
              </w:rPr>
            </w:pPr>
          </w:p>
        </w:tc>
        <w:tc>
          <w:tcPr>
            <w:tcW w:w="514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May 14, 2013</w:t>
            </w: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136,350,016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1,447,600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1,224,319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7,478,522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-127635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August 1, 2013 are incorporated by reference into Part III.</w:t>
      </w:r>
    </w:p>
    <w:p>
      <w:pPr>
        <w:sectPr>
          <w:pgSz w:w="11900" w:h="16838" w:orient="portrait"/>
          <w:cols w:equalWidth="0" w:num="1">
            <w:col w:w="11420"/>
          </w:cols>
          <w:pgMar w:left="240" w:top="109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012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INTRODUCTORY NOTE</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1</w:t>
              </w:r>
            </w:hyperlink>
          </w:p>
        </w:tc>
      </w:tr>
      <w:tr>
        <w:trPr>
          <w:trHeight w:val="372"/>
        </w:trPr>
        <w:tc>
          <w:tcPr>
            <w:tcW w:w="1560" w:type="dxa"/>
            <w:vAlign w:val="bottom"/>
            <w:tcBorders>
              <w:top w:val="single" w:sz="8" w:color="0000FF"/>
            </w:tcBorders>
            <w:gridSpan w:val="4"/>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4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b w:val="1"/>
                <w:bCs w:val="1"/>
                <w:color w:val="0000FF"/>
                <w:w w:val="79"/>
              </w:rPr>
            </w:pPr>
            <w:hyperlink w:anchor="page5">
              <w:r>
                <w:rPr>
                  <w:rFonts w:ascii="Arial" w:cs="Arial" w:eastAsia="Arial" w:hAnsi="Arial"/>
                  <w:sz w:val="18"/>
                  <w:szCs w:val="18"/>
                  <w:b w:val="1"/>
                  <w:bCs w:val="1"/>
                  <w:color w:val="0000FF"/>
                  <w:w w:val="79"/>
                </w:rPr>
                <w:t>3</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18"/>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Business</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tcPr>
          <w:p>
            <w:pPr>
              <w:spacing w:after="0"/>
              <w:rPr>
                <w:rFonts w:ascii="Arial" w:cs="Arial" w:eastAsia="Arial" w:hAnsi="Arial"/>
                <w:sz w:val="18"/>
                <w:szCs w:val="18"/>
                <w:b w:val="1"/>
                <w:bCs w:val="1"/>
                <w:color w:val="0000FF"/>
                <w:w w:val="88"/>
              </w:rPr>
            </w:pPr>
            <w:hyperlink w:anchor="page20">
              <w:r>
                <w:rPr>
                  <w:rFonts w:ascii="Arial" w:cs="Arial" w:eastAsia="Arial" w:hAnsi="Arial"/>
                  <w:sz w:val="18"/>
                  <w:szCs w:val="18"/>
                  <w:b w:val="1"/>
                  <w:bCs w:val="1"/>
                  <w:color w:val="0000FF"/>
                  <w:w w:val="88"/>
                </w:rPr>
                <w:t>Risk Factors</w:t>
              </w:r>
            </w:hyperlink>
          </w:p>
        </w:tc>
        <w:tc>
          <w:tcPr>
            <w:tcW w:w="7580" w:type="dxa"/>
            <w:vAlign w:val="bottom"/>
            <w:gridSpan w:val="1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17</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8"/>
          </w:tcPr>
          <w:p>
            <w:pPr>
              <w:spacing w:after="0"/>
              <w:rPr>
                <w:rFonts w:ascii="Arial" w:cs="Arial" w:eastAsia="Arial" w:hAnsi="Arial"/>
                <w:sz w:val="18"/>
                <w:szCs w:val="18"/>
                <w:b w:val="1"/>
                <w:bCs w:val="1"/>
                <w:color w:val="0000FF"/>
                <w:w w:val="88"/>
              </w:rPr>
            </w:pPr>
            <w:hyperlink w:anchor="page37">
              <w:r>
                <w:rPr>
                  <w:rFonts w:ascii="Arial" w:cs="Arial" w:eastAsia="Arial" w:hAnsi="Arial"/>
                  <w:sz w:val="18"/>
                  <w:szCs w:val="18"/>
                  <w:b w:val="1"/>
                  <w:bCs w:val="1"/>
                  <w:color w:val="0000FF"/>
                  <w:w w:val="88"/>
                </w:rPr>
                <w:t>Unresolved Staff Comments</w:t>
              </w:r>
            </w:hyperlink>
          </w:p>
        </w:tc>
        <w:tc>
          <w:tcPr>
            <w:tcW w:w="6400" w:type="dxa"/>
            <w:vAlign w:val="bottom"/>
            <w:gridSpan w:val="10"/>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34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2.</w:t>
            </w:r>
          </w:p>
        </w:tc>
        <w:tc>
          <w:tcPr>
            <w:tcW w:w="800" w:type="dxa"/>
            <w:vAlign w:val="bottom"/>
            <w:gridSpan w:val="3"/>
          </w:tcPr>
          <w:p>
            <w:pPr>
              <w:spacing w:after="0"/>
              <w:rPr>
                <w:rFonts w:ascii="Arial" w:cs="Arial" w:eastAsia="Arial" w:hAnsi="Arial"/>
                <w:sz w:val="18"/>
                <w:szCs w:val="18"/>
                <w:b w:val="1"/>
                <w:bCs w:val="1"/>
                <w:color w:val="0000FF"/>
                <w:w w:val="85"/>
              </w:rPr>
            </w:pPr>
            <w:hyperlink w:anchor="page37">
              <w:r>
                <w:rPr>
                  <w:rFonts w:ascii="Arial" w:cs="Arial" w:eastAsia="Arial" w:hAnsi="Arial"/>
                  <w:sz w:val="18"/>
                  <w:szCs w:val="18"/>
                  <w:b w:val="1"/>
                  <w:bCs w:val="1"/>
                  <w:color w:val="0000FF"/>
                  <w:w w:val="85"/>
                </w:rPr>
                <w:t>Properties</w:t>
              </w:r>
            </w:hyperlink>
          </w:p>
        </w:tc>
        <w:tc>
          <w:tcPr>
            <w:tcW w:w="1360" w:type="dxa"/>
            <w:vAlign w:val="bottom"/>
            <w:gridSpan w:val="5"/>
          </w:tcPr>
          <w:p>
            <w:pPr>
              <w:spacing w:after="0"/>
              <w:rPr>
                <w:sz w:val="24"/>
                <w:szCs w:val="24"/>
                <w:color w:val="auto"/>
              </w:rPr>
            </w:pPr>
          </w:p>
        </w:tc>
        <w:tc>
          <w:tcPr>
            <w:tcW w:w="6400" w:type="dxa"/>
            <w:vAlign w:val="bottom"/>
            <w:gridSpan w:val="10"/>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34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3.</w:t>
            </w:r>
          </w:p>
        </w:tc>
        <w:tc>
          <w:tcPr>
            <w:tcW w:w="8560" w:type="dxa"/>
            <w:vAlign w:val="bottom"/>
            <w:gridSpan w:val="18"/>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Legal Proceedings</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34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6"/>
          </w:tcPr>
          <w:p>
            <w:pPr>
              <w:spacing w:after="0"/>
              <w:rPr>
                <w:rFonts w:ascii="Arial" w:cs="Arial" w:eastAsia="Arial" w:hAnsi="Arial"/>
                <w:sz w:val="18"/>
                <w:szCs w:val="18"/>
                <w:b w:val="1"/>
                <w:bCs w:val="1"/>
                <w:color w:val="0000FF"/>
                <w:w w:val="85"/>
              </w:rPr>
            </w:pPr>
            <w:hyperlink w:anchor="page38">
              <w:r>
                <w:rPr>
                  <w:rFonts w:ascii="Arial" w:cs="Arial" w:eastAsia="Arial" w:hAnsi="Arial"/>
                  <w:sz w:val="18"/>
                  <w:szCs w:val="18"/>
                  <w:b w:val="1"/>
                  <w:bCs w:val="1"/>
                  <w:color w:val="0000FF"/>
                  <w:w w:val="85"/>
                </w:rPr>
                <w:t>Mine Safety Disclosures</w:t>
              </w:r>
            </w:hyperlink>
          </w:p>
        </w:tc>
        <w:tc>
          <w:tcPr>
            <w:tcW w:w="674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660" w:type="dxa"/>
            <w:vAlign w:val="bottom"/>
            <w:gridSpan w:val="2"/>
          </w:tcPr>
          <w:p>
            <w:pPr>
              <w:spacing w:after="0"/>
              <w:rPr>
                <w:rFonts w:ascii="Arial" w:cs="Arial" w:eastAsia="Arial" w:hAnsi="Arial"/>
                <w:sz w:val="18"/>
                <w:szCs w:val="18"/>
                <w:b w:val="1"/>
                <w:bCs w:val="1"/>
                <w:color w:val="0000FF"/>
                <w:w w:val="99"/>
              </w:rPr>
            </w:pPr>
            <w:hyperlink w:anchor="page39">
              <w:r>
                <w:rPr>
                  <w:rFonts w:ascii="Arial" w:cs="Arial" w:eastAsia="Arial" w:hAnsi="Arial"/>
                  <w:sz w:val="18"/>
                  <w:szCs w:val="18"/>
                  <w:b w:val="1"/>
                  <w:bCs w:val="1"/>
                  <w:color w:val="0000FF"/>
                  <w:w w:val="99"/>
                </w:rPr>
                <w:t>PART II</w:t>
              </w:r>
            </w:hyperlink>
          </w:p>
        </w:tc>
        <w:tc>
          <w:tcPr>
            <w:tcW w:w="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36</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5.</w:t>
            </w:r>
          </w:p>
        </w:tc>
        <w:tc>
          <w:tcPr>
            <w:tcW w:w="8560" w:type="dxa"/>
            <w:vAlign w:val="bottom"/>
            <w:gridSpan w:val="18"/>
          </w:tcPr>
          <w:p>
            <w:pPr>
              <w:spacing w:after="0"/>
              <w:rPr>
                <w:rFonts w:ascii="Arial" w:cs="Arial" w:eastAsia="Arial" w:hAnsi="Arial"/>
                <w:sz w:val="18"/>
                <w:szCs w:val="18"/>
                <w:b w:val="1"/>
                <w:bCs w:val="1"/>
                <w:color w:val="0000FF"/>
                <w:w w:val="98"/>
              </w:rPr>
            </w:pPr>
            <w:hyperlink w:anchor="page39">
              <w:r>
                <w:rPr>
                  <w:rFonts w:ascii="Arial" w:cs="Arial" w:eastAsia="Arial" w:hAnsi="Arial"/>
                  <w:sz w:val="18"/>
                  <w:szCs w:val="18"/>
                  <w:b w:val="1"/>
                  <w:bCs w:val="1"/>
                  <w:color w:val="0000FF"/>
                  <w:w w:val="98"/>
                </w:rPr>
                <w:t>Market for Registrant's Common Equity, Related Stockholder Matters and Issuer Purchases of Equity</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36</w:t>
              </w:r>
            </w:hyperlink>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b w:val="1"/>
                <w:bCs w:val="1"/>
                <w:color w:val="0000FF"/>
                <w:w w:val="88"/>
              </w:rPr>
            </w:pPr>
            <w:hyperlink w:anchor="page39">
              <w:r>
                <w:rPr>
                  <w:rFonts w:ascii="Arial" w:cs="Arial" w:eastAsia="Arial" w:hAnsi="Arial"/>
                  <w:sz w:val="18"/>
                  <w:szCs w:val="18"/>
                  <w:b w:val="1"/>
                  <w:bCs w:val="1"/>
                  <w:color w:val="0000FF"/>
                  <w:w w:val="88"/>
                </w:rPr>
                <w:t>Securities</w:t>
              </w:r>
            </w:hyperlink>
          </w:p>
        </w:tc>
        <w:tc>
          <w:tcPr>
            <w:tcW w:w="7080" w:type="dxa"/>
            <w:vAlign w:val="bottom"/>
            <w:tcBorders>
              <w:top w:val="single" w:sz="8" w:color="0000FF"/>
            </w:tcBorders>
            <w:gridSpan w:val="14"/>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6"/>
          </w:tcPr>
          <w:p>
            <w:pPr>
              <w:spacing w:after="0"/>
              <w:rPr>
                <w:rFonts w:ascii="Arial" w:cs="Arial" w:eastAsia="Arial" w:hAnsi="Arial"/>
                <w:sz w:val="18"/>
                <w:szCs w:val="18"/>
                <w:b w:val="1"/>
                <w:bCs w:val="1"/>
                <w:color w:val="0000FF"/>
                <w:w w:val="88"/>
              </w:rPr>
            </w:pPr>
            <w:hyperlink w:anchor="page41">
              <w:r>
                <w:rPr>
                  <w:rFonts w:ascii="Arial" w:cs="Arial" w:eastAsia="Arial" w:hAnsi="Arial"/>
                  <w:sz w:val="18"/>
                  <w:szCs w:val="18"/>
                  <w:b w:val="1"/>
                  <w:bCs w:val="1"/>
                  <w:color w:val="0000FF"/>
                  <w:w w:val="88"/>
                </w:rPr>
                <w:t>Selected Financial Data</w:t>
              </w:r>
            </w:hyperlink>
          </w:p>
        </w:tc>
        <w:tc>
          <w:tcPr>
            <w:tcW w:w="674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38</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4"/>
          </w:tcPr>
          <w:p>
            <w:pPr>
              <w:spacing w:after="0"/>
              <w:rPr>
                <w:rFonts w:ascii="Arial" w:cs="Arial" w:eastAsia="Arial" w:hAnsi="Arial"/>
                <w:sz w:val="18"/>
                <w:szCs w:val="18"/>
                <w:b w:val="1"/>
                <w:bCs w:val="1"/>
                <w:color w:val="0000FF"/>
                <w:w w:val="89"/>
              </w:rPr>
            </w:pPr>
            <w:hyperlink w:anchor="page44">
              <w:r>
                <w:rPr>
                  <w:rFonts w:ascii="Arial" w:cs="Arial" w:eastAsia="Arial" w:hAnsi="Arial"/>
                  <w:sz w:val="18"/>
                  <w:szCs w:val="18"/>
                  <w:b w:val="1"/>
                  <w:bCs w:val="1"/>
                  <w:color w:val="0000FF"/>
                  <w:w w:val="8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41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4"/>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Quantitative and Qualitative Disclosures About Market Risk</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61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0"/>
          </w:tcPr>
          <w:p>
            <w:pPr>
              <w:spacing w:after="0"/>
              <w:rPr>
                <w:rFonts w:ascii="Arial" w:cs="Arial" w:eastAsia="Arial" w:hAnsi="Arial"/>
                <w:sz w:val="18"/>
                <w:szCs w:val="18"/>
                <w:b w:val="1"/>
                <w:bCs w:val="1"/>
                <w:color w:val="0000FF"/>
                <w:w w:val="90"/>
              </w:rPr>
            </w:pPr>
            <w:hyperlink w:anchor="page64">
              <w:r>
                <w:rPr>
                  <w:rFonts w:ascii="Arial" w:cs="Arial" w:eastAsia="Arial" w:hAnsi="Arial"/>
                  <w:sz w:val="18"/>
                  <w:szCs w:val="18"/>
                  <w:b w:val="1"/>
                  <w:bCs w:val="1"/>
                  <w:color w:val="0000FF"/>
                  <w:w w:val="90"/>
                </w:rPr>
                <w:t>Financial Statements and Supplementary Data</w:t>
              </w:r>
            </w:hyperlink>
          </w:p>
        </w:tc>
        <w:tc>
          <w:tcPr>
            <w:tcW w:w="1060" w:type="dxa"/>
            <w:vAlign w:val="bottom"/>
            <w:gridSpan w:val="2"/>
          </w:tcPr>
          <w:p>
            <w:pPr>
              <w:spacing w:after="0"/>
              <w:rPr>
                <w:sz w:val="24"/>
                <w:szCs w:val="24"/>
                <w:color w:val="auto"/>
              </w:rPr>
            </w:pPr>
          </w:p>
        </w:tc>
        <w:tc>
          <w:tcPr>
            <w:tcW w:w="3900" w:type="dxa"/>
            <w:vAlign w:val="bottom"/>
            <w:gridSpan w:val="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F-1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w:t>
            </w:r>
          </w:p>
        </w:tc>
        <w:tc>
          <w:tcPr>
            <w:tcW w:w="8560" w:type="dxa"/>
            <w:vAlign w:val="bottom"/>
            <w:gridSpan w:val="18"/>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Changes in and Disagreements With Accountants on Accounting and Financial Disclosure</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62</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7"/>
          </w:tcPr>
          <w:p>
            <w:pPr>
              <w:spacing w:after="0"/>
              <w:rPr>
                <w:rFonts w:ascii="Arial" w:cs="Arial" w:eastAsia="Arial" w:hAnsi="Arial"/>
                <w:sz w:val="18"/>
                <w:szCs w:val="18"/>
                <w:b w:val="1"/>
                <w:bCs w:val="1"/>
                <w:color w:val="0000FF"/>
                <w:w w:val="86"/>
              </w:rPr>
            </w:pPr>
            <w:hyperlink w:anchor="page98">
              <w:r>
                <w:rPr>
                  <w:rFonts w:ascii="Arial" w:cs="Arial" w:eastAsia="Arial" w:hAnsi="Arial"/>
                  <w:sz w:val="18"/>
                  <w:szCs w:val="18"/>
                  <w:b w:val="1"/>
                  <w:bCs w:val="1"/>
                  <w:color w:val="0000FF"/>
                  <w:w w:val="86"/>
                </w:rPr>
                <w:t>Controls and Procedures</w:t>
              </w:r>
            </w:hyperlink>
          </w:p>
        </w:tc>
        <w:tc>
          <w:tcPr>
            <w:tcW w:w="5000" w:type="dxa"/>
            <w:vAlign w:val="bottom"/>
            <w:gridSpan w:val="8"/>
          </w:tcPr>
          <w:p>
            <w:pPr>
              <w:spacing w:after="0"/>
              <w:rPr>
                <w:sz w:val="24"/>
                <w:szCs w:val="24"/>
                <w:color w:val="auto"/>
              </w:rPr>
            </w:pPr>
          </w:p>
        </w:tc>
        <w:tc>
          <w:tcPr>
            <w:tcW w:w="1660" w:type="dxa"/>
            <w:vAlign w:val="bottom"/>
            <w:gridSpan w:val="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62</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7"/>
          </w:tcPr>
          <w:p>
            <w:pPr>
              <w:spacing w:after="0"/>
              <w:rPr>
                <w:rFonts w:ascii="Arial" w:cs="Arial" w:eastAsia="Arial" w:hAnsi="Arial"/>
                <w:sz w:val="18"/>
                <w:szCs w:val="18"/>
                <w:b w:val="1"/>
                <w:bCs w:val="1"/>
                <w:color w:val="0000FF"/>
              </w:rPr>
            </w:pPr>
            <w:hyperlink w:anchor="page99">
              <w:r>
                <w:rPr>
                  <w:rFonts w:ascii="Arial" w:cs="Arial" w:eastAsia="Arial" w:hAnsi="Arial"/>
                  <w:sz w:val="18"/>
                  <w:szCs w:val="18"/>
                  <w:b w:val="1"/>
                  <w:bCs w:val="1"/>
                  <w:color w:val="0000FF"/>
                </w:rPr>
                <w:t>Other Information</w:t>
              </w:r>
            </w:hyperlink>
          </w:p>
        </w:tc>
        <w:tc>
          <w:tcPr>
            <w:tcW w:w="666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99">
              <w:r>
                <w:rPr>
                  <w:rFonts w:ascii="Arial" w:cs="Arial" w:eastAsia="Arial" w:hAnsi="Arial"/>
                  <w:sz w:val="18"/>
                  <w:szCs w:val="18"/>
                  <w:b w:val="1"/>
                  <w:bCs w:val="1"/>
                  <w:color w:val="0000FF"/>
                </w:rPr>
                <w:t>64</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PART III</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64</w:t>
              </w:r>
            </w:hyperlink>
          </w:p>
        </w:tc>
      </w:tr>
      <w:tr>
        <w:trPr>
          <w:trHeight w:val="20"/>
        </w:trPr>
        <w:tc>
          <w:tcPr>
            <w:tcW w:w="72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10.</w:t>
            </w:r>
          </w:p>
        </w:tc>
        <w:tc>
          <w:tcPr>
            <w:tcW w:w="4380" w:type="dxa"/>
            <w:vAlign w:val="bottom"/>
            <w:gridSpan w:val="11"/>
          </w:tcPr>
          <w:p>
            <w:pPr>
              <w:spacing w:after="0"/>
              <w:rPr>
                <w:rFonts w:ascii="Arial" w:cs="Arial" w:eastAsia="Arial" w:hAnsi="Arial"/>
                <w:sz w:val="18"/>
                <w:szCs w:val="18"/>
                <w:b w:val="1"/>
                <w:bCs w:val="1"/>
                <w:color w:val="0000FF"/>
                <w:w w:val="90"/>
              </w:rPr>
            </w:pPr>
            <w:hyperlink w:anchor="page100">
              <w:r>
                <w:rPr>
                  <w:rFonts w:ascii="Arial" w:cs="Arial" w:eastAsia="Arial" w:hAnsi="Arial"/>
                  <w:sz w:val="18"/>
                  <w:szCs w:val="18"/>
                  <w:b w:val="1"/>
                  <w:bCs w:val="1"/>
                  <w:color w:val="0000FF"/>
                  <w:w w:val="90"/>
                </w:rPr>
                <w:t>Directors, Executive Officers and Corporate Governance</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64</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1"/>
          </w:tcPr>
          <w:p>
            <w:pPr>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Executive Compensation</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64</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12.</w:t>
            </w:r>
          </w:p>
        </w:tc>
        <w:tc>
          <w:tcPr>
            <w:tcW w:w="8560" w:type="dxa"/>
            <w:vAlign w:val="bottom"/>
            <w:gridSpan w:val="18"/>
          </w:tcPr>
          <w:p>
            <w:pPr>
              <w:spacing w:after="0"/>
              <w:rPr>
                <w:rFonts w:ascii="Arial" w:cs="Arial" w:eastAsia="Arial" w:hAnsi="Arial"/>
                <w:sz w:val="18"/>
                <w:szCs w:val="18"/>
                <w:b w:val="1"/>
                <w:bCs w:val="1"/>
                <w:color w:val="0000FF"/>
                <w:w w:val="99"/>
              </w:rPr>
            </w:pPr>
            <w:hyperlink w:anchor="page100">
              <w:r>
                <w:rPr>
                  <w:rFonts w:ascii="Arial" w:cs="Arial" w:eastAsia="Arial" w:hAnsi="Arial"/>
                  <w:sz w:val="18"/>
                  <w:szCs w:val="18"/>
                  <w:b w:val="1"/>
                  <w:bCs w:val="1"/>
                  <w:color w:val="0000FF"/>
                  <w:w w:val="99"/>
                </w:rPr>
                <w:t>Security Ownership of Certain Beneficial Owners and Management and Related Stockholder Matters</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100">
              <w:r>
                <w:rPr>
                  <w:rFonts w:ascii="Arial" w:cs="Arial" w:eastAsia="Arial" w:hAnsi="Arial"/>
                  <w:sz w:val="18"/>
                  <w:szCs w:val="18"/>
                  <w:b w:val="1"/>
                  <w:bCs w:val="1"/>
                  <w:color w:val="0000FF"/>
                </w:rPr>
                <w:t>64</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2820" w:type="dxa"/>
            <w:vAlign w:val="bottom"/>
            <w:tcBorders>
              <w:left w:val="single" w:sz="8" w:color="0000FF"/>
            </w:tcBorders>
            <w:gridSpan w:val="4"/>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13.</w:t>
            </w:r>
          </w:p>
        </w:tc>
        <w:tc>
          <w:tcPr>
            <w:tcW w:w="7800" w:type="dxa"/>
            <w:vAlign w:val="bottom"/>
            <w:gridSpan w:val="16"/>
          </w:tcPr>
          <w:p>
            <w:pPr>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Certain Relationships and Related Transactions, and Director Independence</w:t>
              </w:r>
            </w:hyperlink>
          </w:p>
        </w:tc>
        <w:tc>
          <w:tcPr>
            <w:tcW w:w="760" w:type="dxa"/>
            <w:vAlign w:val="bottom"/>
            <w:gridSpan w:val="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65</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2820" w:type="dxa"/>
            <w:vAlign w:val="bottom"/>
            <w:tcBorders>
              <w:left w:val="single" w:sz="8" w:color="0000FF"/>
            </w:tcBorders>
            <w:gridSpan w:val="4"/>
            <w:shd w:val="clear" w:color="auto" w:fill="0000FF"/>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14.</w:t>
            </w:r>
          </w:p>
        </w:tc>
        <w:tc>
          <w:tcPr>
            <w:tcW w:w="3040" w:type="dxa"/>
            <w:vAlign w:val="bottom"/>
            <w:gridSpan w:val="9"/>
          </w:tcPr>
          <w:p>
            <w:pPr>
              <w:spacing w:after="0"/>
              <w:rPr>
                <w:rFonts w:ascii="Arial" w:cs="Arial" w:eastAsia="Arial" w:hAnsi="Arial"/>
                <w:sz w:val="18"/>
                <w:szCs w:val="18"/>
                <w:b w:val="1"/>
                <w:bCs w:val="1"/>
                <w:color w:val="0000FF"/>
                <w:w w:val="87"/>
              </w:rPr>
            </w:pPr>
            <w:hyperlink w:anchor="page101">
              <w:r>
                <w:rPr>
                  <w:rFonts w:ascii="Arial" w:cs="Arial" w:eastAsia="Arial" w:hAnsi="Arial"/>
                  <w:sz w:val="18"/>
                  <w:szCs w:val="18"/>
                  <w:b w:val="1"/>
                  <w:bCs w:val="1"/>
                  <w:color w:val="0000FF"/>
                  <w:w w:val="87"/>
                </w:rPr>
                <w:t>Principal Accounting Fees and Services</w:t>
              </w:r>
            </w:hyperlink>
          </w:p>
        </w:tc>
        <w:tc>
          <w:tcPr>
            <w:tcW w:w="2820" w:type="dxa"/>
            <w:vAlign w:val="bottom"/>
            <w:gridSpan w:val="4"/>
          </w:tcPr>
          <w:p>
            <w:pPr>
              <w:spacing w:after="0"/>
              <w:rPr>
                <w:sz w:val="24"/>
                <w:szCs w:val="24"/>
                <w:color w:val="auto"/>
              </w:rPr>
            </w:pPr>
          </w:p>
        </w:tc>
        <w:tc>
          <w:tcPr>
            <w:tcW w:w="2700" w:type="dxa"/>
            <w:vAlign w:val="bottom"/>
            <w:gridSpan w:val="5"/>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65</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15.</w:t>
            </w:r>
          </w:p>
        </w:tc>
        <w:tc>
          <w:tcPr>
            <w:tcW w:w="8560" w:type="dxa"/>
            <w:vAlign w:val="bottom"/>
            <w:gridSpan w:val="18"/>
          </w:tcPr>
          <w:p>
            <w:pPr>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Exhibits, Financial Statement Schedules</w:t>
              </w:r>
            </w:hyperlink>
          </w:p>
        </w:tc>
        <w:tc>
          <w:tcPr>
            <w:tcW w:w="940" w:type="dxa"/>
            <w:vAlign w:val="bottom"/>
            <w:gridSpan w:val="4"/>
          </w:tcPr>
          <w:p>
            <w:pPr>
              <w:jc w:val="right"/>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65</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060"/>
          </w:cols>
          <w:pgMar w:left="280" w:top="931"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75" w:lineRule="exact"/>
        <w:rPr>
          <w:sz w:val="20"/>
          <w:szCs w:val="20"/>
          <w:color w:val="auto"/>
        </w:rPr>
      </w:pPr>
    </w:p>
    <w:p>
      <w:pPr>
        <w:jc w:val="center"/>
        <w:ind w:left="360"/>
        <w:spacing w:after="0"/>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2013 references to:</w:t>
      </w:r>
    </w:p>
    <w:p>
      <w:pPr>
        <w:spacing w:after="0" w:line="46" w:lineRule="exact"/>
        <w:rPr>
          <w:sz w:val="20"/>
          <w:szCs w:val="20"/>
          <w:color w:val="auto"/>
        </w:rPr>
      </w:pPr>
    </w:p>
    <w:p>
      <w:pPr>
        <w:ind w:firstLine="8"/>
        <w:spacing w:after="0" w:line="252" w:lineRule="auto"/>
        <w:tabs>
          <w:tab w:leader="none" w:pos="2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2013. We have made rounding adjustments to reach some of the figures included in this Annual Report and, unless otherwise indicated, percentages presented in this Annual Report are approximate.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48" w:lineRule="exact"/>
        <w:rPr>
          <w:sz w:val="20"/>
          <w:szCs w:val="20"/>
          <w:color w:val="auto"/>
        </w:rPr>
      </w:pPr>
    </w:p>
    <w:p>
      <w:pPr>
        <w:ind w:left="540" w:right="200" w:hanging="316"/>
        <w:spacing w:after="0" w:line="271"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which could reduce or delay funding for orders for services especially in the current political environment;</w:t>
      </w:r>
    </w:p>
    <w:p>
      <w:pPr>
        <w:ind w:left="540" w:right="8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delayed funding of our contracts due to delays in the completion of the U.S. government’s budgeting process and the use of continuing resolutions by the U.S. government to fund its operations or related changes in the pattern or timing of government funding and spending (including potential cuts associated with sequestration or other budgetary cuts made in lieu of sequestration);</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uncertainty around the timing, extent, and nature of Congressional and other U.S. government action to address budgetary constraints, the U.S. government's ability to incur indebtedness in excess of its current limit and the U.S. deficit;</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w:t>
      </w:r>
    </w:p>
    <w:p>
      <w:pPr>
        <w:spacing w:after="0" w:line="9" w:lineRule="exact"/>
        <w:rPr>
          <w:rFonts w:ascii="Arial" w:cs="Arial" w:eastAsia="Arial" w:hAnsi="Arial"/>
          <w:sz w:val="18"/>
          <w:szCs w:val="18"/>
          <w:color w:val="auto"/>
        </w:rPr>
      </w:pPr>
    </w:p>
    <w:p>
      <w:pPr>
        <w:ind w:left="540" w:right="460" w:hanging="316"/>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numerous laws and regulations;</w:t>
      </w:r>
    </w:p>
    <w:p>
      <w:pPr>
        <w:spacing w:after="0" w:line="9"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caused by competitors’ protests of major contract awards received by us;</w:t>
      </w: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full value of our backlog and the timing of our receipt of revenue under contracts included in backlog;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experience, and security clearances;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hire, assimilate, and deploy enough employees to serve our clients under existing contracts;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timely and effectively utilize our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688" w:right="259" w:bottom="1440" w:gutter="0" w:footer="0" w:header="0"/>
        </w:sectPr>
      </w:pPr>
    </w:p>
    <w:bookmarkStart w:id="4" w:name="page5"/>
    <w:bookmarkEnd w:id="4"/>
    <w:p>
      <w:pPr>
        <w:jc w:val="both"/>
        <w:ind w:left="540" w:right="20" w:hanging="316"/>
        <w:spacing w:after="0" w:line="256"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ind w:left="540" w:right="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ind w:left="540" w:right="16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new relationships, clients, capabilities, and service offerings in our U.S. and international businesses;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adoption by the U.S. government of new laws, rules, and regulations, such as those relating to organizational conflicts of interest issues;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acquisition of the DSES division of ARINC Incorporated; risks related to future acquisitions;</w:t>
      </w:r>
    </w:p>
    <w:p>
      <w:pPr>
        <w:spacing w:after="0" w:line="20" w:lineRule="exact"/>
        <w:rPr>
          <w:rFonts w:ascii="Arial" w:cs="Arial" w:eastAsia="Arial" w:hAnsi="Arial"/>
          <w:sz w:val="17"/>
          <w:szCs w:val="17"/>
          <w:color w:val="auto"/>
        </w:rPr>
      </w:pPr>
    </w:p>
    <w:p>
      <w:pPr>
        <w:ind w:left="540" w:right="4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including those related to stock-based compensation expense, for any reason, including a change in law;</w:t>
      </w:r>
    </w:p>
    <w:p>
      <w:pPr>
        <w:ind w:left="540" w:right="3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 and</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Annual Report.</w:t>
      </w:r>
    </w:p>
    <w:p>
      <w:pPr>
        <w:spacing w:after="0" w:line="1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692"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are a leading provider of management and technology consulting services to the U.S. government in the defense, intelligence, and civil markets. We are further developing the scope and scale of our engineering services capabilities that we provide to our U.S. government clients. Additionally, we provide our management and technology consulting services to major corporations, institutions, and not-for-profit organizations.</w:t>
      </w:r>
    </w:p>
    <w:p>
      <w:pPr>
        <w:spacing w:after="0" w:line="111"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We are a well-known, trusted and long-term partner to our clients, who seek our expertise and objective advice to address their most important and complex problems. Leveraging our 99-year consulting heritage and a talent base of approximately 24,500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w:t>
      </w:r>
    </w:p>
    <w:p>
      <w:pPr>
        <w:spacing w:after="0" w:line="10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technology, engineering, and analytics.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12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have strong and longstanding relationships with a diverse group of clients at all levels of the U.S. government. During fiscal 2013, we derived 99% of our revenue from services under more than 5,700 contracts and task orders. The single largest entity that we served in fiscal 2013 was the U.S. Army, which represented approximately 16% of our revenue in that period. We derived 91% of our revenue in fiscal 2013 from engagements for which we acted as the prime contractor. Also during fiscal 2013, we achieved an overall win rate of 56% on new contracts and task orders for which we competed and a win rate of more than 89% on re-competed contracts and task orders for existing or related business. As of March 31, 2013, our total backlog, including funded, unfunded, and priced options, was $11.8 billion, an increase of 9.5% in total backlog with a 13% decrease in funded backlog over March 31, 2012.</w:t>
      </w:r>
    </w:p>
    <w:p>
      <w:pPr>
        <w:spacing w:after="0" w:line="11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attribute the strength of our client relationships, the commitment of our people, and our strong financial position to our management consulting heritage and collaborative culture, which instills our relentless focus on delivering value and enduring results to our clients. We operate our business as a single profit center, which drives our ability to collaborate internally and compete externally. Our operating model is built on (1) our dedication to client service, which focuses on leveraging our experience and knowledge to provide differentiated insights, (2) our partnership-style culture and compensation system, which fosters collaboration and the efficient allocation of our people across markets, clients, and opportunities, (3) our career progression and people development model, which reinforces the alignment of our people with our collaborative culture, core values, and ethics, and (4) our approach to the market, which leverages our matrix of deep domain expertise in the defense, intelligence, and civil government markets and commercial markets with our strong functional capabilities spanning management consulting and mission operations and technology and engineering.</w:t>
      </w:r>
    </w:p>
    <w:p>
      <w:pPr>
        <w:spacing w:after="0" w:line="11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believe that the U.S. government is the world's largest consumer of management and technology consulting services. The U.S. government's budget for the fiscal year ended September 30, 2012 was close to $4 trillion, excluding authorizations from Overseas Contingency Operations and supplemental funding for the Department of Defense. Of this amount, $1 trillion was for discretionary budget authority, including $531 billion for the Department of Defense and U.S. Intelligence Community and $549 billion for civil agencies. Based on data from the Federal Procurement Data System, approximately $513 billion of the U.S. government fiscal year 2012 discretionary outlays were for non- American Recovery and Reinvestment Act of 2009 and non-intelligence agency funding-related products and services procured from private contractors. We estimate that $102 billion of the spending directed towards private contractors in U.S. government fiscal year 2012 was for management and technology consulting services, with $62 billion spent by the Department of Defense and $41 billion spent by civil agencies. The agencies of the U.S. Intelligence Community that we serve represent an additional market.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88" w:right="279" w:bottom="1440" w:gutter="0" w:footer="0" w:header="0"/>
        </w:sectPr>
      </w:pPr>
    </w:p>
    <w:bookmarkStart w:id="6" w:name="page7"/>
    <w:bookmarkEnd w:id="6"/>
    <w:p>
      <w:pPr>
        <w:ind w:right="100" w:firstLine="432"/>
        <w:spacing w:after="0" w:line="264" w:lineRule="auto"/>
        <w:rPr>
          <w:sz w:val="20"/>
          <w:szCs w:val="20"/>
          <w:color w:val="auto"/>
        </w:rPr>
      </w:pPr>
      <w:r>
        <w:rPr>
          <w:rFonts w:ascii="Arial" w:cs="Arial" w:eastAsia="Arial" w:hAnsi="Arial"/>
          <w:sz w:val="18"/>
          <w:szCs w:val="18"/>
          <w:color w:val="auto"/>
        </w:rPr>
        <w:t>We are organized and operate as a corporation. Our use of the term “partnership” reflects our collaborative culture, and our use of the term “partner” refers to our Chairman and our Senior and Executive Vice Presidents. The use of the terms “partnership” and “partner” is not meant to create any implication that we operate our company as, or have any intention to create a legal entity that is, a partnership.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 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government business of Booz Allen Hamilton following the separation. The aforementioned transactions are referred to in this Annual Report as the acquisition.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fund the aggregate consideration for the acquisition, to repay certain indebtedness in connection with the acquisition and to provide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Booz Allen Investor and Booz Allen Hamilton entered into a series of financing transactions, which included:</w:t>
      </w:r>
    </w:p>
    <w:p>
      <w:pPr>
        <w:spacing w:after="0" w:line="9" w:lineRule="exact"/>
        <w:rPr>
          <w:sz w:val="20"/>
          <w:szCs w:val="20"/>
          <w:color w:val="auto"/>
        </w:rPr>
      </w:pPr>
    </w:p>
    <w:p>
      <w:pPr>
        <w:ind w:left="640" w:right="52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entry into our senior secured credit agreement, and the incurrence of $125.0 million and $585.0 million of term loans under the Tranche A and Tranche B term facilities, respectively, governed by the senior secured credit agreement;</w:t>
      </w:r>
    </w:p>
    <w:p>
      <w:pPr>
        <w:ind w:left="640" w:hanging="321"/>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entry into our mezzanine credit agreement, and the incurrence of $550.0 million of term loans governed by the mezzanine credit agreement; and</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equity contribution from Explorer Coinvest LLC, or Coinvest, of approximately $956.5 million.</w:t>
      </w:r>
    </w:p>
    <w:p>
      <w:pPr>
        <w:spacing w:after="0" w:line="157"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The payment of $158.0 million of the cash consideration for the acquisition was structured as a deferred payment obligation of Booz Allen Investor. On December 11, 2009, in order to facilitate the payment of a special dividend and the repayment of a portion of the deferred payment obligation, Booz Allen Investor and Booz Allen Hamilton entered into a series of amendments to the credit agreements governing our senior secured credit facilities and mezzanine credit facility to, among other things, add the Tranche C term facility under our senior secured credit facilities, increase commitments under the revolving credit facility under our senior secured credit facilities from $100.0 million to $245.0 million, and add a specific exception to the restricted payments covenant to permit the payment of the special dividend. Using cash on hand and $341.3 million in net proceeds from the increased term loan facility, Booz Allen Hamilton paid a special dividend of $650.0 million on its common stock, all of which was paid to Booz Allen Investor, its sole stockholder. Booz Allen Investor in turn used the proceeds of the special dividend (i) to repay approximately $100.4 million of the deferred payment obligation, including</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$22.4 million in accrued interest, in accordance with the terms of the merger agreement and (ii) to pay a special dividend of approximately $549.6 million on its common stock, all of which was paid to Booz Allen Holding, its sole stockholder. Booz Allen Holding in turn declared a special dividend of</w:t>
      </w:r>
    </w:p>
    <w:p>
      <w:pPr>
        <w:ind w:right="440"/>
        <w:spacing w:after="0" w:line="255" w:lineRule="auto"/>
        <w:rPr>
          <w:sz w:val="20"/>
          <w:szCs w:val="20"/>
          <w:color w:val="auto"/>
        </w:rPr>
      </w:pPr>
      <w:r>
        <w:rPr>
          <w:rFonts w:ascii="Arial" w:cs="Arial" w:eastAsia="Arial" w:hAnsi="Arial"/>
          <w:sz w:val="18"/>
          <w:szCs w:val="18"/>
          <w:color w:val="auto"/>
        </w:rPr>
        <w:t>$497.5 million payable on its outstanding Class A Common Stock, Class B Non-Voting Common Stock and Class C Restricted Common Stock, approximately $444.1 million of which was paid to Coinvest and the remainder of which was paid to the other stockholders of Booz Allen Holding. The aforementioned transactions are referred to in this Annual Report as the recapitalization transaction.</w:t>
      </w:r>
    </w:p>
    <w:p>
      <w:pPr>
        <w:spacing w:after="0" w:line="13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February 3, 2011, we completed a refinancing transaction, or the Refinancing Transaction, which included amendments to the senior secured credit agreement and the repayment of all indebtedness outstanding under our mezzanine credit facility. The amended senior secured credit agreement provides for $1.0 billion in term loans ($500.0 million Tranche A term facility and $500.0 million Tranche B term facility) and a $275.0 million revolving credit facility. In connection with the Refinancing Transaction, we borrowed $1.0 billion under the Tranche A and Tranche B term facilities and we used $268.9 million of cash on hand to pay fees and expenses and repay the remaining $222.1 million of indebtedness under our mezzanine credit facility and $21.5 million under the then effective senior secured credit facilities.</w:t>
      </w:r>
    </w:p>
    <w:p>
      <w:pPr>
        <w:spacing w:after="0" w:line="13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July 31, 2012, we refinanced our previously outstanding indebtedness from the Refinancing Transaction by entering into a new senior secured credit agreement which provides for $725.0 million of Tranche A term loans and $1,025.0 million of Tranche B term loans as well as a $500.0 million revolving credit facility. In addition to paying down our previously outstanding indebtedness, we used the proceeds from the loans together with approximately $254 million of cash on hand to pay the fees and expenses from the transaction and to declare and pay a special dividend of $874.8 million payable on its outstanding Class A Common Stock, Class B Non-Voting Common Stock and Class C Restricted Common Stock, approximately $621.8 million of which was paid to Coinvest and the remainder of which was paid to the other stockholders of Booz Allen Holding. See “Item 7. Management’s Discussion and Analysis of Financial Condition and Results of Operations — Indebtedness.”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Value Proposition to Our Clients</w:t>
      </w:r>
    </w:p>
    <w:p>
      <w:pPr>
        <w:spacing w:after="0" w:line="9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As a leading provider of management and technology consulting services to the U.S. government and a provider of such services to major corporations, institutions, and not-for-profit organizations, we believe that we are well positioned to grow across markets characterized by increasing and rapid change. We believe that our dedication to client service and our focus on their success, the quality of our people, our management consulting heritage, and the breadth of our functional capabilities provide the strong foundation necessary for our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People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success as a management and technology consulting firm is highly dependent upon the quality, integrity, and dedication of our people.</w:t>
      </w:r>
    </w:p>
    <w:p>
      <w:pPr>
        <w:spacing w:after="0" w:line="18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Superior Talent Base. </w:t>
      </w:r>
      <w:r>
        <w:rPr>
          <w:rFonts w:ascii="Arial" w:cs="Arial" w:eastAsia="Arial" w:hAnsi="Arial"/>
          <w:sz w:val="17"/>
          <w:szCs w:val="17"/>
          <w:color w:val="auto"/>
        </w:rPr>
        <w:t>We have a highly educated talent base of approximately 24,500 people: as of March 31, 2013, 80% held bachelor degrees, 40%</w:t>
      </w:r>
      <w:r>
        <w:rPr>
          <w:rFonts w:ascii="Arial" w:cs="Arial" w:eastAsia="Arial" w:hAnsi="Arial"/>
          <w:sz w:val="17"/>
          <w:szCs w:val="17"/>
          <w:i w:val="1"/>
          <w:iCs w:val="1"/>
          <w:color w:val="auto"/>
        </w:rPr>
        <w:t xml:space="preserve"> </w:t>
      </w:r>
      <w:r>
        <w:rPr>
          <w:rFonts w:ascii="Arial" w:cs="Arial" w:eastAsia="Arial" w:hAnsi="Arial"/>
          <w:sz w:val="17"/>
          <w:szCs w:val="17"/>
          <w:color w:val="auto"/>
        </w:rPr>
        <w:t>held masters degrees and 4% held doctoral degrees (not including employees from ASE, Inc., one of our wholly owned subsidiaries). In addition, many of the U.S. government contracts for which we compete require contractors to have high-level security clearances, and our large pool of cleared employees allows us to meet these needs. As of March 31, 2013, 76% of our people held government security clearances: 27% at Top Secret/Sensitive Compartmented Information, 21% at Top Secret (excluding Sensitive Compartmented Information) and 28% at Secret. High-level security clearances generally afford a person access to data that affects national security, counterterrorism or counterintelligence, or other highly sensitive data. Persons with the highest security clearance, Top Secret, have access to information that would cause “exceptionally grave damage” to national security if disclosed to the public. Persons with access to the most sensitive and carefully controlled intelligence information hold a Top-Secret/Sensitive Compartmented Information clearance. Persons with the second-highest clearance classification, Secret, have access to information that would cause “serious damage” to national security if disclosed to the public. Through internal referrals and external recruiting efforts, we are able to successfully renew and grow our talent base, and we believe that our ability to attract top level talent is significantly enhanced by our commitment to professional development, our position as a leader in our markets, the high quality of our work, and the appeal of our culture.</w:t>
      </w:r>
    </w:p>
    <w:p>
      <w:pPr>
        <w:spacing w:after="0" w:line="18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 xml:space="preserve">Career Progression and a Focus on Talent Development. </w:t>
      </w:r>
      <w:r>
        <w:rPr>
          <w:rFonts w:ascii="Arial" w:cs="Arial" w:eastAsia="Arial" w:hAnsi="Arial"/>
          <w:sz w:val="17"/>
          <w:szCs w:val="17"/>
          <w:color w:val="auto"/>
        </w:rPr>
        <w:t>To encourage development and progression, we provide our people with the opportunity to</w:t>
      </w:r>
      <w:r>
        <w:rPr>
          <w:rFonts w:ascii="Arial" w:cs="Arial" w:eastAsia="Arial" w:hAnsi="Arial"/>
          <w:sz w:val="17"/>
          <w:szCs w:val="17"/>
          <w:i w:val="1"/>
          <w:iCs w:val="1"/>
          <w:color w:val="auto"/>
        </w:rPr>
        <w:t xml:space="preserve"> </w:t>
      </w:r>
      <w:r>
        <w:rPr>
          <w:rFonts w:ascii="Arial" w:cs="Arial" w:eastAsia="Arial" w:hAnsi="Arial"/>
          <w:sz w:val="17"/>
          <w:szCs w:val="17"/>
          <w:color w:val="auto"/>
        </w:rPr>
        <w:t>work on important and complex problems, encourage and acknowledge contributions of people at all levels of seniority, and facilitate broad, inclusive, and insightful leadership. In furtherance of these goals, we are piloting a new career progression and people development model designed to recognize and reward employees based on differentiated roles within a traditional management consulting track and an engineering and technology track. We will continue to leverage an assessment process that helps promote and enforce the consistency of our collaborative culture, core values, and ethics. We also encourage our people to continue developing their substantive skills through continuing education. Our learning programs, which have consistently been recognized as best-in-class in the industry, include partnerships with universities, vendors, and online content providers. These programs offer convenient, cost-effective, quality educational opportunities that are aligned with our core capabilities.</w:t>
      </w:r>
    </w:p>
    <w:p>
      <w:pPr>
        <w:spacing w:after="0" w:line="1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Core Values. </w:t>
      </w:r>
      <w:r>
        <w:rPr>
          <w:rFonts w:ascii="Arial" w:cs="Arial" w:eastAsia="Arial" w:hAnsi="Arial"/>
          <w:sz w:val="18"/>
          <w:szCs w:val="18"/>
          <w:color w:val="auto"/>
        </w:rPr>
        <w:t>We believe that one of the key components of our success is our focus on core values. Our core values are: client service,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excellence, entrepreneurship, teamwork, professionalism, fairness, integrity, respect, and trust. All new hires receive extensive training that emphasizes our core values, facilitates their integration into our collaborative, client-oriented culture, and helps to ensure the delivery of consistent and exceptional client service. As of March 31, 2013, 100% of our employees participated in internal training including 4 hours of mandatory ethics training which is required to be completed each year.</w:t>
      </w:r>
    </w:p>
    <w:p>
      <w:pPr>
        <w:spacing w:after="0" w:line="134"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emphasis that we place on our people yields recognized results. External awards and recognition include being named to the “Best Companies” to work for lists published by Working Mother, Consulting Magazine, GI Jobs, and a number of other publications and associations. Additionally, the company was named in 2012 and 2013 as one of Fortune Magazine’s “The World’s Most Admired Companies,” a list based on quality and brand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Consulting Heritage</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Our Approach to Client Service. </w:t>
      </w:r>
      <w:r>
        <w:rPr>
          <w:rFonts w:ascii="Arial" w:cs="Arial" w:eastAsia="Arial" w:hAnsi="Arial"/>
          <w:sz w:val="18"/>
          <w:szCs w:val="18"/>
          <w:color w:val="auto"/>
        </w:rPr>
        <w:t>Over nearly a century of serving clients and 73 years that we have been supporting the U.S. government,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cultivated relationships of trust with, and developed a comprehensive understanding of, our clients. This insight regarding our clients, together with our deep domain knowledge and functional capabilities, enable us to anticipate, identify, and address the specific needs of our clients. While working on contract engagements, our people work to develop a holistic understanding of the issues and challenges facing the client to ensure that our advice helps them achieve enduring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1" w:right="239" w:bottom="1440" w:gutter="0" w:footer="0" w:header="0"/>
        </w:sectPr>
      </w:pPr>
    </w:p>
    <w:bookmarkStart w:id="8" w:name="page9"/>
    <w:bookmarkEnd w:id="8"/>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Partnership-Style Culture and Compensation System. </w:t>
      </w:r>
      <w:r>
        <w:rPr>
          <w:rFonts w:ascii="Arial" w:cs="Arial" w:eastAsia="Arial" w:hAnsi="Arial"/>
          <w:sz w:val="18"/>
          <w:szCs w:val="18"/>
          <w:color w:val="auto"/>
        </w:rPr>
        <w:t>A commitment to teamwork is deeply ingrained in our company, and our partnership-style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is critical to maintaining this feature of our operating model. We manage our company as a single profit center with a partner-style compensation system that focuses on the success of the institution over the success of the individual. This distinctive system fosters internal collaboration that allows us to better compete externally by motivating our partners to act in the best interest of the institution. As a result, we are able to rapidly and efficiently deploy our people and resources across markets, clients, and opportunities. This makes us more responsive to the market and better able to bring all the resources of the company to bear in support of specific client needs.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Client-Oriented Matrix Approach</w:t>
      </w:r>
    </w:p>
    <w:p>
      <w:pPr>
        <w:spacing w:after="0" w:line="9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Across all sectors, our clients are facing ever-more challenging issues. We address the complex and evolving needs of our clients by deploying teams of staff with deep mission understanding, market-leading functional capabilities, consulting talent, and true technical and engineering expertise. These staff and functional capabilities are housed within market-facing teams and our new Strategic Innovation Group that was launched April 1, 2013 but connected and developed through a strong network of internal communities and an internal resource management function that has the charter to move staff across the entire firm. This approach enables us to quickly assemble, deploy, and redeploy when necessary, multi-faceted client-facing teams comprised of people with the right skills and expertise needed to address specific client challenges. This ability is central to the differentiated value proposition of Booz Allen. We believe that our significant win rates on new and re-competed contracts demonstrate the strength of this matrixed approach as well as our industry-leading reputation and our proven track record.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Growth</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serve our clients by identifying, analyzing, and solving their most complex problems. We leverage our deep domain knowledge and understanding of their core missions while providing functional capabilities in management consulting and mission operations and technology and engineering services. We anticipate developments that will have near- and long-term impacts on our clients' operations. To serve our clients and grow our business, we intend to execute the following strategies: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and Grow our U.S. Government Business</w:t>
      </w:r>
    </w:p>
    <w:p>
      <w:pPr>
        <w:spacing w:after="0" w:line="225" w:lineRule="exact"/>
        <w:rPr>
          <w:sz w:val="20"/>
          <w:szCs w:val="20"/>
          <w:color w:val="auto"/>
        </w:rPr>
      </w:pPr>
    </w:p>
    <w:p>
      <w:pPr>
        <w:jc w:val="both"/>
        <w:ind w:right="40" w:firstLine="486"/>
        <w:spacing w:after="0" w:line="255" w:lineRule="auto"/>
        <w:rPr>
          <w:sz w:val="20"/>
          <w:szCs w:val="20"/>
          <w:color w:val="auto"/>
        </w:rPr>
      </w:pPr>
      <w:r>
        <w:rPr>
          <w:rFonts w:ascii="Arial" w:cs="Arial" w:eastAsia="Arial" w:hAnsi="Arial"/>
          <w:sz w:val="18"/>
          <w:szCs w:val="18"/>
          <w:color w:val="auto"/>
        </w:rPr>
        <w:t>We intend to capitalize on our scale, our reputation as a trusted long-term partner, the scope of our domain expertise, and our functional capabilities to continue to maintain and grow our existing U.S. government client relationships and expand the scope of the service we provide across our U.S. government client base. We will continue to help our U.S. government clients recognize more efficient and effective mission execution by deploying our objective insight and market expertise across current and future contract engagements. We plan to leverage our comprehensive understanding of our U.S. government clients’ needs to apply emerging capabilities to solve our U.S. government clients' mission-critical problems. We believe that significant growth opportunities exist in our U.S. government markets, and we intend to:</w:t>
      </w:r>
    </w:p>
    <w:p>
      <w:pPr>
        <w:spacing w:after="0" w:line="193" w:lineRule="exact"/>
        <w:rPr>
          <w:sz w:val="20"/>
          <w:szCs w:val="20"/>
          <w:color w:val="auto"/>
        </w:rPr>
      </w:pPr>
    </w:p>
    <w:p>
      <w:pPr>
        <w:ind w:left="640" w:right="40" w:hanging="321"/>
        <w:spacing w:after="0" w:line="279"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Deepen Our Existing Client Relationships. </w:t>
      </w:r>
      <w:r>
        <w:rPr>
          <w:rFonts w:ascii="Arial" w:cs="Arial" w:eastAsia="Arial" w:hAnsi="Arial"/>
          <w:sz w:val="17"/>
          <w:szCs w:val="17"/>
          <w:color w:val="auto"/>
        </w:rPr>
        <w:t>The complex and evolving nature of the challenges our U.S. government clients face requires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different core competencies and capabilities. Our approach to client service and collaborative culture enables us to effectively cross-sell and deploy multiple services to existing U.S. government clients. This is demonstrated by our track record of successful performance in growing our client relationships and expanding the scope of the services we provide to our existing U.S. government clients.</w:t>
      </w:r>
    </w:p>
    <w:p>
      <w:pPr>
        <w:spacing w:after="0" w:line="171" w:lineRule="exact"/>
        <w:rPr>
          <w:rFonts w:ascii="Arial" w:cs="Arial" w:eastAsia="Arial" w:hAnsi="Arial"/>
          <w:sz w:val="17"/>
          <w:szCs w:val="17"/>
          <w:color w:val="auto"/>
        </w:rPr>
      </w:pPr>
    </w:p>
    <w:p>
      <w:pPr>
        <w:ind w:left="640" w:right="340" w:hanging="321"/>
        <w:spacing w:after="0" w:line="28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Help Clients Rapidly Respond to Change. </w:t>
      </w:r>
      <w:r>
        <w:rPr>
          <w:rFonts w:ascii="Arial" w:cs="Arial" w:eastAsia="Arial" w:hAnsi="Arial"/>
          <w:sz w:val="17"/>
          <w:szCs w:val="17"/>
          <w:color w:val="auto"/>
        </w:rPr>
        <w:t>We will continue to help our U.S. government clients formulate rapid and dynamic responses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frequent and sometimes sudden changes that they face by leveraging the scope and scale of our domain expertise, our broad capabilities, and our one-firm culture, which allow us to effectively and efficiently allocate our resources and deploy our intellectual capital.</w:t>
      </w:r>
    </w:p>
    <w:p>
      <w:pPr>
        <w:spacing w:after="0" w:line="165" w:lineRule="exact"/>
        <w:rPr>
          <w:rFonts w:ascii="Arial" w:cs="Arial" w:eastAsia="Arial" w:hAnsi="Arial"/>
          <w:sz w:val="17"/>
          <w:szCs w:val="17"/>
          <w:color w:val="auto"/>
        </w:rPr>
      </w:pPr>
    </w:p>
    <w:p>
      <w:pPr>
        <w:ind w:left="640" w:right="20" w:hanging="321"/>
        <w:spacing w:after="0" w:line="30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Broaden our Client Base. </w:t>
      </w:r>
      <w:r>
        <w:rPr>
          <w:rFonts w:ascii="Arial" w:cs="Arial" w:eastAsia="Arial" w:hAnsi="Arial"/>
          <w:sz w:val="17"/>
          <w:szCs w:val="17"/>
          <w:color w:val="auto"/>
        </w:rPr>
        <w:t>We believe that growing demand for the types of services we provide and our ongoing business initiatives will enable us to</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 our industry leading reputation to cultivate new client relationships across all agencies and departments of the U.S. government.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 on Our Strengths in Emerging Areas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will continue to leverage our domain expertise and broad capabilities to help our clients address emerging issues. Through the early identification of clients’ emerging needs and the development of adaptive capabilities to help address those needs, we have established strong competencies and functional capabilities in numerous areas of potential growth, including:</w:t>
      </w:r>
    </w:p>
    <w:p>
      <w:pPr>
        <w:spacing w:after="0" w:line="4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 xml:space="preserve">Cyber. </w:t>
      </w:r>
      <w:r>
        <w:rPr>
          <w:rFonts w:ascii="Arial" w:cs="Arial" w:eastAsia="Arial" w:hAnsi="Arial"/>
          <w:sz w:val="18"/>
          <w:szCs w:val="18"/>
          <w:color w:val="auto"/>
        </w:rPr>
        <w:t>Network-enabled technology now forms the backbone of our economy, infrastructure, and national and international security. We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cyber and predecessor areas, such as information assurance, since 1999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54" w:right="259" w:bottom="1440" w:gutter="0" w:footer="0" w:header="0"/>
        </w:sectPr>
      </w:pPr>
    </w:p>
    <w:bookmarkStart w:id="9" w:name="page10"/>
    <w:bookmarkEnd w:id="9"/>
    <w:p>
      <w:pPr>
        <w:ind w:right="40"/>
        <w:spacing w:after="0" w:line="258" w:lineRule="auto"/>
        <w:rPr>
          <w:sz w:val="20"/>
          <w:szCs w:val="20"/>
          <w:color w:val="auto"/>
        </w:rPr>
      </w:pPr>
      <w:r>
        <w:rPr>
          <w:rFonts w:ascii="Arial" w:cs="Arial" w:eastAsia="Arial" w:hAnsi="Arial"/>
          <w:sz w:val="17"/>
          <w:szCs w:val="17"/>
          <w:color w:val="auto"/>
        </w:rPr>
        <w:t xml:space="preserve">information security since the 1980’s. We are currently involved in important cyber-related initiatives for national defense, serving clients including the U.S. Cyber Command, defense, intelligence, and civil clients. Additionally, we are supporting commercial clients, especially those in the financial services industry, in their cyber-security initiatives. We have created an intelligence-driven dynamic defense framework for government and commercial networks and information assets based on the following four main platforms: threat intelligence, incident response, pre-emptive response, and integrated remediation. In January 2012, we formally launched the Booz Allen Cyber Solutions Network </w:t>
      </w:r>
      <w:r>
        <w:rPr>
          <w:rFonts w:ascii="Arial" w:cs="Arial" w:eastAsia="Arial" w:hAnsi="Arial"/>
          <w:sz w:val="24"/>
          <w:szCs w:val="24"/>
          <w:color w:val="auto"/>
          <w:vertAlign w:val="superscript"/>
        </w:rPr>
        <w:t>®</w:t>
      </w:r>
      <w:r>
        <w:rPr>
          <w:rFonts w:ascii="Arial" w:cs="Arial" w:eastAsia="Arial" w:hAnsi="Arial"/>
          <w:sz w:val="17"/>
          <w:szCs w:val="17"/>
          <w:color w:val="auto"/>
        </w:rPr>
        <w:t>, an integrated secure network of cyber centers, providing our clients with advanced analytics, cyber training, network defense, and cyber product/technology evaluation services. As of March 31, 2013, over 3,100 employees hold over 5,200 certifications representing a variety of technical disciplines, including DoD 8570 specified certifications, from various certifying bodies, such as SANS, Comp TIA, Securible, Ultimate Knowledge, and Skillsoft. Additionally, to continue to position our company as a leader across the broad and growing range of areas requiring cyber-related services, we are focused on hiring new employees with cyber-related expertise and cross training existing employees through our Cyber University program.</w:t>
      </w:r>
    </w:p>
    <w:p>
      <w:pPr>
        <w:spacing w:after="0" w:line="5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Cloud-Based Services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U.S. government and commercial markets have experienced a rise in the use of cloud computing, which allows shared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software to be provided to computers and other devices on-demand without requiring new user infrastructure. In addition, the use of cloud computing provides clients with economical data storage and retrieval options. Building on our foundation of advanced information technology and our proven capabilities in strategy and change management, analytics, systems development and cyber technology, we have created a major initiative in cloud-based services, through which we intend to serve our clients by using cloud computing solutions to deliver cost savings, improved mission effectiveness, improved data analytics and improved IT infrastructure, including data center migration and optimization.</w:t>
      </w:r>
    </w:p>
    <w:p>
      <w:pPr>
        <w:spacing w:after="0" w:line="43" w:lineRule="exact"/>
        <w:rPr>
          <w:sz w:val="20"/>
          <w:szCs w:val="20"/>
          <w:color w:val="auto"/>
        </w:rPr>
      </w:pPr>
    </w:p>
    <w:p>
      <w:pPr>
        <w:ind w:right="300" w:firstLine="432"/>
        <w:spacing w:after="0" w:line="286" w:lineRule="auto"/>
        <w:rPr>
          <w:sz w:val="20"/>
          <w:szCs w:val="20"/>
          <w:color w:val="auto"/>
        </w:rPr>
      </w:pPr>
      <w:r>
        <w:rPr>
          <w:rFonts w:ascii="Arial" w:cs="Arial" w:eastAsia="Arial" w:hAnsi="Arial"/>
          <w:sz w:val="16"/>
          <w:szCs w:val="16"/>
          <w:i w:val="1"/>
          <w:iCs w:val="1"/>
          <w:color w:val="auto"/>
        </w:rPr>
        <w:t>Efficiency and Effectiveness</w:t>
      </w:r>
      <w:r>
        <w:rPr>
          <w:rFonts w:ascii="Arial" w:cs="Arial" w:eastAsia="Arial" w:hAnsi="Arial"/>
          <w:sz w:val="16"/>
          <w:szCs w:val="16"/>
          <w:color w:val="auto"/>
        </w:rPr>
        <w:t>. We are helping our clients address challenges ranging from reducing costs and doing more with less, to completely</w:t>
      </w:r>
      <w:r>
        <w:rPr>
          <w:rFonts w:ascii="Arial" w:cs="Arial" w:eastAsia="Arial" w:hAnsi="Arial"/>
          <w:sz w:val="16"/>
          <w:szCs w:val="16"/>
          <w:i w:val="1"/>
          <w:iCs w:val="1"/>
          <w:color w:val="auto"/>
        </w:rPr>
        <w:t xml:space="preserve"> </w:t>
      </w:r>
      <w:r>
        <w:rPr>
          <w:rFonts w:ascii="Arial" w:cs="Arial" w:eastAsia="Arial" w:hAnsi="Arial"/>
          <w:sz w:val="16"/>
          <w:szCs w:val="16"/>
          <w:color w:val="auto"/>
        </w:rPr>
        <w:t>transforming the way they operate. Our services focus on realizing efficiencies through IT management, cost restructuring change management/business process re-engineering, and human resource management/ back office operations. For our U.S. government clients, we are helping them achieve operating and budgetary efficiencies driven by the need to control spending while simultaneously pursuing numerous policy initiatives. In addition, recent</w:t>
      </w:r>
    </w:p>
    <w:p>
      <w:pPr>
        <w:spacing w:after="0" w:line="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U.S. government reforms in the procurement area may allow us to leverage our status as a large, objective service provider to win additional assignments to the extent that we are able to address organizational conflicts of interest and similar concerns more easily than our competitors.</w:t>
      </w:r>
    </w:p>
    <w:p>
      <w:pPr>
        <w:spacing w:after="0" w:line="2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Technology and Engineering Services. </w:t>
      </w:r>
      <w:r>
        <w:rPr>
          <w:rFonts w:ascii="Arial" w:cs="Arial" w:eastAsia="Arial" w:hAnsi="Arial"/>
          <w:sz w:val="16"/>
          <w:szCs w:val="16"/>
          <w:color w:val="auto"/>
        </w:rPr>
        <w:t>We serve our clients by applying our broad and deep expertise in technology and engineering, ranging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micro-electronics to biomedical engineering and high-energy lasers, to develop proof-of-concept designs, reverse engineer current products and systems, and build test prototypes. We leverage our technological capabilities in areas such as cyber technology and strategic technology and innovation to design, develop, and implement solutions for our clients. Additionally, we provide sophisticated systems engineering and integration, or SE&amp;I, services to help clients manage every phase of the development and integration of increasingly sophisticated information technology, communications and mission systems - ranging from satellite and space systems to air traffic control and naval systems. In November 2012, we acquired the Defense Systems Engineering and Support division of ARINC Incorporated to build upon our existing engineering capabilities and to bring to our clients broader and deeper technical expertise in technical areas such as Command, Control, Communications, Computers, Intelligence, Surveillance and Reconnaissance (C4ISR).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Reach into New Areas of Our Addressable Market</w:t>
      </w:r>
    </w:p>
    <w:p>
      <w:pPr>
        <w:spacing w:after="0" w:line="17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have a tradition of investing significant resources in efforts to identify near-term developments and long-term trends that may present significant challenges or opportunities for our clients. We have regularly allocated significant resources to these business development efforts and have successfully transitioned several such initiatives into meaningful contributors to our business. We believe that by leveraging our core capabilities with new capabilities in emerging technologies and advanced engineering that we will develop new offerings and opportunities to help clients address their emerging challenges.</w:t>
      </w:r>
    </w:p>
    <w:p>
      <w:pPr>
        <w:spacing w:after="0" w:line="10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furtherance of those efforts to encourage innovation and entreprenuerialism, we created the Strategic Innovation Group, which we launched on April 1, 2013 as an organizational unit with more than 1,500 professionals. The Strategic Innovation Group is charged with incubating, developing, promoting, and scaling initiatives to create the next generation of capabilities and service offerings. The Strategic Innovation Group works with all of the firm's clients: government clients in civil, defense, and intelligence agencies, as well as commercial companies and international institutions. Among the initiatives that the Strategic Innovation Group is pursuing are:</w:t>
      </w:r>
    </w:p>
    <w:p>
      <w:pPr>
        <w:spacing w:after="0" w:line="53" w:lineRule="exact"/>
        <w:rPr>
          <w:sz w:val="20"/>
          <w:szCs w:val="20"/>
          <w:color w:val="auto"/>
        </w:rPr>
      </w:pPr>
    </w:p>
    <w:p>
      <w:pPr>
        <w:ind w:left="660" w:right="1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predictive intelligence services that include anticipatory cyber threat solutions, protection, and detection capabilities and the application of social media analytics designed to provide early identification of trends that would otherwise not be possible using after-the-fact analysis of traditional data sources.</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rapid prototyping capabilities including the delivery of hardware and software prototyping especially in the areas of C4ISR solutions and classified applications.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3" w:right="239" w:bottom="1440" w:gutter="0" w:footer="0" w:header="0"/>
        </w:sectPr>
      </w:pPr>
    </w:p>
    <w:bookmarkStart w:id="10" w:name="page11"/>
    <w:bookmarkEnd w:id="10"/>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advanced analytic capabilities and data science to discover, unlock, and harness the latent value of the data and integrate disparate data to improve mission effectiveness in new and cost effective ways.</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investment in the Strategic Innovation Group demonstrates our commitment to continually enhance our innovative and consultative approach to problem solving.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and International Expansion</w:t>
      </w:r>
    </w:p>
    <w:p>
      <w:pPr>
        <w:spacing w:after="0" w:line="171"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We continue to pursue new opportunities in the commercial market by building on our cyber-related work and leveraging our core competencies, with a focus on serving industries in which there is a strong intersection between government and commercial interests, such as financial services, healthcare, and energy. We have established a physical presence in strategically important locations with a concentration of potential commercial clients, such as New York City.</w:t>
      </w:r>
    </w:p>
    <w:p>
      <w:pPr>
        <w:spacing w:after="0" w:line="133"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Additionally, we continue to pursue opportunities to grow internationally. Our international activities are focused on the Middle East and North Africa region, where we see strong demand for our services, in particular in the United Arab Emirates, Saudi Arabia Qatar, Oman, and Kuwait. In the past year, we expanded our office in Abu Dhabi, United Arab Emirates to facilitate our international growth.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Capabilities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diagram below illustrates the way we deploy our functional capabilities to serve our defense, intelligence, and civil clients. The Strategic Innovation Group works with all of our clients to create the next generation of capabilities and service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117475</wp:posOffset>
            </wp:positionV>
            <wp:extent cx="5737225" cy="192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722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Deployment of Capabilities to Serve Clients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9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have strong and longstanding relationships with a diverse group of clients at all levels of the U.S. government. In addition, as a result of our re-entry into the commercial market and our growing international business, we have a growing group of commercial and non-U.S. government clients.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7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Selected Long-Term Client Relationships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Client (1)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Length</w:t>
            </w:r>
          </w:p>
        </w:tc>
        <w:tc>
          <w:tcPr>
            <w:tcW w:w="0" w:type="dxa"/>
            <w:vAlign w:val="bottom"/>
          </w:tcPr>
          <w:p>
            <w:pPr>
              <w:spacing w:after="0"/>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U.S. Navy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U.S. Army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60+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National Security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U.S. Air Force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Federal Bureau of Investigation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National Reconnaissance Office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A U.S. intelligence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Department of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predecessor organizations.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Clients</w:t>
      </w:r>
    </w:p>
    <w:p>
      <w:pPr>
        <w:spacing w:after="0" w:line="9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Our reputation and track record in serving the U.S. military and defense agencies spans more than 70 years. Our defense business represented 55% of our business based on revenue for fiscal 2013. Our revenue in this area for fiscal 2013 was approximately $3.2 billion. Our key defense clients are set forth below.</w:t>
      </w:r>
    </w:p>
    <w:p>
      <w:pPr>
        <w:spacing w:after="0" w:line="262" w:lineRule="exact"/>
        <w:rPr>
          <w:sz w:val="20"/>
          <w:szCs w:val="20"/>
          <w:color w:val="auto"/>
        </w:rPr>
      </w:pPr>
    </w:p>
    <w:p>
      <w:pPr>
        <w:ind w:left="640" w:right="180" w:hanging="321"/>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U.S. Army. </w:t>
      </w:r>
      <w:r>
        <w:rPr>
          <w:rFonts w:ascii="Arial" w:cs="Arial" w:eastAsia="Arial" w:hAnsi="Arial"/>
          <w:sz w:val="18"/>
          <w:szCs w:val="18"/>
          <w:color w:val="auto"/>
        </w:rPr>
        <w:t>For over 60 years, we have addressed challenges for the U.S. Army at the strategic, operational, and tactical levels by bringing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people, high quality processes, and advanced technologies together. We work with our U.S. Army clients to help sustain their land combat capabilities while responding to current demands and preparing for future needs. Recent examples of the services that we have provided include enhancing field intelligence systems, delivering rapid response solutions to counter improvised explosive devices, infusing lifecycle sustainment capabilities to improve distribution and delivery of material, and employing systems and consulting methods to help expand care and support for soldiers and their families. Our clients include Army Headquarters, Army Material Command (AMC), Forces Command (FORSCOM), Training and Doctrine Command (TRADOC), and many Program Executive Offices, Direct Reporting Units and Army Service Component Commands.</w:t>
      </w:r>
    </w:p>
    <w:p>
      <w:pPr>
        <w:spacing w:after="0" w:line="192" w:lineRule="exact"/>
        <w:rPr>
          <w:rFonts w:ascii="Arial" w:cs="Arial" w:eastAsia="Arial" w:hAnsi="Arial"/>
          <w:sz w:val="18"/>
          <w:szCs w:val="18"/>
          <w:color w:val="auto"/>
        </w:rPr>
      </w:pPr>
    </w:p>
    <w:p>
      <w:pPr>
        <w:ind w:left="640" w:hanging="321"/>
        <w:spacing w:after="0" w:line="25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U.S. Navy/Marine Corps. </w:t>
      </w:r>
      <w:r>
        <w:rPr>
          <w:rFonts w:ascii="Arial" w:cs="Arial" w:eastAsia="Arial" w:hAnsi="Arial"/>
          <w:sz w:val="18"/>
          <w:szCs w:val="18"/>
          <w:color w:val="auto"/>
        </w:rPr>
        <w:t>Since 1940, we have partnered with the U.S. Navy and Marine Corps to help them achieve success. We offer our clients a</w:t>
      </w:r>
      <w:r>
        <w:rPr>
          <w:rFonts w:ascii="Arial" w:cs="Arial" w:eastAsia="Arial" w:hAnsi="Arial"/>
          <w:sz w:val="18"/>
          <w:szCs w:val="18"/>
          <w:i w:val="1"/>
          <w:iCs w:val="1"/>
          <w:color w:val="auto"/>
        </w:rPr>
        <w:t xml:space="preserve"> </w:t>
      </w:r>
      <w:r>
        <w:rPr>
          <w:rFonts w:ascii="Arial" w:cs="Arial" w:eastAsia="Arial" w:hAnsi="Arial"/>
          <w:sz w:val="18"/>
          <w:szCs w:val="18"/>
          <w:color w:val="auto"/>
        </w:rPr>
        <w:t>cadre of leaders and staff with deep mission understanding and functional expertise achieving mission outcomes with agility, precision, and efficiency. By providing forward thinking solutions and aggressive cost-cutting strategies around such capabilities as mission engineering, workforce planning, modeling and simulation, cyber security, and strategy, we help the our clients maintain maritime and information dominance. Our clients include the Office of the Secretary of the Navy, Headquarters Navy, the Office of Naval Intelligence, the Commandant of the Marine Corps, and U.S. Navy/Marine Corps operating commands and systems commands, as well as the Joint Program Executive Offices (PEO) and individual PEOs such as Naval Air Systems Command (NAVAIR), Naval Seas Systems Command (NAVSEA), U.S. Marine Corps Systems Command, and Space and Naval Warfare (SPAWAR).</w:t>
      </w:r>
    </w:p>
    <w:p>
      <w:pPr>
        <w:spacing w:after="0" w:line="192" w:lineRule="exact"/>
        <w:rPr>
          <w:rFonts w:ascii="Arial" w:cs="Arial" w:eastAsia="Arial" w:hAnsi="Arial"/>
          <w:sz w:val="18"/>
          <w:szCs w:val="18"/>
          <w:color w:val="auto"/>
        </w:rPr>
      </w:pPr>
    </w:p>
    <w:p>
      <w:pPr>
        <w:ind w:left="640" w:right="20" w:hanging="321"/>
        <w:spacing w:after="0" w:line="276"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U.S. Air Force/Defense Aerospace. </w:t>
      </w:r>
      <w:r>
        <w:rPr>
          <w:rFonts w:ascii="Arial" w:cs="Arial" w:eastAsia="Arial" w:hAnsi="Arial"/>
          <w:sz w:val="17"/>
          <w:szCs w:val="17"/>
          <w:color w:val="auto"/>
        </w:rPr>
        <w:t>We provide integrated strategy and technical services to the U.S. Air Force. Our skilled strategists and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experts bring diverse capabilities to assignments that include weapons analysis, capability-based planning, and aircraft systems engineering. We also support the space industry in applying new technologies, integrating space operations, and using strategies to address the technical issues, cost, schedule, and risk of space systems. Our clients include Air Combat Command, Air Force Space Command, Air Force Materiel Command, Air Mobility Command, Air Force Cyber Command, and Air Force Pacific Command.</w:t>
      </w:r>
    </w:p>
    <w:p>
      <w:pPr>
        <w:spacing w:after="0" w:line="172" w:lineRule="exact"/>
        <w:rPr>
          <w:rFonts w:ascii="Arial" w:cs="Arial" w:eastAsia="Arial" w:hAnsi="Arial"/>
          <w:sz w:val="17"/>
          <w:szCs w:val="17"/>
          <w:color w:val="auto"/>
        </w:rPr>
      </w:pPr>
    </w:p>
    <w:p>
      <w:pPr>
        <w:ind w:left="640" w:right="160" w:hanging="321"/>
        <w:spacing w:after="0" w:line="276"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Joint Staff and Combatant Commands. </w:t>
      </w:r>
      <w:r>
        <w:rPr>
          <w:rFonts w:ascii="Arial" w:cs="Arial" w:eastAsia="Arial" w:hAnsi="Arial"/>
          <w:sz w:val="17"/>
          <w:szCs w:val="17"/>
          <w:color w:val="auto"/>
        </w:rPr>
        <w:t>We provide mission-critical support to the Office of the Secretary of Defense, the Joint Staff, the Combatant</w:t>
      </w:r>
      <w:r>
        <w:rPr>
          <w:rFonts w:ascii="Arial" w:cs="Arial" w:eastAsia="Arial" w:hAnsi="Arial"/>
          <w:sz w:val="17"/>
          <w:szCs w:val="17"/>
          <w:i w:val="1"/>
          <w:iCs w:val="1"/>
          <w:color w:val="auto"/>
        </w:rPr>
        <w:t xml:space="preserve"> </w:t>
      </w:r>
      <w:r>
        <w:rPr>
          <w:rFonts w:ascii="Arial" w:cs="Arial" w:eastAsia="Arial" w:hAnsi="Arial"/>
          <w:sz w:val="17"/>
          <w:szCs w:val="17"/>
          <w:color w:val="auto"/>
        </w:rPr>
        <w:t>Commands (COCOMs), and other U.S. government departments and agencies during the planning and mission execution phases to meet global mission requirements ranging from integrated intelligence, surveillance, and reconnaissance (ISR) to space and global strike operations. Our clients include most major organizations within the Office of the Secretary of Defense and the Department of Defense’s agencies, as well as the Pacific Command, Northern Command, Central Command, the Defense Information Systems Agency (DISA),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5" w:right="23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color w:val="auto"/>
        </w:rPr>
        <w:t>Southern Command, European Command, Strategic Command, Special Operations Command, and Transportation Command.</w:t>
      </w:r>
    </w:p>
    <w:p>
      <w:pPr>
        <w:spacing w:after="0" w:line="239" w:lineRule="exact"/>
        <w:rPr>
          <w:sz w:val="20"/>
          <w:szCs w:val="20"/>
          <w:color w:val="auto"/>
        </w:rPr>
      </w:pPr>
    </w:p>
    <w:p>
      <w:pPr>
        <w:ind w:left="640" w:right="2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Cyber/Military Intelligence. </w:t>
      </w:r>
      <w:r>
        <w:rPr>
          <w:rFonts w:ascii="Arial" w:cs="Arial" w:eastAsia="Arial" w:hAnsi="Arial"/>
          <w:sz w:val="18"/>
          <w:szCs w:val="18"/>
          <w:color w:val="auto"/>
        </w:rPr>
        <w:t>We provide advanced solutions designed to protect critical infrastructure systems for the public and private sector to our</w:t>
      </w:r>
      <w:r>
        <w:rPr>
          <w:rFonts w:ascii="Arial" w:cs="Arial" w:eastAsia="Arial" w:hAnsi="Arial"/>
          <w:sz w:val="18"/>
          <w:szCs w:val="18"/>
          <w:i w:val="1"/>
          <w:iCs w:val="1"/>
          <w:color w:val="auto"/>
        </w:rPr>
        <w:t xml:space="preserve"> </w:t>
      </w:r>
      <w:r>
        <w:rPr>
          <w:rFonts w:ascii="Arial" w:cs="Arial" w:eastAsia="Arial" w:hAnsi="Arial"/>
          <w:sz w:val="18"/>
          <w:szCs w:val="18"/>
          <w:color w:val="auto"/>
        </w:rPr>
        <w:t>U.S. government defense and intelligence agency clients to meet new and evolving cyber warfare threats. Our cyber professionals, many with the highest security clearances to handle the most sensitive materials, assist clients in all phases of cyber-security operations and dynamic network defense. We develop cyber-security solutions utilizing a multi-dimensional approach including people, operations, technology, policy, and management.</w:t>
      </w:r>
    </w:p>
    <w:p>
      <w:pPr>
        <w:spacing w:after="0" w:line="188" w:lineRule="exact"/>
        <w:rPr>
          <w:rFonts w:ascii="Arial" w:cs="Arial" w:eastAsia="Arial" w:hAnsi="Arial"/>
          <w:sz w:val="18"/>
          <w:szCs w:val="18"/>
          <w:color w:val="auto"/>
        </w:rPr>
      </w:pPr>
    </w:p>
    <w:p>
      <w:pPr>
        <w:ind w:left="640" w:right="100" w:hanging="321"/>
        <w:spacing w:after="0" w:line="27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&amp; Military Health. </w:t>
      </w:r>
      <w:r>
        <w:rPr>
          <w:rFonts w:ascii="Arial" w:cs="Arial" w:eastAsia="Arial" w:hAnsi="Arial"/>
          <w:sz w:val="17"/>
          <w:szCs w:val="17"/>
          <w:color w:val="auto"/>
        </w:rPr>
        <w:t>We support clients in defense agencies responsible for military and veterans' health as well as the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and environment sectors which have control over our national infrastructure. We support our clients' efforts to maintain and build infrastructure that is efficient, effective, and sustainable. Our services span all functional capabilities including management consulting, technology, engineering, and mission operations. Our clients include the Departments of Defense, Energy, Transportation, and Interior and their component agencies, the Environmental Protection Agency, and the Department of Defense Military Health System.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Intelligence Clients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have provided the government agencies and organizations that carry out national security and intelligence activities for the U.S. government, with consulting, engineering, technical, and mission support services in analysis, systems engineering, systems development, program management, operations, organization, and change management, budget and resource management, studies, and war-gaming. This critical business area has strong barriers to entry for competitors because of the specialized expertise and high-level security clearances required. Our business in support of major U.S. intelligence agencies represented 23% of our business based on revenue for fiscal 2013, or approximately $1.3 billion. Additional revenue from our intelligence support of military commands and military intelligence agencies is included in revenue attributable to Defense clients. Our major intelligence clients include:</w:t>
      </w:r>
    </w:p>
    <w:p>
      <w:pPr>
        <w:spacing w:after="0" w:line="246" w:lineRule="exact"/>
        <w:rPr>
          <w:sz w:val="20"/>
          <w:szCs w:val="20"/>
          <w:color w:val="auto"/>
        </w:rPr>
      </w:pPr>
    </w:p>
    <w:p>
      <w:pPr>
        <w:ind w:left="640" w:right="80" w:hanging="321"/>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U.S. Intelligence Agencies. </w:t>
      </w:r>
      <w:r>
        <w:rPr>
          <w:rFonts w:ascii="Arial" w:cs="Arial" w:eastAsia="Arial" w:hAnsi="Arial"/>
          <w:sz w:val="18"/>
          <w:szCs w:val="18"/>
          <w:color w:val="auto"/>
        </w:rPr>
        <w:t>We provide critical support in strategic planning, policy development, engineering, technical services,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program development and execution, information sharing, architecture, and program management for research and development projects, as well as support to reform initiatives flowing from the Intelligence Reform and Terrorism Protection Act. We help clients improve the processes and substance of intelligence information provided to the executive and legislative branches of the U.S. government for policy development and operational decision making. Our clients include the National Security Agency, National Geospatial-Intelligence Agency/National Reconnaissance Office, and other classified clients.</w:t>
      </w:r>
    </w:p>
    <w:p>
      <w:pPr>
        <w:spacing w:after="0" w:line="193" w:lineRule="exact"/>
        <w:rPr>
          <w:rFonts w:ascii="Arial" w:cs="Arial" w:eastAsia="Arial" w:hAnsi="Arial"/>
          <w:sz w:val="18"/>
          <w:szCs w:val="18"/>
          <w:color w:val="auto"/>
        </w:rPr>
      </w:pPr>
    </w:p>
    <w:p>
      <w:pPr>
        <w:ind w:left="640" w:right="40" w:hanging="321"/>
        <w:spacing w:after="0" w:line="28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Joint Staff and Unified Combatant Commands. </w:t>
      </w:r>
      <w:r>
        <w:rPr>
          <w:rFonts w:ascii="Arial" w:cs="Arial" w:eastAsia="Arial" w:hAnsi="Arial"/>
          <w:sz w:val="17"/>
          <w:szCs w:val="17"/>
          <w:color w:val="auto"/>
        </w:rPr>
        <w:t>We deliver comprehensive intelligence analysis, including providing all-source intelligence analysis</w:t>
      </w:r>
      <w:r>
        <w:rPr>
          <w:rFonts w:ascii="Arial" w:cs="Arial" w:eastAsia="Arial" w:hAnsi="Arial"/>
          <w:sz w:val="17"/>
          <w:szCs w:val="17"/>
          <w:i w:val="1"/>
          <w:iCs w:val="1"/>
          <w:color w:val="auto"/>
        </w:rPr>
        <w:t xml:space="preserve"> </w:t>
      </w:r>
      <w:r>
        <w:rPr>
          <w:rFonts w:ascii="Arial" w:cs="Arial" w:eastAsia="Arial" w:hAnsi="Arial"/>
          <w:sz w:val="17"/>
          <w:szCs w:val="17"/>
          <w:color w:val="auto"/>
        </w:rPr>
        <w:t>and open-source intelligence analysis conducted in high intensity environments. We also provide data collection management and analytical systems intelligence training services, and provide intellectual capital and best practices for intelligence activities.</w:t>
      </w:r>
    </w:p>
    <w:p>
      <w:pPr>
        <w:spacing w:after="0" w:line="165" w:lineRule="exact"/>
        <w:rPr>
          <w:rFonts w:ascii="Arial" w:cs="Arial" w:eastAsia="Arial" w:hAnsi="Arial"/>
          <w:sz w:val="17"/>
          <w:szCs w:val="17"/>
          <w:color w:val="auto"/>
        </w:rPr>
      </w:pPr>
    </w:p>
    <w:p>
      <w:pPr>
        <w:ind w:left="640" w:right="120" w:hanging="321"/>
        <w:spacing w:after="0" w:line="30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Military Intelligence. </w:t>
      </w:r>
      <w:r>
        <w:rPr>
          <w:rFonts w:ascii="Arial" w:cs="Arial" w:eastAsia="Arial" w:hAnsi="Arial"/>
          <w:sz w:val="17"/>
          <w:szCs w:val="17"/>
          <w:color w:val="auto"/>
        </w:rPr>
        <w:t>We provide consulting and technical services, integrated intelligence and information operations mission support, and a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counterintelligence services to the U.S. Army, U.S. Air Force, U.S. Navy, Marine Corps, and Defense Intelligence Agency.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Civil Clients</w:t>
      </w:r>
    </w:p>
    <w:p>
      <w:pPr>
        <w:spacing w:after="0" w:line="90" w:lineRule="exact"/>
        <w:rPr>
          <w:sz w:val="20"/>
          <w:szCs w:val="20"/>
          <w:color w:val="auto"/>
        </w:rPr>
      </w:pPr>
    </w:p>
    <w:p>
      <w:pPr>
        <w:ind w:firstLine="432"/>
        <w:spacing w:after="0" w:line="219" w:lineRule="auto"/>
        <w:rPr>
          <w:sz w:val="20"/>
          <w:szCs w:val="20"/>
          <w:color w:val="auto"/>
        </w:rPr>
      </w:pPr>
      <w:r>
        <w:rPr>
          <w:rFonts w:ascii="Arial" w:cs="Arial" w:eastAsia="Arial" w:hAnsi="Arial"/>
          <w:sz w:val="18"/>
          <w:szCs w:val="18"/>
          <w:color w:val="auto"/>
        </w:rPr>
        <w:t>Support to civil government agencies of the U.S. government and U.S.-funded international development work is an important dimension of our overall business. The Federal Procurement Data System ranked us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on its overall list of top 100 federal contractors for federal fiscal year 2012 based on overall prime contracting dollars. For that same period and using data provided by USAspending.gov, we estimate that we ranked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based on overall prime contracting dollars for civil clients. Our civil business represented 22% of our business based on revenue for fiscal 2013. Revenue in this area for fiscal 2013 was approximately $1.3 billion. Our civil government clients include:</w:t>
      </w:r>
    </w:p>
    <w:p>
      <w:pPr>
        <w:spacing w:after="0" w:line="286" w:lineRule="exact"/>
        <w:rPr>
          <w:sz w:val="20"/>
          <w:szCs w:val="20"/>
          <w:color w:val="auto"/>
        </w:rPr>
      </w:pPr>
    </w:p>
    <w:p>
      <w:pPr>
        <w:ind w:left="640" w:right="180" w:hanging="321"/>
        <w:spacing w:after="0" w:line="25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Financial Services. </w:t>
      </w:r>
      <w:r>
        <w:rPr>
          <w:rFonts w:ascii="Arial" w:cs="Arial" w:eastAsia="Arial" w:hAnsi="Arial"/>
          <w:sz w:val="18"/>
          <w:szCs w:val="18"/>
          <w:color w:val="auto"/>
        </w:rPr>
        <w:t>We provide support to all major U.S. government finance and treasury organizations charged with the collection,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protection of the U.S. financial system. We create innovative approaches to some of their most challenging problems, including bank receivership, payment channel modernization, cyber initiatives, and fraud detection. Additionally, we help agencies effectively and efficiently manage the business processes that support government in its provision of services to its citizens, spanning management, personnel, budget operations,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19" w:right="279" w:bottom="1440" w:gutter="0" w:footer="0" w:header="0"/>
        </w:sectPr>
      </w:pPr>
    </w:p>
    <w:bookmarkStart w:id="13" w:name="page14"/>
    <w:bookmarkEnd w:id="13"/>
    <w:p>
      <w:pPr>
        <w:ind w:left="640" w:right="160"/>
        <w:spacing w:after="0" w:line="306" w:lineRule="auto"/>
        <w:rPr>
          <w:sz w:val="20"/>
          <w:szCs w:val="20"/>
          <w:color w:val="auto"/>
        </w:rPr>
      </w:pPr>
      <w:r>
        <w:rPr>
          <w:rFonts w:ascii="Arial" w:cs="Arial" w:eastAsia="Arial" w:hAnsi="Arial"/>
          <w:sz w:val="18"/>
          <w:szCs w:val="18"/>
          <w:color w:val="auto"/>
        </w:rPr>
        <w:t>information technology, and telecommunications. Our clients include the Department of the Treasury, Internal Revenue Service, and other agencies of the Department of the Treasury, Office of the Comptroller of the Currency, Federal Deposit Insurance Corporation, Federal Reserve Board and Banks, the Securities and Exchange Commission (SEC), the Pension Benefit Guaranty Corporation, the General Services Administration, Office of Management and Budget, Office of Personnel Management, the Congress, and Courts.</w:t>
      </w:r>
    </w:p>
    <w:p>
      <w:pPr>
        <w:spacing w:after="0" w:line="160" w:lineRule="exact"/>
        <w:rPr>
          <w:sz w:val="20"/>
          <w:szCs w:val="20"/>
          <w:color w:val="auto"/>
        </w:rPr>
      </w:pPr>
    </w:p>
    <w:p>
      <w:pPr>
        <w:ind w:left="640" w:right="140" w:hanging="321"/>
        <w:spacing w:after="0" w:line="297"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Health. </w:t>
      </w:r>
      <w:r>
        <w:rPr>
          <w:rFonts w:ascii="Arial" w:cs="Arial" w:eastAsia="Arial" w:hAnsi="Arial"/>
          <w:sz w:val="16"/>
          <w:szCs w:val="16"/>
          <w:color w:val="auto"/>
        </w:rPr>
        <w:t>We support U.S. government clients on innovative projects that help achieve public health missions, including entitlement reform,</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a national health information network, mitigating risk to populations, improving government infrastructure, and facilitating an international public-private sector dialogue on international health issues. Our clients include the Department of Health and Human Services and its agencies, including the U.S. Food and Drug Administration, National Institutes of Health, Centers for Disease Control and Prevention (CDC), the Centers for Medicare and Medicaid Services, the Department of Defense Military Health System, and Department of Veterans Affairs.</w:t>
      </w:r>
    </w:p>
    <w:p>
      <w:pPr>
        <w:spacing w:after="0" w:line="158" w:lineRule="exact"/>
        <w:rPr>
          <w:rFonts w:ascii="Arial" w:cs="Arial" w:eastAsia="Arial" w:hAnsi="Arial"/>
          <w:sz w:val="16"/>
          <w:szCs w:val="16"/>
          <w:color w:val="auto"/>
        </w:rPr>
      </w:pPr>
    </w:p>
    <w:p>
      <w:pPr>
        <w:ind w:left="640" w:hanging="321"/>
        <w:spacing w:after="0" w:line="25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Justice and Homeland Security. </w:t>
      </w:r>
      <w:r>
        <w:rPr>
          <w:rFonts w:ascii="Arial" w:cs="Arial" w:eastAsia="Arial" w:hAnsi="Arial"/>
          <w:sz w:val="18"/>
          <w:szCs w:val="18"/>
          <w:color w:val="auto"/>
        </w:rPr>
        <w:t>We support the U.S. government’s homeland security mission and operations in the areas of intelligence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sharing, and risk assessment), operations (coordination, contingency planning, and decision support), strategy, technology and management (program management and information technology tools), emergency management and response planning, and border, cargo, and transportation security. We support law enforcement missions and operations in counterterrorism, intelligence and counterintelligence, and traditional criminal areas (narcotics, white collar crime, organized crime, and violent crime). Our services to clients in the transportation and space sector spans management, technology, and engineering services. Our clients include the U.S. Department of Justice and Homeland Security, the Federal Bureau of Investigation, the U.S. Coast Guard, National Aeronautics and Space Administration (NASA), and the Department of Transportation and its agencies.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and International Clients</w:t>
      </w:r>
    </w:p>
    <w:p>
      <w:pPr>
        <w:spacing w:after="0" w:line="90"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Following the expiration of our non-competition agreement on July 31, 2011, we re-entered the commercial market and pursued growth in our international business.</w:t>
      </w:r>
    </w:p>
    <w:p>
      <w:pPr>
        <w:spacing w:after="0" w:line="11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pursued new opportunities in the commercial market by building on our cyber-related work and leveraging our core competencies with a focus on serving industries in which there is a strong intersection between government and commercial interests, such as financial services, healthcare, and energy. We believe that our cyber and technology-based capabilities provide us with an important point of functional differentiation with which we are able to help our clients increase revenue, improve efficiencies, and manage risk. Our key service offerings to commercial clients include: dynamic defense (cyber), next-generation virtual infrastructure, decision analytics, design for affordability, and smart compliance. Our commercial clients include major commercial and investment banks, manufacturing companies, healthcare providers, energy companies, and utilities.</w:t>
      </w:r>
    </w:p>
    <w:p>
      <w:pPr>
        <w:spacing w:after="0" w:line="4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our international business, we are focused on diversifying our portfolio by expanding our reach into the Middle East - North Africa (MENA) region where we see strong demand for our services, particularly serving the United Arab Emirates, Saudi Arabia, Qatar, Oman and Kuwait. We are seeking to build a sustainable and profitable business in this dynamic and expanding geography, leveraging our 30 plus years of legacy work in the region as well as a core set of mission capabilities (Cyber, e-Government, Homeland defense, para-military, etc.) from our U.S. government business. Our international clients include government ministries and commercial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Functional Capabilities</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provide services to clients in all of our markets by drawing on our functional capability areas described below. These services fall into the broad areas of management consulting and mission operations and engineering and technology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Consulting and Mission Operations</w:t>
      </w:r>
    </w:p>
    <w:p>
      <w:pPr>
        <w:spacing w:after="0" w:line="22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provide consulting services to help clients define and achieve their strategic objectives, improve the effectiveness and efficiency of their organization, and ensure the readiness and performance of their workforce. We focus on supporting our clients' most important missions and on transforming our clients' ability to deliver against mission objectives. From operational and business planning to mission performance and strategic decision making, we have the analytic expertise to help clients make informed decisions with deeper insight, less risk, and greater certainty. Our major areas of functional capability within consulting and mission operations include general management consulting, human capital and learning, communications, acquisitions and project management, supply chain and logistics, decision analytics, intelligence analytics, financial and cost analytics, healthcare analytics, and defense/military analytics. We typically deploy functional expertise in combination with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4" w:name="page15"/>
    <w:bookmarkEnd w:id="14"/>
    <w:p>
      <w:pPr>
        <w:ind w:right="520"/>
        <w:spacing w:after="0" w:line="277" w:lineRule="auto"/>
        <w:rPr>
          <w:sz w:val="20"/>
          <w:szCs w:val="20"/>
          <w:color w:val="auto"/>
        </w:rPr>
      </w:pPr>
      <w:r>
        <w:rPr>
          <w:rFonts w:ascii="Arial" w:cs="Arial" w:eastAsia="Arial" w:hAnsi="Arial"/>
          <w:sz w:val="18"/>
          <w:szCs w:val="18"/>
          <w:color w:val="auto"/>
        </w:rPr>
        <w:t>staff who have deep understanding of, and experience with, clients and their specific missions, whether in Defense, Civil, Intelligence, Commercial, or International.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Engineering Services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technology and engineering services capabilities focus on helping clients solve their mission-critical needs through the deployment of advanced technological solutions and techniques, scientific exploration, rapid prototyping, full-spectrum engineering, program development and integration. Our highly skilled technology experts and engineers maintain deep knowledge of current technology trends and applications. Our experts combine specialized skills with a collaborative problem-solving approach to ensure that we understand a client's mission and objectives and, based on that understanding, design, develop, and implement technology solutions to support our client's mission and objectives. Our major areas of technical capability include systems architecture and development, network engineering, cyber security, and cloud analytics and tools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portfolio of contracts is highly diversified consisting of a range of contract vehicles through which our clients may contract for our services, with no single contract accounting for more than 10% of our revenue in any of fiscal 2013, fiscal 2012, or fiscal 2011, and no single task order under any contract accounting for more than 2.1% of our revenue in any of fiscal 2013, fiscal 2012, or fiscal 2011.</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are two predominant contracting methods by which the U.S. government procures services: definite contracts and indefinite contract vehicles.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is described below:</w:t>
      </w:r>
    </w:p>
    <w:p>
      <w:pPr>
        <w:spacing w:after="0" w:line="373" w:lineRule="exact"/>
        <w:rPr>
          <w:sz w:val="20"/>
          <w:szCs w:val="20"/>
          <w:color w:val="auto"/>
        </w:rPr>
      </w:pPr>
    </w:p>
    <w:p>
      <w:pPr>
        <w:ind w:left="640" w:right="20" w:hanging="321"/>
        <w:spacing w:after="0" w:line="293"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industry to comment on the scope of work and acquisition strategy, and finally a formal request for a proposal. Following the evaluation of submitted proposals, the agency will award the contract to the winning bidder.</w:t>
      </w:r>
    </w:p>
    <w:p>
      <w:pPr>
        <w:spacing w:after="0" w:line="164" w:lineRule="exact"/>
        <w:rPr>
          <w:rFonts w:ascii="Arial" w:cs="Arial" w:eastAsia="Arial" w:hAnsi="Arial"/>
          <w:sz w:val="16"/>
          <w:szCs w:val="16"/>
          <w:color w:val="auto"/>
        </w:rPr>
      </w:pPr>
    </w:p>
    <w:p>
      <w:pPr>
        <w:ind w:left="640" w:right="40" w:hanging="321"/>
        <w:spacing w:after="0" w:line="272"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Indefinite contract vehicles provide for the issuance by the client of orders for services or products under the terms of the contract. Indefinite contracts are formally known as ID/IQ contracts and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177" w:lineRule="exact"/>
        <w:rPr>
          <w:rFonts w:ascii="Arial" w:cs="Arial" w:eastAsia="Arial" w:hAnsi="Arial"/>
          <w:sz w:val="17"/>
          <w:szCs w:val="17"/>
          <w:color w:val="auto"/>
        </w:rPr>
      </w:pPr>
    </w:p>
    <w:p>
      <w:pPr>
        <w:ind w:left="1000" w:right="180" w:hanging="317"/>
        <w:spacing w:after="0" w:line="255"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GWACs and GSA schedules are ID/IQ contracts that are open to all U.S. government agencies. Contract holders compete for individual task orders under both types of ID/IQ contract vehicles. Prices (labor rates) are pre-established under GSA schedules, while prices under GWACs may be pre-established or determined by task order proposal. Agencies may solicit companies directly under GSA schedules and, under GWACs, must work through the agency that operates the GWAC or receive a delegation of authority to use the GWAC. GSA schedules are administered by the General Services Administration and support a wide range of products and services. GWACs are used to procure IT products and services and are administered by the agency soliciting the services or products, with permission from the Office of Management and Budget.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692" w:right="279" w:bottom="1440" w:gutter="0" w:footer="0" w:header="0"/>
        </w:sectPr>
      </w:pPr>
    </w:p>
    <w:bookmarkStart w:id="15" w:name="page16"/>
    <w:bookmarkEnd w:id="15"/>
    <w:p>
      <w:pPr>
        <w:ind w:right="60" w:firstLine="432"/>
        <w:spacing w:after="0" w:line="277" w:lineRule="auto"/>
        <w:rPr>
          <w:sz w:val="20"/>
          <w:szCs w:val="20"/>
          <w:color w:val="auto"/>
        </w:rPr>
      </w:pPr>
      <w:r>
        <w:rPr>
          <w:rFonts w:ascii="Arial" w:cs="Arial" w:eastAsia="Arial" w:hAnsi="Arial"/>
          <w:sz w:val="18"/>
          <w:szCs w:val="18"/>
          <w:color w:val="auto"/>
        </w:rPr>
        <w:t>Listed below are our top definite contract, our top five definite contracts and our top ten definite contracts for fiscal 2013 and revenue recognized under these contracts in fiscal 2013.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0" w:type="dxa"/>
            <w:vAlign w:val="bottom"/>
            <w:vMerge w:val="restart"/>
          </w:tcPr>
          <w:p>
            <w:pPr>
              <w:jc w:val="center"/>
              <w:ind w:left="522"/>
              <w:spacing w:after="0"/>
              <w:rPr>
                <w:sz w:val="20"/>
                <w:szCs w:val="20"/>
                <w:color w:val="auto"/>
              </w:rPr>
            </w:pPr>
            <w:r>
              <w:rPr>
                <w:rFonts w:ascii="Arial" w:cs="Arial" w:eastAsia="Arial" w:hAnsi="Arial"/>
                <w:sz w:val="14"/>
                <w:szCs w:val="14"/>
                <w:b w:val="1"/>
                <w:bCs w:val="1"/>
                <w:color w:val="auto"/>
                <w:w w:val="90"/>
              </w:rPr>
              <w:t>Fiscal</w:t>
            </w:r>
          </w:p>
        </w:tc>
        <w:tc>
          <w:tcPr>
            <w:tcW w:w="2060" w:type="dxa"/>
            <w:vAlign w:val="bottom"/>
          </w:tcPr>
          <w:p>
            <w:pPr>
              <w:jc w:val="center"/>
              <w:ind w:left="1080"/>
              <w:spacing w:after="0"/>
              <w:rPr>
                <w:sz w:val="20"/>
                <w:szCs w:val="20"/>
                <w:color w:val="auto"/>
              </w:rPr>
            </w:pPr>
            <w:r>
              <w:rPr>
                <w:rFonts w:ascii="Arial" w:cs="Arial" w:eastAsia="Arial" w:hAnsi="Arial"/>
                <w:sz w:val="14"/>
                <w:szCs w:val="14"/>
                <w:b w:val="1"/>
                <w:bCs w:val="1"/>
                <w:color w:val="auto"/>
              </w:rPr>
              <w:t>% of</w:t>
            </w:r>
          </w:p>
        </w:tc>
        <w:tc>
          <w:tcPr>
            <w:tcW w:w="780" w:type="dxa"/>
            <w:vAlign w:val="bottom"/>
          </w:tcPr>
          <w:p>
            <w:pPr>
              <w:spacing w:after="0"/>
              <w:rPr>
                <w:sz w:val="14"/>
                <w:szCs w:val="14"/>
                <w:color w:val="auto"/>
              </w:rPr>
            </w:pPr>
          </w:p>
        </w:tc>
        <w:tc>
          <w:tcPr>
            <w:tcW w:w="16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60" w:type="dxa"/>
            <w:vAlign w:val="bottom"/>
          </w:tcPr>
          <w:p>
            <w:pPr>
              <w:jc w:val="center"/>
              <w:ind w:left="1100"/>
              <w:spacing w:after="0" w:line="149"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2013</w:t>
            </w:r>
          </w:p>
        </w:tc>
        <w:tc>
          <w:tcPr>
            <w:tcW w:w="2060" w:type="dxa"/>
            <w:vAlign w:val="bottom"/>
            <w:tcBorders>
              <w:bottom w:val="single" w:sz="8" w:color="auto"/>
            </w:tcBorders>
          </w:tcPr>
          <w:p>
            <w:pPr>
              <w:jc w:val="center"/>
              <w:ind w:left="1100"/>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4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92"/>
              </w:rPr>
              <w:t>(Revenue in millions)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Definite Contract</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60"/>
              <w:spacing w:after="0"/>
              <w:rPr>
                <w:sz w:val="20"/>
                <w:szCs w:val="20"/>
                <w:color w:val="auto"/>
              </w:rPr>
            </w:pPr>
            <w:r>
              <w:rPr>
                <w:rFonts w:ascii="Arial" w:cs="Arial" w:eastAsia="Arial" w:hAnsi="Arial"/>
                <w:sz w:val="18"/>
                <w:szCs w:val="18"/>
                <w:color w:val="auto"/>
              </w:rPr>
              <w:t>118.3</w:t>
            </w: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Top Five Definite Contracts</w:t>
            </w:r>
          </w:p>
        </w:tc>
        <w:tc>
          <w:tcPr>
            <w:tcW w:w="1200" w:type="dxa"/>
            <w:vAlign w:val="bottom"/>
          </w:tcPr>
          <w:p>
            <w:pPr>
              <w:spacing w:after="0"/>
              <w:rPr>
                <w:sz w:val="21"/>
                <w:szCs w:val="21"/>
                <w:color w:val="auto"/>
              </w:rPr>
            </w:pPr>
          </w:p>
        </w:tc>
        <w:tc>
          <w:tcPr>
            <w:tcW w:w="2060" w:type="dxa"/>
            <w:vAlign w:val="bottom"/>
          </w:tcPr>
          <w:p>
            <w:pPr>
              <w:jc w:val="right"/>
              <w:ind w:right="1460"/>
              <w:spacing w:after="0"/>
              <w:rPr>
                <w:sz w:val="20"/>
                <w:szCs w:val="20"/>
                <w:color w:val="auto"/>
              </w:rPr>
            </w:pPr>
            <w:r>
              <w:rPr>
                <w:rFonts w:ascii="Arial" w:cs="Arial" w:eastAsia="Arial" w:hAnsi="Arial"/>
                <w:sz w:val="18"/>
                <w:szCs w:val="18"/>
                <w:color w:val="auto"/>
              </w:rPr>
              <w:t>353.2</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Top Ten Definite Contracts</w:t>
            </w:r>
          </w:p>
        </w:tc>
        <w:tc>
          <w:tcPr>
            <w:tcW w:w="120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1460"/>
              <w:spacing w:after="0"/>
              <w:rPr>
                <w:sz w:val="20"/>
                <w:szCs w:val="20"/>
                <w:color w:val="auto"/>
              </w:rPr>
            </w:pPr>
            <w:r>
              <w:rPr>
                <w:rFonts w:ascii="Arial" w:cs="Arial" w:eastAsia="Arial" w:hAnsi="Arial"/>
                <w:sz w:val="18"/>
                <w:szCs w:val="18"/>
                <w:color w:val="auto"/>
              </w:rPr>
              <w:t>472.4</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w:t>
            </w: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Listed below are our top ID/IQ contract, our top five ID/IQ contracts and our top ten ID/IQ contracts for fiscal 2013, in each case excluding GSA schedules or GWACS, and revenue and the number of active task orders under these contracts as of March 31, 2013. The number of task orders for our top ten contracts does not include task orders under classified contracts due to the fact that information associated with those contracts is classified.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1760" w:type="dxa"/>
            <w:vAlign w:val="bottom"/>
          </w:tcPr>
          <w:p>
            <w:pPr>
              <w:jc w:val="center"/>
              <w:ind w:left="880"/>
              <w:spacing w:after="0"/>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8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0"/>
              </w:rPr>
              <w:t>Fiscal</w:t>
            </w:r>
          </w:p>
        </w:tc>
        <w:tc>
          <w:tcPr>
            <w:tcW w:w="1020" w:type="dxa"/>
            <w:vAlign w:val="bottom"/>
            <w:vMerge w:val="continue"/>
          </w:tcPr>
          <w:p>
            <w:pPr>
              <w:spacing w:after="0"/>
              <w:rPr>
                <w:sz w:val="12"/>
                <w:szCs w:val="12"/>
                <w:color w:val="auto"/>
              </w:rPr>
            </w:pPr>
          </w:p>
        </w:tc>
        <w:tc>
          <w:tcPr>
            <w:tcW w:w="1760" w:type="dxa"/>
            <w:vAlign w:val="bottom"/>
          </w:tcPr>
          <w:p>
            <w:pPr>
              <w:jc w:val="center"/>
              <w:ind w:left="880"/>
              <w:spacing w:after="0" w:line="149" w:lineRule="exact"/>
              <w:rPr>
                <w:sz w:val="20"/>
                <w:szCs w:val="20"/>
                <w:color w:val="auto"/>
              </w:rPr>
            </w:pPr>
            <w:r>
              <w:rPr>
                <w:rFonts w:ascii="Arial" w:cs="Arial" w:eastAsia="Arial" w:hAnsi="Arial"/>
                <w:sz w:val="14"/>
                <w:szCs w:val="14"/>
                <w:b w:val="1"/>
                <w:bCs w:val="1"/>
                <w:color w:val="auto"/>
                <w:w w:val="92"/>
              </w:rPr>
              <w:t>Task Orders</w:t>
            </w:r>
          </w:p>
        </w:tc>
        <w:tc>
          <w:tcPr>
            <w:tcW w:w="640" w:type="dxa"/>
            <w:vAlign w:val="bottom"/>
          </w:tcPr>
          <w:p>
            <w:pPr>
              <w:spacing w:after="0"/>
              <w:rPr>
                <w:sz w:val="12"/>
                <w:szCs w:val="12"/>
                <w:color w:val="auto"/>
              </w:rPr>
            </w:pPr>
          </w:p>
        </w:tc>
        <w:tc>
          <w:tcPr>
            <w:tcW w:w="15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Total</w:t>
            </w:r>
          </w:p>
        </w:tc>
        <w:tc>
          <w:tcPr>
            <w:tcW w:w="1760" w:type="dxa"/>
            <w:vAlign w:val="bottom"/>
          </w:tcPr>
          <w:p>
            <w:pPr>
              <w:jc w:val="center"/>
              <w:ind w:left="880"/>
              <w:spacing w:after="0" w:line="149" w:lineRule="exact"/>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Revenue</w:t>
            </w:r>
          </w:p>
        </w:tc>
        <w:tc>
          <w:tcPr>
            <w:tcW w:w="2400" w:type="dxa"/>
            <w:vAlign w:val="bottom"/>
            <w:tcBorders>
              <w:bottom w:val="single" w:sz="8" w:color="auto"/>
            </w:tcBorders>
            <w:gridSpan w:val="2"/>
          </w:tcPr>
          <w:p>
            <w:pPr>
              <w:jc w:val="center"/>
              <w:ind w:left="240"/>
              <w:spacing w:after="0"/>
              <w:rPr>
                <w:sz w:val="20"/>
                <w:szCs w:val="20"/>
                <w:color w:val="auto"/>
              </w:rPr>
            </w:pPr>
            <w:r>
              <w:rPr>
                <w:rFonts w:ascii="Arial" w:cs="Arial" w:eastAsia="Arial" w:hAnsi="Arial"/>
                <w:sz w:val="14"/>
                <w:szCs w:val="14"/>
                <w:b w:val="1"/>
                <w:bCs w:val="1"/>
                <w:color w:val="auto"/>
                <w:w w:val="96"/>
              </w:rPr>
              <w:t>March 31, 2013</w:t>
            </w:r>
          </w:p>
        </w:tc>
        <w:tc>
          <w:tcPr>
            <w:tcW w:w="15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 in millions)</w:t>
            </w:r>
          </w:p>
        </w:tc>
        <w:tc>
          <w:tcPr>
            <w:tcW w:w="6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ID/IQ Contract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668.8</w:t>
            </w:r>
          </w:p>
        </w:tc>
        <w:tc>
          <w:tcPr>
            <w:tcW w:w="10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260"/>
              <w:spacing w:after="0"/>
              <w:rPr>
                <w:sz w:val="20"/>
                <w:szCs w:val="20"/>
                <w:color w:val="auto"/>
              </w:rPr>
            </w:pPr>
            <w:r>
              <w:rPr>
                <w:rFonts w:ascii="Arial" w:cs="Arial" w:eastAsia="Arial" w:hAnsi="Arial"/>
                <w:sz w:val="18"/>
                <w:szCs w:val="18"/>
                <w:color w:val="auto"/>
              </w:rPr>
              <w:t>12%</w:t>
            </w:r>
          </w:p>
        </w:tc>
        <w:tc>
          <w:tcPr>
            <w:tcW w:w="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86"/>
              </w:rPr>
              <w:t>175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9/10/2015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Top Five ID/IQ Contracts</w:t>
            </w:r>
          </w:p>
        </w:tc>
        <w:tc>
          <w:tcPr>
            <w:tcW w:w="9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w w:val="86"/>
              </w:rPr>
              <w:t>1,565.3</w:t>
            </w:r>
          </w:p>
        </w:tc>
        <w:tc>
          <w:tcPr>
            <w:tcW w:w="1020" w:type="dxa"/>
            <w:vAlign w:val="bottom"/>
          </w:tcPr>
          <w:p>
            <w:pPr>
              <w:spacing w:after="0"/>
              <w:rPr>
                <w:sz w:val="21"/>
                <w:szCs w:val="21"/>
                <w:color w:val="auto"/>
              </w:rPr>
            </w:pPr>
          </w:p>
        </w:tc>
        <w:tc>
          <w:tcPr>
            <w:tcW w:w="1760" w:type="dxa"/>
            <w:vAlign w:val="bottom"/>
          </w:tcPr>
          <w:p>
            <w:pPr>
              <w:jc w:val="right"/>
              <w:ind w:right="1260"/>
              <w:spacing w:after="0"/>
              <w:rPr>
                <w:sz w:val="20"/>
                <w:szCs w:val="20"/>
                <w:color w:val="auto"/>
              </w:rPr>
            </w:pPr>
            <w:r>
              <w:rPr>
                <w:rFonts w:ascii="Arial" w:cs="Arial" w:eastAsia="Arial" w:hAnsi="Arial"/>
                <w:sz w:val="18"/>
                <w:szCs w:val="18"/>
                <w:color w:val="auto"/>
              </w:rPr>
              <w:t>28%</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w w:val="86"/>
              </w:rPr>
              <w:t>280</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Top Ten ID/IQ Contracts</w:t>
            </w:r>
          </w:p>
        </w:tc>
        <w:tc>
          <w:tcPr>
            <w:tcW w:w="9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1,975.4</w:t>
            </w:r>
          </w:p>
        </w:tc>
        <w:tc>
          <w:tcPr>
            <w:tcW w:w="10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26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341</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As of September 30, 2012, the end of the U.S. government’s fiscal year, there were a total of 32 GSA schedules with over 18,000 schedule holders that generated more than $37.5 billion in annual sales in U.S. government fiscal year 2012. During the U.S government fiscal year 2012 our top three GSA Schedules in terms of sales were the Mission Oriented Business Integrated Services (MOBIS) Schedule, Information Technology (IT) Schedule 70, and the Professional Engineering Services (PES) Schedule. Overall, we were the number two provider under the GSA Federal Supply Schedule program based on total reported GSA contracts sales of $855 million during U.S. government fiscal year 2012.</w:t>
      </w:r>
    </w:p>
    <w:p>
      <w:pPr>
        <w:spacing w:after="0" w:line="11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Listed below are our top three GSA schedules and GWACs in fiscal 2013 and revenue for each of fiscal 2013, fiscal 2012, and fiscal 2011, the number of active task orders as of March 31, 2013 under each of our top three GSA schedules and GWACs and an aggregation of all other GSA schedules and GWACs. These contract vehicles are available to all U.S. government agencies and the revenue stated is the result of individually competed task orders.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Task Orders</w:t>
            </w:r>
          </w:p>
        </w:tc>
        <w:tc>
          <w:tcPr>
            <w:tcW w:w="120" w:type="dxa"/>
            <w:vAlign w:val="bottom"/>
          </w:tcPr>
          <w:p>
            <w:pPr>
              <w:spacing w:after="0"/>
              <w:rPr>
                <w:sz w:val="12"/>
                <w:szCs w:val="12"/>
                <w:color w:val="auto"/>
              </w:rPr>
            </w:pP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31-Mar-13</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Arial" w:cs="Arial" w:eastAsia="Arial" w:hAnsi="Arial"/>
                <w:sz w:val="14"/>
                <w:szCs w:val="14"/>
                <w:b w:val="1"/>
                <w:bCs w:val="1"/>
                <w:color w:val="auto"/>
              </w:rPr>
              <w:t>(Revenue 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Oriented Business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Integrated Services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(MOBIS) — #874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411.6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9/30/2017</w:t>
            </w:r>
          </w:p>
        </w:tc>
        <w:tc>
          <w:tcPr>
            <w:tcW w:w="0" w:type="dxa"/>
            <w:vAlign w:val="bottom"/>
          </w:tcPr>
          <w:p>
            <w:pPr>
              <w:spacing w:after="0"/>
              <w:rPr>
                <w:sz w:val="1"/>
                <w:szCs w:val="1"/>
                <w:color w:val="auto"/>
              </w:rPr>
            </w:pPr>
          </w:p>
        </w:tc>
      </w:tr>
      <w:tr>
        <w:trPr>
          <w:trHeight w:val="229"/>
        </w:trPr>
        <w:tc>
          <w:tcPr>
            <w:tcW w:w="222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40"/>
              <w:spacing w:after="0"/>
              <w:rPr>
                <w:sz w:val="20"/>
                <w:szCs w:val="20"/>
                <w:color w:val="auto"/>
              </w:rPr>
            </w:pPr>
            <w:r>
              <w:rPr>
                <w:rFonts w:ascii="Arial" w:cs="Arial" w:eastAsia="Arial" w:hAnsi="Arial"/>
                <w:sz w:val="18"/>
                <w:szCs w:val="18"/>
                <w:color w:val="auto"/>
              </w:rPr>
              <w:t>(IT) — #70</w:t>
            </w: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3/22/2014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Millennia—</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#GS00T99ALD0202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10/27/2009</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1,090.8</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1,159.9</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1,176.1</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derived approximately 80% of our revenue for fiscal 2013 from over 4,900 task orders under ID/IQ contracts (inclusive of GSA Schedules and GWACs). Listed below for each specified revenue band is the number of, revenue derived from, and average duration of our task orders as of March 31, 2013. The table includes revenue earned during fiscal 2013 under all task orders under these ID/IQ contracts and the number of task orders on which this revenue was earned. Average duration reflected in the table below is calculated based on the inception date of the task order, which may be prior to the beginning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6" w:name="page17"/>
    <w:bookmarkEnd w:id="16"/>
    <w:p>
      <w:pPr>
        <w:ind w:right="120"/>
        <w:spacing w:after="0" w:line="264" w:lineRule="auto"/>
        <w:rPr>
          <w:sz w:val="20"/>
          <w:szCs w:val="20"/>
          <w:color w:val="auto"/>
        </w:rPr>
      </w:pPr>
      <w:r>
        <w:rPr>
          <w:rFonts w:ascii="Arial" w:cs="Arial" w:eastAsia="Arial" w:hAnsi="Arial"/>
          <w:sz w:val="18"/>
          <w:szCs w:val="18"/>
          <w:color w:val="auto"/>
        </w:rPr>
        <w:t>fiscal 2013, and the completion date which may have been prior or subsequent to March 31, 2013. As a result, the actual average remaining duration for task orders included in this table may be less than the average duration shown in the table, and task orders included in the table may have been complete on March 31, 2013.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Task</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Order by Revenue Fiscal</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Orders as of</w:t>
            </w:r>
          </w:p>
        </w:tc>
        <w:tc>
          <w:tcPr>
            <w:tcW w:w="180" w:type="dxa"/>
            <w:vAlign w:val="bottom"/>
          </w:tcPr>
          <w:p>
            <w:pPr>
              <w:spacing w:after="0"/>
              <w:rPr>
                <w:sz w:val="12"/>
                <w:szCs w:val="12"/>
                <w:color w:val="auto"/>
              </w:rPr>
            </w:pPr>
          </w:p>
        </w:tc>
        <w:tc>
          <w:tcPr>
            <w:tcW w:w="15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1"/>
              </w:rPr>
              <w:t>Fiscal 2013 Revenue</w:t>
            </w:r>
          </w:p>
        </w:tc>
        <w:tc>
          <w:tcPr>
            <w:tcW w:w="10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622.1</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868.2</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1,486.0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4,584.3</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71" w:lineRule="exact"/>
        <w:rPr>
          <w:sz w:val="20"/>
          <w:szCs w:val="20"/>
          <w:color w:val="auto"/>
        </w:rPr>
      </w:pPr>
    </w:p>
    <w:p>
      <w:pPr>
        <w:ind w:left="640" w:right="26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170"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17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March 31,</w:t>
            </w:r>
          </w:p>
        </w:tc>
        <w:tc>
          <w:tcPr>
            <w:tcW w:w="13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Unfunded (1)</w:t>
            </w:r>
          </w:p>
        </w:tc>
        <w:tc>
          <w:tcPr>
            <w:tcW w:w="122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2,681</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Priced options</w:t>
            </w:r>
          </w:p>
        </w:tc>
        <w:tc>
          <w:tcPr>
            <w:tcW w:w="1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220" w:type="dxa"/>
            <w:vAlign w:val="bottom"/>
            <w:tcBorders>
              <w:top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10,804</w:t>
            </w:r>
          </w:p>
        </w:tc>
      </w:tr>
      <w:tr>
        <w:trPr>
          <w:trHeight w:val="27"/>
        </w:trPr>
        <w:tc>
          <w:tcPr>
            <w:tcW w:w="7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40" w:right="60" w:hanging="31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116"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Due to its size, the government services market is highly fragmented, and competition within the government professional services industry has intensified. In addition to professional service companies like our own that focus principally on the provision of services to the U.S. government, other companies active in our markets include large defense contractors,</w:t>
      </w:r>
    </w:p>
    <w:p>
      <w:pPr>
        <w:sectPr>
          <w:pgSz w:w="11900" w:h="16838" w:orient="portrait"/>
          <w:cols w:equalWidth="0" w:num="1">
            <w:col w:w="11420"/>
          </w:cols>
          <w:pgMar w:left="240" w:top="85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854" w:right="239" w:bottom="1440" w:gutter="0" w:footer="0" w:header="0"/>
          <w:type w:val="continuous"/>
        </w:sectPr>
      </w:pPr>
    </w:p>
    <w:bookmarkStart w:id="17" w:name="page18"/>
    <w:bookmarkEnd w:id="17"/>
    <w:p>
      <w:pPr>
        <w:ind w:right="40"/>
        <w:spacing w:after="0" w:line="270" w:lineRule="auto"/>
        <w:rPr>
          <w:sz w:val="20"/>
          <w:szCs w:val="20"/>
          <w:color w:val="auto"/>
        </w:rPr>
      </w:pPr>
      <w:r>
        <w:rPr>
          <w:rFonts w:ascii="Arial" w:cs="Arial" w:eastAsia="Arial" w:hAnsi="Arial"/>
          <w:sz w:val="17"/>
          <w:szCs w:val="17"/>
          <w:color w:val="auto"/>
        </w:rPr>
        <w:t>diversified consulting, technology, and outsourcing service providers, and small businesses. Changing government policies and market dynamics are also helping to reshape the competitive landscape. Some large prime contractors are beginning to divest their professional services business units due to the U.S. government’s increased sensitivity to organizational conflicts of interest and these divested companies will be free to compete with us without their former organizational conflicts of interest constraints. The formal adoption of the Federal Acquisition Regulation, or FAR, organizational conflicts of interest rules or additional more restrictive rules by U.S. government agencies could cause further such divestitures which could further increase competition in our markets. At the other end of the spectrum are small businesses. Small businesses are growing in the government services industry due in large part to a push by both the Obama and Bush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increase.</w:t>
      </w:r>
    </w:p>
    <w:p>
      <w:pPr>
        <w:spacing w:after="0" w:line="128" w:lineRule="exact"/>
        <w:rPr>
          <w:sz w:val="20"/>
          <w:szCs w:val="20"/>
          <w:color w:val="auto"/>
        </w:rPr>
      </w:pPr>
    </w:p>
    <w:p>
      <w:pPr>
        <w:ind w:right="140" w:firstLine="432"/>
        <w:spacing w:after="0" w:line="285" w:lineRule="auto"/>
        <w:rPr>
          <w:sz w:val="20"/>
          <w:szCs w:val="20"/>
          <w:color w:val="auto"/>
        </w:rPr>
      </w:pPr>
      <w:r>
        <w:rPr>
          <w:rFonts w:ascii="Arial" w:cs="Arial" w:eastAsia="Arial" w:hAnsi="Arial"/>
          <w:sz w:val="16"/>
          <w:szCs w:val="16"/>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(i) contractors focused principally on the provision of services to the U.S. government, such as CACI International, Inc., L-3 Communications Holdings, Inc., ManTech International Corp., SRA International, Inc., and TASC Inc.; (ii) large defense contractors which provide both products and services to the U.S. government, such as General Dynamics Corp., Lockheed Martin Corp., Northrop Grumman Corp., and Raytheon Co.; and</w:t>
      </w:r>
    </w:p>
    <w:p>
      <w:pPr>
        <w:spacing w:after="0" w:line="2" w:lineRule="exact"/>
        <w:rPr>
          <w:sz w:val="20"/>
          <w:szCs w:val="20"/>
          <w:color w:val="auto"/>
        </w:rPr>
      </w:pPr>
    </w:p>
    <w:p>
      <w:pPr>
        <w:ind w:firstLine="8"/>
        <w:spacing w:after="0" w:line="252"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diversified service providers, such as Accenture, Computer Sciences Corp., Deloitte Consulting LLP, and SAIC, Inc. We compete on the basis of our technical expertise and client knowledge, our ability to successfully recruit appropriately skilled and experienced talent, our ability to deliver cost-effective multi-faceted services in a timely manner, our reputation and relationship with our clients, past performance, security clearances, and the size and scale of our company. In addition, in order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management and technology consulting services and related products are not generally dependent upon patent protection. We claim a proprietary interest in certain of our service offerings and related products, methodologies, and know-how. We have a few patents but we do not consider our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 Other than licenses to commercially available third-party software, we have no licenses to intellectual property that are significant to our business.</w:t>
      </w:r>
    </w:p>
    <w:p>
      <w:pPr>
        <w:spacing w:after="0" w:line="13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w:t>
      </w:r>
    </w:p>
    <w:p>
      <w:pPr>
        <w:spacing w:after="0" w:line="133"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Our most important trademark is the “Booz Allen Hamilton” mark, registered in the United States and certain foreign countries. Generally, registered trademarks have perpetual life, provided that they are renewed on a timely basis and continue to be used properly as trademarks. We have four registered trademarks related to our name and logo with the earliest renewal in March 2020. Under a branding agreement entered in connection with the acquisition, Spin Co.Booz &amp; Company was granted a perpetual, exclusive, worldwide, royalty-free license to use “Booz” as a name and mark other than with “Allen” or “Hamilton” and certain other words associated with our business in connection with certain activities. We agreed not to use “Booz” unless it is accompanied by “Allen” or “Hamilton” or both and we are restricted in our use of certain other words associated with Booz &amp; Company’s business. Under certain circumstances, including if certain Booz &amp; Company competitors obtain ownership of Booz Allen Hamilton, the licensed marks will be assigned to Booz &amp; Company.</w:t>
      </w:r>
    </w:p>
    <w:p>
      <w:pPr>
        <w:spacing w:after="0" w:line="138"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117" w:lineRule="exact"/>
        <w:rPr>
          <w:sz w:val="20"/>
          <w:szCs w:val="20"/>
          <w:color w:val="auto"/>
        </w:rPr>
      </w:pPr>
    </w:p>
    <w:p>
      <w:pPr>
        <w:ind w:right="400" w:firstLine="432"/>
        <w:spacing w:after="0" w:line="216" w:lineRule="auto"/>
        <w:rPr>
          <w:sz w:val="20"/>
          <w:szCs w:val="20"/>
          <w:color w:val="auto"/>
        </w:rPr>
      </w:pPr>
      <w:r>
        <w:rPr>
          <w:rFonts w:ascii="Arial" w:cs="Arial" w:eastAsia="Arial" w:hAnsi="Arial"/>
          <w:sz w:val="18"/>
          <w:szCs w:val="18"/>
          <w:color w:val="auto"/>
        </w:rPr>
        <w:t>Booz Allen Hamilton</w:t>
      </w:r>
      <w:r>
        <w:rPr>
          <w:rFonts w:ascii="Arial" w:cs="Arial" w:eastAsia="Arial" w:hAnsi="Arial"/>
          <w:sz w:val="25"/>
          <w:szCs w:val="25"/>
          <w:color w:val="auto"/>
          <w:vertAlign w:val="superscript"/>
        </w:rPr>
        <w:t>®</w:t>
      </w:r>
      <w:r>
        <w:rPr>
          <w:rFonts w:ascii="Arial" w:cs="Arial" w:eastAsia="Arial" w:hAnsi="Arial"/>
          <w:sz w:val="18"/>
          <w:szCs w:val="18"/>
          <w:color w:val="auto"/>
        </w:rPr>
        <w:t>, the Booz Allen Cyber Solutions Network</w:t>
      </w:r>
      <w:r>
        <w:rPr>
          <w:rFonts w:ascii="Arial" w:cs="Arial" w:eastAsia="Arial" w:hAnsi="Arial"/>
          <w:sz w:val="25"/>
          <w:szCs w:val="25"/>
          <w:color w:val="auto"/>
          <w:vertAlign w:val="superscript"/>
        </w:rPr>
        <w:t>®</w:t>
      </w:r>
      <w:r>
        <w:rPr>
          <w:rFonts w:ascii="Arial" w:cs="Arial" w:eastAsia="Arial" w:hAnsi="Arial"/>
          <w:sz w:val="18"/>
          <w:szCs w:val="18"/>
          <w:color w:val="auto"/>
        </w:rPr>
        <w:t>, the Booz Allen Hamilton logo, and other trademarks or service marks of Booz Allen Hamilton Inc. appearing in this Annual Report are property of Booz Allen Hamilton Inc. Trade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5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names, trademarks, and service marks of other companies appearing in this Annual Report are the property of their respective owners.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U.S. government contracts. Some significant laws and regulations that affect us include:</w:t>
      </w:r>
    </w:p>
    <w:p>
      <w:pPr>
        <w:spacing w:after="0" w:line="268" w:lineRule="exact"/>
        <w:rPr>
          <w:sz w:val="20"/>
          <w:szCs w:val="20"/>
          <w:color w:val="auto"/>
        </w:rPr>
      </w:pPr>
    </w:p>
    <w:p>
      <w:pPr>
        <w:ind w:left="640" w:hanging="321"/>
        <w:spacing w:after="0" w:line="302"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154" w:lineRule="exact"/>
        <w:rPr>
          <w:rFonts w:ascii="Arial" w:cs="Arial" w:eastAsia="Arial" w:hAnsi="Arial"/>
          <w:sz w:val="16"/>
          <w:szCs w:val="16"/>
          <w:color w:val="auto"/>
        </w:rPr>
      </w:pPr>
    </w:p>
    <w:p>
      <w:pPr>
        <w:ind w:left="640" w:right="26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17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spacing w:after="0" w:line="170"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170"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post government employment laws and regulations, which restrict the ability of a contractor to recruit and hire current employees of the U.S. government and deploy former employees of the U.S. government;</w:t>
      </w:r>
    </w:p>
    <w:p>
      <w:pPr>
        <w:spacing w:after="0" w:line="170" w:lineRule="exact"/>
        <w:rPr>
          <w:rFonts w:ascii="Arial" w:cs="Arial" w:eastAsia="Arial" w:hAnsi="Arial"/>
          <w:sz w:val="18"/>
          <w:szCs w:val="18"/>
          <w:color w:val="auto"/>
        </w:rPr>
      </w:pPr>
    </w:p>
    <w:p>
      <w:pPr>
        <w:ind w:left="640" w:right="60" w:hanging="321"/>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181" w:lineRule="exact"/>
        <w:rPr>
          <w:rFonts w:ascii="Arial" w:cs="Arial" w:eastAsia="Arial" w:hAnsi="Arial"/>
          <w:sz w:val="18"/>
          <w:szCs w:val="18"/>
          <w:color w:val="auto"/>
        </w:rPr>
      </w:pPr>
    </w:p>
    <w:p>
      <w:pPr>
        <w:ind w:left="640" w:right="60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170" w:lineRule="exact"/>
        <w:rPr>
          <w:rFonts w:ascii="Arial" w:cs="Arial" w:eastAsia="Arial" w:hAnsi="Arial"/>
          <w:sz w:val="18"/>
          <w:szCs w:val="18"/>
          <w:color w:val="auto"/>
        </w:rPr>
      </w:pPr>
    </w:p>
    <w:p>
      <w:pPr>
        <w:ind w:left="640" w:right="560" w:hanging="321"/>
        <w:spacing w:after="0" w:line="259"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186" w:lineRule="exact"/>
        <w:rPr>
          <w:rFonts w:ascii="Arial" w:cs="Arial" w:eastAsia="Arial" w:hAnsi="Arial"/>
          <w:sz w:val="18"/>
          <w:szCs w:val="18"/>
          <w:color w:val="auto"/>
        </w:rPr>
      </w:pPr>
    </w:p>
    <w:p>
      <w:pPr>
        <w:jc w:val="both"/>
        <w:ind w:left="640" w:right="20" w:hanging="321"/>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clients to withhold a portion of our payments if we are determined to have a significant deficiency in our accounting, cost estimating, purchasing, earned value management, material management and accounting, and/or property management system; and</w:t>
      </w:r>
    </w:p>
    <w:p>
      <w:pPr>
        <w:spacing w:after="0" w:line="181" w:lineRule="exact"/>
        <w:rPr>
          <w:rFonts w:ascii="Arial" w:cs="Arial" w:eastAsia="Arial" w:hAnsi="Arial"/>
          <w:sz w:val="18"/>
          <w:szCs w:val="18"/>
          <w:color w:val="auto"/>
        </w:rPr>
      </w:pPr>
    </w:p>
    <w:p>
      <w:pPr>
        <w:ind w:left="640" w:right="34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11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 could reduce our revenue, disrupt our business or otherwise materially adversely affect our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54" w:right="259" w:bottom="1440" w:gutter="0" w:footer="0" w:header="0"/>
        </w:sectPr>
      </w:pPr>
    </w:p>
    <w:bookmarkStart w:id="19" w:name="page20"/>
    <w:bookmarkEnd w:id="19"/>
    <w:p>
      <w:pPr>
        <w:ind w:firstLine="432"/>
        <w:spacing w:after="0" w:line="257"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13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10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U.S. government has a broad range of actions that it can instigate in order to enforce its procurement policies. These include proposing a contractor or certain of its operations for debarment or suspending or debarring a contractor or certain of its operations from future government business. On February 6, 2012, our San Antonio office was proposed for debarment by the U.S. Air Force and listed on the government’s Excluded Parties List System (EPLS) website. Although the government’s action did not terminate ongoing work under existing contracts; it affected the ability of our San Antonio office to attain new government business. This matter arose from actions of a former government employee hired by us who inappropriately retained and shared sensitive information about a pending government procurement in violation of the Company’s policies and high standards of ethical conduct. On April 13, 2012, our operating subsidiary, Booz Allen Hamilton Inc., entered in an Administrative Agreement with the U.S. Air Force, which lifted the proposed debarment and removed our San Antonio office from the U.S. government’s Excluded Parties List System. As a result, our San Antonio office is now eligible to compete for new contracts with the U.S. federal government.</w:t>
      </w:r>
    </w:p>
    <w:p>
      <w:pPr>
        <w:spacing w:after="0" w:line="12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Pursuant to the Administrative Agreement, we accepted responsibility for the incident that gave rise to the proposed debarment and related matters. In addition, we agreed to implement firm-wide enhancements to our ethics and compliance program, including future improvements identified by external advisors, to significantly mitigate the possibility of a re-occurrence of such issues. During the three-year term of the Administrative Agreement, which began on April 13, 2012 (or, if the Air Force determines at any time during such three year period that the Company is not fully compliant with the Administrative Agreement, from the reestablishment of full compliance as determined by the Air Force), we have agreed, among other things, to file quarterly reports with the Air Force regarding the implementation of our remedial measures and adhere to a number of provisions relating to the disclosure of violations of the law or employee misconduct under our ethics and compliance program.</w:t>
      </w:r>
    </w:p>
    <w:p>
      <w:pPr>
        <w:spacing w:after="0" w:line="124"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file annual, quarterly, and current reports and other information with the SEC. You may read and copy any documents that we file at the SEC’s public reference room at 100 F Street, N.E., Washington, D.C. 20549. You may call the SEC at 1-800-SEC-0330 to obtain further information about the public reference room. In addition, the SEC maintains an Internet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Internet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54" w:right="239" w:bottom="1440" w:gutter="0" w:footer="0" w:header="0"/>
        </w:sectPr>
      </w:pPr>
    </w:p>
    <w:bookmarkStart w:id="20" w:name="page21"/>
    <w:bookmarkEnd w:id="20"/>
    <w:p>
      <w:pPr>
        <w:jc w:val="both"/>
        <w:ind w:right="300"/>
        <w:spacing w:after="0" w:line="312" w:lineRule="auto"/>
        <w:rPr>
          <w:sz w:val="20"/>
          <w:szCs w:val="20"/>
          <w:color w:val="auto"/>
        </w:rPr>
      </w:pPr>
      <w:r>
        <w:rPr>
          <w:rFonts w:ascii="Arial" w:cs="Arial" w:eastAsia="Arial" w:hAnsi="Arial"/>
          <w:sz w:val="16"/>
          <w:szCs w:val="16"/>
          <w:i w:val="1"/>
          <w:iCs w:val="1"/>
          <w:color w:val="auto"/>
        </w:rPr>
        <w:t>known to us or that we currently believe to be immaterial could materially and adversely affect our business, financial condition, or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3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U.S. government is our primary client, with revenue from contracts and task orders, either as a prime or a subcontractor, with U.S. government agencies accounting for 99% of our revenue for fiscal 2013. Our belief is that the successful future growth of our business will continue to depend primarily on our ability to be awarded work under U.S. government contracts, as we expect this will be the primary source of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or a failure to maintain adequate protection against security breaches, including those resulting from cyber attacks, could harm our relationship with U.S. government agencies. If a client is not satisfied with the quality or type of work performed by us, a subcontractor, or other third parties who provide services or products for a specific project,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Furthermore, we may incur additional costs to address any such situation and the profitability of that work might be impaired. To the extent that our performance does not meet client expectations, or our reputation or relationships with any of our clients is impaired, our revenue and operating profits could materially decline.</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U.S. government spending and mission priorities could change in a manner that adversely affects our future revenue and limits our growth prospects.</w:t>
      </w:r>
    </w:p>
    <w:p>
      <w:pPr>
        <w:spacing w:after="0" w:line="125" w:lineRule="exact"/>
        <w:rPr>
          <w:sz w:val="20"/>
          <w:szCs w:val="20"/>
          <w:color w:val="auto"/>
        </w:rPr>
      </w:pPr>
    </w:p>
    <w:p>
      <w:pPr>
        <w:jc w:val="both"/>
        <w:ind w:right="20" w:firstLine="432"/>
        <w:spacing w:after="0" w:line="254" w:lineRule="auto"/>
        <w:rPr>
          <w:sz w:val="20"/>
          <w:szCs w:val="20"/>
          <w:color w:val="auto"/>
        </w:rPr>
      </w:pPr>
      <w:r>
        <w:rPr>
          <w:rFonts w:ascii="Arial" w:cs="Arial" w:eastAsia="Arial" w:hAnsi="Arial"/>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2" w:lineRule="exact"/>
        <w:rPr>
          <w:sz w:val="20"/>
          <w:szCs w:val="20"/>
          <w:color w:val="auto"/>
        </w:rPr>
      </w:pPr>
    </w:p>
    <w:p>
      <w:pPr>
        <w:ind w:left="640" w:right="460" w:hanging="321"/>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budgetary constraints, including Congressionally mandated automatic spending cuts, affecting U.S. government spending generally, or specific agencies in particular, and changes in available funding;</w:t>
      </w: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shift in expenditures away from agencies or programs that we support;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reduced U.S. government outsourcing of functions that we are currently contracted to provide, including as a result of increased insourcing;</w:t>
      </w:r>
    </w:p>
    <w:p>
      <w:pPr>
        <w:spacing w:after="0" w:line="20"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further efforts to improve efficiency and reduce costs affecting federal government programs;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government programs that we support or related requirements;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continuation of recent efforts by the U.S. government to decrease spending for management support service contracts;</w:t>
      </w:r>
    </w:p>
    <w:p>
      <w:pPr>
        <w:spacing w:after="0" w:line="9"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shutdowns due to a failure by elected officials to fund the government (such as that which was threatened in March of 2011 or which occurred during government fiscal year 1996) or weather-related closures in the Washington, DC area (such as that which occurred in October 2012) and other potential delays in the appropriations process;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9" w:lineRule="exact"/>
        <w:rPr>
          <w:rFonts w:ascii="Arial" w:cs="Arial" w:eastAsia="Arial" w:hAnsi="Arial"/>
          <w:sz w:val="18"/>
          <w:szCs w:val="18"/>
          <w:color w:val="auto"/>
        </w:rPr>
      </w:pPr>
    </w:p>
    <w:p>
      <w:pPr>
        <w:ind w:left="640" w:hanging="321"/>
        <w:spacing w:after="0" w:line="25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ind w:left="640" w:right="560" w:hanging="321"/>
        <w:spacing w:after="0" w:line="290"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73" w:right="259" w:bottom="1440" w:gutter="0" w:footer="0" w:header="0"/>
        </w:sectPr>
      </w:pPr>
    </w:p>
    <w:bookmarkStart w:id="21" w:name="page22"/>
    <w:bookmarkEnd w:id="21"/>
    <w:p>
      <w:pPr>
        <w:ind w:firstLine="432"/>
        <w:spacing w:after="0" w:line="285" w:lineRule="auto"/>
        <w:rPr>
          <w:sz w:val="20"/>
          <w:szCs w:val="20"/>
          <w:color w:val="auto"/>
        </w:rPr>
      </w:pPr>
      <w:r>
        <w:rPr>
          <w:rFonts w:ascii="Arial" w:cs="Arial" w:eastAsia="Arial" w:hAnsi="Arial"/>
          <w:sz w:val="16"/>
          <w:szCs w:val="16"/>
          <w:color w:val="auto"/>
        </w:rPr>
        <w:t>The U.S.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Secretary of Defense directed the Department of Defense to reduce funding for service support contractors by 10% per year from 2011 to 2013. Furthermore, the Budget Control Act of 2011 (as amended by the American Taxpayer Relief Act) requires a ten-year $487 billion reduction to baseline spending of the Department of Defense and provides for automatic spending cuts (referred to as sequestration) totaling approximately $1.2 trillion between 2013 and 2021, including an estimated $500 billion in federal defense spending cuts over this time period. The Consolidated and Further Continuing Appropriations Act, 2013, which provides funding for federal government agencies through the end of the current U.S. government fiscal year ending September 30, 2013, implements the approximately $85 billion in mandated 2013 sequestration cuts, including approximately $41 billion in reduced funding to the Department of Defense. There remains uncertainty as to how exactly budget cuts, including sequestration, will impact us, and we are therefore unable to predict the extent of the impact of such cuts on our business and results of operations. However, a reduction in the amount of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by approximately $7 billion since 2010.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1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127" w:lineRule="exact"/>
        <w:rPr>
          <w:sz w:val="20"/>
          <w:szCs w:val="20"/>
          <w:color w:val="auto"/>
        </w:rPr>
      </w:pPr>
    </w:p>
    <w:p>
      <w:pPr>
        <w:ind w:right="180" w:firstLine="216"/>
        <w:spacing w:after="0" w:line="28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U.S. government contractor, we must comply with laws and regulations relating to the formation, administration, and performance of</w:t>
      </w:r>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1" w:lineRule="exact"/>
        <w:rPr>
          <w:sz w:val="20"/>
          <w:szCs w:val="20"/>
          <w:color w:val="auto"/>
        </w:rPr>
      </w:pPr>
    </w:p>
    <w:p>
      <w:pPr>
        <w:ind w:left="640" w:right="20" w:hanging="321"/>
        <w:spacing w:after="0" w:line="28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2" w:lineRule="exact"/>
        <w:rPr>
          <w:rFonts w:ascii="Arial" w:cs="Arial" w:eastAsia="Arial" w:hAnsi="Arial"/>
          <w:sz w:val="16"/>
          <w:szCs w:val="16"/>
          <w:color w:val="auto"/>
        </w:rPr>
      </w:pPr>
    </w:p>
    <w:p>
      <w:pPr>
        <w:ind w:left="640" w:right="28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ind w:left="640" w:right="28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ind w:left="640" w:right="400" w:hanging="321"/>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post government employment laws and regulations, which restrict the ability of a contractor to recruit, hire, and deploy former employees of the U.S. government;</w:t>
      </w:r>
    </w:p>
    <w:p>
      <w:pPr>
        <w:ind w:left="640" w:right="40" w:hanging="321"/>
        <w:spacing w:after="0" w:line="28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work; and</w:t>
      </w:r>
    </w:p>
    <w:p>
      <w:pPr>
        <w:spacing w:after="0" w:line="9" w:lineRule="exact"/>
        <w:rPr>
          <w:rFonts w:ascii="Arial" w:cs="Arial" w:eastAsia="Arial" w:hAnsi="Arial"/>
          <w:sz w:val="16"/>
          <w:szCs w:val="16"/>
          <w:color w:val="auto"/>
        </w:rPr>
      </w:pPr>
    </w:p>
    <w:p>
      <w:pPr>
        <w:ind w:left="640" w:right="500" w:hanging="321"/>
        <w:spacing w:after="0" w:line="261"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130"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In addition, the U.S. government adopts new laws, rules, and regulations from time to time that could have a material impact on our results of operations.</w:t>
      </w:r>
    </w:p>
    <w:p>
      <w:pPr>
        <w:spacing w:after="0" w:line="1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performance under our U.S. government contracts and our compliance with the terms of those contracts and applicable laws and regulations are subject to periodic audit, review, and investigation by various agencies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4" w:right="239" w:bottom="1440" w:gutter="0" w:footer="0" w:header="0"/>
        </w:sectPr>
      </w:pPr>
    </w:p>
    <w:bookmarkStart w:id="22" w:name="page23"/>
    <w:bookmarkEnd w:id="22"/>
    <w:p>
      <w:pPr>
        <w:ind w:right="80"/>
        <w:spacing w:after="0" w:line="269" w:lineRule="auto"/>
        <w:rPr>
          <w:sz w:val="20"/>
          <w:szCs w:val="20"/>
          <w:color w:val="auto"/>
        </w:rPr>
      </w:pPr>
      <w:r>
        <w:rPr>
          <w:rFonts w:ascii="Arial" w:cs="Arial" w:eastAsia="Arial" w:hAnsi="Arial"/>
          <w:sz w:val="17"/>
          <w:szCs w:val="17"/>
          <w:color w:val="auto"/>
        </w:rPr>
        <w:t>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13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215" w:lineRule="exact"/>
        <w:rPr>
          <w:sz w:val="20"/>
          <w:szCs w:val="20"/>
          <w:color w:val="auto"/>
        </w:rPr>
      </w:pPr>
    </w:p>
    <w:p>
      <w:pPr>
        <w:ind w:firstLine="216"/>
        <w:spacing w:after="0" w:line="264" w:lineRule="auto"/>
        <w:rPr>
          <w:sz w:val="20"/>
          <w:szCs w:val="20"/>
          <w:color w:val="auto"/>
        </w:rPr>
      </w:pPr>
      <w:r>
        <w:rPr>
          <w:rFonts w:ascii="Arial" w:cs="Arial" w:eastAsia="Arial" w:hAnsi="Arial"/>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4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competitive bidding process involves risk and significant costs to businesses operating in this environment, including:</w:t>
      </w:r>
    </w:p>
    <w:p>
      <w:pPr>
        <w:spacing w:after="0" w:line="23" w:lineRule="exact"/>
        <w:rPr>
          <w:sz w:val="20"/>
          <w:szCs w:val="20"/>
          <w:color w:val="auto"/>
        </w:rPr>
      </w:pPr>
    </w:p>
    <w:p>
      <w:pPr>
        <w:ind w:left="640" w:right="220" w:hanging="32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spent to prepare bids and proposals for contracts that may not be awarded to us;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accurately estimate the resources and costs that will be required to service any contract we are awarded;</w:t>
      </w:r>
    </w:p>
    <w:p>
      <w:pPr>
        <w:spacing w:after="0" w:line="9" w:lineRule="exact"/>
        <w:rPr>
          <w:rFonts w:ascii="Arial" w:cs="Arial" w:eastAsia="Arial" w:hAnsi="Arial"/>
          <w:sz w:val="18"/>
          <w:szCs w:val="18"/>
          <w:color w:val="auto"/>
        </w:rPr>
      </w:pPr>
    </w:p>
    <w:p>
      <w:pPr>
        <w:jc w:val="both"/>
        <w:ind w:left="640" w:right="40" w:hanging="32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opportunity cost of bidding and winning other contracts we might otherwise pursue.</w:t>
      </w:r>
    </w:p>
    <w:p>
      <w:pPr>
        <w:spacing w:after="0" w:line="15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 up and funding of the work under these contracts may cause our actual results to differ materially and adversely from those anticipated.</w:t>
      </w:r>
    </w:p>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lose GSA schedules or our position as a prime contractor on one or more of our GWACs.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believe that one of the key elements of our success is our position as the holder of 15 GSA schedules, and as a prime contractor under two GWACs as of March 31, 2013. Our ability to maintain our existing business and win new business depends on our ability to maintain our position as a GSA schedule contractor and a prime contractor on GWACs. The loss of any of our GSA schedules or our prime contractor position on any of our contracts could have a material adverse effect on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54" w:right="25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color w:val="auto"/>
        </w:rPr>
        <w:t>ability to win new business and our operating results. In addition, if the U.S. government elects to use a contract vehicle that we do not hold, we will not be able to compete for work under that contract vehicle as a prime contractor.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earn less revenue than projected, or no revenue, under certain of our contracts.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Many of our contracts with our clients are ID/IQ contracts, including GSA schedules and GWACs.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In fiscal 2013, fiscal 2012, and fiscal 2011, our revenue under our GSA schedules and GWACs accounted for 19%, 20% and 20%, respectively, of our total revenue. A failure to be awarded task orders under such contracts would have a material adverse effect on our results of operations and financial condition.</w:t>
      </w:r>
    </w:p>
    <w:p>
      <w:pPr>
        <w:spacing w:after="0" w:line="206" w:lineRule="exact"/>
        <w:rPr>
          <w:sz w:val="20"/>
          <w:szCs w:val="20"/>
          <w:color w:val="auto"/>
        </w:rPr>
      </w:pPr>
    </w:p>
    <w:p>
      <w:pPr>
        <w:ind w:right="500" w:firstLine="216"/>
        <w:spacing w:after="0" w:line="27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35"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enter into three general types of U.S. government contracts for our services: cost-reimbursable, time-and-materials, and fixed-price. For fiscal 2013, we derived 57% of our revenue from cost-reimbursable contracts, 28% from time-and-materials contracts and 15% from fixed-price contracts.</w:t>
      </w:r>
    </w:p>
    <w:p>
      <w:pPr>
        <w:spacing w:after="0" w:line="9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w:t>
      </w:r>
    </w:p>
    <w:p>
      <w:pPr>
        <w:spacing w:after="0" w:line="133"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9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119" w:lineRule="exact"/>
        <w:rPr>
          <w:sz w:val="20"/>
          <w:szCs w:val="20"/>
          <w:color w:val="auto"/>
        </w:rPr>
      </w:pPr>
    </w:p>
    <w:p>
      <w:pPr>
        <w:jc w:val="both"/>
        <w:ind w:right="600" w:firstLine="432"/>
        <w:spacing w:after="0" w:line="312" w:lineRule="auto"/>
        <w:rPr>
          <w:sz w:val="20"/>
          <w:szCs w:val="20"/>
          <w:color w:val="auto"/>
        </w:rPr>
      </w:pPr>
      <w:r>
        <w:rPr>
          <w:rFonts w:ascii="Arial" w:cs="Arial" w:eastAsia="Arial" w:hAnsi="Arial"/>
          <w:sz w:val="16"/>
          <w:szCs w:val="16"/>
          <w:color w:val="auto"/>
        </w:rPr>
        <w:t>Additionally, our profits could be adversely affected if our costs under any of these contracts exceed the assumptions we used in bidding for the contract. We have recorded provisions in our consolidated financial statements for losses on our contracts, as required under U.S. Generally Accepted Accounting Principles, or GAAP, but our contract loss provisions may not be adequate to cover all actual losses that we may incur in the future.</w:t>
      </w:r>
    </w:p>
    <w:p>
      <w:pPr>
        <w:spacing w:after="0" w:line="174" w:lineRule="exact"/>
        <w:rPr>
          <w:sz w:val="20"/>
          <w:szCs w:val="20"/>
          <w:color w:val="auto"/>
        </w:rPr>
      </w:pPr>
    </w:p>
    <w:p>
      <w:pPr>
        <w:ind w:right="300" w:firstLine="216"/>
        <w:spacing w:after="0" w:line="277" w:lineRule="auto"/>
        <w:rPr>
          <w:sz w:val="20"/>
          <w:szCs w:val="20"/>
          <w:color w:val="auto"/>
        </w:rPr>
      </w:pPr>
      <w:r>
        <w:rPr>
          <w:rFonts w:ascii="Arial" w:cs="Arial" w:eastAsia="Arial" w:hAnsi="Arial"/>
          <w:sz w:val="18"/>
          <w:szCs w:val="18"/>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73" w:right="259" w:bottom="1440" w:gutter="0" w:footer="0" w:header="0"/>
        </w:sectPr>
      </w:pPr>
    </w:p>
    <w:bookmarkStart w:id="24" w:name="page25"/>
    <w:bookmarkEnd w:id="24"/>
    <w:p>
      <w:pPr>
        <w:ind w:left="220"/>
        <w:spacing w:after="0"/>
        <w:rPr>
          <w:sz w:val="20"/>
          <w:szCs w:val="20"/>
          <w:color w:val="auto"/>
        </w:rPr>
      </w:pPr>
      <w:r>
        <w:rPr>
          <w:rFonts w:ascii="Arial" w:cs="Arial" w:eastAsia="Arial" w:hAnsi="Arial"/>
          <w:sz w:val="15"/>
          <w:szCs w:val="15"/>
          <w:b w:val="1"/>
          <w:bCs w:val="1"/>
          <w:i w:val="1"/>
          <w:iCs w:val="1"/>
          <w:color w:val="auto"/>
        </w:rPr>
        <w:t>We use estimates in recognizing revenue and if we make changes to estimates used in recognizing revenue, our profitability may be adversely affected.</w:t>
      </w:r>
    </w:p>
    <w:p>
      <w:pPr>
        <w:spacing w:after="0" w:line="125"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13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 than expected revenue.</w:t>
      </w:r>
    </w:p>
    <w:p>
      <w:pPr>
        <w:spacing w:after="0" w:line="90"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As of March 31, 2013, our total backlog was $11.8 billion, of which $2.5 billion was funded. We define backlog to include the following three components:</w:t>
      </w:r>
    </w:p>
    <w:p>
      <w:pPr>
        <w:spacing w:after="0" w:line="116" w:lineRule="exact"/>
        <w:rPr>
          <w:sz w:val="20"/>
          <w:szCs w:val="20"/>
          <w:color w:val="auto"/>
        </w:rPr>
      </w:pPr>
    </w:p>
    <w:p>
      <w:pPr>
        <w:ind w:left="640" w:right="26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116"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116"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11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such as the initiatives announced by the Secretary of Defense in March 2011 and/or the automatic federal defense spending cuts required by sequestration;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212" w:lineRule="exact"/>
        <w:rPr>
          <w:sz w:val="20"/>
          <w:szCs w:val="20"/>
          <w:color w:val="auto"/>
        </w:rPr>
      </w:pPr>
    </w:p>
    <w:p>
      <w:pPr>
        <w:ind w:right="140" w:firstLine="216"/>
        <w:spacing w:after="0" w:line="277" w:lineRule="auto"/>
        <w:rPr>
          <w:sz w:val="20"/>
          <w:szCs w:val="20"/>
          <w:color w:val="auto"/>
        </w:rPr>
      </w:pPr>
      <w:r>
        <w:rPr>
          <w:rFonts w:ascii="Arial" w:cs="Arial" w:eastAsia="Arial" w:hAnsi="Arial"/>
          <w:sz w:val="18"/>
          <w:szCs w:val="18"/>
          <w:b w:val="1"/>
          <w:bCs w:val="1"/>
          <w:i w:val="1"/>
          <w:iCs w:val="1"/>
          <w:color w:val="auto"/>
        </w:rPr>
        <w:t>We may fail to attract, train and retain skilled and qualified employees with appropriate security clearances, which may impair our ability to generate revenue, effectively serve our clients, and execute our growth strategy.</w:t>
      </w:r>
    </w:p>
    <w:p>
      <w:pPr>
        <w:spacing w:after="0" w:line="35"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jc w:val="both"/>
        <w:ind w:right="200"/>
        <w:spacing w:after="0" w:line="302" w:lineRule="auto"/>
        <w:rPr>
          <w:sz w:val="20"/>
          <w:szCs w:val="20"/>
          <w:color w:val="auto"/>
        </w:rPr>
      </w:pPr>
      <w:r>
        <w:rPr>
          <w:rFonts w:ascii="Arial" w:cs="Arial" w:eastAsia="Arial" w:hAnsi="Arial"/>
          <w:sz w:val="16"/>
          <w:szCs w:val="16"/>
          <w:color w:val="auto"/>
        </w:rPr>
        <w:t>U.S. government contractors, the U.S. government, and private industry, and such competition is intense. Personnel with the requisites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 employees,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5" w:right="239" w:bottom="1440" w:gutter="0" w:footer="0" w:header="0"/>
        </w:sectPr>
      </w:pPr>
    </w:p>
    <w:bookmarkStart w:id="25" w:name="page26"/>
    <w:bookmarkEnd w:id="25"/>
    <w:p>
      <w:pPr>
        <w:spacing w:after="0" w:line="276" w:lineRule="auto"/>
        <w:rPr>
          <w:sz w:val="20"/>
          <w:szCs w:val="20"/>
          <w:color w:val="auto"/>
        </w:rPr>
      </w:pPr>
      <w:r>
        <w:rPr>
          <w:rFonts w:ascii="Arial" w:cs="Arial" w:eastAsia="Arial" w:hAnsi="Arial"/>
          <w:sz w:val="17"/>
          <w:szCs w:val="17"/>
          <w:color w:val="auto"/>
        </w:rPr>
        <w:t>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119"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may fail to obtain and maintain necessary security clearances which may adversely affect our ability to perform on certain contracts.</w:t>
      </w:r>
    </w:p>
    <w:p>
      <w:pPr>
        <w:spacing w:after="0" w:line="1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Many U.S. government programs require contractors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w:t>
      </w:r>
    </w:p>
    <w:p>
      <w:pPr>
        <w:spacing w:after="0" w:line="90" w:lineRule="exact"/>
        <w:rPr>
          <w:sz w:val="20"/>
          <w:szCs w:val="20"/>
          <w:color w:val="auto"/>
        </w:rPr>
      </w:pPr>
    </w:p>
    <w:p>
      <w:pPr>
        <w:ind w:right="160" w:firstLine="432"/>
        <w:spacing w:after="0" w:line="258"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9"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employees’ inability to obtain or retain necessary security clearances;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manage attrition;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15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174" w:lineRule="exact"/>
        <w:rPr>
          <w:sz w:val="20"/>
          <w:szCs w:val="20"/>
          <w:color w:val="auto"/>
        </w:rPr>
      </w:pPr>
    </w:p>
    <w:p>
      <w:pPr>
        <w:ind w:right="980" w:firstLine="216"/>
        <w:spacing w:after="0" w:line="277"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3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 of our senior management. The loss of any member of our senior management or our failure to continue to develop new members could impair our ability to identify and secure new contracts, to maintain good client relations, and to otherwise manage our business.</w:t>
      </w:r>
    </w:p>
    <w:p>
      <w:pPr>
        <w:spacing w:after="0" w:line="216" w:lineRule="exact"/>
        <w:rPr>
          <w:sz w:val="20"/>
          <w:szCs w:val="20"/>
          <w:color w:val="auto"/>
        </w:rPr>
      </w:pPr>
    </w:p>
    <w:p>
      <w:pPr>
        <w:ind w:right="280" w:firstLine="216"/>
        <w:spacing w:after="0" w:line="277" w:lineRule="auto"/>
        <w:rPr>
          <w:sz w:val="20"/>
          <w:szCs w:val="20"/>
          <w:color w:val="auto"/>
        </w:rPr>
      </w:pPr>
      <w:r>
        <w:rPr>
          <w:rFonts w:ascii="Arial" w:cs="Arial" w:eastAsia="Arial" w:hAnsi="Arial"/>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3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are exposed to the risk that employee or subcontractor fraud or other misconduct could occur. Misconduct by employees or subcontractors could include intentional or unintentional failures to comply with U.S. government procurement regulations, engaging in unauthorized activities, or falsifying time records. Employee or subcontractor misconduct could also involve the improper use of our clients’ sensitive or classified information or the failure to comply with legislation or regulations regarding the protection of sensitive or classified information. It is not always possible to deter employee or subcontractor misconduct, and the precautions we take to prevent and detect this activity may not be effective in controlling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73" w:right="239" w:bottom="1440" w:gutter="0" w:footer="0" w:header="0"/>
        </w:sectPr>
      </w:pPr>
    </w:p>
    <w:bookmarkStart w:id="26" w:name="page27"/>
    <w:bookmarkEnd w:id="26"/>
    <w:p>
      <w:pPr>
        <w:ind w:right="120"/>
        <w:spacing w:after="0" w:line="302" w:lineRule="auto"/>
        <w:rPr>
          <w:sz w:val="20"/>
          <w:szCs w:val="20"/>
          <w:color w:val="auto"/>
        </w:rPr>
      </w:pPr>
      <w:r>
        <w:rPr>
          <w:rFonts w:ascii="Arial" w:cs="Arial" w:eastAsia="Arial" w:hAnsi="Arial"/>
          <w:sz w:val="16"/>
          <w:szCs w:val="16"/>
          <w:color w:val="auto"/>
        </w:rPr>
        <w:t>unknown or unmanaged risks or losses, which could materially harm our business. As a result of such misconduct, our employees could lose their security clearance and we could face fines and civil or criminal penalties, loss of facility clearance accreditation, and suspension or debarment from contracting with the U.S. government, as well as reputational harm, which would materially and adversely affect our results of operations and financial condition. See, for example, “Item 1. Business — Regulation” for a description of the recently resolved debarment proceedings against our San Antonio office.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1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and from market participants formed by or benefiting from industry consolidation. Some of these companies possess greater financial resources and larger technical staffs, and others have smaller and more specialized staffs. These competitors could, among other things:</w:t>
      </w:r>
    </w:p>
    <w:p>
      <w:pPr>
        <w:spacing w:after="0" w:line="4" w:lineRule="exact"/>
        <w:rPr>
          <w:sz w:val="20"/>
          <w:szCs w:val="20"/>
          <w:color w:val="auto"/>
        </w:rPr>
      </w:pPr>
    </w:p>
    <w:p>
      <w:pPr>
        <w:ind w:left="640" w:right="540" w:hanging="321"/>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force us to charge lower prices in order to win or maintain contracts;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hire our employees; or</w:t>
      </w:r>
    </w:p>
    <w:p>
      <w:pPr>
        <w:spacing w:after="0" w:line="9" w:lineRule="exact"/>
        <w:rPr>
          <w:rFonts w:ascii="Arial" w:cs="Arial" w:eastAsia="Arial" w:hAnsi="Arial"/>
          <w:sz w:val="18"/>
          <w:szCs w:val="18"/>
          <w:color w:val="auto"/>
        </w:rPr>
      </w:pPr>
    </w:p>
    <w:p>
      <w:pPr>
        <w:ind w:left="640" w:right="40" w:hanging="321"/>
        <w:spacing w:after="0" w:line="26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where we are the incumbent.</w:t>
      </w:r>
    </w:p>
    <w:p>
      <w:pPr>
        <w:spacing w:after="0" w:line="13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181" w:lineRule="exact"/>
        <w:rPr>
          <w:sz w:val="20"/>
          <w:szCs w:val="20"/>
          <w:color w:val="auto"/>
        </w:rPr>
      </w:pPr>
    </w:p>
    <w:p>
      <w:pPr>
        <w:jc w:val="both"/>
        <w:ind w:right="420" w:firstLine="216"/>
        <w:spacing w:after="0" w:line="357"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ind w:firstLine="432"/>
        <w:spacing w:after="0" w:line="273"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12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11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We estimate that revenue derived from contracts under which we acted as a subcontractor to other companies represented 9% of our revenue for fiscal 2013. As a subcontractor, we often lack control over fulfillment of a contract, and poor performance on the contract could tarnish our reputation, even when we perform as required, and could cause other contractors to choose not to hire us as a subcontractor in the future. In addition, if the U.S. government terminates or reduces other prime contractors’ programs or does not award them new contracts, subcontracting opportunities available to us could decrease, which would have a material adverse effect on our financial condition and results of operations.</w:t>
      </w:r>
    </w:p>
    <w:p>
      <w:pPr>
        <w:spacing w:after="0" w:line="200" w:lineRule="exact"/>
        <w:rPr>
          <w:sz w:val="20"/>
          <w:szCs w:val="20"/>
          <w:color w:val="auto"/>
        </w:rPr>
      </w:pPr>
    </w:p>
    <w:p>
      <w:pPr>
        <w:ind w:right="780" w:firstLine="216"/>
        <w:spacing w:after="0" w:line="277"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773" w:right="299" w:bottom="1440" w:gutter="0" w:footer="0" w:header="0"/>
        </w:sectPr>
      </w:pPr>
    </w:p>
    <w:bookmarkStart w:id="27" w:name="page28"/>
    <w:bookmarkEnd w:id="27"/>
    <w:p>
      <w:pPr>
        <w:ind w:right="80" w:firstLine="432"/>
        <w:spacing w:after="0" w:line="289"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over time, we have had disputes with current and former employees involving alleged violations of civil rights, wage and hour, and worker’s compensation laws. Further, as more fully described under “Item 3. Legal Proceedings,” six former officers and stockholders who had departed the firm prior to the acquisition have filed suits against our company and certain of our current and former directors and officers. Each of the suits arises out of the acquisition and alleges that the former stockholders are entitled to certain payments that they would have received if they had held their stock at the time of acquisition.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under the “Item 3. Legal Proceedings” are subject to future developments and management’s view of these matters may change in the future.</w:t>
      </w:r>
    </w:p>
    <w:p>
      <w:pPr>
        <w:spacing w:after="0" w:line="194" w:lineRule="exact"/>
        <w:rPr>
          <w:sz w:val="20"/>
          <w:szCs w:val="20"/>
          <w:color w:val="auto"/>
        </w:rPr>
      </w:pPr>
    </w:p>
    <w:p>
      <w:pPr>
        <w:ind w:right="400" w:firstLine="216"/>
        <w:spacing w:after="0" w:line="277" w:lineRule="auto"/>
        <w:rPr>
          <w:sz w:val="20"/>
          <w:szCs w:val="20"/>
          <w:color w:val="auto"/>
        </w:rPr>
      </w:pPr>
      <w:r>
        <w:rPr>
          <w:rFonts w:ascii="Arial" w:cs="Arial" w:eastAsia="Arial" w:hAnsi="Arial"/>
          <w:sz w:val="18"/>
          <w:szCs w:val="18"/>
          <w:b w:val="1"/>
          <w:bCs w:val="1"/>
          <w:i w:val="1"/>
          <w:iCs w:val="1"/>
          <w:color w:val="auto"/>
        </w:rPr>
        <w:t>Systems that we develop, integrate, or maintain could experience security breaches which may damage our reputation with our clients and hinder future contract win rates.</w:t>
      </w:r>
    </w:p>
    <w:p>
      <w:pPr>
        <w:spacing w:after="0" w:line="3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Many of the systems we develop, integrate, or maintain involve managing and protecting information involved in intelligence, national security, and other sensitive or classified government functions. The cyber and security threats that our clients face have grown more frequent and sophisticated. A security breach in one of these systems could cause serious harm to our business, damage our reputation, and prevent us from being eligible for further work on sensitive or classified systems for U.S. government clients. Damage to our reputation or limitations on our eligibility for additional work or any liability resulting from a security breach in one of the systems we develop, install, or maintain could have a material adverse effect on our results of operations.</w:t>
      </w:r>
    </w:p>
    <w:p>
      <w:pPr>
        <w:spacing w:after="0" w:line="104" w:lineRule="exact"/>
        <w:rPr>
          <w:sz w:val="20"/>
          <w:szCs w:val="20"/>
          <w:color w:val="auto"/>
        </w:rPr>
      </w:pPr>
    </w:p>
    <w:p>
      <w:pPr>
        <w:ind w:right="520" w:firstLine="216"/>
        <w:spacing w:after="0" w:line="264" w:lineRule="auto"/>
        <w:rPr>
          <w:sz w:val="20"/>
          <w:szCs w:val="20"/>
          <w:color w:val="auto"/>
        </w:rPr>
      </w:pPr>
      <w:r>
        <w:rPr>
          <w:rFonts w:ascii="Arial" w:cs="Arial" w:eastAsia="Arial" w:hAnsi="Arial"/>
          <w:sz w:val="18"/>
          <w:szCs w:val="18"/>
          <w:b w:val="1"/>
          <w:bCs w:val="1"/>
          <w:i w:val="1"/>
          <w:iCs w:val="1"/>
          <w:color w:val="auto"/>
        </w:rPr>
        <w:t>Internal system or service failures,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4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create, implement, and maintain information technology and engineering systems, and provide services that are often critical to our clients' operations, some of which involve classified or other sensitive information and may be conducted in war zones or other hazardous environments.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U.S. Government contractor, we hold classified or other sensitive information. As a result, we face a heightened risk of a security breach or disruption with respect to classified or other sensitive information resulting from an attack by computer hackers, foreign governments, and cyber terrorists.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or utilities could cause us to interrupt or suspend our operations, which could have a material adverse effect on our business and results of operations.</w:t>
      </w:r>
    </w:p>
    <w:p>
      <w:pPr>
        <w:spacing w:after="0" w:line="115" w:lineRule="exact"/>
        <w:rPr>
          <w:sz w:val="20"/>
          <w:szCs w:val="20"/>
          <w:color w:val="auto"/>
        </w:rPr>
      </w:pPr>
    </w:p>
    <w:p>
      <w:pPr>
        <w:ind w:right="380" w:firstLine="432"/>
        <w:spacing w:after="0" w:line="258" w:lineRule="auto"/>
        <w:rPr>
          <w:sz w:val="20"/>
          <w:szCs w:val="20"/>
          <w:color w:val="auto"/>
        </w:rPr>
      </w:pPr>
      <w:r>
        <w:rPr>
          <w:rFonts w:ascii="Arial" w:cs="Arial" w:eastAsia="Arial" w:hAnsi="Arial"/>
          <w:sz w:val="18"/>
          <w:szCs w:val="18"/>
          <w:color w:val="auto"/>
        </w:rPr>
        <w:t>If our systems, services, or other applications have significant defects or errors, are successfully attacked by cyber and other security threats, suffer delivery delays, or otherwise fail to meet our clients’ expectations, we may:</w:t>
      </w:r>
    </w:p>
    <w:p>
      <w:pPr>
        <w:spacing w:after="0" w:line="1"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costs related to monitoring and increasing our cybersecurity;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9" w:lineRule="exact"/>
        <w:rPr>
          <w:rFonts w:ascii="Arial" w:cs="Arial" w:eastAsia="Arial" w:hAnsi="Arial"/>
          <w:sz w:val="18"/>
          <w:szCs w:val="18"/>
          <w:color w:val="auto"/>
        </w:rPr>
      </w:pPr>
    </w:p>
    <w:p>
      <w:pPr>
        <w:ind w:left="640" w:right="780" w:hanging="321"/>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U.S. government, international, and commercial clients;</w:t>
      </w:r>
    </w:p>
    <w:p>
      <w:pPr>
        <w:ind w:left="640" w:hanging="321"/>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suffer claims for substantial damages, particularly as a result of any successful network or systems breach and exfiltration of client information; or</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significant costs complying with applicable federal or state law, including laws governing protection of personal information.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73" w:right="259" w:bottom="1440" w:gutter="0" w:footer="0" w:header="0"/>
        </w:sectPr>
      </w:pPr>
    </w:p>
    <w:bookmarkStart w:id="28" w:name="page29"/>
    <w:bookmarkEnd w:id="28"/>
    <w:p>
      <w:pPr>
        <w:ind w:right="60" w:firstLine="432"/>
        <w:spacing w:after="0" w:line="277"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errors and omissions insurance coverage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134" w:lineRule="exact"/>
        <w:rPr>
          <w:sz w:val="20"/>
          <w:szCs w:val="20"/>
          <w:color w:val="auto"/>
        </w:rPr>
      </w:pPr>
    </w:p>
    <w:p>
      <w:pPr>
        <w:ind w:right="660" w:firstLine="216"/>
        <w:spacing w:after="0" w:line="277" w:lineRule="auto"/>
        <w:rPr>
          <w:sz w:val="20"/>
          <w:szCs w:val="20"/>
          <w:color w:val="auto"/>
        </w:rPr>
      </w:pPr>
      <w:r>
        <w:rPr>
          <w:rFonts w:ascii="Arial" w:cs="Arial" w:eastAsia="Arial" w:hAnsi="Arial"/>
          <w:sz w:val="18"/>
          <w:szCs w:val="18"/>
          <w:b w:val="1"/>
          <w:bCs w:val="1"/>
          <w:i w:val="1"/>
          <w:iCs w:val="1"/>
          <w:color w:val="auto"/>
        </w:rPr>
        <w:t>The growth of our U.S. and international business entails risks, including those associated with new relationships, clients, capabilities, service offerings, and maintaining our collaborative culture and core values.</w:t>
      </w:r>
    </w:p>
    <w:p>
      <w:pPr>
        <w:spacing w:after="0" w:line="3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are focused on growing our presence in our addressable markets by: expanding our relationships with existing clients, developing new clients by leveraging our core competencies, further developing our existing capabilities and service offerings and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foreign laws and regulations and applicable U.S. regulation and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and opportunity costs of pursuing these opportunities in lieu of others and these efforts could ultimately be unsuccessful. 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we may be unable to grow our business. Any such failure could have a material adverse effect on our business and results of operations.</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185" w:lineRule="exact"/>
        <w:rPr>
          <w:sz w:val="20"/>
          <w:szCs w:val="20"/>
          <w:color w:val="auto"/>
        </w:rPr>
      </w:pPr>
    </w:p>
    <w:p>
      <w:pPr>
        <w:jc w:val="both"/>
        <w:ind w:right="100" w:firstLine="216"/>
        <w:spacing w:after="0" w:line="264" w:lineRule="auto"/>
        <w:rPr>
          <w:sz w:val="20"/>
          <w:szCs w:val="20"/>
          <w:color w:val="auto"/>
        </w:rPr>
      </w:pPr>
      <w:r>
        <w:rPr>
          <w:rFonts w:ascii="Arial" w:cs="Arial" w:eastAsia="Arial" w:hAnsi="Arial"/>
          <w:sz w:val="18"/>
          <w:szCs w:val="18"/>
          <w:b w:val="1"/>
          <w:bCs w:val="1"/>
          <w:i w:val="1"/>
          <w:iCs w:val="1"/>
          <w:color w:val="auto"/>
        </w:rPr>
        <w:t>Our international operations are subject to special U.S. government laws and regulations, such as the Foreign Corrupt Practices Act, and regulations and procurement policies and practices, including regulations to import-export control, which may expose us to liability or impair our ability to compete in international markets.</w:t>
      </w:r>
    </w:p>
    <w:p>
      <w:pPr>
        <w:spacing w:after="0" w:line="4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Our international operations are subject to the U.S. Foreign Corrupt Practices Act, or the FCPA, and other laws that prohibit improper payments or offers of payments to foreign governments and their officials and political parties by U.S. and other business entities for the purpose of obtaining or retaining business. We have operations and deal with governmental customers in countries known to experience corruption, including certain emerging countries in the Middle East. Our activities in these countries create the risk of unauthorized payments or offers of payments by one of our employees, consultants or contractors that could be in violation of various laws including the FCPA, even though these parties are not always subject to our control.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113"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If we were to fail to comply with the FCPA or the applicable import-export control regulations, we could be subject to substantial civil and criminal penalties, including fines for our company and incarceration for responsible employees and managers, and the possible loss of export or import privileges which could have a material adverse effect on our business and results of operations.</w:t>
      </w:r>
    </w:p>
    <w:p>
      <w:pPr>
        <w:spacing w:after="0" w:line="127"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54" w:right="259" w:bottom="1440" w:gutter="0" w:footer="0" w:header="0"/>
        </w:sectPr>
      </w:pPr>
    </w:p>
    <w:bookmarkStart w:id="29" w:name="page30"/>
    <w:bookmarkEnd w:id="29"/>
    <w:p>
      <w:pPr>
        <w:ind w:right="40" w:firstLine="432"/>
        <w:spacing w:after="0" w:line="276" w:lineRule="auto"/>
        <w:rPr>
          <w:sz w:val="20"/>
          <w:szCs w:val="20"/>
          <w:color w:val="auto"/>
        </w:rPr>
      </w:pPr>
      <w:r>
        <w:rPr>
          <w:rFonts w:ascii="Arial" w:cs="Arial" w:eastAsia="Arial" w:hAnsi="Arial"/>
          <w:sz w:val="17"/>
          <w:szCs w:val="17"/>
          <w:color w:val="auto"/>
        </w:rPr>
        <w:t>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 The outcome of any such review is difficult to predict and the extent of changes to our business following such a review, if any, are dependent in part upon the nature and extent of the review. As disclosed under “Item 1. Business”, effective April 1, 2013, we implemented a restructured operating matrix to better align our service offerings and capabilities with our clients' needs and better match our addressable markets.</w:t>
      </w:r>
    </w:p>
    <w:p>
      <w:pPr>
        <w:spacing w:after="0" w:line="3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implementation of these changes, and the implementation of other future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174" w:lineRule="exact"/>
        <w:rPr>
          <w:sz w:val="20"/>
          <w:szCs w:val="20"/>
          <w:color w:val="auto"/>
        </w:rPr>
      </w:pPr>
    </w:p>
    <w:p>
      <w:pPr>
        <w:ind w:right="300" w:firstLine="216"/>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debt in the future, which could substantially reduce our profitability, limit our ability to pursue certain business opportunities, and reduce the value of your investment.</w:t>
      </w:r>
    </w:p>
    <w:p>
      <w:pPr>
        <w:spacing w:after="0" w:line="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March 31, 2013, we had approximately $1.7 billion of debt outstanding. The instruments governing our indebtedness may not prevent us or our subsidiaries from incurring additional debt in the future or other obligations that do not constitute indebtedness, which could increase the risks described below and lead to other risks. In addition, we may, increase the borrowing capacity under our senior secured credit agreement without the consent of any person other than the institutions agreeing to provide all or any portion of such increase, to an amount not to exceed $300.0 million, subject to certain closing conditions including pro forma compliance with financial covenants. The amount of our debt or such other obligations could have important consequences, including, but not limited to:</w:t>
      </w:r>
    </w:p>
    <w:p>
      <w:pPr>
        <w:spacing w:after="0" w:line="274"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satisfy obligations to lenders may be impaired, resulting in possible defaults on and acceleration of our indebtedness;</w:t>
      </w:r>
    </w:p>
    <w:p>
      <w:pPr>
        <w:spacing w:after="0" w:line="23" w:lineRule="exact"/>
        <w:rPr>
          <w:rFonts w:ascii="Arial" w:cs="Arial" w:eastAsia="Arial" w:hAnsi="Arial"/>
          <w:sz w:val="18"/>
          <w:szCs w:val="18"/>
          <w:color w:val="auto"/>
        </w:rPr>
      </w:pPr>
    </w:p>
    <w:p>
      <w:pPr>
        <w:ind w:left="640" w:right="700" w:hanging="321"/>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financing for refinancing of existing indebtedness, working capital, capital expenditures, product and service development, acquisitions, general corporate purposes, and other purposes may be impaired;</w:t>
      </w: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could be dedicated to the payment of the principal and interest on our debt;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increasingly vulnerable to economic downturns and increases in interest rates;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flexibility in planning for and reacting to changes in our business and the industry may be limited;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placed at a competitive disadvantage relative to other firms in our industry.</w:t>
      </w:r>
    </w:p>
    <w:p>
      <w:pPr>
        <w:spacing w:after="0" w:line="238" w:lineRule="exact"/>
        <w:rPr>
          <w:sz w:val="20"/>
          <w:szCs w:val="20"/>
          <w:color w:val="auto"/>
        </w:rPr>
      </w:pPr>
    </w:p>
    <w:p>
      <w:pPr>
        <w:ind w:right="220" w:firstLine="216"/>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contains financial and operating covenants that limit our operations and could lead to adverse consequences if we fail to comply with them.</w:t>
      </w:r>
    </w:p>
    <w:p>
      <w:pPr>
        <w:spacing w:after="0" w:line="35"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Our senior secured credit agreement contains financial and operating covenants relating to, among other things, interest coverage and leverage ratios, as well as limitations on mergers, consolidations and dissolutions, sales of assets, investments and acquisitions, indebtedness and liens, dividends, repurchase of shares of capital stock and options to purchase shares of capital stock, transactions with affiliates, sale and leaseback transactions, and restricted payments.</w:t>
      </w:r>
    </w:p>
    <w:p>
      <w:pPr>
        <w:ind w:right="160"/>
        <w:spacing w:after="0" w:line="295" w:lineRule="auto"/>
        <w:rPr>
          <w:sz w:val="20"/>
          <w:szCs w:val="20"/>
          <w:color w:val="auto"/>
        </w:rPr>
      </w:pPr>
      <w:r>
        <w:rPr>
          <w:rFonts w:ascii="Arial" w:cs="Arial" w:eastAsia="Arial" w:hAnsi="Arial"/>
          <w:sz w:val="16"/>
          <w:szCs w:val="16"/>
          <w:color w:val="auto"/>
        </w:rPr>
        <w:t>The revolving credit facility matures on December 31, 2017. The Tranche A and Tranche B term facilities mature on December 31, 2017 and July 31, 2019, respectively. Failure to meet these financial and operating covenants could result from, among other things, changes in our results of operations, the incurrence of debt, or changes in general economic conditions, which may be beyond our control. These covenants may restrict our ability to engage in transactions that we believe would otherwise be in the best interests of our stockholders, which could harm our business and operations.</w:t>
      </w:r>
    </w:p>
    <w:p>
      <w:pPr>
        <w:spacing w:after="0" w:line="18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3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fiscal 2013, we derived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73" w:right="259" w:bottom="1440" w:gutter="0" w:footer="0" w:header="0"/>
        </w:sectPr>
      </w:pPr>
    </w:p>
    <w:bookmarkStart w:id="30" w:name="page31"/>
    <w:bookmarkEnd w:id="30"/>
    <w:p>
      <w:pPr>
        <w:ind w:right="340" w:firstLine="216"/>
        <w:spacing w:after="0" w:line="277"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3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35"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5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including through Carlyle, or with which we otherwise conduct business, create organizational conflicts of interest issues for us, our results of operations could be materially and adversely affected.</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Acquisitions could result in operating difficulties or other adverse consequences to our business.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part of our operating strategy, we may continue to selectively pursue acquisitions. This could pose many risks, including:</w:t>
      </w:r>
    </w:p>
    <w:p>
      <w:pPr>
        <w:spacing w:after="0" w:line="23"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candidates at prices we consider attractive;</w:t>
      </w:r>
    </w:p>
    <w:p>
      <w:pPr>
        <w:spacing w:after="0" w:line="9" w:lineRule="exact"/>
        <w:rPr>
          <w:rFonts w:ascii="Arial" w:cs="Arial" w:eastAsia="Arial" w:hAnsi="Arial"/>
          <w:sz w:val="18"/>
          <w:szCs w:val="18"/>
          <w:color w:val="auto"/>
        </w:rPr>
      </w:pPr>
    </w:p>
    <w:p>
      <w:pPr>
        <w:ind w:left="640" w:right="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compete successfully for identified acquisition candidates, complete acquisitions, or accurately estimate the financial effect of acquisitions on our business;</w:t>
      </w:r>
    </w:p>
    <w:p>
      <w:pPr>
        <w:ind w:left="640" w:hanging="321"/>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future acquisitions may require us to issue common stock or spend significant cash, resulting in dilution of ownership or additional debt leverage;</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retaining an acquired company’s key employees or clients;</w:t>
      </w:r>
    </w:p>
    <w:p>
      <w:pPr>
        <w:spacing w:after="0" w:line="9" w:lineRule="exact"/>
        <w:rPr>
          <w:rFonts w:ascii="Arial" w:cs="Arial" w:eastAsia="Arial" w:hAnsi="Arial"/>
          <w:sz w:val="18"/>
          <w:szCs w:val="18"/>
          <w:color w:val="auto"/>
        </w:rPr>
      </w:pPr>
    </w:p>
    <w:p>
      <w:pPr>
        <w:ind w:left="640" w:right="8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resulting in unforeseen difficulties, such as incompatible accounting, information management, or other control systems, and greater expenses than expected;</w:t>
      </w: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may disrupt our business or distract our management from other responsibilities;</w:t>
      </w:r>
    </w:p>
    <w:p>
      <w:pPr>
        <w:spacing w:after="0" w:line="9" w:lineRule="exact"/>
        <w:rPr>
          <w:rFonts w:ascii="Arial" w:cs="Arial" w:eastAsia="Arial" w:hAnsi="Arial"/>
          <w:sz w:val="18"/>
          <w:szCs w:val="18"/>
          <w:color w:val="auto"/>
        </w:rPr>
      </w:pPr>
    </w:p>
    <w:p>
      <w:pPr>
        <w:ind w:left="6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result of an acquisition, we may incur additional debt and we may need to record write-downs from future impairments of intangible assets, each of which could reduce our future reported earnings; and</w:t>
      </w: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integrating personnel from the acquired company with our people and our core values.</w:t>
      </w:r>
    </w:p>
    <w:p>
      <w:pPr>
        <w:spacing w:after="0" w:line="15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4" w:lineRule="exact"/>
        <w:rPr>
          <w:sz w:val="20"/>
          <w:szCs w:val="20"/>
          <w:color w:val="auto"/>
        </w:rPr>
      </w:pPr>
    </w:p>
    <w:p>
      <w:pPr>
        <w:ind w:right="20" w:firstLine="216"/>
        <w:spacing w:after="0" w:line="381"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935" w:right="279" w:bottom="1440" w:gutter="0" w:footer="0" w:header="0"/>
        </w:sectPr>
      </w:pPr>
    </w:p>
    <w:bookmarkStart w:id="31" w:name="page32"/>
    <w:bookmarkEnd w:id="31"/>
    <w:p>
      <w:pPr>
        <w:ind w:right="420" w:firstLine="432"/>
        <w:spacing w:after="0" w:line="258" w:lineRule="auto"/>
        <w:rPr>
          <w:sz w:val="20"/>
          <w:szCs w:val="20"/>
          <w:color w:val="auto"/>
        </w:rPr>
      </w:pPr>
      <w:r>
        <w:rPr>
          <w:rFonts w:ascii="Arial" w:cs="Arial" w:eastAsia="Arial" w:hAnsi="Arial"/>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1"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orders under or otherwise modify contracts;</w:t>
      </w:r>
    </w:p>
    <w:p>
      <w:pPr>
        <w:spacing w:after="0" w:line="9" w:lineRule="exact"/>
        <w:rPr>
          <w:rFonts w:ascii="Arial" w:cs="Arial" w:eastAsia="Arial" w:hAnsi="Arial"/>
          <w:sz w:val="18"/>
          <w:szCs w:val="18"/>
          <w:color w:val="auto"/>
        </w:rPr>
      </w:pPr>
    </w:p>
    <w:p>
      <w:pPr>
        <w:ind w:left="640" w:right="14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ind w:left="640" w:right="22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terminate our facility security clearances and thereby prevent us from receiving classified contracts;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 to exercise an option to renew a multi-year contract or issue task orders in connection with ID/IQ contracts;</w:t>
      </w:r>
    </w:p>
    <w:p>
      <w:pPr>
        <w:spacing w:after="0" w:line="9"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1" w:lineRule="exact"/>
        <w:rPr>
          <w:rFonts w:ascii="Arial" w:cs="Arial" w:eastAsia="Arial" w:hAnsi="Arial"/>
          <w:sz w:val="18"/>
          <w:szCs w:val="18"/>
          <w:color w:val="auto"/>
        </w:rPr>
      </w:pPr>
    </w:p>
    <w:p>
      <w:pPr>
        <w:ind w:left="640" w:right="34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 w:lineRule="exact"/>
        <w:rPr>
          <w:rFonts w:ascii="Arial" w:cs="Arial" w:eastAsia="Arial" w:hAnsi="Arial"/>
          <w:sz w:val="18"/>
          <w:szCs w:val="18"/>
          <w:color w:val="auto"/>
        </w:rPr>
      </w:pPr>
    </w:p>
    <w:p>
      <w:pPr>
        <w:ind w:left="640" w:right="20" w:hanging="321"/>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debar us from doing business with the U.S. government;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control or prohibit the export of our services.</w:t>
      </w:r>
    </w:p>
    <w:p>
      <w:pPr>
        <w:spacing w:after="0" w:line="15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U.S. government may revise its procurement, contract or other practices in a manner adverse to us.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government may:</w:t>
      </w:r>
    </w:p>
    <w:p>
      <w:pPr>
        <w:spacing w:after="0" w:line="23" w:lineRule="exact"/>
        <w:rPr>
          <w:sz w:val="20"/>
          <w:szCs w:val="20"/>
          <w:color w:val="auto"/>
        </w:rPr>
      </w:pPr>
    </w:p>
    <w:p>
      <w:pPr>
        <w:ind w:left="640" w:right="36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ind w:left="640" w:hanging="32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20" w:lineRule="exact"/>
        <w:rPr>
          <w:rFonts w:ascii="Arial" w:cs="Arial" w:eastAsia="Arial" w:hAnsi="Arial"/>
          <w:sz w:val="17"/>
          <w:szCs w:val="17"/>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creation of new government-wide or agency-specific multiple award contracts;</w:t>
      </w:r>
    </w:p>
    <w:p>
      <w:pPr>
        <w:spacing w:after="0" w:line="9" w:lineRule="exact"/>
        <w:rPr>
          <w:rFonts w:ascii="Arial" w:cs="Arial" w:eastAsia="Arial" w:hAnsi="Arial"/>
          <w:sz w:val="18"/>
          <w:szCs w:val="18"/>
          <w:color w:val="auto"/>
        </w:rPr>
      </w:pPr>
    </w:p>
    <w:p>
      <w:pPr>
        <w:ind w:left="640" w:right="280" w:hanging="321"/>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face restrictions or pressure from government employees and their unions regarding the amount of services the U.S. government may obtain from private contractors;</w:t>
      </w:r>
    </w:p>
    <w:p>
      <w:pPr>
        <w:ind w:left="640" w:hanging="321"/>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award contracts on a technically acceptable/lowest cost basis in order to reduce expenditures, and we may not be the lowest cost provider of services;</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adopt new socio-economic requirements, including setting aside funds to small, disadvantaged businesses;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basis upon which it reimburses our compensation and other expenses or otherwise limit such reimbursements;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its option, terminate or decline to renew our contracts.</w:t>
      </w:r>
    </w:p>
    <w:p>
      <w:pPr>
        <w:spacing w:after="0" w:line="15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73" w:right="25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color w:val="auto"/>
        </w:rPr>
        <w:t>and manages its contracts, it could result in an increase in competitive pressure and decreased profitability on contracts and have a material adverse effect on our results of operations.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The U.S. government may prefer minority-owned, small and small disadvantaged businesses; therefore, we may not win contracts we bid for.</w:t>
      </w:r>
    </w:p>
    <w:p>
      <w:pPr>
        <w:spacing w:after="0" w:line="11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recomplete on incumbent work that is placed in the set-aside program.</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contracts, performance, and administrative processes and systems are subject to audits, reviews, investigations, and cost adjustments by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which could reduce our revenue, disrupt our business or otherwise materially adversely affect our results of operation.</w:t>
      </w:r>
    </w:p>
    <w:p>
      <w:pPr>
        <w:spacing w:after="0" w:line="76" w:lineRule="exact"/>
        <w:rPr>
          <w:sz w:val="20"/>
          <w:szCs w:val="20"/>
          <w:color w:val="auto"/>
        </w:rPr>
      </w:pPr>
    </w:p>
    <w:p>
      <w:pPr>
        <w:ind w:firstLine="432"/>
        <w:spacing w:after="0" w:line="282" w:lineRule="auto"/>
        <w:rPr>
          <w:sz w:val="20"/>
          <w:szCs w:val="20"/>
          <w:color w:val="auto"/>
        </w:rPr>
      </w:pPr>
      <w:r>
        <w:rPr>
          <w:rFonts w:ascii="Arial" w:cs="Arial" w:eastAsia="Arial" w:hAnsi="Arial"/>
          <w:sz w:val="16"/>
          <w:szCs w:val="16"/>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systems are found not to comply with government imposed requirements, we may be subjected to increased government scrutiny and approval that could delay or otherwise adversely affect our ability to compete for or perform contracts. Unfavorable U.S. government audit, review, or investigation results could subject us to civil or criminal penalties or administrative sanctions, and could harm our reputation and relationships with our clients and impair our ability to be awarded new contracts. For example,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w:t>
      </w:r>
    </w:p>
    <w:p>
      <w:pPr>
        <w:spacing w:after="0" w:line="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208"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2" w:right="259" w:bottom="1440" w:gutter="0" w:footer="0" w:header="0"/>
        </w:sectPr>
      </w:pPr>
    </w:p>
    <w:bookmarkStart w:id="33" w:name="page34"/>
    <w:bookmarkEnd w:id="33"/>
    <w:p>
      <w:pPr>
        <w:spacing w:after="0" w:line="289" w:lineRule="auto"/>
        <w:rPr>
          <w:sz w:val="20"/>
          <w:szCs w:val="20"/>
          <w:color w:val="auto"/>
        </w:rPr>
      </w:pPr>
      <w:r>
        <w:rPr>
          <w:rFonts w:ascii="Arial" w:cs="Arial" w:eastAsia="Arial" w:hAnsi="Arial"/>
          <w:sz w:val="16"/>
          <w:szCs w:val="16"/>
          <w:color w:val="auto"/>
        </w:rPr>
        <w:t>operate at spending levels approved in the previous budget cycle. Most recently, in the absence of an annual budget for the government's current fiscal year, a continuing resolution that provides funding through the end of September 30, 2013 for certain government agencies and departments was passed by Congress, and signed by President Obama on March 26, 2013. Under a continuing resolution, funding may not be available for new projects. In particular, the current continuing resolution contains standard restrictions that restrict new program starts and program increases beyond current service levels. In addition, when government agencies operate on the basis of a continuing resolution, they may delay funding we expect to receive on contracts we are already performing. Any such delays would likely result in new business initiatives being delayed or cancelled and a reduction in our backlog, and could have a material adverse effect on our revenue and operating results. In addition, a failure to complete the budget process and fund government operations pursuant to a continuing resolution may result in a federal government shutdown. A shutdown may result in us incurring substantial costs without reimbursement under our contracts and the delay or cancellation of key programs, which could have a material adverse effect on our revenue and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ind w:right="340" w:firstLine="216"/>
        <w:spacing w:after="0" w:line="277" w:lineRule="auto"/>
        <w:rPr>
          <w:sz w:val="20"/>
          <w:szCs w:val="20"/>
          <w:color w:val="auto"/>
        </w:rPr>
      </w:pPr>
      <w:r>
        <w:rPr>
          <w:rFonts w:ascii="Arial" w:cs="Arial" w:eastAsia="Arial" w:hAnsi="Arial"/>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3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our senior secured credit agreement significantly restricts the ability of our subsidiaries to pay dividends or otherwise transfer assets to us. In addition, Delaware law may impose requirements that may restrict our ability to pay dividends to holders of our common stock.</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principal stockholder could exert significant influence over our company.</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As of March 31, 2013, Carlyle, through Coinvest, owned shares of our common stock representing approximately 2/3 of our outstanding voting power (excluding shares of common stock with respect to which Carlyle has received a voting proxy pursuant to irrevocable proxy and tag-along agreements). Under the terms of the irrevocable proxy and tag-along agreements Carlyle is able to exercise voting power over shares of our common stock owned by a number of other stockholders, including our executive officers, with respect to the election and removal of directors and change of control transactions. As a result, Carlyle will have a controlling influence over all matters presented to our stockholders for approval, including election and removal of our directors and change of control transactions.</w:t>
      </w:r>
    </w:p>
    <w:p>
      <w:pPr>
        <w:spacing w:after="0" w:line="13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Coinvest is a party to the amended and restated stockholders agreement pursuant to which Carlyle has the right to nominate a majority of the members of our board of directors, or our Board, and to exercise control over matters requiring stockholder approval and our policy and affairs. In addition, we are a “controlled company” within the meaning of the New York Stock Exchange rules and, as a result, currently intend to rely on exemptions from certain corporate governance requirements. The concentrated holdings of funds affiliated with Carlyle, certain provisions of the amended and restated stockholders agreement and the presence of Carlyle’s nominees on our Board may result in a delay or the deterrence of possible changes in control of our company, which may reduce the market price of our common stock. The interests of Carlyle may not always coincide with the interests of the other holders of our common stock.</w:t>
      </w:r>
    </w:p>
    <w:p>
      <w:pPr>
        <w:spacing w:after="0" w:line="13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Carlyle is in the business of making investments in companies, and may from time to time in the future acquire controlling interests in businesses engaged in management and technology consulting that complement or directly or indirectly compete with certain portions of our business. If Carlyle pursues such acquisitions in our industry, those acquisition opportunities may not be available to us. In addition, to the extent that Carlyle acquires a controlling interest in one or more companies that provide services or products to the U.S. government, our affiliation with any such company through Carlyle could create organizational conflicts of interest and similar issues for us under federal procurement laws and regulations. See “— Risks Related to Our Business — Recent efforts by the U.S. government to revise its organizational conflicts of interest rules could limit our ability to successfully compete for new contracts or task orders, which would adversely affect our results of operations.”</w:t>
      </w:r>
    </w:p>
    <w:p>
      <w:pPr>
        <w:spacing w:after="0" w:line="205" w:lineRule="exact"/>
        <w:rPr>
          <w:sz w:val="20"/>
          <w:szCs w:val="20"/>
          <w:color w:val="auto"/>
        </w:rPr>
      </w:pPr>
    </w:p>
    <w:p>
      <w:pPr>
        <w:ind w:right="400" w:firstLine="216"/>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35" w:lineRule="exact"/>
        <w:rPr>
          <w:sz w:val="20"/>
          <w:szCs w:val="20"/>
          <w:color w:val="auto"/>
        </w:rPr>
      </w:pPr>
    </w:p>
    <w:p>
      <w:pPr>
        <w:ind w:right="420" w:firstLine="432"/>
        <w:spacing w:after="0" w:line="256" w:lineRule="auto"/>
        <w:rPr>
          <w:sz w:val="20"/>
          <w:szCs w:val="20"/>
          <w:color w:val="auto"/>
        </w:rPr>
      </w:pPr>
      <w:r>
        <w:rPr>
          <w:rFonts w:ascii="Arial" w:cs="Arial" w:eastAsia="Arial" w:hAnsi="Arial"/>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cause of reduction or delay in U.S. government funding;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73" w:right="239" w:bottom="1440" w:gutter="0" w:footer="0" w:header="0"/>
        </w:sectPr>
      </w:pPr>
    </w:p>
    <w:bookmarkStart w:id="34" w:name="page35"/>
    <w:bookmarkEnd w:id="34"/>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revenue earned on existing contracts;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 particular period;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32" w:lineRule="exact"/>
        <w:rPr>
          <w:rFonts w:ascii="Arial" w:cs="Arial" w:eastAsia="Arial" w:hAnsi="Arial"/>
          <w:sz w:val="16"/>
          <w:szCs w:val="16"/>
          <w:color w:val="auto"/>
        </w:rPr>
      </w:pPr>
    </w:p>
    <w:p>
      <w:pPr>
        <w:ind w:left="640" w:right="60" w:hanging="321"/>
        <w:spacing w:after="0" w:line="250"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changes to business strategy, strategic investments, acquisitions, divestitures, spin offs, and joint ventures;</w:t>
      </w: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change in our contract mix to less profitable contracts;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U.S. government contracts in general;</w:t>
      </w:r>
    </w:p>
    <w:p>
      <w:pPr>
        <w:spacing w:after="0" w:line="9" w:lineRule="exact"/>
        <w:rPr>
          <w:rFonts w:ascii="Arial" w:cs="Arial" w:eastAsia="Arial" w:hAnsi="Arial"/>
          <w:sz w:val="18"/>
          <w:szCs w:val="18"/>
          <w:color w:val="auto"/>
        </w:rPr>
      </w:pPr>
    </w:p>
    <w:p>
      <w:pPr>
        <w:ind w:left="640" w:right="100" w:hanging="321"/>
        <w:spacing w:after="0" w:line="250"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which are agreements that fulfill repetitive needs under GSA schedules, and ID/IQ contracts;</w:t>
      </w: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demand for our services and solutions;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degree to which we are able to utilize our professionals;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seasonality associated with the U.S. government’s fiscal year;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 change in law;</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alterations to contract requirements;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cannot assure you that we will pay special or regular dividends on our stock in the future.</w:t>
      </w:r>
    </w:p>
    <w:p>
      <w:pPr>
        <w:spacing w:after="0" w:line="23"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board of directors authorized and declared a regular quarterly cash dividend for each of the last six quarters. The board of directors also authorized and declared a special cash dividend on May 29, 2012 and July 30, 2012, respectively. The declaration of any future dividends and the establishment of the per share amount, record dates and payment dates for an such future dividends are subject to the discretion of the board of directors taking into account future earnings, cash flows, financial requirements 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16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b w:val="1"/>
          <w:bCs w:val="1"/>
          <w:i w:val="1"/>
          <w:iCs w:val="1"/>
          <w:color w:val="auto"/>
        </w:rPr>
        <w:t>A majority of our outstanding indebtedness is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 In addition, the existence of these security interests may adversely affect our financial flexibility.</w:t>
      </w:r>
    </w:p>
    <w:p>
      <w:pPr>
        <w:spacing w:after="0" w:line="5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Indebtedness under our senior secured credit agreement is secured by a lien on substantially all of our assets. Accordingly, if an event of default were to occur under our senior secured credit agreement, the senior secured lenders under such facilities would have a prior right to our assets, to the exclusion of our general creditors in the event of our bankruptcy, insolvency, liquidation, or reorganization. In that event, our assets would first be used to repay in full all indebtedness and other obligations secured by them (including all amounts outstanding under our senior secured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 As of March 31, 2013, we had $1.7 billion of indebtedness outstanding under our senior secured credit agreement and had $497.2 million of capacity available for additional borrowings under the revolving portion of our senior secured credit agreement. In addition, we may, increase the borrowing capacity under our senior secured credit agreement without the consent of any person other than the institutions agreeing to provide all or any portion of such increase, to an amount not to exceed $300.0 million, subject to certain closing conditions including pro forma compliance with financial covenants.</w:t>
      </w:r>
    </w:p>
    <w:p>
      <w:pPr>
        <w:spacing w:after="0" w:line="196" w:lineRule="exact"/>
        <w:rPr>
          <w:sz w:val="20"/>
          <w:szCs w:val="20"/>
          <w:color w:val="auto"/>
        </w:rPr>
      </w:pPr>
    </w:p>
    <w:p>
      <w:pPr>
        <w:ind w:firstLine="216"/>
        <w:spacing w:after="0" w:line="264"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46"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As a public company, the Sarbanes-Oxley Act of 2002 and the Dodd-Frank Wall Street Reform and Consumer Protection Act,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5" w:name="page36"/>
    <w:bookmarkEnd w:id="35"/>
    <w:p>
      <w:pPr>
        <w:ind w:right="160"/>
        <w:spacing w:after="0" w:line="279" w:lineRule="auto"/>
        <w:rPr>
          <w:sz w:val="20"/>
          <w:szCs w:val="20"/>
          <w:color w:val="auto"/>
        </w:rPr>
      </w:pPr>
      <w:r>
        <w:rPr>
          <w:rFonts w:ascii="Arial" w:cs="Arial" w:eastAsia="Arial" w:hAnsi="Arial"/>
          <w:sz w:val="17"/>
          <w:szCs w:val="17"/>
          <w:color w:val="auto"/>
        </w:rPr>
        <w:t>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Securities Exchange Act of 1934, as amended, or the Exchange Act, to maintain disclosure controls and procedures and internal control over financial reporting. Any failure to maintain effective controls or implement new or improved controls, or difficulties encountered in their implementation,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124" w:lineRule="exact"/>
        <w:rPr>
          <w:sz w:val="20"/>
          <w:szCs w:val="20"/>
          <w:color w:val="auto"/>
        </w:rPr>
      </w:pPr>
    </w:p>
    <w:p>
      <w:pPr>
        <w:ind w:right="180" w:firstLine="216"/>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35" w:lineRule="exact"/>
        <w:rPr>
          <w:sz w:val="20"/>
          <w:szCs w:val="20"/>
          <w:color w:val="auto"/>
        </w:rPr>
      </w:pPr>
    </w:p>
    <w:p>
      <w:pPr>
        <w:jc w:val="both"/>
        <w:ind w:right="400" w:firstLine="432"/>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 of a classified Board, with staggered terms;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granting to the Board the sole power to set the number of directors and to fill any vacancy on the Board;</w:t>
      </w:r>
    </w:p>
    <w:p>
      <w:pPr>
        <w:spacing w:after="0" w:line="9" w:lineRule="exact"/>
        <w:rPr>
          <w:rFonts w:ascii="Arial" w:cs="Arial" w:eastAsia="Arial" w:hAnsi="Arial"/>
          <w:sz w:val="18"/>
          <w:szCs w:val="18"/>
          <w:color w:val="auto"/>
        </w:rPr>
      </w:pPr>
    </w:p>
    <w:p>
      <w:pPr>
        <w:ind w:left="640" w:right="400" w:hanging="321"/>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 if a “group,” as defined under Section 13(d)(3) of the Exchange Act, ceases to own more than 50% of our voting common stock;</w:t>
      </w:r>
    </w:p>
    <w:p>
      <w:pPr>
        <w:ind w:left="640" w:hanging="321"/>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granting to the Board the ability to designate and issue one or more series of preferred stock without stockholder approval, the terms of which may be determined at the sole discretion of the Board;</w:t>
      </w: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stockholders from calling special meetings of stockholders;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establishment of advance notice requirements for stockholder proposals and nominations for election to the Board at stockholder meetings;</w:t>
      </w:r>
    </w:p>
    <w:p>
      <w:pPr>
        <w:spacing w:after="0" w:line="20" w:lineRule="exact"/>
        <w:rPr>
          <w:rFonts w:ascii="Arial" w:cs="Arial" w:eastAsia="Arial" w:hAnsi="Arial"/>
          <w:sz w:val="17"/>
          <w:szCs w:val="17"/>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approval of two-thirds of stockholders to amend the bylaws;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prohibiting our stockholders from acting by written consent if a “group” ceases to own more than 50% of our voting common stock.</w:t>
      </w:r>
    </w:p>
    <w:p>
      <w:pPr>
        <w:spacing w:after="0" w:line="15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 In addition, we have opted out of Section 203 of the Delaware General Corporation Law, which would have otherwise imposed additional requirements regarding mergers and other business combinations, until Carlyle and its affiliates no longer own more than 20% of our Class A Common Stock. After such time, we will be governed by Section 203.</w:t>
      </w:r>
    </w:p>
    <w:p>
      <w:pPr>
        <w:spacing w:after="0" w:line="10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Sales of outstanding shares of our common stock into the market in the future could cause the market price of our common stock to drop significantly.</w:t>
      </w:r>
    </w:p>
    <w:p>
      <w:pPr>
        <w:spacing w:after="0" w:line="1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March 31, 2013, Carlyle owned 95,660,000 shares of our Class A Common Stock, or approximately 2/3 of our outstanding Class A Common Stock (excluding shares of common stock with respect to which Carlyle has received a voting proxy pursuant to irrevocable proxy and tag-along agreements). If Carlyle sells, or the market perceives that Carlyle intends to sell, a substantial portion of its beneficial ownership interest in us in the public market, the market price of our Class A Common Stock could decline significantly. The sales also could make it more difficult for us to sell equity or equity-related securities at a time and price that we deem appropriate.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73" w:right="239" w:bottom="1440" w:gutter="0" w:footer="0" w:header="0"/>
        </w:sectPr>
      </w:pPr>
    </w:p>
    <w:bookmarkStart w:id="36" w:name="page37"/>
    <w:bookmarkEnd w:id="36"/>
    <w:p>
      <w:pPr>
        <w:ind w:firstLine="432"/>
        <w:spacing w:after="0" w:line="270" w:lineRule="auto"/>
        <w:rPr>
          <w:sz w:val="20"/>
          <w:szCs w:val="20"/>
          <w:color w:val="auto"/>
        </w:rPr>
      </w:pPr>
      <w:r>
        <w:rPr>
          <w:rFonts w:ascii="Arial" w:cs="Arial" w:eastAsia="Arial" w:hAnsi="Arial"/>
          <w:sz w:val="17"/>
          <w:szCs w:val="17"/>
          <w:color w:val="auto"/>
        </w:rPr>
        <w:t>As of March 31, 2013 136,051,601 shares of our Class A Common Stock were outstanding. In addition to the shares owned by Carlyle, 3,294,910 shares of our Class A Common Stock which are held by directors, executive officers and other affiliates, are restricted securities within the meaning of Rule 144 under the Securities Act eligible for resale in the public market subject to volume, manner of sale and holding period limitations under Rule 144 under the Securities Act. 2,675,919 shares of our Class A Common Stock are issuable upon transfer of our Class B Non-Voting Common Stock and Class C Restricted Common Stock. In addition, (1) 7,244,095 shares of our Class A Common Stock are issuable upon the exercise of outstanding stock options granted under our Officers’ Rollover Stock Plan relating to our outstanding Class E Special Voting Common Stock and (2) 19,295,836 shares of our Class A Common Stock underlying options that are either subject to the terms of our Equity Incentive Plan or reserved for future issuance under our Equity Incentive Plan are eligible for sale in the public market to the extent permitted by the provisions of various option agreements and, to the extent held by affiliates, the volume and manner of sale restrictions of Rule 144. If these additional shares are sold, or if it is perceived that they will be sold, in the public market, the price of our Class A Common Stock could decline substantially.</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do not own any facilities or real estate. Our corporate headquarters are located at 8283 Greensboro Drive, McLean, Virginia 22102. We lease other operating offices and facilities throughout North America, and a limited number of overseas locations. Our principal offices outside of McLean, Virginia include: Annapolis Junction, Maryland; Rockville, Maryland; San Diego, California; Herndon,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3.2 million square feet. We believe our facilities meet our current needs, and that additional facilities will be required and available as we expand in the future.</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“Item 1. Business — Regulation”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2013 and 2012, there are no material amounts accrued in the consolidated financial statements related to these proceedings.</w:t>
      </w:r>
    </w:p>
    <w:p>
      <w:pPr>
        <w:spacing w:after="0" w:line="13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jc w:val="both"/>
        <w:ind w:right="220"/>
        <w:spacing w:after="0" w:line="286" w:lineRule="auto"/>
        <w:rPr>
          <w:sz w:val="20"/>
          <w:szCs w:val="20"/>
          <w:color w:val="auto"/>
        </w:rPr>
      </w:pPr>
      <w:r>
        <w:rPr>
          <w:rFonts w:ascii="Arial" w:cs="Arial" w:eastAsia="Arial" w:hAnsi="Arial"/>
          <w:sz w:val="17"/>
          <w:szCs w:val="17"/>
          <w:color w:val="auto"/>
        </w:rPr>
        <w:t>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our executive officers as of May 10, 2013:</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Age</w:t>
            </w:r>
          </w:p>
        </w:tc>
        <w:tc>
          <w:tcPr>
            <w:tcW w:w="654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60" w:type="dxa"/>
            <w:vAlign w:val="bottom"/>
          </w:tcPr>
          <w:p>
            <w:pPr>
              <w:spacing w:after="0"/>
              <w:rPr>
                <w:sz w:val="20"/>
                <w:szCs w:val="20"/>
                <w:color w:val="auto"/>
              </w:rPr>
            </w:pPr>
            <w:r>
              <w:rPr>
                <w:rFonts w:ascii="Arial" w:cs="Arial" w:eastAsia="Arial" w:hAnsi="Arial"/>
                <w:sz w:val="18"/>
                <w:szCs w:val="18"/>
                <w:color w:val="auto"/>
              </w:rPr>
              <w:t>Ralph W. Shrader</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68</w:t>
            </w:r>
          </w:p>
        </w:tc>
        <w:tc>
          <w:tcPr>
            <w:tcW w:w="6540" w:type="dxa"/>
            <w:vAlign w:val="bottom"/>
          </w:tcPr>
          <w:p>
            <w:pPr>
              <w:ind w:left="500"/>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56"/>
        </w:trPr>
        <w:tc>
          <w:tcPr>
            <w:tcW w:w="2760" w:type="dxa"/>
            <w:vAlign w:val="bottom"/>
          </w:tcPr>
          <w:p>
            <w:pPr>
              <w:spacing w:after="0"/>
              <w:rPr>
                <w:sz w:val="20"/>
                <w:szCs w:val="20"/>
                <w:color w:val="auto"/>
              </w:rPr>
            </w:pPr>
            <w:r>
              <w:rPr>
                <w:rFonts w:ascii="Arial" w:cs="Arial" w:eastAsia="Arial" w:hAnsi="Arial"/>
                <w:sz w:val="18"/>
                <w:szCs w:val="18"/>
                <w:color w:val="auto"/>
              </w:rPr>
              <w:t>Samuel R. Strickland</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62</w:t>
            </w:r>
          </w:p>
        </w:tc>
        <w:tc>
          <w:tcPr>
            <w:tcW w:w="6540" w:type="dxa"/>
            <w:vAlign w:val="bottom"/>
          </w:tcPr>
          <w:p>
            <w:pPr>
              <w:ind w:left="500"/>
              <w:spacing w:after="0"/>
              <w:rPr>
                <w:sz w:val="20"/>
                <w:szCs w:val="20"/>
                <w:color w:val="auto"/>
              </w:rPr>
            </w:pPr>
            <w:r>
              <w:rPr>
                <w:rFonts w:ascii="Arial" w:cs="Arial" w:eastAsia="Arial" w:hAnsi="Arial"/>
                <w:sz w:val="18"/>
                <w:szCs w:val="18"/>
                <w:color w:val="auto"/>
                <w:w w:val="92"/>
              </w:rPr>
              <w:t>Executive Vice President, Chief Financial Officer, Chief Administrative Officer and</w:t>
            </w:r>
          </w:p>
        </w:tc>
      </w:tr>
      <w:tr>
        <w:trPr>
          <w:trHeight w:val="230"/>
        </w:trPr>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54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Horacio D. Rozanski</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45</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Karen M. Dahut</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49</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Lloyd Howell, Jr.</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46</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Joseph Logue</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47</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John D. Mayer</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67</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John M. McConnell</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67</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Vice Chairman</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Robert S. Osborne</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58</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Elizabeth M. Thompson</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58</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 and Chief Personnel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Richard J. Wilhelm</w:t>
            </w:r>
          </w:p>
        </w:tc>
        <w:tc>
          <w:tcPr>
            <w:tcW w:w="1760" w:type="dxa"/>
            <w:vAlign w:val="bottom"/>
          </w:tcPr>
          <w:p>
            <w:pPr>
              <w:jc w:val="center"/>
              <w:ind w:left="451"/>
              <w:spacing w:after="0"/>
              <w:rPr>
                <w:sz w:val="20"/>
                <w:szCs w:val="20"/>
                <w:color w:val="auto"/>
              </w:rPr>
            </w:pPr>
            <w:r>
              <w:rPr>
                <w:rFonts w:ascii="Arial" w:cs="Arial" w:eastAsia="Arial" w:hAnsi="Arial"/>
                <w:sz w:val="18"/>
                <w:szCs w:val="18"/>
                <w:color w:val="auto"/>
                <w:w w:val="89"/>
              </w:rPr>
              <w:t>67</w:t>
            </w:r>
          </w:p>
        </w:tc>
        <w:tc>
          <w:tcPr>
            <w:tcW w:w="654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bl>
    <w:p>
      <w:pPr>
        <w:spacing w:after="0" w:line="17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 xml:space="preserve">Ralph W. Shrader </w:t>
      </w:r>
      <w:r>
        <w:rPr>
          <w:rFonts w:ascii="Arial" w:cs="Arial" w:eastAsia="Arial" w:hAnsi="Arial"/>
          <w:sz w:val="16"/>
          <w:szCs w:val="16"/>
          <w:color w:val="auto"/>
        </w:rPr>
        <w:t>is our Chairman, Chief Executive Officer and President and has served in these positions since 2008. He also served as Chairman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Booz Allen Hamilton Inc. since 1999. Dr. Shrader has been an employee of our company since 1974. He is the seventh chairman since our company's founding in 1914 and has led our company through a significant period of growth and strategic realignment. Dr. Shrader is active in professional and charitable organizations, and is past Chairman of the Armed Forces Communications and Electronics Association.</w:t>
      </w:r>
    </w:p>
    <w:p>
      <w:pPr>
        <w:spacing w:after="0" w:line="10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 xml:space="preserve">Samuel R. Strickland </w:t>
      </w:r>
      <w:r>
        <w:rPr>
          <w:rFonts w:ascii="Arial" w:cs="Arial" w:eastAsia="Arial" w:hAnsi="Arial"/>
          <w:sz w:val="17"/>
          <w:szCs w:val="17"/>
          <w:color w:val="auto"/>
        </w:rPr>
        <w:t>is an Executive Vice President of our company and our Chief Financial and Administrative Officer. He has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Officer since 1999 and Chief Financial Officer since 2008. He joined our company in 1995. Mr. Strickland is a board member of our company. Externally, Mr. Strickland has served on the Board of Trustees at the George Mason University Foundation and Inova Health Services.</w:t>
      </w:r>
    </w:p>
    <w:p>
      <w:pPr>
        <w:spacing w:after="0" w:line="111"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i w:val="1"/>
          <w:iCs w:val="1"/>
          <w:color w:val="auto"/>
        </w:rPr>
        <w:t xml:space="preserve">Horacio D. Rozanski </w:t>
      </w:r>
      <w:r>
        <w:rPr>
          <w:rFonts w:ascii="Arial" w:cs="Arial" w:eastAsia="Arial" w:hAnsi="Arial"/>
          <w:sz w:val="16"/>
          <w:szCs w:val="16"/>
          <w:color w:val="auto"/>
        </w:rPr>
        <w:t>is an Executive Vice President of our company and our Chief Operating Officer. Mr. Rozanski served as the Chief Strategy and</w:t>
      </w:r>
      <w:r>
        <w:rPr>
          <w:rFonts w:ascii="Arial" w:cs="Arial" w:eastAsia="Arial" w:hAnsi="Arial"/>
          <w:sz w:val="16"/>
          <w:szCs w:val="16"/>
          <w:i w:val="1"/>
          <w:iCs w:val="1"/>
          <w:color w:val="auto"/>
        </w:rPr>
        <w:t xml:space="preserve"> </w:t>
      </w:r>
      <w:r>
        <w:rPr>
          <w:rFonts w:ascii="Arial" w:cs="Arial" w:eastAsia="Arial" w:hAnsi="Arial"/>
          <w:sz w:val="16"/>
          <w:szCs w:val="16"/>
          <w:color w:val="auto"/>
        </w:rPr>
        <w:t>Talent Officer in 2010 and, prior to that, Chief Personnel Officer of our company from 2002 through 2010. Mr. Rozanski joined our company in 1992. He serves on the boards of advisors for the Wolf Trap Foundation for the Performing Arts and the Jewish Primary Day School of the Nation's Capital.</w:t>
      </w:r>
    </w:p>
    <w:p>
      <w:pPr>
        <w:spacing w:after="0" w:line="9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Karen M. Dahut </w:t>
      </w:r>
      <w:r>
        <w:rPr>
          <w:rFonts w:ascii="Arial" w:cs="Arial" w:eastAsia="Arial" w:hAnsi="Arial"/>
          <w:sz w:val="18"/>
          <w:szCs w:val="18"/>
          <w:color w:val="auto"/>
        </w:rPr>
        <w:t>is an Executive Vice President and formerly the lead for the company's Analytics capability. Currently, Ms. Dahut is the Group Leader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company's Strategic Innovation Group. Ms. Dahut joined our company in 2002. Previously, Ms. Dahut led the company's US Navy and Marine Corps business and its Economic and Business Analytics (EBA) capability. She is also a trustee of the Employee Capital Accumulation Plan (ECAP) Board of Trustees. Ms. Dahut is a Board Member of the Northern Virginia Technology Council and serves on the Board of Trustees for Stone Ridge School of the Sacred Heart in Bethesda, Maryland.</w:t>
      </w:r>
    </w:p>
    <w:p>
      <w:pPr>
        <w:spacing w:after="0" w:line="134"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i w:val="1"/>
          <w:iCs w:val="1"/>
          <w:color w:val="auto"/>
        </w:rPr>
        <w:t xml:space="preserve">Lloyd Howell, Jr. </w:t>
      </w:r>
      <w:r>
        <w:rPr>
          <w:rFonts w:ascii="Arial" w:cs="Arial" w:eastAsia="Arial" w:hAnsi="Arial"/>
          <w:sz w:val="18"/>
          <w:szCs w:val="18"/>
          <w:color w:val="auto"/>
        </w:rPr>
        <w:t>is an Executive Vice President of our company and is the group leader for our Civil Market Group clients. Mr. Howell joined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1988, left in 1991, rejoined in 1995. He is chairman of the Ethics &amp; Compliance Committee. Mr. Howell serves on the boards of directors of Integra Life Sciences (IART), the United Negro College Fund, Partnership for Public Service, Capital Partners for Education, Committee for Economic Development, and Management Leadership for Tomorrow.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8" w:name="page39"/>
    <w:bookmarkEnd w:id="38"/>
    <w:p>
      <w:pPr>
        <w:ind w:right="500" w:firstLine="432"/>
        <w:spacing w:after="0" w:line="277" w:lineRule="auto"/>
        <w:rPr>
          <w:sz w:val="20"/>
          <w:szCs w:val="20"/>
          <w:color w:val="auto"/>
        </w:rPr>
      </w:pPr>
      <w:r>
        <w:rPr>
          <w:rFonts w:ascii="Arial" w:cs="Arial" w:eastAsia="Arial" w:hAnsi="Arial"/>
          <w:sz w:val="18"/>
          <w:szCs w:val="18"/>
          <w:i w:val="1"/>
          <w:iCs w:val="1"/>
          <w:color w:val="auto"/>
        </w:rPr>
        <w:t xml:space="preserve">Joseph Logue </w:t>
      </w:r>
      <w:r>
        <w:rPr>
          <w:rFonts w:ascii="Arial" w:cs="Arial" w:eastAsia="Arial" w:hAnsi="Arial"/>
          <w:sz w:val="18"/>
          <w:szCs w:val="18"/>
          <w:color w:val="auto"/>
        </w:rPr>
        <w:t>is an Executive Vice President of our company and is the group leader for our Defense Market Group clients. Mr. Logue joined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1997. Previously, he led our former commercial Information Technology practice.</w:t>
      </w:r>
    </w:p>
    <w:p>
      <w:pPr>
        <w:spacing w:after="0" w:line="116"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i w:val="1"/>
          <w:iCs w:val="1"/>
          <w:color w:val="auto"/>
        </w:rPr>
        <w:t xml:space="preserve">John D. Mayer </w:t>
      </w:r>
      <w:r>
        <w:rPr>
          <w:rFonts w:ascii="Arial" w:cs="Arial" w:eastAsia="Arial" w:hAnsi="Arial"/>
          <w:sz w:val="17"/>
          <w:szCs w:val="17"/>
          <w:color w:val="auto"/>
        </w:rPr>
        <w:t>is an Executive Vice President of our company and is the lead for the company's business with the Office of the Secretary of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and defense agencies, the Joint Staff, and the Combatant Commands. Mr. Mayer joined our company in 1997. He is the former chairman of the board of directors of the Homeland Security and Defense Business Council, a member of the board of the Washington Education and Tennis Foundation, and was a former member of the Corporate Advisory Board for the Darden School of Business at the University of Virginia.</w:t>
      </w:r>
    </w:p>
    <w:p>
      <w:pPr>
        <w:spacing w:after="0" w:line="11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i w:val="1"/>
          <w:iCs w:val="1"/>
          <w:color w:val="auto"/>
        </w:rPr>
        <w:t xml:space="preserve">John M. McConnell </w:t>
      </w:r>
      <w:r>
        <w:rPr>
          <w:rFonts w:ascii="Arial" w:cs="Arial" w:eastAsia="Arial" w:hAnsi="Arial"/>
          <w:sz w:val="17"/>
          <w:szCs w:val="17"/>
          <w:color w:val="auto"/>
        </w:rPr>
        <w:t>is Vice Chairman and an Executive Vice President of our company and leads the company's Cyber initiative firmwide.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he was the company's market lead for the Intelligence business. Mr. McConnell previously served from 2007 through 2009 in the Cabinet-level position of U.S. Director of National Intelligence. From 1996 through 2007, Mr. McConnell served as an officer of our company. He served in the U.S. Navy for 29 years, achieving the rank of Vice Admiral. While on active duty, Mr. McConnell was Director of the National Security Agency.</w:t>
      </w:r>
    </w:p>
    <w:p>
      <w:pPr>
        <w:spacing w:after="0" w:line="11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Robert S. Osborne </w:t>
      </w:r>
      <w:r>
        <w:rPr>
          <w:rFonts w:ascii="Arial" w:cs="Arial" w:eastAsia="Arial" w:hAnsi="Arial"/>
          <w:sz w:val="16"/>
          <w:szCs w:val="16"/>
          <w:color w:val="auto"/>
        </w:rPr>
        <w:t>is an Executive Vice President of our company and our General Counsel. Mr. Osborne joined our company in 2010. From 2006 to</w:t>
      </w:r>
      <w:r>
        <w:rPr>
          <w:rFonts w:ascii="Arial" w:cs="Arial" w:eastAsia="Arial" w:hAnsi="Arial"/>
          <w:sz w:val="16"/>
          <w:szCs w:val="16"/>
          <w:i w:val="1"/>
          <w:iCs w:val="1"/>
          <w:color w:val="auto"/>
        </w:rPr>
        <w:t xml:space="preserve"> </w:t>
      </w:r>
      <w:r>
        <w:rPr>
          <w:rFonts w:ascii="Arial" w:cs="Arial" w:eastAsia="Arial" w:hAnsi="Arial"/>
          <w:sz w:val="16"/>
          <w:szCs w:val="16"/>
          <w:color w:val="auto"/>
        </w:rPr>
        <w:t>2009, Mr. Osborne served as Group Vice President and General Counsel of General Motors Corporation, which filed for Chapter 11 bankruptcy proceedings in 2009. From 2002 to 2006, Mr. Osborne was chair of the corporate department of Jenner &amp; Block LLP, and he returned to practice there as a partner from late 2009 to early 2010. Prior to 2002, Mr. Osborne was a partner of Kirkland &amp; Ellis LLP, where he had practiced law since 1979.</w:t>
      </w:r>
    </w:p>
    <w:p>
      <w:pPr>
        <w:spacing w:after="0" w:line="10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i w:val="1"/>
          <w:iCs w:val="1"/>
          <w:color w:val="auto"/>
        </w:rPr>
        <w:t xml:space="preserve">Elizabeth M. Thompson </w:t>
      </w:r>
      <w:r>
        <w:rPr>
          <w:rFonts w:ascii="Arial" w:cs="Arial" w:eastAsia="Arial" w:hAnsi="Arial"/>
          <w:sz w:val="18"/>
          <w:szCs w:val="18"/>
          <w:color w:val="auto"/>
        </w:rPr>
        <w:t>is an Executive Vice President of our company and serves as our Chief Personnel Officer. Ms. Thompson joined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2008. Ms. Thompson served as Vice President of Human Resources for Fannie Mae from 2000 to 2008.</w:t>
      </w:r>
    </w:p>
    <w:p>
      <w:pPr>
        <w:spacing w:after="0" w:line="116"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i w:val="1"/>
          <w:iCs w:val="1"/>
          <w:color w:val="auto"/>
        </w:rPr>
        <w:t xml:space="preserve">Richard J. Wilhelm </w:t>
      </w:r>
      <w:r>
        <w:rPr>
          <w:rFonts w:ascii="Arial" w:cs="Arial" w:eastAsia="Arial" w:hAnsi="Arial"/>
          <w:sz w:val="17"/>
          <w:szCs w:val="17"/>
          <w:color w:val="auto"/>
        </w:rPr>
        <w:t>is an Executive Vice President of the company and the group leader for our Intelligence Market Group clients. He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the leader of the company's Analytics capability. He joined our company in 1998. He is a member of the Markle Foundation Task Force on National Security in the Age of Terrorism, and is on the Board of Advisors of the Maxwell School of Public Citizenship at Syracuse University.</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Class A Common Stock began trading on the New York Stock Exchange on November 17, 2010. There is no established trading market for each of our Class B Non-Voting Common Stock, Class C Restricted Common Stock or Class E Special Voting Common Stock. On May 13, 2013, there were 11,013, 35, 30 and 102 beneficial holders of our Class A Common Stock, Class B Non-Voting Common Stock, Class C Restricted Common Stock and Class E Special Voting Common Stock, respectively. The following table sets forth, for the periods indicated, the high and low sales price per share of our Class A Common Stock as reported by the New York Stock Exchange: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High</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Low</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70"/>
        </w:trPr>
        <w:tc>
          <w:tcPr>
            <w:tcW w:w="7560" w:type="dxa"/>
            <w:vAlign w:val="bottom"/>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14.29</w:t>
            </w:r>
          </w:p>
        </w:tc>
      </w:tr>
      <w:tr>
        <w:trPr>
          <w:trHeight w:val="270"/>
        </w:trPr>
        <w:tc>
          <w:tcPr>
            <w:tcW w:w="75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r>
      <w:tr>
        <w:trPr>
          <w:trHeight w:val="270"/>
        </w:trPr>
        <w:tc>
          <w:tcPr>
            <w:tcW w:w="7560" w:type="dxa"/>
            <w:vAlign w:val="bottom"/>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12.12</w:t>
            </w:r>
          </w:p>
        </w:tc>
      </w:tr>
      <w:tr>
        <w:trPr>
          <w:trHeight w:val="270"/>
        </w:trPr>
        <w:tc>
          <w:tcPr>
            <w:tcW w:w="75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Fiscal 2012</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5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17.39</w:t>
            </w:r>
          </w:p>
        </w:tc>
      </w:tr>
      <w:tr>
        <w:trPr>
          <w:trHeight w:val="270"/>
        </w:trPr>
        <w:tc>
          <w:tcPr>
            <w:tcW w:w="7560" w:type="dxa"/>
            <w:vAlign w:val="bottom"/>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13.33</w:t>
            </w:r>
          </w:p>
        </w:tc>
      </w:tr>
      <w:tr>
        <w:trPr>
          <w:trHeight w:val="270"/>
        </w:trPr>
        <w:tc>
          <w:tcPr>
            <w:tcW w:w="75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13.61</w:t>
            </w:r>
          </w:p>
        </w:tc>
      </w:tr>
      <w:tr>
        <w:trPr>
          <w:trHeight w:val="341"/>
        </w:trPr>
        <w:tc>
          <w:tcPr>
            <w:tcW w:w="7560" w:type="dxa"/>
            <w:vAlign w:val="bottom"/>
          </w:tcPr>
          <w:p>
            <w:pPr>
              <w:ind w:left="380"/>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5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May 29, 2012, our Board of Directors authorized and declared a regular quarterly cash dividend in the amount of $0.09 per share. In addition, the Board of Directors declared a special cash dividend of $1.50 per share. Both the quarterly and special dividend were paid on June 29, 2012 to stockholders of record on June 11, 2012. The Compensation Committee, as the Administrator of the Officers' Rollover Stock Plan and the Amended and Restated Equity Incentive Plan, or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June 29, 2012 or the vesting of the EIP option, whichever is later.</w:t>
      </w:r>
    </w:p>
    <w:p>
      <w:pPr>
        <w:spacing w:after="0" w:line="26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July 30, 2012, our Board of Directors authorized and declared a special cash dividend of $6.50 per share and a regular quarterly cash dividend in the amount of $0.09 per share. The dividends were accounted for on July 31, 2012, the declaration date, by reducing retained earnings to zero with the remainder being recorded as a reduction to additional paid-in capital. The dividends were paid on August 31, 2012 to stockholders of record on August 13, 2012 for the special cash dividend and August 14, 2012 for the regular quarterly cash dividend. The Board of Directors, as the Administrator of the Officers' Rollover Stock Plan and the EIP, made a determination to adjust the outstanding options under each plan. Additionally, the Company paid $9.0 million to holders of Rollover Options and $28.7 million to holders of EIP Options.</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October 29, 2012, our Board of Directors authorized and declared a regular quarterly cash dividend in the amount of $0.09 per share. The quarterly dividend was paid on November 30, 2012 to stockholders of record on November 13, 2012.</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On January 29, 2013, our Board of Directors authorized and declared a regular quarterly cash dividend in the amount of $0.09 per share. The quarterly dividend was paid on February 28, 2013 to stockholders of record on February 11,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securityholders</w:t>
            </w:r>
          </w:p>
        </w:tc>
        <w:tc>
          <w:tcPr>
            <w:tcW w:w="150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16,220,025</w:t>
            </w:r>
          </w:p>
        </w:tc>
        <w:tc>
          <w:tcPr>
            <w:tcW w:w="1700" w:type="dxa"/>
            <w:vAlign w:val="bottom"/>
            <w:tcBorders>
              <w:top w:val="single" w:sz="8" w:color="CCEEFF"/>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10,319,906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16,220,025</w:t>
            </w:r>
          </w:p>
        </w:tc>
        <w:tc>
          <w:tcPr>
            <w:tcW w:w="170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10,319,906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40" w:right="1060" w:hanging="316"/>
        <w:spacing w:after="0" w:line="26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exercise of all outstanding options, we will issue approximately 16,219,435 shares of Class A Common Stock and will redeem approximately 590 fractional shares for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graph set forth below compares the cumulative shareholder return on our common stock between November 17, 2010 (the date our Class A common stock began trading on the New York Stock Exchange) and March 31, 2013, to the cumulative return of (i) the Russell 1000 Index and (ii) the Dow Jones US Computer Services Index over the same period. This graph assumes an initial investment of $100 on November 17, 2010 in our common stock, the Russell 1000 Index, and the Dow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color w:val="auto"/>
        </w:rPr>
        <w:t>Jones US Computer Services Index and assumes the reinvestment of dividends, if any.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CUMULATIVE TOTAL RETURNS SINCE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5848985" cy="3078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ASSUMES $100 INVESTED ON NOV. 17, 2010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ASSUMES DIVIDEND REINVESTED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 ENDING MARCH 31, 2013</w:t>
      </w: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Company/Market/Peer Group</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11/17/2010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3/31/2011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3/31/2012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3/31/2013</w:t>
            </w: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Booz Allen Hamilton Holding Corp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121.27</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Russell 1000 Index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113.85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140.60</w:t>
            </w: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DJ US Computer Services Index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117.02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151.73</w:t>
            </w:r>
          </w:p>
        </w:tc>
      </w:tr>
      <w:tr>
        <w:trPr>
          <w:trHeight w:val="27"/>
        </w:trPr>
        <w:tc>
          <w:tcPr>
            <w:tcW w:w="3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360" w:right="800" w:hanging="508"/>
        <w:spacing w:after="0" w:line="277" w:lineRule="auto"/>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Note: BAH base values reflect the closing price of $19.25 on the first day of trading and index base values are as of 11/17/2010 end of day.</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selected consolidated statements of operations data for fiscal 2013, fiscal 2012, and fiscal 2011 and the selected consolidated balance sheet data as of March 31, 2013 and 2012 have been derived from our audited consolidated financial statements included elsewhere in this Annual Report. The selected consolidated statement of operations data for fiscal 2010, the eight months ended March 31, 2009, and the four months ended July 31, 2008, and the selected consolidated balance sheet data as of March 31, 2011, 2010 and 2009 have been derived from audited consolidated financial statements which are not included in this Annual Report. Our historical results are not 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12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Booz Allen Hamilton was indirectly acquired by Carlyle on July 31, 2008. Immediately prior to the acquisition, Booz Allen Hamilton spun off its commercial and international business and retained its U.S. government business. The accompanying consolidated financial statements are presented for (1) the “Predecessor,” which are the financial statements of</w:t>
      </w:r>
    </w:p>
    <w:p>
      <w:pPr>
        <w:sectPr>
          <w:pgSz w:w="11900" w:h="16838" w:orient="portrait"/>
          <w:cols w:equalWidth="0" w:num="1">
            <w:col w:w="11340"/>
          </w:cols>
          <w:pgMar w:left="240" w:top="773" w:right="319" w:bottom="1440" w:gutter="0" w:footer="0" w:header="0"/>
        </w:sect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40"/>
          </w:cols>
          <w:pgMar w:left="240" w:top="773" w:right="319" w:bottom="1440" w:gutter="0" w:footer="0" w:header="0"/>
          <w:type w:val="continuous"/>
        </w:sectPr>
      </w:pPr>
    </w:p>
    <w:bookmarkStart w:id="41" w:name="page42"/>
    <w:bookmarkEnd w:id="41"/>
    <w:p>
      <w:pPr>
        <w:ind w:right="100"/>
        <w:spacing w:after="0" w:line="291" w:lineRule="auto"/>
        <w:rPr>
          <w:sz w:val="20"/>
          <w:szCs w:val="20"/>
          <w:color w:val="auto"/>
        </w:rPr>
      </w:pPr>
      <w:r>
        <w:rPr>
          <w:rFonts w:ascii="Arial" w:cs="Arial" w:eastAsia="Arial" w:hAnsi="Arial"/>
          <w:sz w:val="16"/>
          <w:szCs w:val="16"/>
          <w:color w:val="auto"/>
        </w:rPr>
        <w:t>Booz Allen Hamilton and its consolidated subsidiaries for the period preceding the acquisition, and (2) the “Company,” which are the financial statements of Booz Allen Holding and its consolidated subsidiaries for the period following the acquisition. Prior to the acquisition, Booz Allen Hamilton’s</w:t>
      </w:r>
    </w:p>
    <w:p>
      <w:pPr>
        <w:spacing w:after="0" w:line="252" w:lineRule="auto"/>
        <w:rPr>
          <w:sz w:val="20"/>
          <w:szCs w:val="20"/>
          <w:color w:val="auto"/>
        </w:rPr>
      </w:pPr>
      <w:r>
        <w:rPr>
          <w:rFonts w:ascii="Arial" w:cs="Arial" w:eastAsia="Arial" w:hAnsi="Arial"/>
          <w:sz w:val="18"/>
          <w:szCs w:val="18"/>
          <w:color w:val="auto"/>
        </w:rPr>
        <w:t>U.S. government business is presented as the continuing operations of the Predecessor. The Predecessor’s consolidated financial statements have been presented for the four months ended July 31, 2008. The operating results of the commercial and international business that was spun off by Booz Allen Hamilton effective July 31, 2008 have been presented as discontinued operations in the accompanying consolidated financial statements. The Company’s consolidated financial statements for periods subsequent to the acquisition have been presented for fiscal 2013, fiscal 2012, fiscal 2011, fiscal 2010, and from August 1, 2008 through March 31, 2009. The Predecessor’s financial statements may not necessarily be indicative of the cost structure or results of operations that would have existed if the U.S. government business operated as a stand-alone, independent business. The acquisition was accounted for as a business combination, which resulted in a new basis of accounting. The Predecessor’s and the Company’s financial statements are not comparable as a result of applying a new basis of accounting.</w:t>
      </w:r>
    </w:p>
    <w:p>
      <w:pPr>
        <w:spacing w:after="0" w:line="1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Included in the table below are unaudited pro forma results of operations for the twelve months ended March 31, 2009, or “pro forma 2009,” assuming the acquisition had been completed as of April 1, 2008. The unaudited pro forma consolidated results of operations for fiscal 2009 are based on our historical audited consolidated financial statements which are not included in this Annual Report, adjusted to give pro forma effect to the acquisition. The unaudited pro forma consolidated results of operations for fiscal 2009 are presented because management believes it provides a meaningful comparison of operating results enabling twelve months of fiscal 2009, adjusted for the impact of the acquisition, to be compared with fiscal 2010. The unaudited pro forma consolidated financial statements are for informational purposes only and do not purport to represent what our actual results of operations would have been if the acquisition had been completed as of April 1, 2008 or that may be achieved in the future.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54"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The Company</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68"/>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180" w:type="dxa"/>
            <w:vAlign w:val="bottom"/>
            <w:gridSpan w:val="3"/>
            <w:vMerge w:val="restart"/>
          </w:tcPr>
          <w:p>
            <w:pPr>
              <w:jc w:val="center"/>
              <w:ind w:left="208"/>
              <w:spacing w:after="0"/>
              <w:rPr>
                <w:sz w:val="20"/>
                <w:szCs w:val="20"/>
                <w:color w:val="auto"/>
              </w:rPr>
            </w:pPr>
            <w:r>
              <w:rPr>
                <w:rFonts w:ascii="Arial" w:cs="Arial" w:eastAsia="Arial" w:hAnsi="Arial"/>
                <w:sz w:val="14"/>
                <w:szCs w:val="14"/>
                <w:b w:val="1"/>
                <w:bCs w:val="1"/>
                <w:color w:val="auto"/>
                <w:w w:val="94"/>
              </w:rPr>
              <w:t>Fiscal Year</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Eight</w:t>
            </w:r>
          </w:p>
        </w:tc>
        <w:tc>
          <w:tcPr>
            <w:tcW w:w="120" w:type="dxa"/>
            <w:vAlign w:val="bottom"/>
          </w:tcPr>
          <w:p>
            <w:pPr>
              <w:spacing w:after="0"/>
              <w:rPr>
                <w:sz w:val="13"/>
                <w:szCs w:val="13"/>
                <w:color w:val="auto"/>
              </w:rPr>
            </w:pPr>
          </w:p>
        </w:tc>
        <w:tc>
          <w:tcPr>
            <w:tcW w:w="9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6"/>
              </w:rPr>
              <w:t>Four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w:t>
            </w:r>
          </w:p>
        </w:tc>
        <w:tc>
          <w:tcPr>
            <w:tcW w:w="140" w:type="dxa"/>
            <w:vAlign w:val="bottom"/>
          </w:tcPr>
          <w:p>
            <w:pPr>
              <w:spacing w:after="0"/>
              <w:rPr>
                <w:sz w:val="12"/>
                <w:szCs w:val="12"/>
                <w:color w:val="auto"/>
              </w:rPr>
            </w:pPr>
          </w:p>
        </w:tc>
        <w:tc>
          <w:tcPr>
            <w:tcW w:w="90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248"/>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6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 share data)</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2009 (1)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1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5,758,059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color w:val="auto"/>
              </w:rPr>
              <w:t>5,859,218</w:t>
            </w:r>
          </w:p>
        </w:tc>
        <w:tc>
          <w:tcPr>
            <w:tcW w:w="600" w:type="dxa"/>
            <w:vAlign w:val="bottom"/>
            <w:gridSpan w:val="3"/>
            <w:vMerge w:val="restart"/>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5,591,296</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5,122,633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4,351,218</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2,941,275</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1,409,943</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costs and expenses: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Arial" w:cs="Arial" w:eastAsia="Arial" w:hAnsi="Arial"/>
                <w:sz w:val="14"/>
                <w:szCs w:val="14"/>
                <w:color w:val="auto"/>
              </w:rPr>
              <w:t>Cost of revenue</w:t>
            </w:r>
          </w:p>
        </w:tc>
        <w:tc>
          <w:tcPr>
            <w:tcW w:w="140" w:type="dxa"/>
            <w:vAlign w:val="bottom"/>
          </w:tcPr>
          <w:p>
            <w:pPr>
              <w:spacing w:after="0"/>
              <w:rPr>
                <w:sz w:val="16"/>
                <w:szCs w:val="16"/>
                <w:color w:val="auto"/>
              </w:rPr>
            </w:pP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2,871,240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color w:val="auto"/>
              </w:rPr>
              <w:t>2,934,378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2,836,955</w:t>
            </w:r>
          </w:p>
        </w:tc>
        <w:tc>
          <w:tcPr>
            <w:tcW w:w="50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2,654,143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2,296,335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1,566,763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722,986</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Billable expenses</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1,532,590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1,542,822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1,473,266</w:t>
            </w:r>
          </w:p>
        </w:tc>
        <w:tc>
          <w:tcPr>
            <w:tcW w:w="5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1,361,229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1,158,320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756,933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401,387</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4"/>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833,986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903,721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881,028</w:t>
            </w:r>
          </w:p>
        </w:tc>
        <w:tc>
          <w:tcPr>
            <w:tcW w:w="50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811,944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723,827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505,226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726,929</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74,009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75,205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80,603</w:t>
            </w:r>
          </w:p>
        </w:tc>
        <w:tc>
          <w:tcPr>
            <w:tcW w:w="5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95,763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106,335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79,665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11,930</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Arial" w:cs="Arial" w:eastAsia="Arial" w:hAnsi="Arial"/>
                <w:sz w:val="14"/>
                <w:szCs w:val="14"/>
                <w:color w:val="auto"/>
              </w:rPr>
              <w:t>Restructuring charge</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15,660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8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5,311,825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5,471,786</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5,271,852</w:t>
            </w:r>
          </w:p>
        </w:tc>
        <w:tc>
          <w:tcPr>
            <w:tcW w:w="5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4,923,079</w:t>
            </w: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right w:val="single" w:sz="8" w:color="CCEEFF"/>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4,284,817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2,908,587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1,863,232</w:t>
            </w:r>
          </w:p>
        </w:tc>
        <w:tc>
          <w:tcPr>
            <w:tcW w:w="0" w:type="dxa"/>
            <w:vAlign w:val="bottom"/>
          </w:tcPr>
          <w:p>
            <w:pPr>
              <w:spacing w:after="0"/>
              <w:rPr>
                <w:sz w:val="1"/>
                <w:szCs w:val="1"/>
                <w:color w:val="auto"/>
              </w:rPr>
            </w:pPr>
          </w:p>
        </w:tc>
      </w:tr>
      <w:tr>
        <w:trPr>
          <w:trHeight w:val="93"/>
        </w:trPr>
        <w:tc>
          <w:tcPr>
            <w:tcW w:w="28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gridSpan w:val="4"/>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gridSpan w:val="3"/>
            <w:vMerge w:val="continue"/>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gridSpan w:val="2"/>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right w:val="single" w:sz="8" w:color="CCEEFF"/>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88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Pr>
          <w:p>
            <w:pPr>
              <w:spacing w:after="0"/>
              <w:rPr>
                <w:sz w:val="14"/>
                <w:szCs w:val="14"/>
                <w:color w:val="auto"/>
              </w:rPr>
            </w:pP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446,234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387,432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319,444</w:t>
            </w:r>
          </w:p>
        </w:tc>
        <w:tc>
          <w:tcPr>
            <w:tcW w:w="50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199,554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66,401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32,688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(453,289)</w:t>
            </w:r>
          </w:p>
        </w:tc>
        <w:tc>
          <w:tcPr>
            <w:tcW w:w="0" w:type="dxa"/>
            <w:vAlign w:val="bottom"/>
          </w:tcPr>
          <w:p>
            <w:pPr>
              <w:spacing w:after="0"/>
              <w:rPr>
                <w:sz w:val="1"/>
                <w:szCs w:val="1"/>
                <w:color w:val="auto"/>
              </w:rPr>
            </w:pPr>
          </w:p>
        </w:tc>
      </w:tr>
      <w:tr>
        <w:trPr>
          <w:trHeight w:val="87"/>
        </w:trPr>
        <w:tc>
          <w:tcPr>
            <w:tcW w:w="2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(70,284)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(48,078)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(131,892)</w:t>
            </w:r>
          </w:p>
        </w:tc>
        <w:tc>
          <w:tcPr>
            <w:tcW w:w="500" w:type="dxa"/>
            <w:vAlign w:val="bottom"/>
            <w:shd w:val="clear" w:color="auto" w:fill="CCEEFF"/>
          </w:tcPr>
          <w:p>
            <w:pPr>
              <w:spacing w:after="0"/>
              <w:rPr>
                <w:sz w:val="17"/>
                <w:szCs w:val="17"/>
                <w:color w:val="auto"/>
              </w:rPr>
            </w:pP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(150,734)</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(146,803)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(98,068)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gridSpan w:val="4"/>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40"/>
              <w:spacing w:after="0"/>
              <w:rPr>
                <w:sz w:val="20"/>
                <w:szCs w:val="20"/>
                <w:color w:val="auto"/>
              </w:rPr>
            </w:pPr>
            <w:r>
              <w:rPr>
                <w:rFonts w:ascii="Arial" w:cs="Arial" w:eastAsia="Arial" w:hAnsi="Arial"/>
                <w:sz w:val="14"/>
                <w:szCs w:val="14"/>
                <w:color w:val="auto"/>
              </w:rPr>
              <w:t>Other income, net</w:t>
            </w:r>
          </w:p>
        </w:tc>
        <w:tc>
          <w:tcPr>
            <w:tcW w:w="14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(7,639)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(59,488)</w:t>
            </w:r>
          </w:p>
        </w:tc>
        <w:tc>
          <w:tcPr>
            <w:tcW w:w="50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5,130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4,450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74"/>
        </w:trPr>
        <w:tc>
          <w:tcPr>
            <w:tcW w:w="28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3"/>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3"/>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8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(loss) from continuing operations and</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before income taxes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368,311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343,874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128,064</w:t>
            </w:r>
          </w:p>
        </w:tc>
        <w:tc>
          <w:tcPr>
            <w:tcW w:w="5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48,994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(75,272)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(453,653)</w:t>
            </w:r>
          </w:p>
        </w:tc>
        <w:tc>
          <w:tcPr>
            <w:tcW w:w="0" w:type="dxa"/>
            <w:vAlign w:val="bottom"/>
          </w:tcPr>
          <w:p>
            <w:pPr>
              <w:spacing w:after="0"/>
              <w:rPr>
                <w:sz w:val="1"/>
                <w:szCs w:val="1"/>
                <w:color w:val="auto"/>
              </w:rPr>
            </w:pPr>
          </w:p>
        </w:tc>
      </w:tr>
      <w:tr>
        <w:trPr>
          <w:trHeight w:val="157"/>
        </w:trPr>
        <w:tc>
          <w:tcPr>
            <w:tcW w:w="2880" w:type="dxa"/>
            <w:vAlign w:val="bottom"/>
          </w:tcPr>
          <w:p>
            <w:pPr>
              <w:ind w:left="40"/>
              <w:spacing w:after="0" w:line="157" w:lineRule="exact"/>
              <w:rPr>
                <w:sz w:val="20"/>
                <w:szCs w:val="20"/>
                <w:color w:val="auto"/>
              </w:rPr>
            </w:pPr>
            <w:r>
              <w:rPr>
                <w:rFonts w:ascii="Arial" w:cs="Arial" w:eastAsia="Arial" w:hAnsi="Arial"/>
                <w:sz w:val="14"/>
                <w:szCs w:val="14"/>
                <w:color w:val="auto"/>
              </w:rPr>
              <w:t>Income tax expense (benefit) from continuing</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operations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149,253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103,919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43,370</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23,575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(25,831)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(56,109)</w:t>
            </w:r>
          </w:p>
        </w:tc>
        <w:tc>
          <w:tcPr>
            <w:tcW w:w="0" w:type="dxa"/>
            <w:vAlign w:val="bottom"/>
          </w:tcPr>
          <w:p>
            <w:pPr>
              <w:spacing w:after="0"/>
              <w:rPr>
                <w:sz w:val="1"/>
                <w:szCs w:val="1"/>
                <w:color w:val="auto"/>
              </w:rPr>
            </w:pPr>
          </w:p>
        </w:tc>
      </w:tr>
      <w:tr>
        <w:trPr>
          <w:trHeight w:val="1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219,058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239,955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84,694</w:t>
            </w:r>
          </w:p>
        </w:tc>
        <w:tc>
          <w:tcPr>
            <w:tcW w:w="50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25,419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(49,441)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(397,544)</w:t>
            </w:r>
          </w:p>
        </w:tc>
        <w:tc>
          <w:tcPr>
            <w:tcW w:w="0" w:type="dxa"/>
            <w:vAlign w:val="bottom"/>
          </w:tcPr>
          <w:p>
            <w:pPr>
              <w:spacing w:after="0"/>
              <w:rPr>
                <w:sz w:val="1"/>
                <w:szCs w:val="1"/>
                <w:color w:val="auto"/>
              </w:rPr>
            </w:pPr>
          </w:p>
        </w:tc>
      </w:tr>
      <w:tr>
        <w:trPr>
          <w:trHeight w:val="80"/>
        </w:trPr>
        <w:tc>
          <w:tcPr>
            <w:tcW w:w="28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gridSpan w:val="3"/>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gridSpan w:val="3"/>
            <w:vMerge w:val="continue"/>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auto"/>
            </w:tcBorders>
            <w:gridSpan w:val="2"/>
            <w:vMerge w:val="continue"/>
            <w:shd w:val="clear" w:color="auto" w:fill="CCEEFF"/>
          </w:tcPr>
          <w:p>
            <w:pPr>
              <w:spacing w:after="0"/>
              <w:rPr>
                <w:sz w:val="6"/>
                <w:szCs w:val="6"/>
                <w:color w:val="auto"/>
              </w:rPr>
            </w:pPr>
          </w:p>
        </w:tc>
        <w:tc>
          <w:tcPr>
            <w:tcW w:w="960" w:type="dxa"/>
            <w:vAlign w:val="bottom"/>
            <w:tcBorders>
              <w:bottom w:val="single" w:sz="8" w:color="auto"/>
              <w:right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Loss from discontinued operations, net of</w:t>
            </w: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taxes</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(848,371)</w:t>
            </w:r>
          </w:p>
        </w:tc>
        <w:tc>
          <w:tcPr>
            <w:tcW w:w="0" w:type="dxa"/>
            <w:vAlign w:val="bottom"/>
          </w:tcPr>
          <w:p>
            <w:pPr>
              <w:spacing w:after="0"/>
              <w:rPr>
                <w:sz w:val="1"/>
                <w:szCs w:val="1"/>
                <w:color w:val="auto"/>
              </w:rPr>
            </w:pPr>
          </w:p>
        </w:tc>
      </w:tr>
      <w:tr>
        <w:trPr>
          <w:trHeight w:val="1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219,058</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239,955</w:t>
            </w:r>
          </w:p>
        </w:tc>
        <w:tc>
          <w:tcPr>
            <w:tcW w:w="600" w:type="dxa"/>
            <w:vAlign w:val="bottom"/>
            <w:gridSpan w:val="3"/>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84,694</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25,419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(38,783)</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(1,245,915)</w:t>
            </w:r>
          </w:p>
        </w:tc>
        <w:tc>
          <w:tcPr>
            <w:tcW w:w="0" w:type="dxa"/>
            <w:vAlign w:val="bottom"/>
          </w:tcPr>
          <w:p>
            <w:pPr>
              <w:spacing w:after="0"/>
              <w:rPr>
                <w:sz w:val="1"/>
                <w:szCs w:val="1"/>
                <w:color w:val="auto"/>
              </w:rPr>
            </w:pPr>
          </w:p>
        </w:tc>
      </w:tr>
      <w:tr>
        <w:trPr>
          <w:trHeight w:val="87"/>
        </w:trPr>
        <w:tc>
          <w:tcPr>
            <w:tcW w:w="28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gridSpan w:val="3"/>
            <w:vMerge w:val="continue"/>
            <w:shd w:val="clear" w:color="auto" w:fill="CCEEFF"/>
          </w:tcPr>
          <w:p>
            <w:pPr>
              <w:spacing w:after="0"/>
              <w:rPr>
                <w:sz w:val="7"/>
                <w:szCs w:val="7"/>
                <w:color w:val="auto"/>
              </w:rPr>
            </w:pPr>
          </w:p>
        </w:tc>
        <w:tc>
          <w:tcPr>
            <w:tcW w:w="600" w:type="dxa"/>
            <w:vAlign w:val="bottom"/>
            <w:gridSpan w:val="3"/>
            <w:vMerge w:val="continue"/>
            <w:shd w:val="clear" w:color="auto" w:fill="CCEEFF"/>
          </w:tcPr>
          <w:p>
            <w:pPr>
              <w:spacing w:after="0"/>
              <w:rPr>
                <w:sz w:val="7"/>
                <w:szCs w:val="7"/>
                <w:color w:val="auto"/>
              </w:rPr>
            </w:pPr>
          </w:p>
        </w:tc>
        <w:tc>
          <w:tcPr>
            <w:tcW w:w="720" w:type="dxa"/>
            <w:vAlign w:val="bottom"/>
            <w:gridSpan w:val="3"/>
            <w:vMerge w:val="continue"/>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40"/>
              <w:spacing w:after="0" w:line="157" w:lineRule="exact"/>
              <w:rPr>
                <w:sz w:val="20"/>
                <w:szCs w:val="20"/>
                <w:color w:val="auto"/>
              </w:rPr>
            </w:pPr>
            <w:r>
              <w:rPr>
                <w:rFonts w:ascii="Arial" w:cs="Arial" w:eastAsia="Arial" w:hAnsi="Arial"/>
                <w:sz w:val="14"/>
                <w:szCs w:val="14"/>
                <w:color w:val="auto"/>
              </w:rPr>
              <w:t>Earnings (loss) from continuing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4"/>
                <w:szCs w:val="14"/>
                <w:color w:val="auto"/>
              </w:rPr>
              <w:t>per common share (2)(3):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600" w:type="dxa"/>
            <w:vAlign w:val="bottom"/>
            <w:gridSpan w:val="3"/>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(0.47)</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(181.28)</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gridSpan w:val="3"/>
            <w:vMerge w:val="continue"/>
            <w:shd w:val="clear" w:color="auto" w:fill="CCEEFF"/>
          </w:tcPr>
          <w:p>
            <w:pPr>
              <w:spacing w:after="0"/>
              <w:rPr>
                <w:sz w:val="6"/>
                <w:szCs w:val="6"/>
                <w:color w:val="auto"/>
              </w:rPr>
            </w:pPr>
          </w:p>
        </w:tc>
        <w:tc>
          <w:tcPr>
            <w:tcW w:w="600" w:type="dxa"/>
            <w:vAlign w:val="bottom"/>
            <w:gridSpan w:val="3"/>
            <w:vMerge w:val="continue"/>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6"/>
                <w:szCs w:val="16"/>
                <w:color w:val="auto"/>
              </w:rPr>
            </w:pP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0.66</w:t>
            </w:r>
          </w:p>
        </w:tc>
        <w:tc>
          <w:tcPr>
            <w:tcW w:w="50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(181.28)</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per common share (2)(3):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Arial" w:cs="Arial" w:eastAsia="Arial" w:hAnsi="Arial"/>
                <w:sz w:val="14"/>
                <w:szCs w:val="14"/>
                <w:color w:val="auto"/>
              </w:rPr>
              <w:t>Basic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1.56</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color w:val="auto"/>
              </w:rPr>
              <w:t>1.83</w:t>
            </w:r>
          </w:p>
        </w:tc>
        <w:tc>
          <w:tcPr>
            <w:tcW w:w="600" w:type="dxa"/>
            <w:vAlign w:val="bottom"/>
            <w:gridSpan w:val="3"/>
            <w:vMerge w:val="restart"/>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0.74</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(568.13)</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5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(568.13)</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20" w:type="dxa"/>
            <w:vAlign w:val="bottom"/>
            <w:gridSpan w:val="3"/>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880" w:type="dxa"/>
            <w:vAlign w:val="bottom"/>
          </w:tcPr>
          <w:p>
            <w:pPr>
              <w:ind w:left="40"/>
              <w:spacing w:after="0" w:line="157" w:lineRule="exact"/>
              <w:rPr>
                <w:sz w:val="20"/>
                <w:szCs w:val="20"/>
                <w:color w:val="auto"/>
              </w:rPr>
            </w:pPr>
            <w:r>
              <w:rPr>
                <w:rFonts w:ascii="Arial" w:cs="Arial" w:eastAsia="Arial" w:hAnsi="Arial"/>
                <w:sz w:val="14"/>
                <w:szCs w:val="14"/>
                <w:color w:val="auto"/>
                <w:w w:val="96"/>
              </w:rPr>
              <w:t>Weighted average common shares outstanding</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40"/>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7"/>
              </w:rPr>
              <w:t>134,402,729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130,145,689</w:t>
            </w:r>
          </w:p>
        </w:tc>
        <w:tc>
          <w:tcPr>
            <w:tcW w:w="1320" w:type="dxa"/>
            <w:vAlign w:val="bottom"/>
            <w:gridSpan w:val="6"/>
            <w:vMerge w:val="restart"/>
            <w:shd w:val="clear" w:color="auto" w:fill="CCEEFF"/>
          </w:tcPr>
          <w:p>
            <w:pPr>
              <w:jc w:val="right"/>
              <w:spacing w:after="0"/>
              <w:rPr>
                <w:sz w:val="20"/>
                <w:szCs w:val="20"/>
                <w:color w:val="auto"/>
              </w:rPr>
            </w:pPr>
            <w:r>
              <w:rPr>
                <w:rFonts w:ascii="Arial" w:cs="Arial" w:eastAsia="Arial" w:hAnsi="Arial"/>
                <w:sz w:val="14"/>
                <w:szCs w:val="14"/>
                <w:color w:val="auto"/>
              </w:rPr>
              <w:t>114,478,947</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106,477,650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105,695,340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7"/>
              </w:rPr>
              <w:t>105,695,340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2,193,000</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4"/>
            <w:vMerge w:val="continue"/>
            <w:shd w:val="clear" w:color="auto" w:fill="CCEEFF"/>
          </w:tcPr>
          <w:p>
            <w:pPr>
              <w:spacing w:after="0"/>
              <w:rPr>
                <w:sz w:val="6"/>
                <w:szCs w:val="6"/>
                <w:color w:val="auto"/>
              </w:rPr>
            </w:pPr>
          </w:p>
        </w:tc>
        <w:tc>
          <w:tcPr>
            <w:tcW w:w="1320" w:type="dxa"/>
            <w:vAlign w:val="bottom"/>
            <w:gridSpan w:val="6"/>
            <w:vMerge w:val="continue"/>
            <w:shd w:val="clear" w:color="auto" w:fill="CCEEFF"/>
          </w:tcPr>
          <w:p>
            <w:pPr>
              <w:spacing w:after="0"/>
              <w:rPr>
                <w:sz w:val="6"/>
                <w:szCs w:val="6"/>
                <w:color w:val="auto"/>
              </w:rPr>
            </w:pPr>
          </w:p>
        </w:tc>
        <w:tc>
          <w:tcPr>
            <w:tcW w:w="11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6"/>
                <w:szCs w:val="16"/>
                <w:color w:val="auto"/>
              </w:rPr>
            </w:pPr>
          </w:p>
        </w:tc>
        <w:tc>
          <w:tcPr>
            <w:tcW w:w="90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w w:val="97"/>
              </w:rPr>
              <w:t>144,854,724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color w:val="auto"/>
              </w:rPr>
              <w:t>140,812,012</w:t>
            </w:r>
          </w:p>
        </w:tc>
        <w:tc>
          <w:tcPr>
            <w:tcW w:w="1320" w:type="dxa"/>
            <w:vAlign w:val="bottom"/>
            <w:gridSpan w:val="6"/>
            <w:vMerge w:val="restart"/>
          </w:tcPr>
          <w:p>
            <w:pPr>
              <w:jc w:val="right"/>
              <w:spacing w:after="0"/>
              <w:rPr>
                <w:sz w:val="20"/>
                <w:szCs w:val="20"/>
                <w:color w:val="auto"/>
              </w:rPr>
            </w:pPr>
            <w:r>
              <w:rPr>
                <w:rFonts w:ascii="Arial" w:cs="Arial" w:eastAsia="Arial" w:hAnsi="Arial"/>
                <w:sz w:val="14"/>
                <w:szCs w:val="14"/>
                <w:color w:val="auto"/>
              </w:rPr>
              <w:t>127,448,700</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color w:val="auto"/>
              </w:rPr>
              <w:t>116,228,380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105,695,340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w w:val="97"/>
              </w:rPr>
              <w:t>105,695,340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2,193,000</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320" w:type="dxa"/>
            <w:vAlign w:val="bottom"/>
            <w:gridSpan w:val="6"/>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600" w:type="dxa"/>
            <w:vAlign w:val="bottom"/>
            <w:gridSpan w:val="3"/>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(3)(4)</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gridSpan w:val="3"/>
            <w:vMerge w:val="continue"/>
            <w:shd w:val="clear" w:color="auto" w:fill="CCEEFF"/>
          </w:tcPr>
          <w:p>
            <w:pPr>
              <w:spacing w:after="0"/>
              <w:rPr>
                <w:sz w:val="6"/>
                <w:szCs w:val="6"/>
                <w:color w:val="auto"/>
              </w:rPr>
            </w:pPr>
          </w:p>
        </w:tc>
        <w:tc>
          <w:tcPr>
            <w:tcW w:w="60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560" w:type="dxa"/>
            <w:vAlign w:val="bottom"/>
            <w:gridSpan w:val="3"/>
            <w:vMerge w:val="continue"/>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9"/>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The Company</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As of March 31,</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2"/>
                <w:szCs w:val="22"/>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22"/>
                <w:szCs w:val="22"/>
                <w:color w:val="auto"/>
              </w:rPr>
            </w:pPr>
          </w:p>
        </w:tc>
        <w:tc>
          <w:tcPr>
            <w:tcW w:w="1180" w:type="dxa"/>
            <w:vAlign w:val="bottom"/>
            <w:gridSpan w:val="6"/>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220" w:type="dxa"/>
            <w:vAlign w:val="bottom"/>
            <w:gridSpan w:val="4"/>
          </w:tcPr>
          <w:p>
            <w:pPr>
              <w:jc w:val="center"/>
              <w:ind w:left="68"/>
              <w:spacing w:after="0"/>
              <w:rPr>
                <w:sz w:val="20"/>
                <w:szCs w:val="20"/>
                <w:color w:val="auto"/>
              </w:rPr>
            </w:pPr>
            <w:r>
              <w:rPr>
                <w:rFonts w:ascii="Arial" w:cs="Arial" w:eastAsia="Arial" w:hAnsi="Arial"/>
                <w:sz w:val="14"/>
                <w:szCs w:val="14"/>
                <w:b w:val="1"/>
                <w:bCs w:val="1"/>
                <w:color w:val="auto"/>
                <w:w w:val="89"/>
              </w:rPr>
              <w:t>2011</w:t>
            </w:r>
          </w:p>
        </w:tc>
        <w:tc>
          <w:tcPr>
            <w:tcW w:w="12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tcBorders>
              <w:right w:val="single" w:sz="8" w:color="CCEEFF"/>
            </w:tcBorders>
            <w:shd w:val="clear" w:color="auto" w:fill="CCEEFF"/>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6"/>
                <w:szCs w:val="16"/>
                <w:color w:val="auto"/>
              </w:rPr>
            </w:pPr>
          </w:p>
        </w:tc>
        <w:tc>
          <w:tcPr>
            <w:tcW w:w="900" w:type="dxa"/>
            <w:vAlign w:val="bottom"/>
            <w:gridSpan w:val="2"/>
            <w:vMerge w:val="restart"/>
          </w:tcPr>
          <w:p>
            <w:pPr>
              <w:jc w:val="right"/>
              <w:ind w:right="388"/>
              <w:spacing w:after="0"/>
              <w:rPr>
                <w:sz w:val="20"/>
                <w:szCs w:val="20"/>
                <w:color w:val="auto"/>
              </w:rPr>
            </w:pPr>
            <w:r>
              <w:rPr>
                <w:rFonts w:ascii="Arial" w:cs="Arial" w:eastAsia="Arial" w:hAnsi="Arial"/>
                <w:sz w:val="14"/>
                <w:szCs w:val="14"/>
                <w:color w:val="auto"/>
              </w:rPr>
              <w:t>$</w:t>
            </w: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color w:val="auto"/>
                <w:w w:val="94"/>
              </w:rPr>
              <w:t>350,384</w:t>
            </w:r>
          </w:p>
        </w:tc>
        <w:tc>
          <w:tcPr>
            <w:tcW w:w="580" w:type="dxa"/>
            <w:vAlign w:val="bottom"/>
            <w:gridSpan w:val="3"/>
            <w:vMerge w:val="restart"/>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484,368</w:t>
            </w:r>
          </w:p>
        </w:tc>
        <w:tc>
          <w:tcPr>
            <w:tcW w:w="720" w:type="dxa"/>
            <w:vAlign w:val="bottom"/>
            <w:gridSpan w:val="3"/>
            <w:vMerge w:val="restart"/>
          </w:tcPr>
          <w:p>
            <w:pPr>
              <w:jc w:val="center"/>
              <w:ind w:right="228"/>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w w:val="90"/>
              </w:rPr>
              <w:t>192,631</w:t>
            </w:r>
          </w:p>
        </w:tc>
        <w:tc>
          <w:tcPr>
            <w:tcW w:w="680" w:type="dxa"/>
            <w:vAlign w:val="bottom"/>
            <w:gridSpan w:val="2"/>
            <w:vMerge w:val="restart"/>
          </w:tcPr>
          <w:p>
            <w:pPr>
              <w:jc w:val="right"/>
              <w:ind w:right="38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0"/>
              </w:rPr>
              <w:t>307,835</w:t>
            </w:r>
          </w:p>
        </w:tc>
        <w:tc>
          <w:tcPr>
            <w:tcW w:w="40" w:type="dxa"/>
            <w:vAlign w:val="bottom"/>
          </w:tcPr>
          <w:p>
            <w:pPr>
              <w:spacing w:after="0"/>
              <w:rPr>
                <w:sz w:val="16"/>
                <w:szCs w:val="16"/>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420,902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459,706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739,211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494,308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0"/>
              </w:rPr>
              <w:t>584,248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789,308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0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0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2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6"/>
                <w:szCs w:val="16"/>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4"/>
                <w:szCs w:val="14"/>
                <w:color w:val="auto"/>
              </w:rPr>
              <w:t>3,177,528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w w:val="93"/>
              </w:rPr>
              <w:t>3,314,791</w:t>
            </w: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color w:val="auto"/>
              </w:rPr>
              <w:t>3,024,023</w:t>
            </w:r>
          </w:p>
        </w:tc>
        <w:tc>
          <w:tcPr>
            <w:tcW w:w="12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3,062,223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3,182,249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 of current portion</w:t>
            </w:r>
          </w:p>
        </w:tc>
        <w:tc>
          <w:tcPr>
            <w:tcW w:w="140" w:type="dxa"/>
            <w:vAlign w:val="bottom"/>
            <w:shd w:val="clear" w:color="auto" w:fill="CCEEFF"/>
          </w:tcPr>
          <w:p>
            <w:pPr>
              <w:spacing w:after="0"/>
              <w:rPr>
                <w:sz w:val="17"/>
                <w:szCs w:val="17"/>
                <w:color w:val="auto"/>
              </w:rPr>
            </w:pPr>
          </w:p>
        </w:tc>
        <w:tc>
          <w:tcPr>
            <w:tcW w:w="140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1,659,611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922,925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964,328</w:t>
            </w:r>
          </w:p>
        </w:tc>
        <w:tc>
          <w:tcPr>
            <w:tcW w:w="12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1,546,782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1,220,502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0" w:type="dxa"/>
            <w:vAlign w:val="bottom"/>
            <w:gridSpan w:val="5"/>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0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2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color w:val="auto"/>
                <w:w w:val="94"/>
              </w:rPr>
              <w:t>226,793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w w:val="93"/>
              </w:rPr>
              <w:t>1,185,185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w w:val="90"/>
              </w:rPr>
              <w:t>907,250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0"/>
              </w:rPr>
              <w:t>509,583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1,060,343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60" w:right="340" w:hanging="330"/>
        <w:spacing w:after="0" w:line="28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4"/>
          <w:szCs w:val="14"/>
          <w:color w:val="auto"/>
        </w:rPr>
        <w:t>The table below presents the pro forma adjustments attributable to the acquisition. The pro forma adjustments are described in the accompanying footnotes and are based upon available information and certain assumptions that we believe are reasonable.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1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208"/>
              <w:spacing w:after="0"/>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Eight Months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6"/>
              </w:rPr>
              <w:t>Four Months</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5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2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2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July 31, 2008</w:t>
            </w:r>
          </w:p>
        </w:tc>
        <w:tc>
          <w:tcPr>
            <w:tcW w:w="0" w:type="dxa"/>
            <w:vAlign w:val="bottom"/>
          </w:tcPr>
          <w:p>
            <w:pPr>
              <w:spacing w:after="0"/>
              <w:rPr>
                <w:sz w:val="1"/>
                <w:szCs w:val="1"/>
                <w:color w:val="auto"/>
              </w:rPr>
            </w:pPr>
          </w:p>
        </w:tc>
      </w:tr>
      <w:tr>
        <w:trPr>
          <w:trHeight w:val="177"/>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8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4,351,218</w:t>
            </w:r>
          </w:p>
        </w:tc>
        <w:tc>
          <w:tcPr>
            <w:tcW w:w="120" w:type="dxa"/>
            <w:vAlign w:val="bottom"/>
          </w:tcPr>
          <w:p>
            <w:pPr>
              <w:spacing w:after="0"/>
              <w:rPr>
                <w:sz w:val="16"/>
                <w:szCs w:val="16"/>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2,941,275</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1,409,943</w:t>
            </w:r>
          </w:p>
        </w:tc>
        <w:tc>
          <w:tcPr>
            <w:tcW w:w="0" w:type="dxa"/>
            <w:vAlign w:val="bottom"/>
          </w:tcPr>
          <w:p>
            <w:pPr>
              <w:spacing w:after="0"/>
              <w:rPr>
                <w:sz w:val="1"/>
                <w:szCs w:val="1"/>
                <w:color w:val="auto"/>
              </w:rPr>
            </w:pPr>
          </w:p>
        </w:tc>
      </w:tr>
      <w:tr>
        <w:trPr>
          <w:trHeight w:val="74"/>
        </w:trPr>
        <w:tc>
          <w:tcPr>
            <w:tcW w:w="48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costs and expenses: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2,296,335</w:t>
            </w:r>
          </w:p>
        </w:tc>
        <w:tc>
          <w:tcPr>
            <w:tcW w:w="16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6,586</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auto"/>
              </w:rPr>
              <w:t>(a)</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1,566,763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722,986</w:t>
            </w:r>
          </w:p>
        </w:tc>
        <w:tc>
          <w:tcPr>
            <w:tcW w:w="0" w:type="dxa"/>
            <w:vAlign w:val="bottom"/>
          </w:tcPr>
          <w:p>
            <w:pPr>
              <w:spacing w:after="0"/>
              <w:rPr>
                <w:sz w:val="1"/>
                <w:szCs w:val="1"/>
                <w:color w:val="auto"/>
              </w:rPr>
            </w:pPr>
          </w:p>
        </w:tc>
      </w:tr>
      <w:tr>
        <w:trPr>
          <w:trHeight w:val="74"/>
        </w:trPr>
        <w:tc>
          <w:tcPr>
            <w:tcW w:w="4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Billable expenses</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1,158,320</w:t>
            </w:r>
          </w:p>
        </w:tc>
        <w:tc>
          <w:tcPr>
            <w:tcW w:w="1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756,933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401,387</w:t>
            </w:r>
          </w:p>
        </w:tc>
        <w:tc>
          <w:tcPr>
            <w:tcW w:w="0" w:type="dxa"/>
            <w:vAlign w:val="bottom"/>
          </w:tcPr>
          <w:p>
            <w:pPr>
              <w:spacing w:after="0"/>
              <w:rPr>
                <w:sz w:val="1"/>
                <w:szCs w:val="1"/>
                <w:color w:val="auto"/>
              </w:rPr>
            </w:pPr>
          </w:p>
        </w:tc>
      </w:tr>
      <w:tr>
        <w:trPr>
          <w:trHeight w:val="80"/>
        </w:trPr>
        <w:tc>
          <w:tcPr>
            <w:tcW w:w="4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723,827</w:t>
            </w:r>
          </w:p>
        </w:tc>
        <w:tc>
          <w:tcPr>
            <w:tcW w:w="16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(508,328)</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auto"/>
              </w:rPr>
              <w:t>(b)</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505,226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726,929</w:t>
            </w:r>
          </w:p>
        </w:tc>
        <w:tc>
          <w:tcPr>
            <w:tcW w:w="0" w:type="dxa"/>
            <w:vAlign w:val="bottom"/>
          </w:tcPr>
          <w:p>
            <w:pPr>
              <w:spacing w:after="0"/>
              <w:rPr>
                <w:sz w:val="1"/>
                <w:szCs w:val="1"/>
                <w:color w:val="auto"/>
              </w:rPr>
            </w:pPr>
          </w:p>
        </w:tc>
      </w:tr>
      <w:tr>
        <w:trPr>
          <w:trHeight w:val="74"/>
        </w:trPr>
        <w:tc>
          <w:tcPr>
            <w:tcW w:w="4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106,335</w:t>
            </w:r>
          </w:p>
        </w:tc>
        <w:tc>
          <w:tcPr>
            <w:tcW w:w="16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14,740</w:t>
            </w:r>
          </w:p>
        </w:tc>
        <w:tc>
          <w:tcPr>
            <w:tcW w:w="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79,665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11,930</w:t>
            </w:r>
          </w:p>
        </w:tc>
        <w:tc>
          <w:tcPr>
            <w:tcW w:w="0" w:type="dxa"/>
            <w:vAlign w:val="bottom"/>
          </w:tcPr>
          <w:p>
            <w:pPr>
              <w:spacing w:after="0"/>
              <w:rPr>
                <w:sz w:val="1"/>
                <w:szCs w:val="1"/>
                <w:color w:val="auto"/>
              </w:rPr>
            </w:pPr>
          </w:p>
        </w:tc>
      </w:tr>
      <w:tr>
        <w:trPr>
          <w:trHeight w:val="80"/>
        </w:trPr>
        <w:tc>
          <w:tcPr>
            <w:tcW w:w="4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720"/>
              <w:spacing w:after="0"/>
              <w:rPr>
                <w:sz w:val="20"/>
                <w:szCs w:val="20"/>
                <w:color w:val="auto"/>
              </w:rPr>
            </w:pPr>
            <w:r>
              <w:rPr>
                <w:rFonts w:ascii="Arial" w:cs="Arial" w:eastAsia="Arial" w:hAnsi="Arial"/>
                <w:sz w:val="14"/>
                <w:szCs w:val="14"/>
                <w:color w:val="auto"/>
              </w:rPr>
              <w:t>Total operating costs and expenses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4,284,817</w:t>
            </w:r>
          </w:p>
        </w:tc>
        <w:tc>
          <w:tcPr>
            <w:tcW w:w="120" w:type="dxa"/>
            <w:vAlign w:val="bottom"/>
          </w:tcPr>
          <w:p>
            <w:pPr>
              <w:spacing w:after="0"/>
              <w:rPr>
                <w:sz w:val="14"/>
                <w:szCs w:val="14"/>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2,908,587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1,863,232</w:t>
            </w:r>
          </w:p>
        </w:tc>
        <w:tc>
          <w:tcPr>
            <w:tcW w:w="0" w:type="dxa"/>
            <w:vAlign w:val="bottom"/>
          </w:tcPr>
          <w:p>
            <w:pPr>
              <w:spacing w:after="0"/>
              <w:rPr>
                <w:sz w:val="1"/>
                <w:szCs w:val="1"/>
                <w:color w:val="auto"/>
              </w:rPr>
            </w:pPr>
          </w:p>
        </w:tc>
      </w:tr>
      <w:tr>
        <w:trPr>
          <w:trHeight w:val="74"/>
        </w:trPr>
        <w:tc>
          <w:tcPr>
            <w:tcW w:w="48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vMerge w:val="continue"/>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66,401</w:t>
            </w:r>
          </w:p>
        </w:tc>
        <w:tc>
          <w:tcPr>
            <w:tcW w:w="1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32,688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(453,289)</w:t>
            </w:r>
          </w:p>
        </w:tc>
        <w:tc>
          <w:tcPr>
            <w:tcW w:w="0" w:type="dxa"/>
            <w:vAlign w:val="bottom"/>
          </w:tcPr>
          <w:p>
            <w:pPr>
              <w:spacing w:after="0"/>
              <w:rPr>
                <w:sz w:val="1"/>
                <w:szCs w:val="1"/>
                <w:color w:val="auto"/>
              </w:rPr>
            </w:pPr>
          </w:p>
        </w:tc>
      </w:tr>
      <w:tr>
        <w:trPr>
          <w:trHeight w:val="80"/>
        </w:trPr>
        <w:tc>
          <w:tcPr>
            <w:tcW w:w="4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(146,803)</w:t>
            </w:r>
          </w:p>
        </w:tc>
        <w:tc>
          <w:tcPr>
            <w:tcW w:w="16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(47,691)</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auto"/>
              </w:rPr>
              <w:t>(d)</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(98,068)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74"/>
        </w:trPr>
        <w:tc>
          <w:tcPr>
            <w:tcW w:w="4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net</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5,130</w:t>
            </w:r>
          </w:p>
        </w:tc>
        <w:tc>
          <w:tcPr>
            <w:tcW w:w="1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80"/>
        </w:trPr>
        <w:tc>
          <w:tcPr>
            <w:tcW w:w="48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380"/>
              <w:spacing w:after="0"/>
              <w:rPr>
                <w:sz w:val="20"/>
                <w:szCs w:val="20"/>
                <w:color w:val="auto"/>
              </w:rPr>
            </w:pPr>
            <w:r>
              <w:rPr>
                <w:rFonts w:ascii="Arial" w:cs="Arial" w:eastAsia="Arial" w:hAnsi="Arial"/>
                <w:sz w:val="14"/>
                <w:szCs w:val="14"/>
                <w:color w:val="auto"/>
              </w:rPr>
              <w:t>Loss from continuing operations before income taxes</w:t>
            </w:r>
          </w:p>
        </w:tc>
        <w:tc>
          <w:tcPr>
            <w:tcW w:w="260" w:type="dxa"/>
            <w:vAlign w:val="bottom"/>
          </w:tcPr>
          <w:p>
            <w:pPr>
              <w:spacing w:after="0"/>
              <w:rPr>
                <w:sz w:val="14"/>
                <w:szCs w:val="14"/>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(75,272)</w:t>
            </w:r>
          </w:p>
        </w:tc>
        <w:tc>
          <w:tcPr>
            <w:tcW w:w="120" w:type="dxa"/>
            <w:vAlign w:val="bottom"/>
          </w:tcPr>
          <w:p>
            <w:pPr>
              <w:spacing w:after="0"/>
              <w:rPr>
                <w:sz w:val="14"/>
                <w:szCs w:val="14"/>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(60,930)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(453,653)</w:t>
            </w:r>
          </w:p>
        </w:tc>
        <w:tc>
          <w:tcPr>
            <w:tcW w:w="0" w:type="dxa"/>
            <w:vAlign w:val="bottom"/>
          </w:tcPr>
          <w:p>
            <w:pPr>
              <w:spacing w:after="0"/>
              <w:rPr>
                <w:sz w:val="1"/>
                <w:szCs w:val="1"/>
                <w:color w:val="auto"/>
              </w:rPr>
            </w:pPr>
          </w:p>
        </w:tc>
      </w:tr>
      <w:tr>
        <w:trPr>
          <w:trHeight w:val="74"/>
        </w:trPr>
        <w:tc>
          <w:tcPr>
            <w:tcW w:w="4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(benefit) expense from continuing operations</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(25,831)</w:t>
            </w:r>
          </w:p>
        </w:tc>
        <w:tc>
          <w:tcPr>
            <w:tcW w:w="16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52,425</w:t>
            </w:r>
          </w:p>
        </w:tc>
        <w:tc>
          <w:tcPr>
            <w:tcW w:w="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(56,109)</w:t>
            </w:r>
          </w:p>
        </w:tc>
        <w:tc>
          <w:tcPr>
            <w:tcW w:w="0" w:type="dxa"/>
            <w:vAlign w:val="bottom"/>
          </w:tcPr>
          <w:p>
            <w:pPr>
              <w:spacing w:after="0"/>
              <w:rPr>
                <w:sz w:val="1"/>
                <w:szCs w:val="1"/>
                <w:color w:val="auto"/>
              </w:rPr>
            </w:pPr>
          </w:p>
        </w:tc>
      </w:tr>
      <w:tr>
        <w:trPr>
          <w:trHeight w:val="80"/>
        </w:trPr>
        <w:tc>
          <w:tcPr>
            <w:tcW w:w="4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6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380"/>
              <w:spacing w:after="0"/>
              <w:rPr>
                <w:sz w:val="20"/>
                <w:szCs w:val="20"/>
                <w:color w:val="auto"/>
              </w:rPr>
            </w:pPr>
            <w:r>
              <w:rPr>
                <w:rFonts w:ascii="Arial" w:cs="Arial" w:eastAsia="Arial" w:hAnsi="Arial"/>
                <w:sz w:val="14"/>
                <w:szCs w:val="14"/>
                <w:color w:val="auto"/>
              </w:rPr>
              <w:t>Loss from continuing operations</w:t>
            </w: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(49,441)</w:t>
            </w:r>
          </w:p>
        </w:tc>
        <w:tc>
          <w:tcPr>
            <w:tcW w:w="120" w:type="dxa"/>
            <w:vAlign w:val="bottom"/>
          </w:tcPr>
          <w:p>
            <w:pPr>
              <w:spacing w:after="0"/>
              <w:rPr>
                <w:sz w:val="14"/>
                <w:szCs w:val="14"/>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(38,783)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(397,544)</w:t>
            </w:r>
          </w:p>
        </w:tc>
        <w:tc>
          <w:tcPr>
            <w:tcW w:w="0" w:type="dxa"/>
            <w:vAlign w:val="bottom"/>
          </w:tcPr>
          <w:p>
            <w:pPr>
              <w:spacing w:after="0"/>
              <w:rPr>
                <w:sz w:val="1"/>
                <w:szCs w:val="1"/>
                <w:color w:val="auto"/>
              </w:rPr>
            </w:pPr>
          </w:p>
        </w:tc>
      </w:tr>
      <w:tr>
        <w:trPr>
          <w:trHeight w:val="106"/>
        </w:trPr>
        <w:tc>
          <w:tcPr>
            <w:tcW w:w="48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vMerge w:val="continue"/>
          </w:tcPr>
          <w:p>
            <w:pPr>
              <w:spacing w:after="0"/>
              <w:rPr>
                <w:sz w:val="9"/>
                <w:szCs w:val="9"/>
                <w:color w:val="auto"/>
              </w:rPr>
            </w:pPr>
          </w:p>
        </w:tc>
        <w:tc>
          <w:tcPr>
            <w:tcW w:w="4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40" w:type="dxa"/>
            <w:vAlign w:val="bottom"/>
            <w:tcBorders>
              <w:bottom w:val="single" w:sz="8" w:color="CCEEF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380"/>
              <w:spacing w:after="0" w:line="144" w:lineRule="exact"/>
              <w:rPr>
                <w:sz w:val="20"/>
                <w:szCs w:val="20"/>
                <w:color w:val="auto"/>
              </w:rPr>
            </w:pPr>
            <w:r>
              <w:rPr>
                <w:rFonts w:ascii="Arial" w:cs="Arial" w:eastAsia="Arial" w:hAnsi="Arial"/>
                <w:sz w:val="14"/>
                <w:szCs w:val="14"/>
                <w:color w:val="auto"/>
              </w:rPr>
              <w:t>Loss from discontinued operations, net of taxes</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(848,371)</w:t>
            </w:r>
          </w:p>
        </w:tc>
        <w:tc>
          <w:tcPr>
            <w:tcW w:w="0" w:type="dxa"/>
            <w:vAlign w:val="bottom"/>
          </w:tcPr>
          <w:p>
            <w:pPr>
              <w:spacing w:after="0"/>
              <w:rPr>
                <w:sz w:val="1"/>
                <w:szCs w:val="1"/>
                <w:color w:val="auto"/>
              </w:rPr>
            </w:pPr>
          </w:p>
        </w:tc>
      </w:tr>
      <w:tr>
        <w:trPr>
          <w:trHeight w:val="107"/>
        </w:trPr>
        <w:tc>
          <w:tcPr>
            <w:tcW w:w="48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820" w:type="dxa"/>
            <w:vAlign w:val="bottom"/>
          </w:tcPr>
          <w:p>
            <w:pPr>
              <w:ind w:left="380"/>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(38,783)</w:t>
            </w:r>
          </w:p>
        </w:tc>
        <w:tc>
          <w:tcPr>
            <w:tcW w:w="10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(1,245,915)</w:t>
            </w:r>
          </w:p>
        </w:tc>
        <w:tc>
          <w:tcPr>
            <w:tcW w:w="0" w:type="dxa"/>
            <w:vAlign w:val="bottom"/>
          </w:tcPr>
          <w:p>
            <w:pPr>
              <w:spacing w:after="0"/>
              <w:rPr>
                <w:sz w:val="1"/>
                <w:szCs w:val="1"/>
                <w:color w:val="auto"/>
              </w:rPr>
            </w:pPr>
          </w:p>
        </w:tc>
      </w:tr>
      <w:tr>
        <w:trPr>
          <w:trHeight w:val="60"/>
        </w:trPr>
        <w:tc>
          <w:tcPr>
            <w:tcW w:w="4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1100" w:right="20" w:hanging="322"/>
        <w:spacing w:after="0" w:line="26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4"/>
          <w:szCs w:val="14"/>
          <w:color w:val="auto"/>
        </w:rPr>
        <w:t>Reflects additional stock-based compensation expense associated with options issued in exchange for stock rights under the stock rights plan that existed prior to the closing of the acquisition for $6.6 million (see Note 17 to our consolidated financial statements for additional information on our stock-based compensation).</w:t>
      </w: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4"/>
          <w:szCs w:val="14"/>
          <w:color w:val="auto"/>
        </w:rPr>
        <w:t>Consists of the following adjustments:</w:t>
      </w:r>
    </w:p>
    <w:p>
      <w:pPr>
        <w:spacing w:after="0" w:line="33" w:lineRule="exact"/>
        <w:rPr>
          <w:rFonts w:ascii="Arial" w:cs="Arial" w:eastAsia="Arial" w:hAnsi="Arial"/>
          <w:sz w:val="18"/>
          <w:szCs w:val="18"/>
          <w:color w:val="auto"/>
        </w:rPr>
      </w:pPr>
    </w:p>
    <w:p>
      <w:pPr>
        <w:ind w:left="1200" w:right="160" w:hanging="328"/>
        <w:spacing w:after="0" w:line="267" w:lineRule="auto"/>
        <w:tabs>
          <w:tab w:leader="none" w:pos="1200" w:val="left"/>
        </w:tabs>
        <w:numPr>
          <w:ilvl w:val="1"/>
          <w:numId w:val="39"/>
        </w:numPr>
        <w:rPr>
          <w:rFonts w:ascii="Arial" w:cs="Arial" w:eastAsia="Arial" w:hAnsi="Arial"/>
          <w:sz w:val="18"/>
          <w:szCs w:val="18"/>
          <w:color w:val="auto"/>
        </w:rPr>
      </w:pPr>
      <w:r>
        <w:rPr>
          <w:rFonts w:ascii="Arial" w:cs="Arial" w:eastAsia="Arial" w:hAnsi="Arial"/>
          <w:sz w:val="14"/>
          <w:szCs w:val="14"/>
          <w:color w:val="auto"/>
        </w:rPr>
        <w:t>Increase to rent expense of $1.8 million due to the elimination of the July 31, 2008 deferred rent liability in accordance with the accounting treatment of leases associated with the business combination;</w:t>
      </w:r>
    </w:p>
    <w:p>
      <w:pPr>
        <w:spacing w:after="0" w:line="21" w:lineRule="exact"/>
        <w:rPr>
          <w:rFonts w:ascii="Arial" w:cs="Arial" w:eastAsia="Arial" w:hAnsi="Arial"/>
          <w:sz w:val="18"/>
          <w:szCs w:val="18"/>
          <w:color w:val="auto"/>
        </w:rPr>
      </w:pPr>
    </w:p>
    <w:p>
      <w:pPr>
        <w:ind w:left="1200" w:hanging="328"/>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3"/>
          <w:szCs w:val="13"/>
          <w:color w:val="auto"/>
        </w:rPr>
        <w:t>Increase to management fees paid to Carlyle of $333,000 (see Note 18 to our consolidated financial statements for additional information regarding the management fees);</w:t>
      </w:r>
    </w:p>
    <w:p>
      <w:pPr>
        <w:spacing w:after="0" w:line="33" w:lineRule="exact"/>
        <w:rPr>
          <w:rFonts w:ascii="Arial" w:cs="Arial" w:eastAsia="Arial" w:hAnsi="Arial"/>
          <w:sz w:val="16"/>
          <w:szCs w:val="16"/>
          <w:color w:val="auto"/>
        </w:rPr>
      </w:pPr>
    </w:p>
    <w:p>
      <w:pPr>
        <w:ind w:left="1200" w:right="240" w:hanging="328"/>
        <w:spacing w:after="0" w:line="267" w:lineRule="auto"/>
        <w:tabs>
          <w:tab w:leader="none" w:pos="1200" w:val="left"/>
        </w:tabs>
        <w:numPr>
          <w:ilvl w:val="1"/>
          <w:numId w:val="39"/>
        </w:numPr>
        <w:rPr>
          <w:rFonts w:ascii="Arial" w:cs="Arial" w:eastAsia="Arial" w:hAnsi="Arial"/>
          <w:sz w:val="18"/>
          <w:szCs w:val="18"/>
          <w:color w:val="auto"/>
        </w:rPr>
      </w:pPr>
      <w:r>
        <w:rPr>
          <w:rFonts w:ascii="Arial" w:cs="Arial" w:eastAsia="Arial" w:hAnsi="Arial"/>
          <w:sz w:val="14"/>
          <w:szCs w:val="14"/>
          <w:color w:val="auto"/>
        </w:rPr>
        <w:t>Additional stock-based compensation expense of $13.4 million associated with options issued in exchange for stock rights under the stock rights plan that existed prior to the closing of the acquisition (see Note 17 to our consolidated financial statements for additional information on our stock-based compensation);</w:t>
      </w:r>
    </w:p>
    <w:p>
      <w:pPr>
        <w:spacing w:after="0" w:line="21" w:lineRule="exact"/>
        <w:rPr>
          <w:rFonts w:ascii="Arial" w:cs="Arial" w:eastAsia="Arial" w:hAnsi="Arial"/>
          <w:sz w:val="18"/>
          <w:szCs w:val="18"/>
          <w:color w:val="auto"/>
        </w:rPr>
      </w:pPr>
    </w:p>
    <w:p>
      <w:pPr>
        <w:ind w:left="1200" w:hanging="328"/>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3"/>
          <w:szCs w:val="13"/>
          <w:color w:val="auto"/>
        </w:rPr>
        <w:t>Reversal of $511.7 million for a one-time acceleration of stock rights and the fair value mark-up of redeemable common shares immediately prior to the acquisition; and</w:t>
      </w:r>
    </w:p>
    <w:p>
      <w:pPr>
        <w:spacing w:after="0" w:line="25" w:lineRule="exact"/>
        <w:rPr>
          <w:rFonts w:ascii="Arial" w:cs="Arial" w:eastAsia="Arial" w:hAnsi="Arial"/>
          <w:sz w:val="16"/>
          <w:szCs w:val="16"/>
          <w:color w:val="auto"/>
        </w:rPr>
      </w:pPr>
    </w:p>
    <w:p>
      <w:pPr>
        <w:ind w:left="1200" w:hanging="328"/>
        <w:spacing w:after="0" w:line="220" w:lineRule="auto"/>
        <w:tabs>
          <w:tab w:leader="none" w:pos="1200" w:val="left"/>
        </w:tabs>
        <w:numPr>
          <w:ilvl w:val="1"/>
          <w:numId w:val="39"/>
        </w:numPr>
        <w:rPr>
          <w:rFonts w:ascii="Arial" w:cs="Arial" w:eastAsia="Arial" w:hAnsi="Arial"/>
          <w:sz w:val="18"/>
          <w:szCs w:val="18"/>
          <w:color w:val="auto"/>
        </w:rPr>
      </w:pPr>
      <w:r>
        <w:rPr>
          <w:rFonts w:ascii="Arial" w:cs="Arial" w:eastAsia="Arial" w:hAnsi="Arial"/>
          <w:sz w:val="14"/>
          <w:szCs w:val="14"/>
          <w:color w:val="auto"/>
        </w:rPr>
        <w:t>Reversal of certain related transaction costs of $12.2 million.</w:t>
      </w:r>
    </w:p>
    <w:p>
      <w:pPr>
        <w:spacing w:after="0" w:line="26" w:lineRule="exact"/>
        <w:rPr>
          <w:rFonts w:ascii="Arial" w:cs="Arial" w:eastAsia="Arial" w:hAnsi="Arial"/>
          <w:sz w:val="18"/>
          <w:szCs w:val="18"/>
          <w:color w:val="auto"/>
        </w:rPr>
      </w:pPr>
    </w:p>
    <w:p>
      <w:pPr>
        <w:ind w:left="1100" w:hanging="322"/>
        <w:spacing w:after="0" w:line="220"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4"/>
          <w:szCs w:val="14"/>
          <w:color w:val="auto"/>
        </w:rPr>
        <w:t>Reflects $14.7 million of intangible assets amortization and depreciation of the fair value write-up on fixed assets recorded with the acquisition.</w:t>
      </w:r>
    </w:p>
    <w:p>
      <w:pPr>
        <w:spacing w:after="0" w:line="26" w:lineRule="exact"/>
        <w:rPr>
          <w:rFonts w:ascii="Arial" w:cs="Arial" w:eastAsia="Arial" w:hAnsi="Arial"/>
          <w:sz w:val="18"/>
          <w:szCs w:val="18"/>
          <w:color w:val="auto"/>
        </w:rPr>
      </w:pPr>
    </w:p>
    <w:p>
      <w:pPr>
        <w:ind w:left="1100" w:hanging="322"/>
        <w:spacing w:after="0" w:line="220"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4"/>
          <w:szCs w:val="14"/>
          <w:color w:val="auto"/>
        </w:rPr>
        <w:t>Consists of the following adjustments:</w:t>
      </w:r>
    </w:p>
    <w:p>
      <w:pPr>
        <w:spacing w:after="0" w:line="32" w:lineRule="exact"/>
        <w:rPr>
          <w:rFonts w:ascii="Arial" w:cs="Arial" w:eastAsia="Arial" w:hAnsi="Arial"/>
          <w:sz w:val="18"/>
          <w:szCs w:val="18"/>
          <w:color w:val="auto"/>
        </w:rPr>
      </w:pPr>
    </w:p>
    <w:p>
      <w:pPr>
        <w:ind w:left="1200" w:hanging="328"/>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3"/>
          <w:szCs w:val="13"/>
          <w:color w:val="auto"/>
        </w:rPr>
        <w:t>Reversal of interest expense of $1.0 million recorded during the four months ended July 31, 2008 related to the Predecessor’s previous debt outstanding prior to the acquisition;</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and</w:t>
      </w:r>
    </w:p>
    <w:p>
      <w:pPr>
        <w:spacing w:after="0" w:line="55" w:lineRule="exact"/>
        <w:rPr>
          <w:sz w:val="20"/>
          <w:szCs w:val="20"/>
          <w:color w:val="auto"/>
        </w:rPr>
      </w:pPr>
    </w:p>
    <w:p>
      <w:pPr>
        <w:ind w:left="1200" w:right="60" w:hanging="328"/>
        <w:spacing w:after="0" w:line="26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4"/>
          <w:szCs w:val="14"/>
          <w:color w:val="auto"/>
        </w:rPr>
        <w:t>Incurrence of additional interest expense of $48.7 million associated with our new senior secured loan facilities and mezzanine credit facility established in conjunction with the acquisition.</w:t>
      </w:r>
    </w:p>
    <w:p>
      <w:pPr>
        <w:ind w:left="1100" w:hanging="322"/>
        <w:spacing w:after="0" w:line="237" w:lineRule="auto"/>
        <w:tabs>
          <w:tab w:leader="none" w:pos="1100" w:val="left"/>
        </w:tabs>
        <w:numPr>
          <w:ilvl w:val="1"/>
          <w:numId w:val="41"/>
        </w:numPr>
        <w:rPr>
          <w:rFonts w:ascii="Arial" w:cs="Arial" w:eastAsia="Arial" w:hAnsi="Arial"/>
          <w:sz w:val="18"/>
          <w:szCs w:val="18"/>
          <w:color w:val="auto"/>
        </w:rPr>
      </w:pPr>
      <w:r>
        <w:rPr>
          <w:rFonts w:ascii="Arial" w:cs="Arial" w:eastAsia="Arial" w:hAnsi="Arial"/>
          <w:sz w:val="14"/>
          <w:szCs w:val="14"/>
          <w:color w:val="auto"/>
        </w:rPr>
        <w:t>Reflects tax effect of the cumulative pro forma adjustments.</w:t>
      </w:r>
    </w:p>
    <w:p>
      <w:pPr>
        <w:spacing w:after="0" w:line="196" w:lineRule="exact"/>
        <w:rPr>
          <w:rFonts w:ascii="Arial" w:cs="Arial" w:eastAsia="Arial" w:hAnsi="Arial"/>
          <w:sz w:val="18"/>
          <w:szCs w:val="18"/>
          <w:color w:val="auto"/>
        </w:rPr>
      </w:pPr>
    </w:p>
    <w:p>
      <w:pPr>
        <w:ind w:left="460" w:right="120" w:hanging="330"/>
        <w:spacing w:after="0" w:line="31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4"/>
          <w:szCs w:val="14"/>
          <w:color w:val="auto"/>
        </w:rPr>
        <w:t>Basic earnings per share for the Company has been computed using the weighted average number of shares of Class A Common Stock, Class B Non-Voting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124" w:lineRule="exact"/>
        <w:rPr>
          <w:rFonts w:ascii="Arial" w:cs="Arial" w:eastAsia="Arial" w:hAnsi="Arial"/>
          <w:sz w:val="18"/>
          <w:szCs w:val="18"/>
          <w:color w:val="auto"/>
        </w:rPr>
      </w:pPr>
    </w:p>
    <w:p>
      <w:pPr>
        <w:ind w:left="460" w:right="140"/>
        <w:spacing w:after="0" w:line="299" w:lineRule="auto"/>
        <w:rPr>
          <w:rFonts w:ascii="Arial" w:cs="Arial" w:eastAsia="Arial" w:hAnsi="Arial"/>
          <w:sz w:val="18"/>
          <w:szCs w:val="18"/>
          <w:color w:val="auto"/>
        </w:rPr>
      </w:pPr>
      <w:r>
        <w:rPr>
          <w:rFonts w:ascii="Arial" w:cs="Arial" w:eastAsia="Arial" w:hAnsi="Arial"/>
          <w:sz w:val="12"/>
          <w:szCs w:val="12"/>
          <w:color w:val="auto"/>
        </w:rPr>
        <w:t>Basic earnings per share for the Predecessor have been computed using the weighted average number of shares of Class A Common Stock outstanding during the period. The Predecessor’s diluted earnings per share have been computed using the weighted average number of shares of Class A Common Stock including the dilutive effect of outstanding stock-based awards.</w:t>
      </w:r>
    </w:p>
    <w:p>
      <w:pPr>
        <w:ind w:left="460" w:hanging="330"/>
        <w:spacing w:after="0" w:line="21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4"/>
          <w:szCs w:val="14"/>
          <w:color w:val="auto"/>
        </w:rPr>
        <w:t>Amounts for the Company have been adjusted to reflect a 10-for-1 split of our common stock in connection with the initial public offering.</w:t>
      </w:r>
    </w:p>
    <w:p>
      <w:pPr>
        <w:spacing w:after="0" w:line="34" w:lineRule="exact"/>
        <w:rPr>
          <w:rFonts w:ascii="Arial" w:cs="Arial" w:eastAsia="Arial" w:hAnsi="Arial"/>
          <w:sz w:val="18"/>
          <w:szCs w:val="18"/>
          <w:color w:val="auto"/>
        </w:rPr>
      </w:pPr>
    </w:p>
    <w:p>
      <w:pPr>
        <w:ind w:left="460" w:right="200" w:hanging="330"/>
        <w:spacing w:after="0" w:line="28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4"/>
          <w:szCs w:val="14"/>
          <w:color w:val="auto"/>
        </w:rPr>
        <w:t>Reflects the payment of special dividends in the aggregate amount of $497.5 million and $114.9 million to holders of record of our Class A Common Stock, Class B Non-Voting Common Stock, and Class C Restricted Common Stock as of December 8, 2009 and July 29, 2009, respectively.</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ectPr>
          <w:pgSz w:w="11900" w:h="16838" w:orient="portrait"/>
          <w:cols w:equalWidth="0" w:num="1">
            <w:col w:w="11420"/>
          </w:cols>
          <w:pgMar w:left="240" w:top="83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834" w:right="239" w:bottom="1440" w:gutter="0" w:footer="0" w:header="0"/>
          <w:type w:val="continuous"/>
        </w:sectPr>
      </w:pPr>
    </w:p>
    <w:bookmarkStart w:id="44" w:name="page45"/>
    <w:bookmarkEnd w:id="44"/>
    <w:p>
      <w:pPr>
        <w:ind w:right="220" w:firstLine="432"/>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 leading provider of management and technology consulting services to the U.S. government in the defense, intelligence, and civil markets. We are further developing the scope and scale of our engineering service capabilities that we provide to our U.S. government clients. Additionally, we provide our management and technology consulting services to major corporations, institutions, and not-for-profit organizations. As the needs of our clients have grown more complex, we have expanded beyond our management consulting foundation to develop deep expertise in technology, engineering, and analytics. Our acquisition of the Defense Systems Engineering and Support, or DSES, division of ARINC Incorporated, effective November 30, 2012, will further enhance our existing engineering capabilities and defense market position. Subsequent to the acquisition, we changed the name of the acquired company to Booz Allen Hamilton Engineering Services, or BES. Leveraging our 99-year consulting heritage and a talent base of approximately 24,500 people, we deploy our deep domain knowledge, functional expertise, and experience to help our clients achieve their objectives.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General Services Administration.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Revenue decreased 1.7% from fiscal 2012 to fiscal 2013. We continue to focus on cost reduction efforts and efficiency initiatives which includes effective management of our capacity and efficient management of our costs. Capacity management and other cost reduction activities continued throughout the current period, and may influence future periods, due to the continuing trends of fiscal uncertainty and cost cutting in our principal markets. These efforts in fiscal 2013 have resulted in a net decline in our headcount, which has led to declines in billable hours and therefore a decline in our direct labor. Each of these factors directly results in revenue declines. In this environment, we have also continued to focus on the effective deployment of our consulting staff to minimize the amount of time our staff spend on non-revenue producing activities, which has helped minimize the decline in revenue. This reduction in unbillable time along with efficient use of our indirect costs, contributes to lower indirect costs, and most importantly a lower ratio of indirect costs to direct labor. Reductions in indirect costs have a direct correlation to a reduction of revenue recognized on our large portfolio of cost-reimbursable contracts. Substantially all of our revenue and backlog continues to be derived from services and solutions provided to client organizations across the U.S. government, primarily by our consulting staff and, to a lesser extent, our subcontractors. The mix of revenue generated by our consulting staff and subcontractors affects our operating margin, as the portion of our operating income derived from fees we earn on services provided by our subcontractors is significantly less than the operating income derived from direct consulting staff labor. The decline in our revenue described above was partially offset by an increase in revenue of $100.1 million from our acquisition of DSES that closed on November 30, 2012.</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income grew 15.2% to $446.2 million in fiscal 2013 from $387.4 million in fiscal 2012, which reflects a 120 basis point increase in operating margin to 7.8% from 6.6% in the comparable periods. The improvement in operating margin was due to increased contract profitability due to disciplined cost management of indirect spending, as described above, as well as decreases in compensation related costs primarily due to the net decline in our headcount. Our effective management of other indirect costs and lower ratio of indirect costs to direct labor produces higher margins on our time-and-material contracts and ultimately produces higher margins on our fixed-price contracts. The factors contributing to the increased operating margin were partially offset by increases in depreciation expense due to facility expansion in previous years, causing a higher increase in depreciation for fiscal 2013, and transaction costs incurred in connection with the acquisition of DSES. In fiscal 2012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30" w:right="259" w:bottom="1440" w:gutter="0" w:footer="0" w:header="0"/>
        </w:sectPr>
      </w:pPr>
    </w:p>
    <w:bookmarkStart w:id="45" w:name="page46"/>
    <w:bookmarkEnd w:id="45"/>
    <w:p>
      <w:pPr>
        <w:ind w:right="980"/>
        <w:spacing w:after="0" w:line="277" w:lineRule="auto"/>
        <w:rPr>
          <w:sz w:val="20"/>
          <w:szCs w:val="20"/>
          <w:color w:val="auto"/>
        </w:rPr>
      </w:pPr>
      <w:r>
        <w:rPr>
          <w:rFonts w:ascii="Arial" w:cs="Arial" w:eastAsia="Arial" w:hAnsi="Arial"/>
          <w:sz w:val="18"/>
          <w:szCs w:val="18"/>
          <w:color w:val="auto"/>
        </w:rPr>
        <w:t>Company recognized approximately $11.2 million (net of revenue) of charges associated with a restructuring plan to reduce certain personal and infrastructure cost; there were no such costs in fiscal 2013.</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fourth quarter of fiscal 2013, the Company recovered additional allowable indirect expenses in conjunction with a reevaluation of its estimate of the recoverability of incentive compensation and other allowable indirect expenses. This resulted in an increase to revenue and operating income of approximately $29.5 million. However, this positive effect to operating income was more than offset by an increase in discretionary incentive compensation expense of approximately $38.6 million recorded in the fourth quarter of fiscal 2013.</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provided by operations increased $104.7 million to $464.7 million for fiscal 2013 from $360.0 million for fiscal 2012. The increase in cash provided by operations was a result of overall profitability of our contracts, our ability to invoice and collect from clients in a timely manner, and our effective management of vendor payments.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29" w:lineRule="exact"/>
        <w:rPr>
          <w:sz w:val="20"/>
          <w:szCs w:val="20"/>
          <w:color w:val="auto"/>
        </w:rPr>
      </w:pPr>
    </w:p>
    <w:p>
      <w:pPr>
        <w:ind w:left="1300" w:right="20" w:hanging="644"/>
        <w:spacing w:after="0" w:line="30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hanging="644"/>
        <w:spacing w:after="0" w:line="297"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20" w:hanging="644"/>
        <w:spacing w:after="0" w:line="293"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54" w:right="259" w:bottom="1440" w:gutter="0" w:footer="0" w:header="0"/>
        </w:sectPr>
      </w:pPr>
    </w:p>
    <w:bookmarkStart w:id="46" w:name="page47"/>
    <w:bookmarkEnd w:id="46"/>
    <w:p>
      <w:pPr>
        <w:ind w:left="13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5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963"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gridSpan w:val="6"/>
            <w:shd w:val="clear" w:color="auto" w:fill="CCEEFF"/>
          </w:tcPr>
          <w:p>
            <w:pPr>
              <w:jc w:val="center"/>
              <w:ind w:left="810"/>
              <w:spacing w:after="0"/>
              <w:rPr>
                <w:sz w:val="20"/>
                <w:szCs w:val="20"/>
                <w:color w:val="auto"/>
              </w:rPr>
            </w:pPr>
            <w:r>
              <w:rPr>
                <w:rFonts w:ascii="Arial" w:cs="Arial" w:eastAsia="Arial" w:hAnsi="Arial"/>
                <w:sz w:val="18"/>
                <w:szCs w:val="18"/>
                <w:b w:val="1"/>
                <w:bCs w:val="1"/>
                <w:color w:val="auto"/>
                <w:w w:val="91"/>
              </w:rPr>
              <w:t>Fiscal Year Ended March 31,</w:t>
            </w:r>
          </w:p>
        </w:tc>
        <w:tc>
          <w:tcPr>
            <w:tcW w:w="12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(Amounts in thousands, except share and per share data)</w:t>
            </w:r>
          </w:p>
        </w:tc>
        <w:tc>
          <w:tcPr>
            <w:tcW w:w="400" w:type="dxa"/>
            <w:vAlign w:val="bottom"/>
          </w:tcPr>
          <w:p>
            <w:pPr>
              <w:spacing w:after="0"/>
              <w:rPr>
                <w:sz w:val="21"/>
                <w:szCs w:val="21"/>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3"/>
              </w:rPr>
              <w:t>(Unaudited)</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319,444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39,947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restructuring charge (c)</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11,182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467,337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429,219</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392,480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219,058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239,955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84,694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191,380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80,603</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EBITDA</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520,243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462,637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400,047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restructuring charge (c)</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11,182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528,836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488,060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444,442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Net Income</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219,058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239,955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84,694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39,947</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restructuring charge (c)</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11,182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20,948</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16,364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28,641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Amortization or write-off of debt issuance costs and write-off of original issue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discount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gain on sale of state and local transportation business (e)</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 of income tax reserves (f)</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Adjustments for tax effect (g)</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(55,855)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144,854,724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140,812,012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127,448,700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Adjusted Net Income Per Diluted Share (h)</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464,654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360,046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296,339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(88,784)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431,541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283,121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207,555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restructuring charges of approximately $15.7 million incurred during the three months ended March 31, 2012, net of approximately $4.5 million of revenue recognized on recoverable expenses, associated with the cost of a restructuring plan to reduce certain personnel and infrastructure costs.</w:t>
      </w:r>
    </w:p>
    <w:p>
      <w:pPr>
        <w:spacing w:after="0" w:line="1" w:lineRule="exact"/>
        <w:rPr>
          <w:rFonts w:ascii="Arial" w:cs="Arial" w:eastAsia="Arial" w:hAnsi="Arial"/>
          <w:sz w:val="18"/>
          <w:szCs w:val="18"/>
          <w:color w:val="auto"/>
        </w:rPr>
      </w:pPr>
    </w:p>
    <w:p>
      <w:pPr>
        <w:ind w:left="660" w:right="120" w:hanging="652"/>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Fiscal 2013 reflects debt refinancing costs incurred in connection with the Recapitalization Transaction consummated on July 31, 2012. Fiscal 2011 reflects debt refinancing costs and prepayment fees incurred in connection with the</w:t>
      </w:r>
    </w:p>
    <w:p>
      <w:pPr>
        <w:sectPr>
          <w:pgSz w:w="11900" w:h="16838" w:orient="portrait"/>
          <w:cols w:equalWidth="0" w:num="1">
            <w:col w:w="11420"/>
          </w:cols>
          <w:pgMar w:left="240" w:top="84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842" w:right="239" w:bottom="1440" w:gutter="0" w:footer="0" w:header="0"/>
          <w:type w:val="continuous"/>
        </w:sectPr>
      </w:pPr>
    </w:p>
    <w:bookmarkStart w:id="48" w:name="page49"/>
    <w:bookmarkEnd w:id="48"/>
    <w:p>
      <w:pPr>
        <w:jc w:val="center"/>
        <w:ind w:right="40"/>
        <w:spacing w:after="0"/>
        <w:rPr>
          <w:sz w:val="20"/>
          <w:szCs w:val="20"/>
          <w:color w:val="auto"/>
        </w:rPr>
      </w:pPr>
      <w:r>
        <w:rPr>
          <w:rFonts w:ascii="Arial" w:cs="Arial" w:eastAsia="Arial" w:hAnsi="Arial"/>
          <w:sz w:val="18"/>
          <w:szCs w:val="18"/>
          <w:color w:val="auto"/>
        </w:rPr>
        <w:t>Refinancing Transaction as well as certain external administrative and other expenses incurred in connection with the initial public offering.</w:t>
      </w:r>
    </w:p>
    <w:p>
      <w:pPr>
        <w:spacing w:after="0" w:line="2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Fiscal 2012 reflects the gain on sale of our state and local transportation business, net of the associated tax benefit of $1.6 million.</w:t>
      </w:r>
    </w:p>
    <w:p>
      <w:pPr>
        <w:spacing w:after="0" w:line="2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release of income tax reserves.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360" w:hanging="652"/>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an adjustment of approximately $9.1 million of net earnings for fiscal 2013 associated with the application of the two-class method for computing diluted earnings per share.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8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300" w:hanging="644"/>
        <w:spacing w:after="0" w:line="34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cost cutting and efficiency initiatives, budget reductions, Congressionally mandated automatic spending cuts, and other efforts to reduce U.S. government spending, which could reduce or delay funding for orders for services especially in the current political environment;</w:t>
      </w:r>
    </w:p>
    <w:p>
      <w:pPr>
        <w:spacing w:after="0" w:line="69" w:lineRule="exact"/>
        <w:rPr>
          <w:rFonts w:ascii="Arial" w:cs="Arial" w:eastAsia="Arial" w:hAnsi="Arial"/>
          <w:sz w:val="16"/>
          <w:szCs w:val="16"/>
          <w:color w:val="auto"/>
        </w:rPr>
      </w:pPr>
    </w:p>
    <w:p>
      <w:pPr>
        <w:ind w:left="1300" w:right="20" w:hanging="644"/>
        <w:spacing w:after="0" w:line="259"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uncertainty around the timing, extent and nature of Congressional and other U.S. government action to address budgeting constraints and the U.S. government's ability to incur indebtedness in excess of its current limit and the U.S. deficit, including, the required reductions under the Budget Control Act of 2011 (as amended by the American Taxpayer Relief Act of 2012), which provides for automatic spending cuts totaling approximately $1.2 trillion between 2013 and 2021;</w:t>
      </w:r>
    </w:p>
    <w:p>
      <w:pPr>
        <w:spacing w:after="0" w:line="132"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existing and proposed fiscal constraints by the U.S. government and uncertainty about the size of future budget reductions may cause clients to invest appropriated funds on a less consistent or rapid basis, or not at all, particularly when considering long-term initiatives, not issue task orders in sufficient volume to reach current contract ceilings, and delay requests for new proposals and contract awards, relying on short-term extensions of current contracts instead;</w:t>
      </w:r>
    </w:p>
    <w:p>
      <w:pPr>
        <w:spacing w:after="0" w:line="13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will continue to drive pockets of insourcing in various agencies, particularly in the intelligence market;</w:t>
      </w:r>
    </w:p>
    <w:p>
      <w:pPr>
        <w:spacing w:after="0" w:line="116" w:lineRule="exact"/>
        <w:rPr>
          <w:rFonts w:ascii="Arial" w:cs="Arial" w:eastAsia="Arial" w:hAnsi="Arial"/>
          <w:sz w:val="18"/>
          <w:szCs w:val="18"/>
          <w:color w:val="auto"/>
        </w:rPr>
      </w:pPr>
    </w:p>
    <w:p>
      <w:pPr>
        <w:ind w:left="1300" w:right="220" w:hanging="644"/>
        <w:spacing w:after="0" w:line="31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280" w:hanging="644"/>
        <w:spacing w:after="0" w:line="264"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1F497D"/>
        </w:rPr>
        <w:t>A</w:t>
      </w:r>
      <w:r>
        <w:rPr>
          <w:rFonts w:ascii="Arial" w:cs="Arial" w:eastAsia="Arial" w:hAnsi="Arial"/>
          <w:sz w:val="18"/>
          <w:szCs w:val="18"/>
          <w:color w:val="000000"/>
        </w:rPr>
        <w:t>s a result of the U.S. governments efforts to reduce outlays for contractor costs, we may see a continuing shift toward placement of our</w:t>
      </w:r>
      <w:r>
        <w:rPr>
          <w:rFonts w:ascii="Arial" w:cs="Arial" w:eastAsia="Arial" w:hAnsi="Arial"/>
          <w:sz w:val="18"/>
          <w:szCs w:val="18"/>
          <w:color w:val="1F497D"/>
        </w:rPr>
        <w:t xml:space="preserve"> </w:t>
      </w:r>
      <w:r>
        <w:rPr>
          <w:rFonts w:ascii="Arial" w:cs="Arial" w:eastAsia="Arial" w:hAnsi="Arial"/>
          <w:sz w:val="18"/>
          <w:szCs w:val="18"/>
          <w:color w:val="000000"/>
        </w:rPr>
        <w:t>consulting staff at client site locations instead of our facilities, which generally results in lower billing rates and could have a negative impact on our revenue.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9" w:right="239" w:bottom="1440" w:gutter="0" w:footer="0" w:header="0"/>
        </w:sectPr>
      </w:pPr>
    </w:p>
    <w:bookmarkStart w:id="49" w:name="page50"/>
    <w:bookmarkEnd w:id="49"/>
    <w:p>
      <w:pPr>
        <w:ind w:left="1300" w:right="540" w:hanging="644"/>
        <w:spacing w:after="0" w:line="342"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 and</w:t>
      </w:r>
    </w:p>
    <w:p>
      <w:pPr>
        <w:spacing w:after="0" w:line="194"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which provides for automatic spending cuts totaling approximately $1.2 trillion between 2013 and 2021, requires an estimated $500 billion in federal defense spending cuts over this time period. A reduction in the amount of services that we are contracted to provide to the Department of Defense could have a material adverse effect on our business and results of operations, and given the uncertainty of how these automatic reductions may be applied, we are unable to predict the nature or magnitude of the potential adverse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5"/>
        <w:spacing w:after="0" w:line="291" w:lineRule="auto"/>
        <w:tabs>
          <w:tab w:leader="none" w:pos="19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9" w:lineRule="exact"/>
        <w:rPr>
          <w:rFonts w:ascii="Arial" w:cs="Arial" w:eastAsia="Arial" w:hAnsi="Arial"/>
          <w:sz w:val="16"/>
          <w:szCs w:val="16"/>
          <w:color w:val="auto"/>
        </w:rPr>
      </w:pPr>
    </w:p>
    <w:p>
      <w:pPr>
        <w:ind w:left="1960" w:hanging="655"/>
        <w:spacing w:after="0" w:line="259" w:lineRule="auto"/>
        <w:tabs>
          <w:tab w:leader="none" w:pos="19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78" w:lineRule="exact"/>
        <w:rPr>
          <w:rFonts w:ascii="Arial" w:cs="Arial" w:eastAsia="Arial" w:hAnsi="Arial"/>
          <w:sz w:val="18"/>
          <w:szCs w:val="18"/>
          <w:i w:val="1"/>
          <w:iCs w:val="1"/>
          <w:color w:val="auto"/>
        </w:rPr>
      </w:pPr>
    </w:p>
    <w:p>
      <w:pPr>
        <w:ind w:left="1960" w:right="20" w:hanging="655"/>
        <w:spacing w:after="0" w:line="276" w:lineRule="auto"/>
        <w:tabs>
          <w:tab w:leader="none" w:pos="1960"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Under a fixed-price contract, we agree to perform the specified work for a pre-determined price.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our actual 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54" w:right="239" w:bottom="1440" w:gutter="0" w:footer="0" w:header="0"/>
        </w:sectPr>
      </w:pPr>
    </w:p>
    <w:bookmarkStart w:id="50" w:name="page51"/>
    <w:bookmarkEnd w:id="50"/>
    <w:p>
      <w:pPr>
        <w:ind w:right="20"/>
        <w:spacing w:after="0" w:line="272" w:lineRule="auto"/>
        <w:rPr>
          <w:sz w:val="20"/>
          <w:szCs w:val="20"/>
          <w:color w:val="auto"/>
        </w:rPr>
      </w:pPr>
      <w:r>
        <w:rPr>
          <w:rFonts w:ascii="Arial" w:cs="Arial" w:eastAsia="Arial" w:hAnsi="Arial"/>
          <w:sz w:val="17"/>
          <w:szCs w:val="17"/>
          <w:color w:val="auto"/>
        </w:rPr>
        <w:t>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over the last twelve months we have experienced a shift from time-and-materials contracts to cost-reimbursable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tbl>
      <w:tblPr>
        <w:tblLayout w:type="fixed"/>
        <w:tblInd w:w="242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3"/>
        </w:trPr>
        <w:tc>
          <w:tcPr>
            <w:tcW w:w="2060" w:type="dxa"/>
            <w:vAlign w:val="bottom"/>
          </w:tcPr>
          <w:p>
            <w:pPr>
              <w:spacing w:after="0"/>
              <w:rPr>
                <w:sz w:val="22"/>
                <w:szCs w:val="22"/>
                <w:color w:val="auto"/>
              </w:rPr>
            </w:pPr>
          </w:p>
        </w:tc>
        <w:tc>
          <w:tcPr>
            <w:tcW w:w="1140" w:type="dxa"/>
            <w:vAlign w:val="bottom"/>
            <w:tcBorders>
              <w:bottom w:val="single" w:sz="8" w:color="auto"/>
            </w:tcBorders>
          </w:tcPr>
          <w:p>
            <w:pPr>
              <w:jc w:val="center"/>
              <w:ind w:left="214"/>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2011</w:t>
            </w:r>
          </w:p>
        </w:tc>
      </w:tr>
      <w:tr>
        <w:trPr>
          <w:trHeight w:val="243"/>
        </w:trPr>
        <w:tc>
          <w:tcPr>
            <w:tcW w:w="2060" w:type="dxa"/>
            <w:vAlign w:val="bottom"/>
          </w:tcPr>
          <w:p>
            <w:pPr>
              <w:spacing w:after="0"/>
              <w:rPr>
                <w:sz w:val="20"/>
                <w:szCs w:val="20"/>
                <w:color w:val="auto"/>
              </w:rPr>
            </w:pPr>
            <w:r>
              <w:rPr>
                <w:rFonts w:ascii="Arial" w:cs="Arial" w:eastAsia="Arial" w:hAnsi="Arial"/>
                <w:sz w:val="18"/>
                <w:szCs w:val="18"/>
                <w:color w:val="auto"/>
              </w:rPr>
              <w:t>Cost-reimbursable (1)</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57%</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51%</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Time-and-materials</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28%</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35%</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Fixed-price (2)</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15%</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14%</w:t>
            </w:r>
          </w:p>
        </w:tc>
      </w:tr>
    </w:tbl>
    <w:p>
      <w:pPr>
        <w:spacing w:after="0" w:line="20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In fiscal 2013, 2012 , and 2011, our revenue under GWACs and GSA schedules collectively represented 19%, 20%, and 20% of our total revenue, respectively. No single task order under any contract represented more than 2.1% of our revenue in fiscal 2013, 2012, and 2011. No single contract accounted for more than 10% of our revenue in fiscal 2013, 2012, and 2011.</w:t>
      </w:r>
    </w:p>
    <w:p>
      <w:pPr>
        <w:spacing w:after="0" w:line="11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2013, 2012, and 2011, 91%, 90%, and 89%, respectively, of our revenue was generated by contracts and task orders for which we served as a prime contractor; 9%, 10%, and 11%, respectively, of our revenue was generated by contracts and task orders for which we served as a subcontractor; and 21%, 21%, and 23%, respectively, of our revenue was generated by services provided by our subcontractors.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measure of earnings growth. Direct consulting staff labor growth is driven by consulting staff headcount growth, after attrition, and total backlog growth.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March 31, 2013, 2012, and 2011 we employed approximately 24,500, 25,000 and 25,000 people, respectively, of which approximately 22,000 , 22,500 and 22,600, respectively, were consulting staff. Our headcount as of March 31, 2013 is inclusive of the approximately 1,000 employees that joined us as a result of the DSES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692" w:right="279" w:bottom="1440" w:gutter="0" w:footer="0" w:header="0"/>
        </w:sectPr>
      </w:pPr>
    </w:p>
    <w:bookmarkStart w:id="51" w:name="page52"/>
    <w:bookmarkEnd w:id="51"/>
    <w:p>
      <w:pPr>
        <w:ind w:left="1300" w:right="74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200" w:hanging="644"/>
        <w:spacing w:after="0" w:line="308"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220980</wp:posOffset>
            </wp:positionV>
            <wp:extent cx="632015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0155" cy="128905"/>
                    </a:xfrm>
                    <a:prstGeom prst="rect">
                      <a:avLst/>
                    </a:prstGeom>
                    <a:noFill/>
                  </pic:spPr>
                </pic:pic>
              </a:graphicData>
            </a:graphic>
          </wp:anchor>
        </w:drawing>
      </w:r>
    </w:p>
    <w:p>
      <w:pPr>
        <w:spacing w:after="0" w:line="33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23495</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02"/>
        </w:trPr>
        <w:tc>
          <w:tcPr>
            <w:tcW w:w="5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(In millions)</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Backlog:</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Funded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2,898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2,392</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Unfunded (1)</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2,681</w:t>
            </w: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2,979</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Priced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5,225</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5,553</w:t>
            </w:r>
          </w:p>
        </w:tc>
      </w:tr>
      <w:tr>
        <w:trPr>
          <w:trHeight w:val="237"/>
        </w:trPr>
        <w:tc>
          <w:tcPr>
            <w:tcW w:w="5240" w:type="dxa"/>
            <w:vAlign w:val="bottom"/>
          </w:tcPr>
          <w:p>
            <w:pPr>
              <w:ind w:left="700"/>
              <w:spacing w:after="0"/>
              <w:rPr>
                <w:sz w:val="20"/>
                <w:szCs w:val="20"/>
                <w:color w:val="auto"/>
              </w:rPr>
            </w:pPr>
            <w:r>
              <w:rPr>
                <w:rFonts w:ascii="Arial" w:cs="Arial" w:eastAsia="Arial" w:hAnsi="Arial"/>
                <w:sz w:val="18"/>
                <w:szCs w:val="18"/>
                <w:color w:val="auto"/>
              </w:rPr>
              <w:t>Total backlog</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11,830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10,804</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10,924</w:t>
            </w:r>
          </w:p>
        </w:tc>
      </w:tr>
      <w:tr>
        <w:trPr>
          <w:trHeight w:val="27"/>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300" w:right="620" w:hanging="644"/>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including backlog from BES of $1.4 billion, increased by</w:t>
      </w:r>
    </w:p>
    <w:p>
      <w:pPr>
        <w:ind w:right="160"/>
        <w:spacing w:after="0" w:line="253" w:lineRule="auto"/>
        <w:rPr>
          <w:sz w:val="20"/>
          <w:szCs w:val="20"/>
          <w:color w:val="auto"/>
        </w:rPr>
      </w:pPr>
      <w:r>
        <w:rPr>
          <w:rFonts w:ascii="Arial" w:cs="Arial" w:eastAsia="Arial" w:hAnsi="Arial"/>
          <w:sz w:val="18"/>
          <w:szCs w:val="18"/>
          <w:color w:val="auto"/>
        </w:rPr>
        <w:t>9.5% from March 31, 2012 to March 31, 2013 and decreased 1.1% from March 31, 2011 to March 31, 2012. Additions to funded backlog, including funded backlog from BES in fiscal 2013 of $222.7 million, during fiscal 2013 and 2012 totaled $5.4 billion and $6.4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9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016" w:right="259" w:bottom="1440" w:gutter="0" w:footer="0" w:header="0"/>
        </w:sectPr>
      </w:pPr>
    </w:p>
    <w:bookmarkStart w:id="52" w:name="page53"/>
    <w:bookmarkEnd w:id="52"/>
    <w:p>
      <w:pPr>
        <w:ind w:right="40"/>
        <w:spacing w:after="0" w:line="257" w:lineRule="auto"/>
        <w:rPr>
          <w:sz w:val="20"/>
          <w:szCs w:val="20"/>
          <w:color w:val="auto"/>
        </w:rPr>
      </w:pPr>
      <w:r>
        <w:rPr>
          <w:rFonts w:ascii="Arial" w:cs="Arial" w:eastAsia="Arial" w:hAnsi="Arial"/>
          <w:sz w:val="18"/>
          <w:szCs w:val="18"/>
          <w:color w:val="auto"/>
        </w:rPr>
        <w:t>approximately 5.8% of funded backlog as of the end of any of the eight fiscal quarters preceding the fiscal quarter ended March 31, 2013.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equity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6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Seasonality is just one of a number of factors, many of which are outside of our control, which may affect our results in any period. See "Item 1A.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or GAAP. The preparation of these consolidated financial statements in accordance with GAAP requires management to make estimates and assumptions that affect the reported amounts of assets and liabilities and the disclosure of contingencies at the date of the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692" w:right="259" w:bottom="1440" w:gutter="0" w:footer="0" w:header="0"/>
        </w:sectPr>
      </w:pPr>
    </w:p>
    <w:bookmarkStart w:id="53" w:name="page54"/>
    <w:bookmarkEnd w:id="53"/>
    <w:p>
      <w:pPr>
        <w:ind w:right="120" w:firstLine="432"/>
        <w:spacing w:after="0" w:line="257" w:lineRule="auto"/>
        <w:rPr>
          <w:sz w:val="20"/>
          <w:szCs w:val="20"/>
          <w:color w:val="auto"/>
        </w:rPr>
      </w:pPr>
      <w:r>
        <w:rPr>
          <w:rFonts w:ascii="Arial" w:cs="Arial" w:eastAsia="Arial" w:hAnsi="Arial"/>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 and are the most important to our financial condition and operating results.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Substantially all of our revenue is derived from contracts to provide professional services to the U.S. government and its agencies. In most cases, we recognize revenue as work is performed. We recognize revenue for cost-plus-fixed-fee contracts with the U.S. government as hours are worked based on reimbursable and allowable costs, recoverable indirect costs and an accrual for the fixed fee component of these contracts.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Many of our U.S. government contracts include award fees, which are earned based on the client’s evaluation of our performance. We have significant history with the client for the majority of contracts on which we earn award fees. That history and management's evaluation and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financial statements in periods in which they are identified.</w:t>
      </w:r>
    </w:p>
    <w:p>
      <w:pPr>
        <w:spacing w:after="0" w:line="11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Revenue earned under time-and-materials contracts is recognized as hours are worked based on contractually billable rates to the client. Costs on time-and-materials contracts are expensed as incurred.</w:t>
      </w:r>
    </w:p>
    <w:p>
      <w:pPr>
        <w:spacing w:after="0" w:line="11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For fixed-price contracts, we recognize revenue on the percentage-of-completion basis with progress toward completion of a particular contract based on actual costs incurred relative to total estimated costs to be incurred over the life of the contract. Profits on fixed-price contracts result from the difference between the incurred costs and the revenue earned. This method is followed where reasonably dependable estimates of revenue and costs under the contract can be made. Estimates of total contract revenue and costs are regularly reviewed and recorded revenue and costs are subject to revision as the contract progresses. Such revisions may result in increases or decreases to revenue and income, and are reflected in the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jc w:val="both"/>
        <w:ind w:right="100" w:firstLine="432"/>
        <w:spacing w:after="0" w:line="297" w:lineRule="auto"/>
        <w:rPr>
          <w:sz w:val="20"/>
          <w:szCs w:val="20"/>
          <w:color w:val="auto"/>
        </w:rPr>
      </w:pPr>
      <w:r>
        <w:rPr>
          <w:rFonts w:ascii="Arial" w:cs="Arial" w:eastAsia="Arial" w:hAnsi="Arial"/>
          <w:sz w:val="16"/>
          <w:szCs w:val="16"/>
          <w:color w:val="auto"/>
        </w:rPr>
        <w:t>The Company has engaged in business combination activity. 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each acquisition, as goodwill presents the excess of the purchase price of an acquired business over the fair value of its net tangible and identifiable intangible assets. In our recent acquisitions the valuation of the customer relationships required significant judgments related to the cash flows of the contract backlog that are expected to recognized by the Company.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Impairment</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test goodwill for impairment at the reporting unit level on an annual basis or if an event occurs or circumstances change that would more likely than not reduce the fair value of a reporting unit below its carrying value. As the consolidated entity represents the only component that constitutes a business whereby discrete financial information is available, we concluded that we have one reporting unit, which is the same as our single operating segment. We test the trade name for impairment using the royalty relief method. We perform our annual testing for impairment of goodwill and the trade name as of January 1 of each year.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855" w:right="279" w:bottom="1440" w:gutter="0" w:footer="0" w:header="0"/>
        </w:sectPr>
      </w:pPr>
    </w:p>
    <w:bookmarkStart w:id="54" w:name="page55"/>
    <w:bookmarkEnd w:id="54"/>
    <w:p>
      <w:pPr>
        <w:ind w:right="40" w:firstLine="432"/>
        <w:spacing w:after="0" w:line="291" w:lineRule="auto"/>
        <w:rPr>
          <w:sz w:val="20"/>
          <w:szCs w:val="20"/>
          <w:color w:val="auto"/>
        </w:rPr>
      </w:pPr>
      <w:r>
        <w:rPr>
          <w:rFonts w:ascii="Arial" w:cs="Arial" w:eastAsia="Arial" w:hAnsi="Arial"/>
          <w:sz w:val="16"/>
          <w:szCs w:val="16"/>
          <w:color w:val="auto"/>
        </w:rPr>
        <w:t>We performed an annual impairment test of goodwill and the trade name as of January 1, 2013 and 2012. On December 31, 2011, we adopted new Goodwill impairment guidance whereby we performed a qualitative assessment of whether it was more likely than not the fair value of the reporting unit was less than the carrying value of equity. In making this assessment we considered all relevant events and circumstances. These include, but are not limited to, macroeconomic conditions, industry and market considerations, and the reporting unit’s overall financial performance. Based on our qualitative assessment at January 1, 2013, we believe that it was not more likely than not (i.e., a likelihood of more than 50 percent) that the fair value of our reporting unit was less than the carrying amount. During the fiscal years ended March 31, 2013 and 2012, we did not record any goodwill impairment or any impairment of our trade name or amortizable intangible assets. Further, we do not consider any of the goodwill, trade name or amortizable intangible assets at risk of impairment.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use the Black-Scholes option-pricing model to determine the estimated fair value for stock options. Critical inputs into the Black-Scholes option-pricing model include the following: option exercise price; fair value of the stock price; expected life of the option; annualized volatility of the stock; annual rate of quarterly dividends on the stock; and risk-free interest rate.</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On February 1, 2012, the Company’s Board of Directors authorized and declared a cash dividend in the amount of $0.09 per share to holders of Booz Allen Holding’s Class A Common Stock, Class B Non-Voting Common Stock and Class C Restricted Common Stock. Therefore, an annualized dividend yield of approximately 2% was used in the Black-Scholes option-pricing model for all grants issued after February 1, 2012. Prior to this, the company did not issue recurring dividends and a dividend yield of zero was used in the Black-Scholes option-pricing model. Implied volatility is calculated as of each grant date based on our historical volatility along with an assessment of a peer group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 While we are not aware of any news or disclosures by our peers that may impact their respective volatility, there is a risk that peer group volatility may increase, potentially increasing any prospective future compensation expense that will result from future option grants.</w:t>
      </w:r>
    </w:p>
    <w:p>
      <w:pPr>
        <w:spacing w:after="0" w:line="11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risk-free interest rate used in the Black-Scholes option-pricing model is determined by referencing the U.S. Treasury yield curve rates with the remaining term equal to the expected life assumed at the date of grant.</w:t>
      </w:r>
    </w:p>
    <w:p>
      <w:pPr>
        <w:spacing w:after="0" w:line="116"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Forfeitures are estimated based on our historical analysis of attrition levels. Forfeiture estimates will be updated quarterly for actual forfeitures. We do not expect this assumption to change materially, as attrition levels associated with new option grants have not materially changed.</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our Class A Common Stock was not publicly traded until November 16, 2010, we previously obtained contemporaneous valuations by an independent valuation specialist for our fair value determinations. The valuations were based on several generally accepted valuation techniques: a discounted cash flow analysis, a comparable public company analysis, and for the most recent valuation, a comparative transaction analysis. Estimates used in connection with the discounted cash flow analysis were consistent with the plans and estimates that we use to manage the business although there is inherent uncertainty in these estimates. The valuation analysis resulted in a range of derived values with the final value selected and approved by our Compensation Committee. The completion of the initial public offering has added value to the shares due to, among other things, increased liquidity and marketability; however, the extent (if any) of such additional value cannot be measured with precision or certainty and the shares could suffer a decrease in value. As a public company, we now use the closing price of our Class A Common Stock on the grant date for valuation purposes.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Provisions for federal and state income taxes are calculated from the income reported on our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financial statements than for income tax purposes.</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financial statement period may be materially impacted.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54" w:right="239" w:bottom="1440" w:gutter="0" w:footer="0" w:header="0"/>
        </w:sectPr>
      </w:pPr>
    </w:p>
    <w:bookmarkStart w:id="55" w:name="page56"/>
    <w:bookmarkEnd w:id="55"/>
    <w:p>
      <w:pPr>
        <w:jc w:val="both"/>
        <w:ind w:right="120" w:firstLine="432"/>
        <w:spacing w:after="0" w:line="264" w:lineRule="auto"/>
        <w:rPr>
          <w:sz w:val="20"/>
          <w:szCs w:val="20"/>
          <w:color w:val="auto"/>
        </w:rPr>
      </w:pPr>
      <w:r>
        <w:rPr>
          <w:rFonts w:ascii="Arial" w:cs="Arial" w:eastAsia="Arial" w:hAnsi="Arial"/>
          <w:sz w:val="18"/>
          <w:szCs w:val="18"/>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During the fiscal year ended March 31, 2013, the Company adopted the following accounting pronouncement which did not have a material impact on the Company's consolidated financial statements:</w:t>
      </w:r>
    </w:p>
    <w:p>
      <w:pPr>
        <w:spacing w:after="0" w:line="116"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February 2013, the Financial Accounting Standards Board, or FASB, issued Accounting Standards Update 2013-02, Reporting of Amounts Reclassified Out of Accumulated Other Comprehensive Income, which amends Topic 220, Comprehensive Income. ASU 2013-02 requires an entity to report the effect of significant reclassifications out of accumulated other comprehensive income on the respective line items in net income if the amount being reclassified is required to be reclassified in its entirety to net income. For other amounts that are not required to be reclassified in their entirety to net income in the same reporting period, an entity is required to cross-reference other disclosures that provide additional detail about those amounts. The amendments do not change the current requirements for reporting net income or other comprehensive income in financial statements. The guidance is effective prospectively for interim and annual periods beginning after December 15, 2012, with early adoption permitted. The Company elected early adoption effective March 31, 2013. Refer to Note 15.</w:t>
      </w:r>
    </w:p>
    <w:p>
      <w:pPr>
        <w:spacing w:after="0" w:line="13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recent accounting pronouncements issued by the FASB during fiscal 2013 and through the filing date did not and are not believed by management to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2013 and 2012 and the Company’s results of operations for fiscal 2013, fiscal 2012, and fiscal 2011.</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5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completed our acquisition of DSES on November 30, 2012. The operating results of DSES were included in our consolidated statements of operations from the date of closing through March 31, 2013. The following table sets forth items from our consolidated statements of operations for the periods indicated:</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4"/>
              </w:rPr>
              <w:t>Fiscal Year Ended March 31,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Fiscal 2013</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Versus</w:t>
            </w:r>
          </w:p>
        </w:tc>
        <w:tc>
          <w:tcPr>
            <w:tcW w:w="10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Versus</w:t>
            </w:r>
          </w:p>
        </w:tc>
        <w:tc>
          <w:tcPr>
            <w:tcW w:w="0" w:type="dxa"/>
            <w:vAlign w:val="bottom"/>
          </w:tcPr>
          <w:p>
            <w:pPr>
              <w:spacing w:after="0"/>
              <w:rPr>
                <w:sz w:val="1"/>
                <w:szCs w:val="1"/>
                <w:color w:val="auto"/>
              </w:rPr>
            </w:pPr>
          </w:p>
        </w:tc>
      </w:tr>
      <w:tr>
        <w:trPr>
          <w:trHeight w:val="65"/>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Fiscal 2012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2011</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5,758,059</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5,859,218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5,591,296</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2,871,240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2,934,378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2,836,955</w:t>
            </w:r>
          </w:p>
        </w:tc>
        <w:tc>
          <w:tcPr>
            <w:tcW w:w="1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380"/>
              <w:spacing w:after="0"/>
              <w:rPr>
                <w:sz w:val="20"/>
                <w:szCs w:val="20"/>
                <w:color w:val="auto"/>
              </w:rPr>
            </w:pPr>
            <w:r>
              <w:rPr>
                <w:rFonts w:ascii="Arial" w:cs="Arial" w:eastAsia="Arial" w:hAnsi="Arial"/>
                <w:sz w:val="14"/>
                <w:szCs w:val="14"/>
                <w:color w:val="auto"/>
              </w:rPr>
              <w:t>Billable expenses</w:t>
            </w:r>
          </w:p>
        </w:tc>
        <w:tc>
          <w:tcPr>
            <w:tcW w:w="260" w:type="dxa"/>
            <w:vAlign w:val="bottom"/>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1,532,590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1,542,822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1,473,266</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833,986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903,721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881,028</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74,009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75,205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80,603</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charge</w:t>
            </w: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15,660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700"/>
              <w:spacing w:after="0"/>
              <w:rPr>
                <w:sz w:val="20"/>
                <w:szCs w:val="20"/>
                <w:color w:val="auto"/>
              </w:rPr>
            </w:pPr>
            <w:r>
              <w:rPr>
                <w:rFonts w:ascii="Arial" w:cs="Arial" w:eastAsia="Arial" w:hAnsi="Arial"/>
                <w:sz w:val="14"/>
                <w:szCs w:val="14"/>
                <w:color w:val="auto"/>
              </w:rPr>
              <w:t>Total operating costs and expenses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5,311,825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5,471,786</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5,271,852</w:t>
            </w:r>
          </w:p>
        </w:tc>
        <w:tc>
          <w:tcPr>
            <w:tcW w:w="120" w:type="dxa"/>
            <w:vAlign w:val="bottom"/>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74"/>
        </w:trPr>
        <w:tc>
          <w:tcPr>
            <w:tcW w:w="33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446,234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387,432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319,444</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(70,284)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(48,078)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(131,892)</w:t>
            </w: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46.2 %</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(59,488)</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300" w:type="dxa"/>
            <w:vAlign w:val="bottom"/>
          </w:tcPr>
          <w:p>
            <w:pPr>
              <w:ind w:left="380"/>
              <w:spacing w:after="0" w:line="137" w:lineRule="exact"/>
              <w:rPr>
                <w:sz w:val="20"/>
                <w:szCs w:val="20"/>
                <w:color w:val="auto"/>
              </w:rPr>
            </w:pPr>
            <w:r>
              <w:rPr>
                <w:rFonts w:ascii="Arial" w:cs="Arial" w:eastAsia="Arial" w:hAnsi="Arial"/>
                <w:sz w:val="14"/>
                <w:szCs w:val="14"/>
                <w:color w:val="auto"/>
              </w:rPr>
              <w:t>Income from operations and before income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380"/>
              <w:spacing w:after="0"/>
              <w:rPr>
                <w:sz w:val="20"/>
                <w:szCs w:val="20"/>
                <w:color w:val="auto"/>
              </w:rPr>
            </w:pPr>
            <w:r>
              <w:rPr>
                <w:rFonts w:ascii="Arial" w:cs="Arial" w:eastAsia="Arial" w:hAnsi="Arial"/>
                <w:sz w:val="14"/>
                <w:szCs w:val="14"/>
                <w:color w:val="auto"/>
              </w:rPr>
              <w:t>taxes</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368,311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343,874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128,064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168.5 %</w:t>
            </w:r>
          </w:p>
        </w:tc>
        <w:tc>
          <w:tcPr>
            <w:tcW w:w="0" w:type="dxa"/>
            <w:vAlign w:val="bottom"/>
          </w:tcPr>
          <w:p>
            <w:pPr>
              <w:spacing w:after="0"/>
              <w:rPr>
                <w:sz w:val="1"/>
                <w:szCs w:val="1"/>
                <w:color w:val="auto"/>
              </w:rPr>
            </w:pPr>
          </w:p>
        </w:tc>
      </w:tr>
      <w:tr>
        <w:trPr>
          <w:trHeight w:val="19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149,253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103,919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43,370</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43.6 %</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139.6 %</w:t>
            </w:r>
          </w:p>
        </w:tc>
        <w:tc>
          <w:tcPr>
            <w:tcW w:w="0" w:type="dxa"/>
            <w:vAlign w:val="bottom"/>
          </w:tcPr>
          <w:p>
            <w:pPr>
              <w:spacing w:after="0"/>
              <w:rPr>
                <w:sz w:val="1"/>
                <w:szCs w:val="1"/>
                <w:color w:val="auto"/>
              </w:rPr>
            </w:pPr>
          </w:p>
        </w:tc>
      </w:tr>
      <w:tr>
        <w:trPr>
          <w:trHeight w:val="80"/>
        </w:trPr>
        <w:tc>
          <w:tcPr>
            <w:tcW w:w="33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219,058</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239,955</w:t>
            </w:r>
          </w:p>
        </w:tc>
        <w:tc>
          <w:tcPr>
            <w:tcW w:w="120" w:type="dxa"/>
            <w:vAlign w:val="bottom"/>
          </w:tcPr>
          <w:p>
            <w:pPr>
              <w:spacing w:after="0"/>
              <w:rPr>
                <w:sz w:val="14"/>
                <w:szCs w:val="14"/>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84,694</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183.3 %</w:t>
            </w:r>
          </w:p>
        </w:tc>
        <w:tc>
          <w:tcPr>
            <w:tcW w:w="0" w:type="dxa"/>
            <w:vAlign w:val="bottom"/>
          </w:tcPr>
          <w:p>
            <w:pPr>
              <w:spacing w:after="0"/>
              <w:rPr>
                <w:sz w:val="1"/>
                <w:szCs w:val="1"/>
                <w:color w:val="auto"/>
              </w:rPr>
            </w:pPr>
          </w:p>
        </w:tc>
      </w:tr>
      <w:tr>
        <w:trPr>
          <w:trHeight w:val="65"/>
        </w:trPr>
        <w:tc>
          <w:tcPr>
            <w:tcW w:w="33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 Compared to Fiscal 2012</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Revenue decreased to $5,758.1 million from $5,859.2 million, or a 1.7% decrease. The decrease was primarily driven by a decrease in revenue attributable to billable expenses and a net decline in our headcount, which has led to declines in billable hours and therefore a decline in our direct labor. Each of these factors directly results in revenue declines. We also had a lower rate of indirect expenses period over period which has a direct correlation to the reduction of revenue on our large portfolio of cost reimbursable contracts. The decline in headcount and the lower rate of indirect expenses is primarily attributable to the cost reduction actions the Company implemented in late fiscal 2012 and continued focus on effective capacity and cost management. The decrease in revenue was also due to the sale of our state and local transportation business in July 2011; however this was more than offset by an increase in revenue of $100.1 million from the Company's acquisition of DSES. Conversions to funded backlog during fiscal 2013, totaled $5.4 billion in comparison to $6.4 billion for the comparable period,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Cost of revenue decreased to $2,871.2 million from $2,934.4 million, or a 2.2% decrease. This decrease was primarily due to a decrease in salaries and salary related benefits of $77.5 million, a decrease of $8.7 million in incentive compensation costs, and a decrease of $1.9 million in stock-based compensation expense, offset by an increase in other direct consulting staff expenses of $24.4 million. The decrease in salaries and salary related benefits and incentive compensation costs was primarily due to reduced headcount in the direct consulting staff senior ranks associated with the cost restructuring plan that was implemented during fiscal 2012. The decrease in stock-based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Cost of revenue as a percentage of revenue was 49.9% and 50.1% in in fiscal 2013 and fiscal 2012, respectively.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Billable expenses decreased to $1,532.6 million from $1,542.8 million, or a 0.7% decrease. This decrease was primarily due to decreases in travel and material expenses of $54.6 million offset by increases in other billable expenses of $36.1 million incurred to perform on contracts and an increase in subcontractor-related expenses of $8.3 million. The increase in direct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31" w:right="239" w:bottom="1440" w:gutter="0" w:footer="0" w:header="0"/>
        </w:sectPr>
      </w:pPr>
    </w:p>
    <w:bookmarkStart w:id="57" w:name="page58"/>
    <w:bookmarkEnd w:id="57"/>
    <w:p>
      <w:pPr>
        <w:ind w:right="520"/>
        <w:spacing w:after="0" w:line="277" w:lineRule="auto"/>
        <w:rPr>
          <w:sz w:val="20"/>
          <w:szCs w:val="20"/>
          <w:color w:val="auto"/>
        </w:rPr>
      </w:pPr>
      <w:r>
        <w:rPr>
          <w:rFonts w:ascii="Arial" w:cs="Arial" w:eastAsia="Arial" w:hAnsi="Arial"/>
          <w:sz w:val="18"/>
          <w:szCs w:val="18"/>
          <w:color w:val="auto"/>
        </w:rPr>
        <w:t>subcontractor expenses was in support of growth on existing and new contracts and task orders during fiscal 2013. Billable expenses as a percentage of revenue was 26.6% and 26.3% in fiscal 2013 and fiscal 2012,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General and administrative expenses decreased to $834.0 million from $903.7 million, or a 7.7% decrease. This decrease was primarily due to a decrease of $59.5 million in other business-related expenses and professional fees attributable to the Company's disciplined management of corporate-related expenditures, a decrease of $17.2 million in salaries and salary-related benefits, and a decrease in stock-based compensation of $4.7 million. The decrease in salaries and salary related expenses was primarily due to the net reduction in our headcount. The decrease in stock-based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w:t>
      </w:r>
    </w:p>
    <w:p>
      <w:pPr>
        <w:spacing w:after="0" w:line="4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decrease in general and administrative expenses was partially offset by increases of $8.6 million in incentive compensation costs and $3.1 million in employer retirement plan contributions. The increase in incentive compensation costs was due to increased compensation under our annual performance bonus program for senior personnel. The increase in employer retirement plan contributions was due to the number of employees who completed one year of service and became eligible to participate in our defined contribution plan, the ECAP. General and administrative expenses as a percentage of revenue were 14.5% and 15.4% for fiscal 2013 and fiscal 2012,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Depreciation and amortization decreased to $74.0 million from $75.2 million, or a 1.6% decrease. This decrease was primarily due to a decrease of $1.6 million in the amortization of our intangible assets, which includes below market rate leases and contract backlog that were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$14.8 million in fiscal 2013 compared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$16.4 million in fiscal 2012.</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Interest expense increased to $70.3 million from $48.1 million, or a 46.2% increase. This increase was primarily due to debt incurred in connection with the Recapitalization Transaction consummated on July 31, 2012.</w:t>
      </w:r>
    </w:p>
    <w:p>
      <w:pPr>
        <w:spacing w:after="0" w:line="1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Interest is accrued on our $1,726.8 million outstanding debt principal balance as of March 31, 2013 at contractually specified rates ranging from 2.7% to 4.5%, and is generally required to be paid to our syndicate of lenders on a monthly or quarterly basis.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Income tax expense increased to $149.3 million from $103.9 million, or a $45.3 million increase. The effective tax rate increased to 40.5% from 30.2% primarily due to the release of uncertain tax position reserves in the prior year.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2012 Compared to Fiscal 2011</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Revenue increased to $5,859.2 million from $5,591.3 million, or a 4.8% increase. The increase in revenue was primarily driven by improved deployment of direct consulting staff against funded backlog and increased other direct costs. We deployed during fiscal year 2012 approximately 300 net additional consulting staff, before taking into consideration the decrease in consulting staff due to the cost restructuring plan at the end of fiscal year 2012. The increase in net consulting staff during fiscal 2012 was offset by a reduction of personnel as a result of a cost restructuring plan finalized in the fourth quarter of fiscal year 2012 that was intended to reduce personnel and infrastructure costs. We implemented this in response to continued budget constraints and uncertainty in our industry and to provide funds to increase our resources dedicated to growth areas across our markets. As part of this cost restructuring plan, we reduced overall headcount by approximately 2%. Additions to funded backlog during fiscal 2012 totaled $6.4 billion, as a result of the conversion of unfunded backlog to funded backlog, the award of new contracts and task orders under which funding was appropriated, and the exercise and subsequent funding of priced options.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Cost of revenue increased to $2,934.4 million from $2,837.0 million, or a 3.4% increase. This increase was primarily due to increases in salaries and salary-related benefits of $110.3 million and employer retirement plan contributions of $12.7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73" w:right="239" w:bottom="1440" w:gutter="0" w:footer="0" w:header="0"/>
        </w:sectPr>
      </w:pPr>
    </w:p>
    <w:bookmarkStart w:id="58" w:name="page59"/>
    <w:bookmarkEnd w:id="58"/>
    <w:p>
      <w:pPr>
        <w:ind w:right="160"/>
        <w:spacing w:after="0" w:line="259" w:lineRule="auto"/>
        <w:rPr>
          <w:sz w:val="20"/>
          <w:szCs w:val="20"/>
          <w:color w:val="auto"/>
        </w:rPr>
      </w:pPr>
      <w:r>
        <w:rPr>
          <w:rFonts w:ascii="Arial" w:cs="Arial" w:eastAsia="Arial" w:hAnsi="Arial"/>
          <w:sz w:val="18"/>
          <w:szCs w:val="18"/>
          <w:color w:val="auto"/>
        </w:rPr>
        <w:t>million. The increase in salaries and salary-related benefits was driven by an increase in headcount growth prior to the impact of the cost restructuring plan finalized during the fourth quarter of fiscal 2012 and annual base salary increases. The increase in employer retirement plan contributions was due to an increase in the number of employees who completed one year of service and became eligible to participate in our defined contribution plan, the Employees’ Capital Accumulation Plan, or ECAP.</w:t>
      </w:r>
    </w:p>
    <w:p>
      <w:pPr>
        <w:spacing w:after="0" w:line="13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cost of revenue increase was partially offset by decreases of $25.2 million in incentive compensation and $5.1 million in stock-based compensation expense. The decrease in incentive compensation was due to an amendment to the Officers’ compensation plan effective October 1, 2010, such that a portion of incentive compensation is now paid via grants of restricted stock on July 1 of each year, rather than cash, and will vest over a three year period, and management’s determination to reduce incentive compensation accrual rates for fiscal year 2012 in response to higher than expected business development costs and marketing and bid and proposal activity as well as administrative costs associated with delays in deploying certain direct consulting staff labor. The decrease in stock-based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Cost of revenue as a percentage of revenue was 50.1% and 50.7% in fiscal 2012 and fiscal 2011, respectively.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Billable expenses increased to $1,542.8 million from $1,473.3 million, or a 4.7% increase. This increase was primarily due to increased subcontractor-related expenses of $80.7 million and increased travel and material expenses of $7.3 million. The increase in direct subcontractor expenses was in support of growth on existing and new contracts and task orders during fiscal 2012. Billable expenses as a percentage of revenue was 26.3% in fiscal 2012 and fiscal 2011,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General and administrative expenses increased to $903.7 million from $881.0 million, or a 2.6% increase. This increase was primarily due to increases in salaries and salary-related benefits of $56.6 million associated with an increase in average headcount and an increase of $15.8 million in other business-related expenses and professional fees to support the increased scale of our business.</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increase in general and administrative expenses was partially offset by decreases of $31.3 million in incentive compensation, $12.5 million in stock-based compensation expenses and $5.9 million in employer retirement plan contributions. The decrease in incentive compensation was due to lower incentive compensation accrual rates for fiscal year 2012, and an amendment to the Officers’ compensation plan that was effective October 1, 2010, such that a portion of incentive compensation is now paid via grants of restricted stock on July 1 of each year, rather than cash, and will vest over a three year period. The decrease in stock-based compensation expense was primarily due to a decrease in expense recognition compared to the same prior year period due to the application of the accounting method for recognizing stock-based compensation, which requires higher expenses initially and declining expenses in subsequent years. The decrease in employer retirement plan contributions was due to the associated decrease in incentive compensation. General and administrative expenses as a percentage of revenue were 15.4% and 15.8% for fiscal 2012 and fiscal 2011, respectively.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decreased to $75.2 million from $80.6 million, or a 6.7% decrease. This decrease was primarily due to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$12.3 million in the amortization of our intangible assets, which includes below market rate leases and contract backlog that were recorded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and are amortized based on contractual lease terms and projected future cash flows, respectively, thereby reflecting higher amortization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initially and declining expense in subsequent periods. Intangible asset amortization expense decreased to $16.4 million in fiscal 2012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$28.6 million in fiscal 2011. The decrease in amortization expense was partially offset by an increase in depreciation expense associated with capital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expenditures purchased during fiscal 2012 attributable to investments in facility expansion and computer equipment.</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Interest expense decreased to $48.1 million from $131.9 million, or a 63.5% decrease. This decrease was primarily due to the refinancing of our senior secured loan facilities in February 2011 to lower interest rates during fiscal 2012.</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Interest is accrued on our $970.0 million outstanding debt principal balance as of March 31, 2012 at contractually specified rates ranging from 2.49% to 3.75%, and is generally required to be paid to our syndicate of lenders on a monthly or quarterly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73" w:right="25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tax expense increased to $103.9 million from $43.4 million, or a 139.6% increase. The increase was primarily due to an increase in fiscal 2012 pre-tax income as compared to fiscal 2011 partially offset by a lower effective tax rate. The effective tax rate decreased to 30.2% from 33.9% primarily due to the increase in the release of uncertain tax position reserves in fiscal 2012 as compared to fiscal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$350.4 million and $484.4 million in cash and cash equivalents as of March 31, 2013 and 2012, respectively. However, due to fluctuations in cash flows and the growth in operations,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7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debt totaled $1,715.2 million and $965.4 million as of March 31, 2013 and 2012, respectively. Our debt bears interest at specified rates and is held by a syndicate of lenders (see Note 11 in our consolidated financial statements).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senior secured loan facilities consist of a $725.0 million Tranche A term facility, or Tranche A Loans, and a $1,025.0 million Tranche B term facility, or Tranche B Loans. As of March 31, 2013 we had $706.9 million and $1,019.9 million principal outstanding under the Tranche A term facility and Tranche B term facility, respectively. As of March 31, 2012 we had $475.0 million and $495.0 million principal outstanding under the Tranche A term facility and Tranche B term facility, respectively of our prior credit facility. We periodically consider opportunities to optimize our capital structure. In light of the current strength of the credit markets, there is a likelihood that we will engage in a process intended to effectuate a repricing of the outstanding term loan indebtedness under our senior secured facilities, possibly including an extension of the maturities of such indebtedness, and to amend certain terms of such facilities to provide us with more operating flexibility. While the timing of a potential repricing transaction has not been determined and any decision to ultimately launch or consummate such a transaction will be subject to market conditions and remain within the sole discretion of our Board of Directors, we currently view it as reasonably likely that we would launch such a transaction sometime during calendar year 2013. As an additional consideration, there is a 1% pre-payment premium payable if we refinance our outstanding Tranche B Loans with debt with a lower average yield before August 1, 2013.</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30, 2012, the Company acquired DSES for approximately $155.1 million in cash. Additionally, on December 31, 2012 the Company acquired an engineering services company for an immaterial amount.</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Effective July 31, 2012, the Company consummated the Recapitalization Transaction whereby our debt under the new senior credit facilities total $1.75 billion ($725.0 million Tranche A and $1,025.0 million Tranche B) and includes a $500.0 million revolving credit facility. See "-- Indebtedness."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12, 2011, our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March 31, 2013, no shares have been repurchased under the program.</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May 21, 2013, we declared a regular quarterly cash dividend in the amount of $0.10 per share. The quarterly dividend is payable on June 28, 2013 to shareholders of record on June 10, 2013. During fiscal 2013, we declared recurring cash dividends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935" w:right="259" w:bottom="1440" w:gutter="0" w:footer="0" w:header="0"/>
        </w:sectPr>
      </w:pPr>
    </w:p>
    <w:bookmarkStart w:id="60" w:name="page61"/>
    <w:bookmarkEnd w:id="60"/>
    <w:p>
      <w:pPr>
        <w:ind w:right="480"/>
        <w:spacing w:after="0" w:line="264" w:lineRule="auto"/>
        <w:rPr>
          <w:sz w:val="20"/>
          <w:szCs w:val="20"/>
          <w:color w:val="auto"/>
        </w:rPr>
      </w:pPr>
      <w:r>
        <w:rPr>
          <w:rFonts w:ascii="Arial" w:cs="Arial" w:eastAsia="Arial" w:hAnsi="Arial"/>
          <w:sz w:val="18"/>
          <w:szCs w:val="18"/>
          <w:color w:val="auto"/>
        </w:rPr>
        <w:t>totaling $48.7 million ($0.36 per share). Additionally, during fiscal 2013, we declared special cash dividends totaling $1,112.1 million (in May 2012 we declared a $1.50 per share special dividend and in August 2012 we declared a $6.50 per share special dividend). During fiscal 2012, we declared cash dividends totaling $11.9 million ($0.09 per share). No special cash dividends were declared in fiscal 2012.</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special dividend declared, the Compensation Committee, as Administrator of the Officers' Rollover Stock Plan and the Equity Incentive Plan, as amended, is required to make a determination under the respective plan's antidilution provision to adjust the outstanding options. For both the $1.50 and $6.50 special dividends, holders of the Rollover Options received a cash payment equal to the amount of the special dividend on the options' mandatory exercise date. For the $1.50 special dividend, holders of EIP options were granted a dividend equivalent equal to the special dividend payable on June 29, 2012 or the vesting of the EIP option, whichever is later. For the $6.50 special dividend, holders of EIP options with a pre-dividend exercise price less than $11.00 per share received a dividend equivalent equal to the amount of the special dividend payable on August 31, 2012 or the vesting of the EIP option, whichever is later. All other EIP options were adjusted by reducing the exercise price by $6.36 which is equal to the difference between the pre-dividend closing fair market value of our Class A Common Stock and the post-dividend opening fair market value of our Class A Common Stock as noted on the New York Stock Exchange.</w:t>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Associated with the payment of the dividends, and in connection with the authorization of the special dividends, the Company paid accrued interest on the DPO of $7.4 million during fiscal 2013. No such payments were made for the same periods in fiscal 2012.</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including debt prepayments, payment of recurring and special dividends, share repurchases or funding acquisitions.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17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61 and 65 as of March 31, 2013 and 2012, respectively.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1" w:name="page62"/>
    <w:bookmarkEnd w:id="61"/>
    <w:tbl>
      <w:tblPr>
        <w:tblLayout w:type="fixed"/>
        <w:tblInd w:w="7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230"/>
              <w:spacing w:after="0"/>
              <w:rPr>
                <w:sz w:val="20"/>
                <w:szCs w:val="20"/>
                <w:color w:val="auto"/>
              </w:rPr>
            </w:pPr>
            <w:r>
              <w:rPr>
                <w:rFonts w:ascii="Arial" w:cs="Arial" w:eastAsia="Arial" w:hAnsi="Arial"/>
                <w:sz w:val="14"/>
                <w:szCs w:val="14"/>
                <w:b w:val="1"/>
                <w:bCs w:val="1"/>
                <w:color w:val="auto"/>
                <w:w w:val="95"/>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196"/>
        </w:trPr>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464,654</w:t>
            </w: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360,046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296,339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(190,452)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(53,593)</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(87,400)</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(408,186)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(14,716)</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(324,143)</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increase / (decrease) in cash and cash equivalents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(133,984)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291,737</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(115,204)</w:t>
            </w:r>
          </w:p>
        </w:tc>
      </w:tr>
      <w:tr>
        <w:trPr>
          <w:trHeight w:val="27"/>
        </w:trPr>
        <w:tc>
          <w:tcPr>
            <w:tcW w:w="5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Net cash from operations is primarily affected by the overall profitability of our contracts, our ability to invoice and collect from clients in a timely manner, and our ability to manage our vendor payments. Net cash provided by operations was $464.7 million in fiscal 2013 compared to $360.0 million in the same prior year period, or a 29.1% increase. The increase in net cash provided by operations was primarily the result of overall profitability of our contracts, our ability to invoice and collect from clients in a timely manner, and our effective management of vendor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used in investing activities was $190.5 million in fiscal 2013 compared to $53.6 million in the same prior year period, or a 255.4% increase. The increase in net cash used in investing activities was primarily due to the $155.1 million in cash paid to ARINC for the acquisition of DSES on November 30,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used in financing activities was $408.2 million in fiscal 2013 compared to net cash used in financing activities of $14.7 million in the same prior year period. The increase in net cash used in financing activities was primarily due to the payment of regular and special dividends and associated dividend equivalents, partially offset by the net proceeds of the Recapitalization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July 31, 2012, the Company consummated the Recapitalization Transaction, which included the refinancing and termination of the Company's existing senior secured credit agreement with the proceeds of the borrowings under the Company's new senior secured credit agreement. Additionally the net proceeds of the recapitalization were used to pay a special dividend on August 31, 2012, as described above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The new senior secured credit agreement, or the Credit Agreement, provided the Company with a $725.0 million Term Loan A tranche and a $1,025.0 million Term Loan B tranche, and a $500.0 million revolving credit facility with a $100.0 million sublimit for letters of credit.</w:t>
      </w:r>
    </w:p>
    <w:p>
      <w:pPr>
        <w:spacing w:after="0" w:line="33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recapitalization, the Company accelerated the amortization of ratable portions of the Debt Issuance Costs, or DIC, and Original Issuance Discount, or OID, associated with the prior senior secured term loan facilities and portions of the DIC and OID of the Credit Agreement that do not qualify for deferral of $7.2 million. These amounts are reflected in other expense, net in fiscal 2013. Furthermore, the Company expensed third party debt issuance costs of $2.7 million that did not qualify for deferral, which are reflected in general and administrative costs in fiscal 2013.</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 prior to the Tranche A Loans maturity date of December 31, 2017, and 0.25% of the stated principal amount of Tranche B Loans, with the remaining balance payable on the Tranche B Loans maturity date of July 31, 2019. The revolving credit facility matures on December 31, 2017, at which time any outstanding principal balance is due in full.</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interest rate on borrowings under Tranche A is LIBOR plus 2.50%, and will range from 2.00% to 2.75% based on the Company's total leverage ratio. The interest rate on borrowings under Tranche B is LIBOR plus 3.5% with a 1% floor. The revolving credit facility margin and commitment fee are subject to the leveraged based pricing grid, as set forth in the Credit Agreement. As of March 31, 2013, we were contingently liable under open standby letters of credit and bank guarantees issued by our banks in favor of third parties that total $2.8 million. These letters of credit and bank guarantees primarily relate to leases and support of insurance obligations. These instruments reduce our available borrowings under the revolving credit facility. As of March 31, 2013, we had $497.2 million of capacity available for additional borrowings under the revolving credit facility.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846" w:right="259" w:bottom="1440" w:gutter="0" w:footer="0" w:header="0"/>
        </w:sectPr>
      </w:pPr>
    </w:p>
    <w:bookmarkStart w:id="62" w:name="page63"/>
    <w:bookmarkEnd w:id="62"/>
    <w:p>
      <w:pPr>
        <w:ind w:right="60"/>
        <w:spacing w:after="0" w:line="271" w:lineRule="auto"/>
        <w:rPr>
          <w:sz w:val="20"/>
          <w:szCs w:val="20"/>
          <w:color w:val="auto"/>
        </w:rPr>
      </w:pPr>
      <w:r>
        <w:rPr>
          <w:rFonts w:ascii="Arial" w:cs="Arial" w:eastAsia="Arial" w:hAnsi="Arial"/>
          <w:sz w:val="17"/>
          <w:szCs w:val="17"/>
          <w:color w:val="auto"/>
        </w:rPr>
        <w:t>The loans under the Credit Agreement are secured by substantially all of our assets and none of such assets will be available to satisfy the claims of our general creditors. The Credit Agreement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March 31, 2013 we were compliant with these covenants.</w:t>
      </w:r>
    </w:p>
    <w:p>
      <w:pPr>
        <w:spacing w:after="0" w:line="17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Prior to the July 31, 2012 Recapitalization Transaction, our then existing senior secured credit agreement provided for $1.0 billion in term loans ($500.0 million Tranche A Loans and $500.0 million Tranche B Loans), and a $275.0 million revolving credit facility.</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2013, interest payments of $18.8 million and $40.0 million were made for Tranche A term loans and Tranche B term loans, respectively. During fiscal 2012, interest payments of $14.4 million and $20.2 million were made for Tranche A term loans and Tranche B term loans, respectively, under our prior facility. As of March 31, 2013, no amounts were drawn on the revolving credit facility.</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of $11.6 million and $4.6 million as of March 31,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Our stockholders’ equity amounted to $226.8 million as of March 31, 2013, a decrease of $958.4 million compared to stockholders’ equity of $1,185.2 million as of March 31, 2012, primarily due to the payment of special dividends on June 29, 2012 and August 31, 2012, offset by the net increase in fiscal 2013 from common stock issuances, stock option exercises, net income of $219.1 million, and stock-based compensation expense of $24.8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that require us to make future cash payments as of March 31, 2013. For contractual obligations, we included payments that we have an unconditional obligation to make.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Payments Due by Period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6"/>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4"/>
              <w:spacing w:after="0" w:line="157" w:lineRule="exact"/>
              <w:rPr>
                <w:sz w:val="20"/>
                <w:szCs w:val="20"/>
                <w:color w:val="auto"/>
              </w:rPr>
            </w:pPr>
            <w:r>
              <w:rPr>
                <w:rFonts w:ascii="Arial" w:cs="Arial" w:eastAsia="Arial" w:hAnsi="Arial"/>
                <w:sz w:val="14"/>
                <w:szCs w:val="14"/>
                <w:color w:val="auto"/>
              </w:rPr>
              <w:t>Less Than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1"/>
              </w:rPr>
              <w:t>1 to 3</w:t>
            </w:r>
          </w:p>
        </w:tc>
        <w:tc>
          <w:tcPr>
            <w:tcW w:w="300" w:type="dxa"/>
            <w:vAlign w:val="bottom"/>
          </w:tcPr>
          <w:p>
            <w:pPr>
              <w:spacing w:after="0"/>
              <w:rPr>
                <w:sz w:val="13"/>
                <w:szCs w:val="13"/>
                <w:color w:val="auto"/>
              </w:rPr>
            </w:pPr>
          </w:p>
        </w:tc>
        <w:tc>
          <w:tcPr>
            <w:tcW w:w="10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3 to 5</w:t>
            </w:r>
          </w:p>
        </w:tc>
        <w:tc>
          <w:tcPr>
            <w:tcW w:w="220" w:type="dxa"/>
            <w:vAlign w:val="bottom"/>
          </w:tcPr>
          <w:p>
            <w:pPr>
              <w:spacing w:after="0"/>
              <w:rPr>
                <w:sz w:val="13"/>
                <w:szCs w:val="13"/>
                <w:color w:val="auto"/>
              </w:rPr>
            </w:pPr>
          </w:p>
        </w:tc>
        <w:tc>
          <w:tcPr>
            <w:tcW w:w="1040" w:type="dxa"/>
            <w:vAlign w:val="bottom"/>
          </w:tcPr>
          <w:p>
            <w:pPr>
              <w:jc w:val="right"/>
              <w:ind w:right="214"/>
              <w:spacing w:after="0" w:line="157" w:lineRule="exact"/>
              <w:rPr>
                <w:sz w:val="20"/>
                <w:szCs w:val="20"/>
                <w:color w:val="auto"/>
              </w:rPr>
            </w:pPr>
            <w:r>
              <w:rPr>
                <w:rFonts w:ascii="Arial" w:cs="Arial" w:eastAsia="Arial" w:hAnsi="Arial"/>
                <w:sz w:val="14"/>
                <w:szCs w:val="14"/>
                <w:color w:val="auto"/>
              </w:rPr>
              <w:t>More Than</w:t>
            </w:r>
          </w:p>
        </w:tc>
      </w:tr>
      <w:tr>
        <w:trPr>
          <w:trHeight w:val="188"/>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1 Year</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7"/>
              </w:rPr>
              <w:t>Years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Years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5 years</w:t>
            </w: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1,726,750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55,562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165,501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537,062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968,625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314,896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91,236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134,292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46,679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42,689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payment obligation (b)</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99,670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to option holders (c)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liabilities for uncertain tax positions (d)</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56,508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2,686,364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261,163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563,326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791,934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1,069,941</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for additional information regarding debt and related matters.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$61.5 million deferred payment obligation balance, plus current and future interest accruals.</w:t>
      </w:r>
    </w:p>
    <w:p>
      <w:pPr>
        <w:spacing w:after="0" w:line="9" w:lineRule="exact"/>
        <w:rPr>
          <w:rFonts w:ascii="Arial" w:cs="Arial" w:eastAsia="Arial" w:hAnsi="Arial"/>
          <w:sz w:val="18"/>
          <w:szCs w:val="18"/>
          <w:color w:val="auto"/>
        </w:rPr>
      </w:pPr>
    </w:p>
    <w:p>
      <w:pPr>
        <w:ind w:left="540" w:right="120" w:hanging="316"/>
        <w:spacing w:after="0" w:line="265"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Reflects liabilities to holders of stock options issued under our Officers’ Rollover Stock Plan and Equity Incentive Plan related to the reduction in the exercise price of such options as a result of special dividends issued in July 2009, December 2009, May 2012 and July 2012.</w:t>
      </w:r>
    </w:p>
    <w:p>
      <w:pPr>
        <w:ind w:left="540" w:hanging="316"/>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$18.5 million of tax liabilities offset by amounts owed under the deferred payment obligation. The remainder is related to other tax liabilities.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3" w:name="page64"/>
    <w:bookmarkEnd w:id="63"/>
    <w:p>
      <w:pPr>
        <w:jc w:val="both"/>
        <w:ind w:right="280" w:firstLine="432"/>
        <w:spacing w:after="0" w:line="264" w:lineRule="auto"/>
        <w:rPr>
          <w:sz w:val="20"/>
          <w:szCs w:val="20"/>
          <w:color w:val="auto"/>
        </w:rPr>
      </w:pPr>
      <w:r>
        <w:rPr>
          <w:rFonts w:ascii="Arial" w:cs="Arial" w:eastAsia="Arial" w:hAnsi="Arial"/>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fiscal 2013 and 2012 were $33.1 million and $76.9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20 to our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exposure to market risk for changes in interest rates relates primarily to our outstanding debt and cash equivalents, which consist primarily of funds invested in U.S. government insured money-market accounts and prime money-market funds. As of March 31, 2013 and 2012, we had $350.4 million and $484.4 million, respectively, in cash and cash equivalents. The interest expense associated with our term loans and any loans under our revolving credit facility will vary with market rates.</w:t>
      </w:r>
    </w:p>
    <w:p>
      <w:pPr>
        <w:spacing w:after="0" w:line="13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exposure to market risk for changes in interest rates related to our outstanding debt will impact our senior secured loan facilities. A hypothetical 1% increase in interest rates would have increased interest expense related to the term facilities under our senior secured loan facilities by approximately</w:t>
      </w:r>
    </w:p>
    <w:p>
      <w:pPr>
        <w:ind w:right="160"/>
        <w:spacing w:after="0" w:line="295" w:lineRule="auto"/>
        <w:rPr>
          <w:sz w:val="20"/>
          <w:szCs w:val="20"/>
          <w:color w:val="auto"/>
        </w:rPr>
      </w:pPr>
      <w:r>
        <w:rPr>
          <w:rFonts w:ascii="Arial" w:cs="Arial" w:eastAsia="Arial" w:hAnsi="Arial"/>
          <w:sz w:val="16"/>
          <w:szCs w:val="16"/>
          <w:color w:val="auto"/>
        </w:rPr>
        <w:t>$5.7 million in fiscal 2013 and $3.6 million in fiscal 2012, and likewise decreased our income and cash flows. A hypothetical increase of LIBOR to 4%, the average historical three-month LIBOR, would have increased interest expense related to all term facilities under our senior secured loan facilities by approximately $57.5 million in fiscal 2013 and $32.7 million in fiscal 2012, and likewise decreased our income and cash flows. The year over year variance in interest expense is driven by an increased debt balance and higher interest rate spreads and floors related to the debt facility refinance in July 2012.</w:t>
      </w:r>
    </w:p>
    <w:p>
      <w:pPr>
        <w:spacing w:after="0" w:line="107"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The return on our cash and cash equivalents balance as of March 31, 2013 and 2012 was less than 1%. Therefore, although investment interest rates may continue to decrease in the future, the corresponding impact to our interest income, and likewise to our income and cash flow, would not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use derivative financial instruments in our investment portfolio and have not entered into any hedging transactions.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w:t>
            </w:r>
          </w:p>
        </w:tc>
        <w:tc>
          <w:tcPr>
            <w:tcW w:w="942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gridSpan w:val="8"/>
          </w:tcPr>
          <w:p>
            <w:pPr>
              <w:spacing w:after="0" w:line="196" w:lineRule="exact"/>
              <w:rPr>
                <w:rFonts w:ascii="Arial" w:cs="Arial" w:eastAsia="Arial" w:hAnsi="Arial"/>
                <w:sz w:val="18"/>
                <w:szCs w:val="18"/>
                <w:color w:val="0000FF"/>
              </w:rPr>
            </w:pPr>
            <w:hyperlink w:anchor="page65">
              <w:r>
                <w:rPr>
                  <w:rFonts w:ascii="Arial" w:cs="Arial" w:eastAsia="Arial" w:hAnsi="Arial"/>
                  <w:sz w:val="18"/>
                  <w:szCs w:val="18"/>
                  <w:color w:val="0000FF"/>
                </w:rPr>
                <w:t>Report of Ernst &amp; Young LLP, Independent Registered Public Accounting Firm</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FF"/>
              </w:rPr>
            </w:pPr>
            <w:hyperlink w:anchor="page65">
              <w:r>
                <w:rPr>
                  <w:rFonts w:ascii="Arial" w:cs="Arial" w:eastAsia="Arial" w:hAnsi="Arial"/>
                  <w:sz w:val="18"/>
                  <w:szCs w:val="18"/>
                  <w:color w:val="0000FF"/>
                </w:rPr>
                <w:t>F-2</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3"/>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Consolidated Balance Sheets as of March 31, 2013 and 2012</w:t>
              </w:r>
            </w:hyperlink>
          </w:p>
        </w:tc>
        <w:tc>
          <w:tcPr>
            <w:tcW w:w="34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F-3</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4"/>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Consolidated Statements of Operations for the Fiscal Years Ended March 31, 2013, 2012 and 2011</w:t>
              </w:r>
            </w:hyperlink>
          </w:p>
        </w:tc>
        <w:tc>
          <w:tcPr>
            <w:tcW w:w="20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F-4</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40" w:type="dxa"/>
            <w:vAlign w:val="bottom"/>
            <w:gridSpan w:val="7"/>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Consolidated Statements of Comprehensive Income for the Fiscal Years Ended March 31, 2013, 2012 and 2011</w:t>
              </w:r>
            </w:hyperlink>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F-5</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40" w:type="dxa"/>
            <w:vAlign w:val="bottom"/>
            <w:gridSpan w:val="7"/>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Consolidated Statements of Cash Flows for the Fiscal Years Ended March 31, 2013, 2012 and 2011</w:t>
              </w:r>
            </w:hyperlink>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F-6</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Consolidated Statements of Stockholders' Equity for the Fiscal Years Ended March 31, 2013, 2012 and 2011</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F-7</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660" w:type="dxa"/>
            <w:vAlign w:val="bottom"/>
            <w:gridSpan w:val="5"/>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Notes to Consolidated Financial Statements</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F-8</w:t>
              </w:r>
            </w:hyperlink>
          </w:p>
        </w:tc>
      </w:tr>
      <w:tr>
        <w:trPr>
          <w:trHeight w:val="723"/>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gridSpan w:val="6"/>
          </w:tcPr>
          <w:p>
            <w:pPr>
              <w:jc w:val="center"/>
              <w:ind w:right="4140"/>
              <w:spacing w:after="0"/>
              <w:rPr>
                <w:sz w:val="20"/>
                <w:szCs w:val="20"/>
                <w:color w:val="auto"/>
              </w:rPr>
            </w:pPr>
            <w:r>
              <w:rPr>
                <w:rFonts w:ascii="Arial" w:cs="Arial" w:eastAsia="Arial" w:hAnsi="Arial"/>
                <w:sz w:val="18"/>
                <w:szCs w:val="18"/>
                <w:color w:val="auto"/>
                <w:w w:val="96"/>
              </w:rPr>
              <w:t>F-1</w:t>
            </w:r>
          </w:p>
        </w:tc>
        <w:tc>
          <w:tcPr>
            <w:tcW w:w="5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7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audited the accompanying consolidated balance sheets of Booz Allen Hamilton Holding Corporation as of March 31, 2013 and 2012, and the related consolidated statements of operations, comprehensive income, stockholders’ equity, and cash flows for each of the three years in the period ended March 31, 2013.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Booz Allen Hamilton Holding Corporation at March 31, 2013 and 2012, and the consolidated results of its operations and its cash flows for each of the three years in the period ended March 31, 2013, in conformity with U.S. generally accepted accounting principles.</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Booz Allen Hamilton Holding Corporation’s internal control over financial reporting as of March 31, 2013, based on criteria established in Internal Control-Integrated Framework issued by the Committee of Sponsoring Organizations of the Treadway Commission and our report dated May 23, 2013 expressed an unqualified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2013</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904" w:right="2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350,384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1,077,315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32,090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46,794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1,653,657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166,570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191,079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236,220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223,834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1,188,004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50,427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3,177,528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55,562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443,951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385,433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357,872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914,446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1,659,611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922,925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269,460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236,953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2,950,735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2,129,606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20)</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136,457,444 shares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w w:val="91"/>
              </w:rPr>
              <w:t>March 31, 2013 and 128,726,324 shares at March 31, 2012; outstanding, 136,051,601 shares at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2013 and 128,392,549 shares at March 31, 2012</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1,451,600 shares at March 31, 2013 and 2,487,125 shares at March 31, 2012</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outstanding, 1,224,319 shares at March 31, 2013 and 1,533,020 shares at March 31, 2012</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outstanding, 7,478,522 shares at March 31, 2013 and 10,140,067 shares at March 31, 2012</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w w:val="99"/>
              </w:rPr>
              <w:t>Treasury stock, at cost — 405,843 shares at March 31, 2013 and 333,775 shares at March 31, 2012</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898,541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299,379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226,793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1,185,185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3,177,528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3,314,791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40" w:type="dxa"/>
            <w:vAlign w:val="bottom"/>
          </w:tcPr>
          <w:p>
            <w:pPr>
              <w:ind w:left="5580"/>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86"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93"/>
              <w:spacing w:after="0"/>
              <w:rPr>
                <w:sz w:val="20"/>
                <w:szCs w:val="20"/>
                <w:color w:val="auto"/>
              </w:rPr>
            </w:pPr>
            <w:r>
              <w:rPr>
                <w:rFonts w:ascii="Arial" w:cs="Arial" w:eastAsia="Arial" w:hAnsi="Arial"/>
                <w:sz w:val="14"/>
                <w:szCs w:val="14"/>
                <w:b w:val="1"/>
                <w:bCs w:val="1"/>
                <w:color w:val="auto"/>
                <w:w w:val="94"/>
              </w:rPr>
              <w:t>Fiscal Year Ended March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7"/>
          </w:tcPr>
          <w:p>
            <w:pPr>
              <w:jc w:val="center"/>
              <w:ind w:right="211"/>
              <w:spacing w:after="0"/>
              <w:rPr>
                <w:sz w:val="20"/>
                <w:szCs w:val="20"/>
                <w:color w:val="auto"/>
              </w:rPr>
            </w:pPr>
            <w:r>
              <w:rPr>
                <w:rFonts w:ascii="Arial" w:cs="Arial" w:eastAsia="Arial" w:hAnsi="Arial"/>
                <w:sz w:val="14"/>
                <w:szCs w:val="14"/>
                <w:b w:val="1"/>
                <w:bCs w:val="1"/>
                <w:color w:val="auto"/>
                <w:w w:val="91"/>
              </w:rPr>
              <w:t>(Amounts in thousands, except per share data)</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5,758,059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5,859,218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5,591,296</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2,871,240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2,836,955</w:t>
            </w: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1,532,590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1,542,822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1,473,266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881,028</w:t>
            </w: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80,603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5,311,825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5,471,786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5,271,852</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319,444</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(131,892)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(59,488)</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368,311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343,874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128,064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84,694</w:t>
            </w:r>
          </w:p>
        </w:tc>
        <w:tc>
          <w:tcPr>
            <w:tcW w:w="0" w:type="dxa"/>
            <w:vAlign w:val="bottom"/>
          </w:tcPr>
          <w:p>
            <w:pPr>
              <w:spacing w:after="0"/>
              <w:rPr>
                <w:sz w:val="1"/>
                <w:szCs w:val="1"/>
                <w:color w:val="auto"/>
              </w:rPr>
            </w:pPr>
          </w:p>
        </w:tc>
      </w:tr>
      <w:tr>
        <w:trPr>
          <w:trHeight w:val="67"/>
        </w:trPr>
        <w:tc>
          <w:tcPr>
            <w:tcW w:w="57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(Note 3):</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67"/>
        </w:trPr>
        <w:tc>
          <w:tcPr>
            <w:tcW w:w="57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320"/>
          </w:cols>
          <w:pgMar w:left="240" w:top="1364" w:right="1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r>
      <w:tr>
        <w:trPr>
          <w:trHeight w:val="196"/>
        </w:trPr>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219,058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84,694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(1,635)</w:t>
            </w:r>
          </w:p>
        </w:tc>
      </w:tr>
      <w:tr>
        <w:trPr>
          <w:trHeight w:val="27"/>
        </w:trPr>
        <w:tc>
          <w:tcPr>
            <w:tcW w:w="5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83,059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260"/>
          </w:cols>
          <w:pgMar w:left="240" w:top="1202" w:right="13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2"/>
              </w:rPr>
              <w:t>Fiscal Year Ended March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0"/>
              </w:rPr>
              <w:t>(Amounts in thousands)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219,058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239,955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84,694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74,009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75,205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80,603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48,678</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(48,088)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74,785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42,763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benefits from the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(15,974)</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Amortization of debt issuance costs and loss on extinguishment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52,742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on disposition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Gain on sales of businesses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125,125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25,275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(92,693)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receivable /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(12,941)</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(6,833)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9,804</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Accounts payable and other accrued 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35,390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52,214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8,451</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Income tax reserves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(10,163)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7"/>
        </w:trPr>
        <w:tc>
          <w:tcPr>
            <w:tcW w:w="7540" w:type="dxa"/>
            <w:vAlign w:val="bottom"/>
          </w:tcPr>
          <w:p>
            <w:pPr>
              <w:ind w:left="72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52,385</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464,654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360,046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296,339</w:t>
            </w:r>
          </w:p>
        </w:tc>
        <w:tc>
          <w:tcPr>
            <w:tcW w:w="0" w:type="dxa"/>
            <w:vAlign w:val="bottom"/>
          </w:tcPr>
          <w:p>
            <w:pPr>
              <w:spacing w:after="0"/>
              <w:rPr>
                <w:sz w:val="1"/>
                <w:szCs w:val="1"/>
                <w:color w:val="auto"/>
              </w:rPr>
            </w:pP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(88,784)</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Cash paid for business acquisitions, net of cash acquired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(157,964)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Proceeds from sales of businesses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23,332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(87,400)</w:t>
            </w:r>
          </w:p>
        </w:tc>
        <w:tc>
          <w:tcPr>
            <w:tcW w:w="0" w:type="dxa"/>
            <w:vAlign w:val="bottom"/>
          </w:tcPr>
          <w:p>
            <w:pPr>
              <w:spacing w:after="0"/>
              <w:rPr>
                <w:sz w:val="1"/>
                <w:szCs w:val="1"/>
                <w:color w:val="auto"/>
              </w:rPr>
            </w:pP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issuance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251,135</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Stock option exercises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14,977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the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15,974</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Dividend equivalents paid to option holders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(49,765)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(1,637,850)</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Net proceeds from debt issuance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1,710,143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1,041,808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(408,186)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(324,143)</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(133,984)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291,737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(115,204)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484,368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307,835</w:t>
            </w:r>
          </w:p>
        </w:tc>
        <w:tc>
          <w:tcPr>
            <w:tcW w:w="0" w:type="dxa"/>
            <w:vAlign w:val="bottom"/>
          </w:tcPr>
          <w:p>
            <w:pPr>
              <w:spacing w:after="0"/>
              <w:rPr>
                <w:sz w:val="1"/>
                <w:szCs w:val="1"/>
                <w:color w:val="auto"/>
              </w:rPr>
            </w:pPr>
          </w:p>
        </w:tc>
      </w:tr>
      <w:tr>
        <w:trPr>
          <w:trHeight w:val="217"/>
        </w:trPr>
        <w:tc>
          <w:tcPr>
            <w:tcW w:w="7540" w:type="dxa"/>
            <w:vAlign w:val="bottom"/>
          </w:tcPr>
          <w:p>
            <w:pPr>
              <w:ind w:left="40"/>
              <w:spacing w:after="0"/>
              <w:rPr>
                <w:sz w:val="20"/>
                <w:szCs w:val="20"/>
                <w:color w:val="auto"/>
              </w:rPr>
            </w:pPr>
            <w:r>
              <w:rPr>
                <w:rFonts w:ascii="Arial" w:cs="Arial" w:eastAsia="Arial" w:hAnsi="Arial"/>
                <w:sz w:val="16"/>
                <w:szCs w:val="16"/>
                <w:color w:val="auto"/>
              </w:rPr>
              <w:t>Cash and cash equivalents––end of year</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350,384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484,368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192,631</w:t>
            </w:r>
          </w:p>
        </w:tc>
        <w:tc>
          <w:tcPr>
            <w:tcW w:w="0" w:type="dxa"/>
            <w:vAlign w:val="bottom"/>
          </w:tcPr>
          <w:p>
            <w:pPr>
              <w:spacing w:after="0"/>
              <w:rPr>
                <w:sz w:val="1"/>
                <w:szCs w:val="1"/>
                <w:color w:val="auto"/>
              </w:rPr>
            </w:pPr>
          </w:p>
        </w:tc>
      </w:tr>
      <w:tr>
        <w:trPr>
          <w:trHeight w:val="73"/>
        </w:trPr>
        <w:tc>
          <w:tcPr>
            <w:tcW w:w="75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5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109,895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90,146</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89,314</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7,715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985" w:right="239" w:bottom="532" w:gutter="0" w:footer="0" w:header="0"/>
        </w:sectPr>
      </w:pPr>
    </w:p>
    <w:bookmarkStart w:id="70" w:name="page71"/>
    <w:bookmarkEnd w:id="70"/>
    <w:p>
      <w:pPr>
        <w:jc w:val="center"/>
        <w:ind w:right="-4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4"/>
              </w:rPr>
              <w:t>Class B</w:t>
            </w:r>
          </w:p>
        </w:tc>
        <w:tc>
          <w:tcPr>
            <w:tcW w:w="118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Class C</w:t>
            </w:r>
          </w:p>
        </w:tc>
        <w:tc>
          <w:tcPr>
            <w:tcW w:w="780" w:type="dxa"/>
            <w:vAlign w:val="bottom"/>
            <w:gridSpan w:val="2"/>
          </w:tcPr>
          <w:p>
            <w:pPr>
              <w:jc w:val="center"/>
              <w:ind w:left="346"/>
              <w:spacing w:after="0"/>
              <w:rPr>
                <w:sz w:val="20"/>
                <w:szCs w:val="20"/>
                <w:color w:val="auto"/>
              </w:rPr>
            </w:pPr>
            <w:r>
              <w:rPr>
                <w:rFonts w:ascii="Arial" w:cs="Arial" w:eastAsia="Arial" w:hAnsi="Arial"/>
                <w:sz w:val="11"/>
                <w:szCs w:val="11"/>
                <w:b w:val="1"/>
                <w:bCs w:val="1"/>
                <w:color w:val="auto"/>
                <w:w w:val="85"/>
              </w:rPr>
              <w:t>Class 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780" w:type="dxa"/>
            <w:vAlign w:val="bottom"/>
            <w:gridSpan w:val="2"/>
          </w:tcPr>
          <w:p>
            <w:pPr>
              <w:jc w:val="center"/>
              <w:ind w:left="366"/>
              <w:spacing w:after="0" w:line="122" w:lineRule="exact"/>
              <w:rPr>
                <w:sz w:val="20"/>
                <w:szCs w:val="20"/>
                <w:color w:val="auto"/>
              </w:rPr>
            </w:pPr>
            <w:r>
              <w:rPr>
                <w:rFonts w:ascii="Arial" w:cs="Arial" w:eastAsia="Arial" w:hAnsi="Arial"/>
                <w:sz w:val="11"/>
                <w:szCs w:val="11"/>
                <w:b w:val="1"/>
                <w:bCs w:val="1"/>
                <w:color w:val="auto"/>
                <w:w w:val="89"/>
              </w:rPr>
              <w:t>Class A</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Non-Voting</w:t>
            </w:r>
          </w:p>
        </w:tc>
        <w:tc>
          <w:tcPr>
            <w:tcW w:w="118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Restricted</w:t>
            </w:r>
          </w:p>
        </w:tc>
        <w:tc>
          <w:tcPr>
            <w:tcW w:w="13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Special Voting</w:t>
            </w:r>
          </w:p>
        </w:tc>
        <w:tc>
          <w:tcPr>
            <w:tcW w:w="12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Treasury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(Accumulated</w:t>
            </w: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620" w:type="dxa"/>
            <w:vAlign w:val="bottom"/>
          </w:tcPr>
          <w:p>
            <w:pPr>
              <w:spacing w:after="0"/>
              <w:rPr>
                <w:sz w:val="3"/>
                <w:szCs w:val="3"/>
                <w:color w:val="auto"/>
              </w:rPr>
            </w:pPr>
          </w:p>
        </w:tc>
        <w:tc>
          <w:tcPr>
            <w:tcW w:w="132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89"/>
              </w:rPr>
              <w:t>Common Stock</w:t>
            </w:r>
          </w:p>
        </w:tc>
        <w:tc>
          <w:tcPr>
            <w:tcW w:w="122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86"/>
              </w:rPr>
              <w:t>Common Stock</w:t>
            </w: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126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86"/>
              </w:rPr>
              <w:t>Stock</w:t>
            </w: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Additional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Other</w:t>
            </w: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1"/>
        </w:trPr>
        <w:tc>
          <w:tcPr>
            <w:tcW w:w="1620" w:type="dxa"/>
            <w:vAlign w:val="bottom"/>
          </w:tcPr>
          <w:p>
            <w:pPr>
              <w:ind w:left="40"/>
              <w:spacing w:after="0" w:line="102" w:lineRule="exact"/>
              <w:rPr>
                <w:sz w:val="20"/>
                <w:szCs w:val="20"/>
                <w:color w:val="auto"/>
              </w:rPr>
            </w:pPr>
            <w:r>
              <w:rPr>
                <w:rFonts w:ascii="Arial" w:cs="Arial" w:eastAsia="Arial" w:hAnsi="Arial"/>
                <w:sz w:val="11"/>
                <w:szCs w:val="11"/>
                <w:b w:val="1"/>
                <w:bCs w:val="1"/>
                <w:color w:val="auto"/>
                <w:w w:val="95"/>
              </w:rPr>
              <w:t>(Amounts in thousands, except</w:t>
            </w:r>
          </w:p>
        </w:tc>
        <w:tc>
          <w:tcPr>
            <w:tcW w:w="6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8"/>
              </w:rPr>
              <w:t>Paid-In</w:t>
            </w:r>
          </w:p>
        </w:tc>
        <w:tc>
          <w:tcPr>
            <w:tcW w:w="7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Retained</w:t>
            </w:r>
          </w:p>
        </w:tc>
        <w:tc>
          <w:tcPr>
            <w:tcW w:w="88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1620" w:type="dxa"/>
            <w:vAlign w:val="bottom"/>
          </w:tcPr>
          <w:p>
            <w:pPr>
              <w:ind w:left="40"/>
              <w:spacing w:after="0"/>
              <w:rPr>
                <w:sz w:val="20"/>
                <w:szCs w:val="20"/>
                <w:color w:val="auto"/>
              </w:rPr>
            </w:pPr>
            <w:r>
              <w:rPr>
                <w:rFonts w:ascii="Arial" w:cs="Arial" w:eastAsia="Arial" w:hAnsi="Arial"/>
                <w:sz w:val="11"/>
                <w:szCs w:val="11"/>
                <w:b w:val="1"/>
                <w:bCs w:val="1"/>
                <w:color w:val="auto"/>
              </w:rPr>
              <w:t>share data)</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Capital</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Earnings</w:t>
            </w:r>
          </w:p>
        </w:tc>
        <w:tc>
          <w:tcPr>
            <w:tcW w:w="8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Income (Loss)</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102,922,900</w:t>
            </w:r>
          </w:p>
        </w:tc>
        <w:tc>
          <w:tcPr>
            <w:tcW w:w="14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1,029</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2,350,200</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2,028,270</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13,345,880</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525,652</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(13,364)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(3,818)</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509,583</w:t>
            </w:r>
          </w:p>
        </w:tc>
        <w:tc>
          <w:tcPr>
            <w:tcW w:w="0" w:type="dxa"/>
            <w:vAlign w:val="bottom"/>
          </w:tcPr>
          <w:p>
            <w:pPr>
              <w:spacing w:after="0"/>
              <w:rPr>
                <w:sz w:val="1"/>
                <w:szCs w:val="1"/>
                <w:color w:val="auto"/>
              </w:rPr>
            </w:pPr>
          </w:p>
        </w:tc>
      </w:tr>
      <w:tr>
        <w:trPr>
          <w:trHeight w:val="117"/>
        </w:trPr>
        <w:tc>
          <w:tcPr>
            <w:tcW w:w="16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right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16,189,830</w:t>
            </w:r>
          </w:p>
        </w:tc>
        <w:tc>
          <w:tcPr>
            <w:tcW w:w="14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161</w:t>
            </w:r>
          </w:p>
        </w:tc>
        <w:tc>
          <w:tcPr>
            <w:tcW w:w="100" w:type="dxa"/>
            <w:vAlign w:val="bottom"/>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702,930</w:t>
            </w:r>
          </w:p>
        </w:tc>
        <w:tc>
          <w:tcPr>
            <w:tcW w:w="12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250,972</w:t>
            </w:r>
          </w:p>
        </w:tc>
        <w:tc>
          <w:tcPr>
            <w:tcW w:w="1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251,135</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4,375,035</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(1,699,950)</w:t>
            </w: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11,727</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11,766</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Excess tax benefits from the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15,974</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15,974</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(702,930)</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702,930</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5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Recognition of liability</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1"/>
                <w:szCs w:val="11"/>
                <w:color w:val="auto"/>
              </w:rPr>
              <w:t>related to future stock option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exercises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(12,945)</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(12,945)</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income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84,694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84,694</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5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w w:val="96"/>
              </w:rPr>
              <w:t>Change in postretirement plan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costs, net of tax</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(1,635)</w:t>
            </w:r>
          </w:p>
        </w:tc>
        <w:tc>
          <w:tcPr>
            <w:tcW w:w="12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(1,635)</w:t>
            </w:r>
          </w:p>
        </w:tc>
        <w:tc>
          <w:tcPr>
            <w:tcW w:w="0" w:type="dxa"/>
            <w:vAlign w:val="bottom"/>
          </w:tcPr>
          <w:p>
            <w:pPr>
              <w:spacing w:after="0"/>
              <w:rPr>
                <w:sz w:val="1"/>
                <w:szCs w:val="1"/>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Comprehensive income</w:t>
            </w: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83,059</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expense</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48,678</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48,678</w:t>
            </w:r>
          </w:p>
        </w:tc>
        <w:tc>
          <w:tcPr>
            <w:tcW w:w="0" w:type="dxa"/>
            <w:vAlign w:val="bottom"/>
          </w:tcPr>
          <w:p>
            <w:pPr>
              <w:spacing w:after="0"/>
              <w:rPr>
                <w:sz w:val="1"/>
                <w:szCs w:val="1"/>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122,784,835</w:t>
            </w:r>
          </w:p>
        </w:tc>
        <w:tc>
          <w:tcPr>
            <w:tcW w:w="14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1,227</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3,053,130</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2,028,270</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12,348,860</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840,058</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71,330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(5,453)</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907,250</w:t>
            </w:r>
          </w:p>
        </w:tc>
        <w:tc>
          <w:tcPr>
            <w:tcW w:w="0" w:type="dxa"/>
            <w:vAlign w:val="bottom"/>
          </w:tcPr>
          <w:p>
            <w:pPr>
              <w:spacing w:after="0"/>
              <w:rPr>
                <w:sz w:val="1"/>
                <w:szCs w:val="1"/>
                <w:color w:val="auto"/>
              </w:rPr>
            </w:pPr>
          </w:p>
        </w:tc>
      </w:tr>
      <w:tr>
        <w:trPr>
          <w:trHeight w:val="117"/>
        </w:trPr>
        <w:tc>
          <w:tcPr>
            <w:tcW w:w="16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right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1,080,245</w:t>
            </w:r>
          </w:p>
        </w:tc>
        <w:tc>
          <w:tcPr>
            <w:tcW w:w="14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8,749</w:t>
            </w:r>
          </w:p>
        </w:tc>
        <w:tc>
          <w:tcPr>
            <w:tcW w:w="1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8,760</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3,799,989</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(2,208,793)</w:t>
            </w: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7,315</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7,346</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Excess tax benefits from the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16,461</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16,461</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1,061,255</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(566,005)</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(495,250)</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5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620" w:type="dxa"/>
            <w:vAlign w:val="bottom"/>
          </w:tcPr>
          <w:p>
            <w:pPr>
              <w:ind w:left="180"/>
              <w:spacing w:after="0"/>
              <w:rPr>
                <w:sz w:val="20"/>
                <w:szCs w:val="20"/>
                <w:color w:val="auto"/>
              </w:rPr>
            </w:pPr>
            <w:r>
              <w:rPr>
                <w:rFonts w:ascii="Arial" w:cs="Arial" w:eastAsia="Arial" w:hAnsi="Arial"/>
                <w:sz w:val="11"/>
                <w:szCs w:val="11"/>
                <w:color w:val="auto"/>
                <w:w w:val="97"/>
              </w:rPr>
              <w:t>Repurchase of common stock</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(333,775)</w:t>
            </w:r>
          </w:p>
        </w:tc>
        <w:tc>
          <w:tcPr>
            <w:tcW w:w="100" w:type="dxa"/>
            <w:vAlign w:val="bottom"/>
          </w:tcPr>
          <w:p>
            <w:pPr>
              <w:spacing w:after="0"/>
              <w:rPr>
                <w:sz w:val="13"/>
                <w:szCs w:val="13"/>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(5,377)</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(5,377)</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related to future stock option</w:t>
            </w:r>
          </w:p>
        </w:tc>
        <w:tc>
          <w:tcPr>
            <w:tcW w:w="6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(5,305)</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(5,305)</w:t>
            </w:r>
          </w:p>
        </w:tc>
        <w:tc>
          <w:tcPr>
            <w:tcW w:w="0" w:type="dxa"/>
            <w:vAlign w:val="bottom"/>
          </w:tcPr>
          <w:p>
            <w:pPr>
              <w:spacing w:after="0"/>
              <w:rPr>
                <w:sz w:val="1"/>
                <w:szCs w:val="1"/>
                <w:color w:val="auto"/>
              </w:rPr>
            </w:pPr>
          </w:p>
        </w:tc>
      </w:tr>
      <w:tr>
        <w:trPr>
          <w:trHeight w:val="154"/>
        </w:trPr>
        <w:tc>
          <w:tcPr>
            <w:tcW w:w="162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239,955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239,955</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6"/>
              </w:rPr>
              <w:t>Change in postretirement plan</w:t>
            </w: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(3,262)</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(3,262)</w:t>
            </w: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236,693</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(11,906)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(11,906)</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5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expense</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31,263</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31,263</w:t>
            </w:r>
          </w:p>
        </w:tc>
        <w:tc>
          <w:tcPr>
            <w:tcW w:w="0" w:type="dxa"/>
            <w:vAlign w:val="bottom"/>
          </w:tcPr>
          <w:p>
            <w:pPr>
              <w:spacing w:after="0"/>
              <w:rPr>
                <w:sz w:val="1"/>
                <w:szCs w:val="1"/>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2012</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128,726,324</w:t>
            </w:r>
          </w:p>
        </w:tc>
        <w:tc>
          <w:tcPr>
            <w:tcW w:w="14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1,287</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2,487,125</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1,533,020</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10,140,067</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(333,775)</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(5,377)</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898,541</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299,379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(8,715)</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1,185,185</w:t>
            </w:r>
          </w:p>
        </w:tc>
        <w:tc>
          <w:tcPr>
            <w:tcW w:w="0" w:type="dxa"/>
            <w:vAlign w:val="bottom"/>
          </w:tcPr>
          <w:p>
            <w:pPr>
              <w:spacing w:after="0"/>
              <w:rPr>
                <w:sz w:val="1"/>
                <w:szCs w:val="1"/>
                <w:color w:val="auto"/>
              </w:rPr>
            </w:pPr>
          </w:p>
        </w:tc>
      </w:tr>
      <w:tr>
        <w:trPr>
          <w:trHeight w:val="117"/>
        </w:trPr>
        <w:tc>
          <w:tcPr>
            <w:tcW w:w="16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right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1,182,004</w:t>
            </w:r>
          </w:p>
        </w:tc>
        <w:tc>
          <w:tcPr>
            <w:tcW w:w="14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42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6,361</w:t>
            </w:r>
          </w:p>
        </w:tc>
        <w:tc>
          <w:tcPr>
            <w:tcW w:w="1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6,373</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5,204,890</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(2,661,545)</w:t>
            </w:r>
          </w:p>
        </w:tc>
        <w:tc>
          <w:tcPr>
            <w:tcW w:w="120" w:type="dxa"/>
            <w:vAlign w:val="bottom"/>
            <w:tcBorders>
              <w:right w:val="single" w:sz="8" w:color="CCEEFF"/>
            </w:tcBorders>
            <w:shd w:val="clear" w:color="auto" w:fill="CCEEFF"/>
          </w:tcPr>
          <w:p>
            <w:pPr>
              <w:spacing w:after="0"/>
              <w:rPr>
                <w:sz w:val="13"/>
                <w:szCs w:val="13"/>
                <w:color w:val="auto"/>
              </w:rPr>
            </w:pPr>
          </w:p>
        </w:tc>
        <w:tc>
          <w:tcPr>
            <w:tcW w:w="4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14,933</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14,977</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Excess tax benefits from the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26,860</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26,860</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1,344,226</w:t>
            </w:r>
          </w:p>
        </w:tc>
        <w:tc>
          <w:tcPr>
            <w:tcW w:w="140" w:type="dxa"/>
            <w:vAlign w:val="bottom"/>
            <w:tcBorders>
              <w:right w:val="single" w:sz="8" w:color="CCEEFF"/>
            </w:tcBorders>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2"/>
              </w:rPr>
              <w:t>(1,035,525)</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(308,701)</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5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760" w:type="dxa"/>
            <w:vAlign w:val="bottom"/>
            <w:tcBorders>
              <w:bottom w:val="single" w:sz="8" w:color="CCEEFF"/>
            </w:tcBorders>
            <w:gridSpan w:val="2"/>
            <w:vMerge w:val="continue"/>
            <w:shd w:val="clear" w:color="auto" w:fill="CCEEFF"/>
          </w:tcPr>
          <w:p>
            <w:pPr>
              <w:spacing w:after="0"/>
              <w:rPr>
                <w:sz w:val="8"/>
                <w:szCs w:val="8"/>
                <w:color w:val="auto"/>
              </w:rPr>
            </w:pPr>
          </w:p>
        </w:tc>
        <w:tc>
          <w:tcPr>
            <w:tcW w:w="78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620" w:type="dxa"/>
            <w:vAlign w:val="bottom"/>
          </w:tcPr>
          <w:p>
            <w:pPr>
              <w:ind w:left="180"/>
              <w:spacing w:after="0"/>
              <w:rPr>
                <w:sz w:val="20"/>
                <w:szCs w:val="20"/>
                <w:color w:val="auto"/>
              </w:rPr>
            </w:pPr>
            <w:r>
              <w:rPr>
                <w:rFonts w:ascii="Arial" w:cs="Arial" w:eastAsia="Arial" w:hAnsi="Arial"/>
                <w:sz w:val="11"/>
                <w:szCs w:val="11"/>
                <w:color w:val="auto"/>
                <w:w w:val="97"/>
              </w:rPr>
              <w:t>Repurchase of common stock</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(72,068)</w:t>
            </w:r>
          </w:p>
        </w:tc>
        <w:tc>
          <w:tcPr>
            <w:tcW w:w="100" w:type="dxa"/>
            <w:vAlign w:val="bottom"/>
          </w:tcPr>
          <w:p>
            <w:pPr>
              <w:spacing w:after="0"/>
              <w:rPr>
                <w:sz w:val="13"/>
                <w:szCs w:val="13"/>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(1,067)</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related to future stock option</w:t>
            </w:r>
          </w:p>
        </w:tc>
        <w:tc>
          <w:tcPr>
            <w:tcW w:w="6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(121,905)</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(121,905)</w:t>
            </w:r>
          </w:p>
        </w:tc>
        <w:tc>
          <w:tcPr>
            <w:tcW w:w="0" w:type="dxa"/>
            <w:vAlign w:val="bottom"/>
          </w:tcPr>
          <w:p>
            <w:pPr>
              <w:spacing w:after="0"/>
              <w:rPr>
                <w:sz w:val="1"/>
                <w:szCs w:val="1"/>
                <w:color w:val="auto"/>
              </w:rPr>
            </w:pPr>
          </w:p>
        </w:tc>
      </w:tr>
      <w:tr>
        <w:trPr>
          <w:trHeight w:val="154"/>
        </w:trPr>
        <w:tc>
          <w:tcPr>
            <w:tcW w:w="162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219,058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auto"/>
              </w:rPr>
              <w:t>219,058</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6"/>
              </w:rPr>
              <w:t>Change in postretirement plan</w:t>
            </w:r>
          </w:p>
        </w:tc>
        <w:tc>
          <w:tcPr>
            <w:tcW w:w="6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(5,072)</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(5,072)</w:t>
            </w: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213,986</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17)</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4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(728,795)</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(393,662)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(1,122,457)</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52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180"/>
              <w:spacing w:after="0"/>
              <w:rPr>
                <w:sz w:val="20"/>
                <w:szCs w:val="20"/>
                <w:color w:val="auto"/>
              </w:rPr>
            </w:pPr>
            <w:r>
              <w:rPr>
                <w:rFonts w:ascii="Arial" w:cs="Arial" w:eastAsia="Arial" w:hAnsi="Arial"/>
                <w:sz w:val="11"/>
                <w:szCs w:val="11"/>
                <w:color w:val="auto"/>
              </w:rPr>
              <w:t>expense</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24,841</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24,841</w:t>
            </w:r>
          </w:p>
        </w:tc>
        <w:tc>
          <w:tcPr>
            <w:tcW w:w="0" w:type="dxa"/>
            <w:vAlign w:val="bottom"/>
          </w:tcPr>
          <w:p>
            <w:pPr>
              <w:spacing w:after="0"/>
              <w:rPr>
                <w:sz w:val="1"/>
                <w:szCs w:val="1"/>
                <w:color w:val="auto"/>
              </w:rPr>
            </w:pPr>
          </w:p>
        </w:tc>
      </w:tr>
      <w:tr>
        <w:trPr>
          <w:trHeight w:val="22"/>
        </w:trPr>
        <w:tc>
          <w:tcPr>
            <w:tcW w:w="1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136,457,444</w:t>
            </w:r>
          </w:p>
        </w:tc>
        <w:tc>
          <w:tcPr>
            <w:tcW w:w="14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$ 1,364</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1,451,600</w:t>
            </w:r>
          </w:p>
        </w:tc>
        <w:tc>
          <w:tcPr>
            <w:tcW w:w="1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   15</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1,224,319</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   12</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7,478,522</w:t>
            </w:r>
          </w:p>
        </w:tc>
        <w:tc>
          <w:tcPr>
            <w:tcW w:w="120" w:type="dxa"/>
            <w:vAlign w:val="bottom"/>
            <w:tcBorders>
              <w:right w:val="single" w:sz="8" w:color="CCEEFF"/>
            </w:tcBorders>
            <w:shd w:val="clear" w:color="auto" w:fill="CCEEFF"/>
          </w:tcPr>
          <w:p>
            <w:pPr>
              <w:spacing w:after="0"/>
              <w:rPr>
                <w:sz w:val="11"/>
                <w:szCs w:val="11"/>
                <w:color w:val="auto"/>
              </w:rPr>
            </w:pPr>
          </w:p>
        </w:tc>
        <w:tc>
          <w:tcPr>
            <w:tcW w:w="42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   22</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(405,843)</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5"/>
              </w:rPr>
              <w:t>$ (6,444)</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9"/>
              </w:rPr>
              <w:t>$  120,836</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8"/>
              </w:rPr>
              <w:t>$   124,775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(13,787)</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8"/>
              </w:rPr>
              <w:t>$   226,793</w:t>
            </w:r>
          </w:p>
        </w:tc>
        <w:tc>
          <w:tcPr>
            <w:tcW w:w="0" w:type="dxa"/>
            <w:vAlign w:val="bottom"/>
          </w:tcPr>
          <w:p>
            <w:pPr>
              <w:spacing w:after="0"/>
              <w:rPr>
                <w:sz w:val="1"/>
                <w:szCs w:val="1"/>
                <w:color w:val="auto"/>
              </w:rPr>
            </w:pPr>
          </w:p>
        </w:tc>
      </w:tr>
      <w:tr>
        <w:trPr>
          <w:trHeight w:val="97"/>
        </w:trPr>
        <w:tc>
          <w:tcPr>
            <w:tcW w:w="16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right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right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4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80"/>
          </w:cols>
          <w:pgMar w:left="240" w:top="688" w:right="679" w:bottom="1440" w:gutter="0" w:footer="0" w:header="0"/>
        </w:sectPr>
      </w:pPr>
    </w:p>
    <w:bookmarkStart w:id="71" w:name="page72"/>
    <w:bookmarkEnd w:id="71"/>
    <w:p>
      <w:pPr>
        <w:ind w:left="34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tables in thousands, except share and per share data or unless otherwise noted)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in the defense, intelligence, and civil markets. The Company is also further developing the scope and scale of its capabilities in engineering services to provide to its U.S. government clients. The Company has expanded beyond its management consulting foundation to develop deep expertise in technology, engineering, and analytics. The Company reports operating results and financial data in one operating segment. The Company is headquartered in McLean, Virginia, with approximately 24,500 employees as of March 31, 2013.</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2013 and 2012 and the Company’s results of operations for fiscal 2013, fiscal 2012, and fiscal 2011.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127"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Revenue on cost-reimbursable-plus-fee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evaluation of the performance on such contracts. Contract costs, including indirect expenses, are subject to audit by the Defense Contract Audit Agency, or DCAA, and, accordingly, are subject to possible cost disallowances. We recognize as revenue, net of reserves, executive compensation that we determine, based on management's estimates, to be allowable; management's estimates in this regard are based on a number of factors that may change over time, including executive compensation survey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688" w:right="259" w:bottom="1440" w:gutter="0" w:footer="0" w:header="0"/>
        </w:sectPr>
      </w:pPr>
    </w:p>
    <w:bookmarkStart w:id="72" w:name="page73"/>
    <w:bookmarkEnd w:id="72"/>
    <w:p>
      <w:pPr>
        <w:ind w:right="20"/>
        <w:spacing w:after="0" w:line="277" w:lineRule="auto"/>
        <w:rPr>
          <w:sz w:val="20"/>
          <w:szCs w:val="20"/>
          <w:color w:val="auto"/>
        </w:rPr>
      </w:pPr>
      <w:r>
        <w:rPr>
          <w:rFonts w:ascii="Arial" w:cs="Arial" w:eastAsia="Arial" w:hAnsi="Arial"/>
          <w:sz w:val="18"/>
          <w:szCs w:val="18"/>
          <w:color w:val="auto"/>
        </w:rPr>
        <w:t>data, our and other government contractors' experiences with the DCAA audit practices in our industry and relevant decisions of courts and boards of contract appeals.</w:t>
      </w:r>
    </w:p>
    <w:p>
      <w:pPr>
        <w:spacing w:after="0" w:line="116"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Revenue for time-and-materials contracts is recognized as services are performed, generally on the basis of contract allowable labor hours worked multiplied by the contract-defined billing rates, plus allowable direct costs and indirect cost allocations associated with materials used and other direct expenses incurred in connection with the performance of the contract.</w:t>
      </w:r>
    </w:p>
    <w:p>
      <w:pPr>
        <w:spacing w:after="0" w:line="127"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Revenue on fixed-price contracts is recognized using percentage-of-completion based on actual costs incurred relative to total estimated costs for the contract. These estimated costs are updated during the term of the contract, and may result in revision by the Company of recognized revenue and estimated costs in the period in which they are identified. Profits on fixed-price contracts result from the difference between incurred costs and revenue earned.</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estimates requires the use of significant judgment. Contract costs include direct labor and billable expenses, an allocation of allowable indirect costs, and warranty obligations. Billable expenses is comprised of subcontracting costs and other “out of pocket” costs that often include, but are not limited to, travel-related costs and telecommunications charges. The Company recognizes revenue and billable expenses from these transactions on a gross basis.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1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contracts may include the delivery of a combination of one or more of the Company’s service offerings. In these situations, the Company determines whether such arrangements with multiple service offerings should be treated as separate units of accounting based on how the elements are bid or negotiated, whether the customer can accept separate elements of the arrangement, and the relationship between the pricing on the elements individually and combined.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Cash and cash equivalents include cash on hand and highly liquid investments having an original maturity of three months or less. The Company’s investments consist primarily of institutional money market funds. The Company maintains its cash and cash equivalents in bank accounts that, at times, exceed the federally insured limits. The Company has not experienced any losses in such accounts.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Accounts Receivable</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Company maintains allowances for doubtful accounts against certain billed receivables based upon the latest information regarding whether invoices are ultimately collectible. Assessing the collectability of customer receivables requires management judgment. The Company determines its allowance for doubtful accounts by specifically analyzing individual accounts receivable, historical bad debts, customer credit-worthiness, current economic conditions, and accounts receivable aging trends. Valuation reserves are periodically re-evaluated and adjusted as more information about the ultimate collectability of accounts receivable becomes available. Upon determination that a receivable is uncollectible, the receivable balance and any associated reserve are written off.</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equivalents and accounts receivable. The Company’s cash equivalents are generally invested in Prime or U.S. government money market funds, which minimizes the credit risk. The Company believes that credit risk, with respect to accounts receivable, is limited as the receivables are primarily with the U.S. government.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Property and equipment are recorded at cost, and the balances are presented net of accumulated depreciation. The cost of software purchased or internally developed is capitalized.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one to three years. Leasehold improvements are amortized over the shorter of the useful life of the asset or the lease term. Maintenance and repairs are charged to expense as incurred.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854" w:right="259" w:bottom="1440" w:gutter="0" w:footer="0" w:header="0"/>
        </w:sectPr>
      </w:pPr>
    </w:p>
    <w:bookmarkStart w:id="73" w:name="page74"/>
    <w:bookmarkEnd w:id="73"/>
    <w:p>
      <w:pPr>
        <w:ind w:right="220" w:firstLine="432"/>
        <w:spacing w:after="0" w:line="257" w:lineRule="auto"/>
        <w:rPr>
          <w:sz w:val="20"/>
          <w:szCs w:val="20"/>
          <w:color w:val="auto"/>
        </w:rPr>
      </w:pPr>
      <w:r>
        <w:rPr>
          <w:rFonts w:ascii="Arial" w:cs="Arial" w:eastAsia="Arial" w:hAnsi="Arial"/>
          <w:sz w:val="18"/>
          <w:szCs w:val="18"/>
          <w:color w:val="auto"/>
        </w:rPr>
        <w:t>Rent expense is recorded on a straight-line basis over the life of the respective lease. The difference between the cash payment and rent expense is recorded as deferred rent in other long-term liabilities in the consolidated balance sheets.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other long-term liabilities in the consolidated balance sheets, and are amortized on a straight line basis over the lease term.</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has engaged in business acquisition activity. 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each acquisition, as goodwill presents the excess of the purchase price of an acquired business over the fair value of its net tangible and identifiable intangible assets.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We elected to perform the qualitative, or step zero goodwill impairment test for our January 1, 2013 analysis and concluded that it was not more likely than not (i.e., a likelihood of more than 50 percent) that the fair value of our reporting unit was less than the carrying amount. During the fiscal years ended March 31, 2013, 2012 and 2011 the Company did not record any goodwill impairment.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Intangible assets consist of trade name, customer relationships, and favorable lease terms. The trade name is not amortized, but is tested annually for impairment. Customer relationship is amortized on an accelerated basis over the expected backlog life based on projected future cash flows of approximately five to nine years.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2013, 2012 and 2011 the Company did not record any impairment charges.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provides for income taxes as a “C” corporation on income earned from operations. The Company is subject to federal, state, and foreign taxation in various jurisdictions.</w:t>
      </w:r>
    </w:p>
    <w:p>
      <w:pPr>
        <w:spacing w:after="0" w:line="11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11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periodically assesses its tax positions for all periods open to examination by tax authorities based on the latest available information. Where it is not more likely that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773" w:right="259" w:bottom="1440" w:gutter="0" w:footer="0" w:header="0"/>
        </w:sectPr>
      </w:pPr>
    </w:p>
    <w:bookmarkStart w:id="74" w:name="page75"/>
    <w:bookmarkEnd w:id="74"/>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losses as of March 31, 2013 and 2012 consisted of unrealized losses on the Company’s defined and postretirement benefit plans.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Share-based payments to employees are recognized in the consolidated statements of operations based on their grant date fair values with the expense recognized on an accelerated basis over the vesting period. The Company uses the Black-Scholes option-pricing model to determine the fair value of its awards at the time of the grant.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Defined Benefit Plan and Other Postretirement Benefits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recognizes the underfunded status of pension and other postretirement benefit plans on the consolidated balance sheets. Gains and losses and prior service costs and credits that have not yet been recognized through net periodic benefit cost are recognized in accumulated other comprehensive income, net of tax effects, and will be amortized as a component of net periodic cost in future periods. The measurement date, the date at which the benefit obligations and plan assets are measured, is the Company’s fiscal year end.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Self-Funded Medical Plans</w:t>
      </w:r>
    </w:p>
    <w:p>
      <w:pPr>
        <w:spacing w:after="0" w:line="90"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The Company maintains self-funded medical insurance. Self-funded plans include a health maintenance organization, preferred provider organization, point of service, qualified point of service, and traditional choice. Further, self-funded plans also include prescription drug and dental benefits. The Company records an incurred but unreported claim liability in the accrued compensation and benefits line of the consolidated balance sheets for self-funded plans based on an actuarial valuation. Data that drives this estimate is primarily based on claims and enrollment data provided by a third party valuation firm for medical and pharmacy related costs.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accounts for its deferred compensation plan in accordance with the terms of the underlying plan agreement. To the extent the terms of the contract attribute all or a portion of the expected future benefit to an individual year of the employee’s service, the cost of the benefits are recognized in that year. Therefore, the Company estimates the cost of future benefits that are expected to be paid and expenses the present value of those costs in the year as services are provided.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would pricing the asset or liability.</w:t>
      </w:r>
    </w:p>
    <w:p>
      <w:pPr>
        <w:spacing w:after="0" w:line="4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fair value of the Company’s cash and cash equivalents (including money market funds), trade accounts receivable and accounts payable, approximates its carrying value at March 31, 2013 and 2012 because of the short-term nature of these amounts. The fair value of the Company’s debt instruments approximates its carrying value at March 31, 2013 and 2012. The fair value of debt is determined based on interest rates available for debt with terms and maturities similar to the Company’s existing debt arrangements (Level 2 inputs).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the fiscal year ended March 31, 2013, the Company adopted the following accounting pronouncement which did not have a material impact on the Company's consolidated financial statements:</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February 2013, the Financial Accounting Standards Board, or FASB, issued Accounting Standards Update 2013-02, Reporting of Amounts Reclassified Out of Accumulated Other Comprehensive Income, which amends Topic 220, Comprehensive Income. ASU 2013-02 requires an entity to report the effect of significant reclassifications out of accumulated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936" w:right="259" w:bottom="1440" w:gutter="0" w:footer="0" w:header="0"/>
        </w:sectPr>
      </w:pPr>
    </w:p>
    <w:bookmarkStart w:id="75" w:name="page76"/>
    <w:bookmarkEnd w:id="75"/>
    <w:p>
      <w:pPr>
        <w:ind w:right="280"/>
        <w:spacing w:after="0" w:line="297" w:lineRule="auto"/>
        <w:rPr>
          <w:sz w:val="20"/>
          <w:szCs w:val="20"/>
          <w:color w:val="auto"/>
        </w:rPr>
      </w:pPr>
      <w:r>
        <w:rPr>
          <w:rFonts w:ascii="Arial" w:cs="Arial" w:eastAsia="Arial" w:hAnsi="Arial"/>
          <w:sz w:val="16"/>
          <w:szCs w:val="16"/>
          <w:color w:val="auto"/>
        </w:rPr>
        <w:t>other comprehensive income on the respective line items in net income if the amount being reclassified is required to be reclassified in its entirety to net income. For other amounts that are not required to be reclassified in their entirety to net income in the same reporting period, an entity is required to cross-reference other disclosures that provide additional detail about those amounts. The amendments do not change the current requirements for reporting net income or other comprehensive income in financial statements. The guidance is effective prospectively for interim and annual periods beginning after December 15, 2012, with early adoption permitted. The Company elected early adoption effective March 31, 2013. Refer to Note 15.</w:t>
      </w:r>
    </w:p>
    <w:p>
      <w:pPr>
        <w:spacing w:after="0" w:line="10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recent accounting pronouncements issued by the FASB during fiscal 2013 and through the filing date did not and are not believed by management to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 entitled to participate in non-forfeitable dividends or other distributions. These unvested shares participated in the Company's dividends declared and paid in each quarter in fiscal 2013 and the fourth quarter of fiscal 2012, and as such, EPS is calculated using the two-class method, whereby earnings are reduced by distributed and undistributed earnings, if available, allocable to restricted shareholders may participate in. A reconciliation of the income used to compute basic and diluted EPS for the periods presented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209,994</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131,068,847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125,894,644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109,511,290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2,080,050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2,791,917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2,939,387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1,253,832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1,459,128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2,028,270</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134,402,729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130,145,689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114,478,947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for diluted computations (a)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209,994</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238,761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84,694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10,451,995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10,666,323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12,969,753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7"/>
              </w:rPr>
              <w:t>Average number of common shares outstanding for diluted computations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144,854,724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140,812,012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127,448,700</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0.74</w:t>
            </w: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During fiscal 2013 and 2012, approximately 1.2 million and 787,000 shares of participating securities were paid dividends totaling $9.1 million and</w:t>
      </w:r>
    </w:p>
    <w:p>
      <w:pPr>
        <w:spacing w:after="0" w:line="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$71,000, respectively. Additionally, for fiscal 2012 there were undistributed earnings of $1.1 million allocated to the participating class of securities in basic and diluted earnings per share. The dividends paid for fiscal 2013 comprise the difference from net income presented on the condensed consolidated statements of operations, as there were no excess undistributed earnings, while the allocated earnings and the dividends paid comprise the difference in net income for fiscal 2012.</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EPS calculation for fiscal 2013, 2012, and 2011 excludes 328,000, 2,529,000 and 310,000 options as their impact was anti-dilutive.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85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November 30, 2012 Booz Allen Hamilton Engineering Holding Co., LLC, a wholly owned subsidiary of the Company, acquired the Defense Systems Engineering and Support, or DSES, division of ARINC Incorporated by acquiring 100% of the membership interests of ARINC Engineering Services, LLC, a wholly owned subsidiary of ARINC that owns DSES. DSES is a provider of advanced aviation and maritime engineering, advanced weapons modernization and sustainment, and advanced systems engineering and integration. Subsequent to the acquisition, the Company changed the name of ARINC Engineering Services, LLC to Booz Allen Hamilton Engineering Services, or BES. DSES had approximately 900 employees at the time of acquisition. The acquisition aligns with the Company's strategic initiatives to expand existing engineering capabilities and defense market position.</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acquisition of DSES was accounted for under the acquisition method of accounting which requires the total purchase price consideration to be allocated to the assets acquired and liabilities assumed based on estimates of fair value. The Company paid approximately $155.1 million in cash to ARINC for DSES on November 30, 2012, which includes a preliminary purchase price per the agreement of $154.0 million and an estimated $1.1 million as a preliminary working capital adjustment. Under the terms of the purchase agreement, ARINC had ninety days after the closing date to provide DSES' final balance sheet and net working capital as of the closing date. The Company then has an additional 90 days to respond. The Company used preliminary information obtained in connection with the acquisition to complete the purchase price allocations related to the acquisition. The Company expects to recover an estimated $2.8 million from ARINC as the preliminary net working capital was lower than that paid. Therefore the Company has accounted for this return of consideration and the purchase price allocation was adjusted to assume a purchase price of $152.2 million. The final purchase price allocation will be completed after the information has been finalized and agreed upon by both parties of the transaction. Transaction costs were approximately $4.0 million, which were recorded as general and administrative expense as incurred.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preliminary purchase price allocation of DSES' assets and liabilities at fair value:</w:t>
      </w:r>
    </w:p>
    <w:p>
      <w:pPr>
        <w:spacing w:after="0" w:line="375"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75,669</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(39,504)</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86,887</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26,500</w:t>
            </w:r>
          </w:p>
        </w:tc>
      </w:tr>
      <w:tr>
        <w:trPr>
          <w:trHeight w:val="237"/>
        </w:trPr>
        <w:tc>
          <w:tcPr>
            <w:tcW w:w="43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152,228</w:t>
            </w:r>
          </w:p>
        </w:tc>
      </w:tr>
    </w:tbl>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goodwill of $86.9 million is largely attributed to the specialized workforce and the expected synergies between the Company and DSES. Substantially all of the goodwill is expected to be deductible for tax purposes. The value attributed to the identifiable intangible assets of $26.5 million is being amortized on an accelerated basis over the estimated useful life of 7 years.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Pursuant to the purchase agreement, the Company entered into a transition services agreement, or TSA, with ARINC. The TSA requires ARINC to provide certain support services to the Company for up to 12 months following November 30, 2012. Expenses incurred and recorded by the Company under the TSA were approximately $1.4 million for fiscal 2013.</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December 31, 2012 the Company closed an immaterial acquisition of an engineering services company that was accounted for using the acquisition method of accounting.</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Proforma results of operations for these acquisitions are not presented because neither acquisition is material to the Company's consolidated results of operations.</w:t>
      </w:r>
    </w:p>
    <w:p>
      <w:pPr>
        <w:spacing w:after="0" w:line="200" w:lineRule="exact"/>
        <w:rPr>
          <w:sz w:val="20"/>
          <w:szCs w:val="20"/>
          <w:color w:val="auto"/>
        </w:rPr>
      </w:pPr>
    </w:p>
    <w:p>
      <w:pPr>
        <w:spacing w:after="0" w:line="210" w:lineRule="exact"/>
        <w:rPr>
          <w:sz w:val="20"/>
          <w:szCs w:val="20"/>
          <w:color w:val="auto"/>
        </w:rPr>
      </w:pPr>
    </w:p>
    <w:p>
      <w:pPr>
        <w:ind w:right="7800" w:firstLine="8"/>
        <w:spacing w:after="0" w:line="346" w:lineRule="auto"/>
        <w:tabs>
          <w:tab w:leader="none" w:pos="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March 31, 2013 and 2012, goodwill was $1,277.4 million and $1,188.0 million, respectively. The increase in the carrying amount of goodwill is attributable to the Company's acquisitions as discussed in Note 4.</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performed a qualitative goodwill impairment assessment at January 1, 2013, and believes that it was not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904" w:right="299" w:bottom="1440" w:gutter="0" w:footer="0" w:header="0"/>
        </w:sectPr>
      </w:pPr>
    </w:p>
    <w:bookmarkStart w:id="77" w:name="page78"/>
    <w:bookmarkEnd w:id="77"/>
    <w:p>
      <w:pPr>
        <w:ind w:right="140"/>
        <w:spacing w:after="0" w:line="264" w:lineRule="auto"/>
        <w:rPr>
          <w:sz w:val="20"/>
          <w:szCs w:val="20"/>
          <w:color w:val="auto"/>
        </w:rPr>
      </w:pPr>
      <w:r>
        <w:rPr>
          <w:rFonts w:ascii="Arial" w:cs="Arial" w:eastAsia="Arial" w:hAnsi="Arial"/>
          <w:sz w:val="18"/>
          <w:szCs w:val="18"/>
          <w:color w:val="auto"/>
        </w:rPr>
        <w:t>more likely than not (i.e., a likelihood of more than 50 percent) that the fair value of the reporting unit was less than the carrying amount. During the fiscal years ended March 31, 2013, 2012 and 2011, the Company did not record any goodwill impairment. Further, the Company does not consider any of the goodwill at risk of impairment.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w w:val="93"/>
              </w:rPr>
              <w:t>As of March 31, 2013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As of March 31, 2012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28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Carrying Value</w:t>
            </w:r>
          </w:p>
        </w:tc>
        <w:tc>
          <w:tcPr>
            <w:tcW w:w="14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Net Carrying Value</w:t>
            </w: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Value</w:t>
            </w:r>
          </w:p>
        </w:tc>
      </w:tr>
      <w:tr>
        <w:trPr>
          <w:trHeight w:val="33"/>
        </w:trPr>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800" w:type="dxa"/>
            <w:vAlign w:val="bottom"/>
          </w:tcPr>
          <w:p>
            <w:pPr>
              <w:ind w:left="26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187,758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141,738</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46,020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160,615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127,265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33,350</w:t>
            </w: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Favorable leases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r>
      <w:tr>
        <w:trPr>
          <w:trHeight w:val="217"/>
        </w:trPr>
        <w:tc>
          <w:tcPr>
            <w:tcW w:w="28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190,558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144,538</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46,020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163,415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129,781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33,634</w:t>
            </w: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color w:val="auto"/>
              </w:rPr>
              <w:t>Unamortizable intangible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Trade name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190,200</w:t>
            </w:r>
          </w:p>
        </w:tc>
      </w:tr>
      <w:tr>
        <w:trPr>
          <w:trHeight w:val="244"/>
        </w:trPr>
        <w:tc>
          <w:tcPr>
            <w:tcW w:w="28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380,758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144,538</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236,220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353,615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129,781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223,834</w:t>
            </w: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addition to the carrying amount of customer relationships is attributable to the Company's acquisitions as discussed in Note 4. Intangible assets are primarily amortized on an accelerated basis over periods ranging from 7 years to 9 years. The weighted-average remaining period of amortization for all customer relationships is 5.4 years.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performed an annual impairment test of the trade name as of January 1, 2013 and 2012, noting no impairment.</w:t>
      </w:r>
    </w:p>
    <w:p>
      <w:pPr>
        <w:spacing w:after="0" w:line="17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Amortization expense for fiscal 2013, 2012, and 2011 was $14.8 million, $16.4 million, and $28.6 million, respectively. The following table summarizes the estimated annual amortization expense for future periods indicated below:</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9060" w:type="dxa"/>
            <w:vAlign w:val="bottom"/>
          </w:tcPr>
          <w:p>
            <w:pPr>
              <w:ind w:left="40"/>
              <w:spacing w:after="0"/>
              <w:rPr>
                <w:sz w:val="20"/>
                <w:szCs w:val="20"/>
                <w:color w:val="auto"/>
              </w:rPr>
            </w:pPr>
            <w:r>
              <w:rPr>
                <w:rFonts w:ascii="Arial" w:cs="Arial" w:eastAsia="Arial" w:hAnsi="Arial"/>
                <w:sz w:val="16"/>
                <w:szCs w:val="16"/>
                <w:b w:val="1"/>
                <w:bCs w:val="1"/>
                <w:color w:val="auto"/>
              </w:rPr>
              <w:t>For the Fiscal Year Ended March 31,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14,915</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2015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9,721</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8,751</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7,782</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2,586</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46,020</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8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80"/>
          </w:cols>
          <w:pgMar w:left="240" w:top="854" w:right="37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6.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200" w:lineRule="exact"/>
        <w:rPr>
          <w:sz w:val="20"/>
          <w:szCs w:val="20"/>
          <w:color w:val="auto"/>
        </w:rPr>
      </w:pPr>
    </w:p>
    <w:p>
      <w:pPr>
        <w:spacing w:after="0" w:line="21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23495</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431,770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436,314</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641,800</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1,077,315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24,163</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1,049,365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1,101,478</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recognized a provision for doubtful accounts (including certain unbilled reserves) of $544,000, $2.7 million, and $230,000 for fiscal 2013, 2012 and 2011, respectively. Long-term unbilled receivables related to retainage, holdbacks, and long-term rate settlements to be billed at contract closeout are included in other long-term assets as accounts receivable in the accompanying consolidated balance sheets.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13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11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46,872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49,602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1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154,167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144,528</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358,839</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(206,440)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(167,760)</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Property and equipment, net</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191,079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Property and equipment, net, includes $9.7 million and $13.2 million of internally developed software, net of depreciation as of March 31, 2013 and 2012, respectively. Depreciation and amortization expense relating to property and equipment for fiscal 2013, 2012, and 2011 was $59.3 million, $58.8 million, and $52.0 million, respectively. During fiscal 2013 and 2012, the Company reduced the gross cost and accumulated depreciation and amortization by $22.9 million and $35.7 million, respectively, for zero net book value assets deemed no longer in service.</w:t>
      </w:r>
    </w:p>
    <w:p>
      <w:pPr>
        <w:spacing w:after="0" w:line="167" w:lineRule="exact"/>
        <w:rPr>
          <w:sz w:val="20"/>
          <w:szCs w:val="20"/>
          <w:color w:val="auto"/>
        </w:rPr>
      </w:pPr>
    </w:p>
    <w:p>
      <w:pPr>
        <w:ind w:left="440" w:right="5700" w:hanging="432"/>
        <w:spacing w:after="0" w:line="677" w:lineRule="auto"/>
        <w:tabs>
          <w:tab w:leader="none" w:pos="188"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248,471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288,377</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202,594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155,574</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451,065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443,951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20 for further discussion of this reserve.</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688" w:right="2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9.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83,464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83,071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86,723</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143,154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18)</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48,468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8,936</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35,595</w:t>
            </w: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385,433</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357,872</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the fourth quarter of fiscal 2012, the Company finalized a cost restructuring plan and incurred an associated restructuring charge of $15.7 million pretax related to one-time termination benefits. Total other accrued compensation and benefits above includes a restructuring liability of $11.1 million at March 31, 2012. The remaining restructuring liability was paid out during fiscal 2013.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PAYMENT OBLIGATION</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13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remaining $80.0 million is available to indemnify the Company for certain pre-acquisition tax contingencies, related interest and penalties, and other matters pursuant to the Merger Agreement. Any amounts remaining after the settlement of claims will be paid out to the selling shareholders. As of March 31, 2013 and 2012, the Company has recorded $55.8 million and $55.3 million, respectively, for pre-acquisition uncertain tax positions, of which approximately $18.5 million and $17.5 million, respectively, may be indemnified under the remaining available DPO. During fiscal 2013, the Company settled certain pre-acquisition uncertain tax positions and accrued additional interest, thereby increasing the estimated amount to be indemnified under the remaining available DPO and decreasing the DPO amount to be paid to the selling shareholders. Accordingly, the $62.8 million and $63.1 million DPO balance recorded as of March 31, 2013 and 2012, respectively, within other long-term liabilities, except the current portion of accrued interest expense which is recorded within short-term liabilities, represents the residual balance estimated to be paid to the selling shareholders based on consideration of contingent tax claims, accrued interest and other matters. Interest is accrued at a rate of 5% per six-month period on the unpaid DPO balance, net of any settled claims or payments, which was $80.0 million as of March 31, 2013 and 2012.</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Indemnified pre-acquisition uncertain tax positions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(18,527)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(17,543)</w:t>
            </w:r>
          </w:p>
        </w:tc>
      </w:tr>
      <w:tr>
        <w:trPr>
          <w:trHeight w:val="27"/>
        </w:trPr>
        <w:tc>
          <w:tcPr>
            <w:tcW w:w="7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r>
      <w:tr>
        <w:trPr>
          <w:trHeight w:val="237"/>
        </w:trPr>
        <w:tc>
          <w:tcPr>
            <w:tcW w:w="7820" w:type="dxa"/>
            <w:vAlign w:val="bottom"/>
          </w:tcPr>
          <w:p>
            <w:pPr>
              <w:ind w:left="720"/>
              <w:spacing w:after="0"/>
              <w:rPr>
                <w:sz w:val="20"/>
                <w:szCs w:val="20"/>
                <w:color w:val="auto"/>
              </w:rPr>
            </w:pPr>
            <w:r>
              <w:rPr>
                <w:rFonts w:ascii="Arial" w:cs="Arial" w:eastAsia="Arial" w:hAnsi="Arial"/>
                <w:sz w:val="18"/>
                <w:szCs w:val="18"/>
                <w:color w:val="auto"/>
              </w:rPr>
              <w:t>Amount recorded in the consolidated balance sheets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62,777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63,138</w:t>
            </w:r>
          </w:p>
        </w:tc>
      </w:tr>
      <w:tr>
        <w:trPr>
          <w:trHeight w:val="27"/>
        </w:trPr>
        <w:tc>
          <w:tcPr>
            <w:tcW w:w="7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fiscal 2013 and 2012, the Company paid $7.4 million and $19.4 million, respectively, of accrued interest to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688"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11.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2012</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A Loans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706,134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472,870</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Tranche B Loans</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1,009,039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492,555</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1,715,173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965,425</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(55,562)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(42,500)</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1,659,611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922,925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July 31, 2012, the Company consummated the Recapitalization Transaction which included the refinancing and termination of the Company's existing senior secured credit agreement with the proceeds of the borrowings under the Company's new senior secured credit agreement, or Credit Agreement. The Credit Agreement provided the Company with a $725.0 million Term Loan A tranche and a $1,025.0 million Term Loan B tranche, and a $500.0 million revolving credit facility, with a sublimit for letters of credit of $100.0 million. The outstanding obligations under the Credit Agreement are secured by a security interest in substantially all of the assets of the Company, subject to certain exceptions set forth in the Credit Agreement and related documentation.</w:t>
      </w:r>
    </w:p>
    <w:p>
      <w:pPr>
        <w:spacing w:after="0" w:line="15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Tranche A Loans, with annual incremental increases to 1.875%, 2.50%, 3.125%, and 13.0%, prior to the Tranche A Loans' maturity date of December 31, 2017, and 0.25% of the stated principal amount of Tranche B Loans, with the remaining balance payable on the Tranche B Loans' maturity date of July 31, 2019. Both these stated principal repayment schedules are reflected in the table below. The revolving credit facility matures on December 31, 2017, at which time any outstanding principal balance is due in full.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required future debt principal repayments: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960" w:type="dxa"/>
            <w:vAlign w:val="bottom"/>
          </w:tcPr>
          <w:p>
            <w:pPr>
              <w:jc w:val="right"/>
              <w:ind w:right="7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A Loans</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Tranche B Loans</w:t>
            </w:r>
          </w:p>
        </w:tc>
        <w:tc>
          <w:tcPr>
            <w:tcW w:w="960" w:type="dxa"/>
            <w:vAlign w:val="bottom"/>
          </w:tcPr>
          <w:p>
            <w:pPr>
              <w:jc w:val="right"/>
              <w:spacing w:after="0"/>
              <w:rPr>
                <w:sz w:val="20"/>
                <w:szCs w:val="20"/>
                <w:color w:val="auto"/>
              </w:rPr>
            </w:pPr>
            <w:r>
              <w:rPr>
                <w:rFonts w:ascii="Arial" w:cs="Arial" w:eastAsia="Arial" w:hAnsi="Arial"/>
                <w:sz w:val="18"/>
                <w:szCs w:val="18"/>
                <w:color w:val="auto"/>
              </w:rPr>
              <w:t>1,019,875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968,625</w:t>
            </w:r>
          </w:p>
        </w:tc>
      </w:tr>
      <w:tr>
        <w:trPr>
          <w:trHeight w:val="27"/>
        </w:trPr>
        <w:tc>
          <w:tcPr>
            <w:tcW w:w="1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$ 1,726,750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244,062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293,000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968,625</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The interest rate on borrowings under Tranche A is LIBOR plus 2.50% spread. The spread range's from 2.00% to 2.75% based on the Company's total leverage ratio. The interest rate on borrowings under Tranche B is LIBOR plus 3.5% spread with a 1% floor. The revolving credit facility margin and commitment fee are subject to the leveraged based pricing grid, as set forth in the Credit Agreement.</w:t>
      </w:r>
    </w:p>
    <w:p>
      <w:pPr>
        <w:spacing w:after="0" w:line="12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During fiscal 2013, interest payments of $18.8 million and $40.0 million were made for Tranche A term loans and Tranche B term loans, respectively. During fiscal 2012, interest payments of $14.4 million and $20.2 million were made for Tranche A term loans and Tranche B term loans under the prior facility, respectively. As of March 31, 2013 and 2012, no amounts were outstanding on the revolving credit facility.</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 Recapitalization Transaction, the Company accelerated the amortization of ratable portions of the Debt Issuance Costs, or DIC, and Original Issuance Discount, or OID, associated with the prior senior secured term loan facilities and expensed portions of the DIC and OID of the Credit Agreement that do not qualify for deferral of $7.2 million. These amounts are reflected in other expense, net in fiscal 2013. Furthermore, the Company expensed third party debt issuance costs of $2.7 million that did not qualify for deferral, which are reflected in general and administrative costs in fiscal 2013.</w:t>
      </w:r>
    </w:p>
    <w:p>
      <w:pPr>
        <w:spacing w:after="0" w:line="15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Prior to the Recapitalization Transaction, the Company maintained a senior secured credit agreement, as amended, with a syndicate of lenders. The senior secured credit agreement, as amended, provided for $1.0 billion in term loans ($500.0 million of Tranche A Loans and $500.0 million of Tranche B Loans) and a $275.0 million revolving credit facility. The loans under the senior secured credit agreement, as amended, were secured by substantially all of the Company’s assets. The total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88" w:right="239" w:bottom="1440" w:gutter="0" w:footer="0" w:header="0"/>
        </w:sectPr>
      </w:pPr>
    </w:p>
    <w:bookmarkStart w:id="81" w:name="page82"/>
    <w:bookmarkEnd w:id="81"/>
    <w:p>
      <w:pPr>
        <w:ind w:right="120"/>
        <w:spacing w:after="0" w:line="277" w:lineRule="auto"/>
        <w:rPr>
          <w:sz w:val="20"/>
          <w:szCs w:val="20"/>
          <w:color w:val="auto"/>
        </w:rPr>
      </w:pPr>
      <w:r>
        <w:rPr>
          <w:rFonts w:ascii="Arial" w:cs="Arial" w:eastAsia="Arial" w:hAnsi="Arial"/>
          <w:sz w:val="18"/>
          <w:szCs w:val="18"/>
          <w:color w:val="auto"/>
        </w:rPr>
        <w:t>outstanding debt balance was recorded in the accompanying consolidated balance sheets, net of unamortized discount of $11.6 million and $4.6 million as of March 31, 2013 and 2012,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2013 and 2012, the Company was in compliance with all of the Credit Agreement's debt covenants.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DEFERRED FINANCING COSTS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DIC for the periods presented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20,973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Accelerated amortization of DIC related to July 2012 Recapitalization Transaction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Additional DIC related to July 2012 Recapitalization Transaction</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26,881</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year</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31,820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16,190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Included in "Net proceeds from debt issuance" in the Consolidated Statement of Cash Flows.</w:t>
      </w:r>
    </w:p>
    <w:p>
      <w:pPr>
        <w:spacing w:after="0" w:line="148"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Costs incurred in connection with the July 2012 Recapitalization Transaction were $29.6 million, of which $26.9 million was recorded as other long-term assets and will be amortized and reflected in interest expense in the consolidated statements of operations over the term of the loans. Amortization of these costs will be accelerated to the extent that any prepayment is made on the Credit Agreement. The remaining amount of $2.7 million, which was not deferred, was recorded as general and administrative expenses in the consolidated statements of operations.</w:t>
      </w:r>
    </w:p>
    <w:p>
      <w:pPr>
        <w:spacing w:after="0" w:line="117"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Absent any prepayment accelerations of DIC or the effect of changes in interest rates, the following table summarizes the estimated annual amortization expense of DIC using the effective interest rate method, as a component of interest expense, for the future periods indicated below:</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rPr>
              <w:t>DIC Amortization Expense</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Tranche A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center"/>
              <w:ind w:left="215"/>
              <w:spacing w:after="0"/>
              <w:rPr>
                <w:sz w:val="20"/>
                <w:szCs w:val="20"/>
                <w:color w:val="auto"/>
              </w:rPr>
            </w:pPr>
            <w:r>
              <w:rPr>
                <w:rFonts w:ascii="Arial" w:cs="Arial" w:eastAsia="Arial" w:hAnsi="Arial"/>
                <w:sz w:val="18"/>
                <w:szCs w:val="18"/>
                <w:color w:val="auto"/>
                <w:w w:val="88"/>
              </w:rPr>
              <w:t>2,181</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Tranche B Loans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center"/>
              <w:ind w:left="215"/>
              <w:spacing w:after="0"/>
              <w:rPr>
                <w:sz w:val="20"/>
                <w:szCs w:val="20"/>
                <w:color w:val="auto"/>
              </w:rPr>
            </w:pPr>
            <w:r>
              <w:rPr>
                <w:rFonts w:ascii="Arial" w:cs="Arial" w:eastAsia="Arial" w:hAnsi="Arial"/>
                <w:sz w:val="18"/>
                <w:szCs w:val="18"/>
                <w:color w:val="auto"/>
                <w:w w:val="88"/>
              </w:rPr>
              <w:t>1,775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left="215"/>
              <w:spacing w:after="0"/>
              <w:rPr>
                <w:sz w:val="20"/>
                <w:szCs w:val="20"/>
                <w:color w:val="auto"/>
              </w:rPr>
            </w:pPr>
            <w:r>
              <w:rPr>
                <w:rFonts w:ascii="Arial" w:cs="Arial" w:eastAsia="Arial" w:hAnsi="Arial"/>
                <w:sz w:val="18"/>
                <w:szCs w:val="18"/>
                <w:color w:val="auto"/>
                <w:w w:val="88"/>
              </w:rPr>
              <w:t>1,957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76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6,291</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center"/>
              <w:ind w:left="215"/>
              <w:spacing w:after="0"/>
              <w:rPr>
                <w:sz w:val="20"/>
                <w:szCs w:val="20"/>
                <w:color w:val="auto"/>
              </w:rPr>
            </w:pPr>
            <w:r>
              <w:rPr>
                <w:rFonts w:ascii="Arial" w:cs="Arial" w:eastAsia="Arial" w:hAnsi="Arial"/>
                <w:sz w:val="18"/>
                <w:szCs w:val="18"/>
                <w:color w:val="auto"/>
                <w:w w:val="88"/>
              </w:rPr>
              <w:t>5,913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13. INCOME TAXES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2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7"/>
          </w:tcPr>
          <w:p>
            <w:pPr>
              <w:ind w:left="660"/>
              <w:spacing w:after="0"/>
              <w:rPr>
                <w:sz w:val="20"/>
                <w:szCs w:val="20"/>
                <w:color w:val="auto"/>
              </w:rPr>
            </w:pPr>
            <w:r>
              <w:rPr>
                <w:rFonts w:ascii="Arial" w:cs="Arial" w:eastAsia="Arial" w:hAnsi="Arial"/>
                <w:sz w:val="18"/>
                <w:szCs w:val="18"/>
                <w:color w:val="auto"/>
              </w:rPr>
              <w:t>The components of income tax expense were as follows: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ind w:right="680"/>
              <w:spacing w:after="0"/>
              <w:rPr>
                <w:sz w:val="20"/>
                <w:szCs w:val="20"/>
                <w:color w:val="auto"/>
              </w:rPr>
            </w:pPr>
            <w:r>
              <w:rPr>
                <w:rFonts w:ascii="Arial" w:cs="Arial" w:eastAsia="Arial" w:hAnsi="Arial"/>
                <w:sz w:val="14"/>
                <w:szCs w:val="14"/>
                <w:b w:val="1"/>
                <w:bCs w:val="1"/>
                <w:color w:val="auto"/>
                <w:w w:val="94"/>
              </w:rPr>
              <w:t>Fiscal Year Ended March 31,</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left="255"/>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161,838</w:t>
            </w:r>
          </w:p>
        </w:tc>
        <w:tc>
          <w:tcPr>
            <w:tcW w:w="2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11,893</w:t>
            </w:r>
          </w:p>
        </w:tc>
        <w:tc>
          <w:tcPr>
            <w:tcW w:w="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35,503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17,241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37"/>
        </w:trPr>
        <w:tc>
          <w:tcPr>
            <w:tcW w:w="276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197,341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0"/>
              </w:rPr>
              <w:t>29,134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71,683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40,290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37"/>
        </w:trPr>
        <w:tc>
          <w:tcPr>
            <w:tcW w:w="27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0"/>
              </w:rPr>
              <w:t>74,785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42,763</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149,253</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103,919</w:t>
            </w:r>
          </w:p>
        </w:tc>
        <w:tc>
          <w:tcPr>
            <w:tcW w:w="7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692" w:right="239" w:bottom="1440" w:gutter="0" w:footer="0" w:header="0"/>
          <w:type w:val="continuous"/>
        </w:sectPr>
      </w:pPr>
    </w:p>
    <w:bookmarkStart w:id="82" w:name="page83"/>
    <w:bookmarkEnd w:id="82"/>
    <w:p>
      <w:pPr>
        <w:ind w:right="20" w:firstLine="648"/>
        <w:spacing w:after="0" w:line="277" w:lineRule="auto"/>
        <w:rPr>
          <w:sz w:val="20"/>
          <w:szCs w:val="20"/>
          <w:color w:val="auto"/>
        </w:rPr>
      </w:pPr>
      <w:r>
        <w:rPr>
          <w:rFonts w:ascii="Arial" w:cs="Arial" w:eastAsia="Arial" w:hAnsi="Arial"/>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computed at U.S. federal statutory rate (35%)</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128,909</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44,822</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Increases (reductions) resulting from:</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uncertain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State income taxes, net of the federal tax benefit</w:t>
            </w:r>
          </w:p>
        </w:tc>
        <w:tc>
          <w:tcPr>
            <w:tcW w:w="10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6,039</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Meals and entertainment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2,684</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Release of Valuation Allowance</w:t>
            </w:r>
          </w:p>
        </w:tc>
        <w:tc>
          <w:tcPr>
            <w:tcW w:w="10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state and local transportation business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 expense from operations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149,253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43,370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the Company’s net deferred income tax (liability) asset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78,563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61,651</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46,735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57,286</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insurance</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4,086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5,305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&amp; Capital loss carryforwards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37,742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rent and tenant allowance</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15,979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19,529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3,803</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gross deferred income taxes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229,536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218,297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Less: Valuation allowance</w:t>
            </w:r>
          </w:p>
        </w:tc>
        <w:tc>
          <w:tcPr>
            <w:tcW w:w="10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(36,335)</w:t>
            </w:r>
          </w:p>
        </w:tc>
      </w:tr>
      <w:tr>
        <w:trPr>
          <w:trHeight w:val="237"/>
        </w:trPr>
        <w:tc>
          <w:tcPr>
            <w:tcW w:w="7660" w:type="dxa"/>
            <w:vAlign w:val="bottom"/>
          </w:tcPr>
          <w:p>
            <w:pPr>
              <w:ind w:left="1460"/>
              <w:spacing w:after="0"/>
              <w:rPr>
                <w:sz w:val="20"/>
                <w:szCs w:val="20"/>
                <w:color w:val="auto"/>
              </w:rPr>
            </w:pPr>
            <w:r>
              <w:rPr>
                <w:rFonts w:ascii="Arial" w:cs="Arial" w:eastAsia="Arial" w:hAnsi="Arial"/>
                <w:sz w:val="18"/>
                <w:szCs w:val="18"/>
                <w:color w:val="auto"/>
              </w:rPr>
              <w:t>Total net deferred income tax assets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229,536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181,962</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compensation-IRC Section 481(a)</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(112,876)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(138,510)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(83,279)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(87,923)</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(229,790)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(233,665)</w:t>
            </w:r>
          </w:p>
        </w:tc>
      </w:tr>
      <w:tr>
        <w:trPr>
          <w:trHeight w:val="237"/>
        </w:trPr>
        <w:tc>
          <w:tcPr>
            <w:tcW w:w="7660" w:type="dxa"/>
            <w:vAlign w:val="bottom"/>
          </w:tcPr>
          <w:p>
            <w:pPr>
              <w:ind w:left="1140"/>
              <w:spacing w:after="0"/>
              <w:rPr>
                <w:sz w:val="20"/>
                <w:szCs w:val="20"/>
                <w:color w:val="auto"/>
              </w:rPr>
            </w:pPr>
            <w:r>
              <w:rPr>
                <w:rFonts w:ascii="Arial" w:cs="Arial" w:eastAsia="Arial" w:hAnsi="Arial"/>
                <w:sz w:val="18"/>
                <w:szCs w:val="18"/>
                <w:color w:val="auto"/>
              </w:rPr>
              <w:t>Net deferred income tax (liability) asset</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(51,703)</w:t>
            </w:r>
          </w:p>
        </w:tc>
      </w:tr>
      <w:tr>
        <w:trPr>
          <w:trHeight w:val="27"/>
        </w:trPr>
        <w:tc>
          <w:tcPr>
            <w:tcW w:w="7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book earnings, future reversals of existing taxable temporary differences, projected future taxable income, as well as any tax planning strategies. The Company recognized a valuation allowance of $36.3 million as of March 31, 2012, for the deferred tax asset associated with the capital loss carryforward. During fiscal 2013, the capital loss carryforward expired, at which time the deferred tax asset and valuation allowance were written off.</w:t>
      </w:r>
    </w:p>
    <w:p>
      <w:pPr>
        <w:spacing w:after="0" w:line="12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March 31, 2013, the Company has approximately $730,400 of State net operating loss, or NOL, carryforwards. The State NOL carryforwards expires in 2028. The Company believes that it is more likely than not that the Company will generate sufficient taxable income to fully realize the tax benefit of our State NOL carryforwards.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854" w:right="239" w:bottom="1440" w:gutter="0" w:footer="0" w:header="0"/>
        </w:sectPr>
      </w:pPr>
    </w:p>
    <w:bookmarkStart w:id="83" w:name="page84"/>
    <w:bookmarkEnd w:id="83"/>
    <w:p>
      <w:pPr>
        <w:ind w:left="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maintains reserves for uncertain tax positions related to tax benefits recognized in prior years. These reserves involve considerable judgment and estimation and are evaluated by management based on the best information available including changes in tax laws and other information. As of March 31, 2013 and 2012, the Company has recorded $57.0 million and $55.3 million, respectively, of reserves for uncertain tax positions which includes potential tax benefits of $55.7 million and $54.9 million, respectively, that, if recognized, would impact the effective tax rate. Of the $57.0 million and $55.3 million of reserves for uncertain tax positions as of March 31, 2013, respectively,approximately $18.5 million and $17.5 million, respectively, may be indemnified under the remaining available DPO.</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potential tax benefits for the periods presented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13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77,304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Federal benefit from change in reserve</w:t>
            </w:r>
          </w:p>
        </w:tc>
        <w:tc>
          <w:tcPr>
            <w:tcW w:w="12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1,036</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prior year position</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(14,399)</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Lapse of statute of limitations</w:t>
            </w:r>
          </w:p>
        </w:tc>
        <w:tc>
          <w:tcPr>
            <w:tcW w:w="1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End of year</w:t>
            </w:r>
          </w:p>
        </w:tc>
        <w:tc>
          <w:tcPr>
            <w:tcW w:w="1220" w:type="dxa"/>
            <w:vAlign w:val="bottom"/>
            <w:tcBorders>
              <w:top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55,679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54,895</w:t>
            </w:r>
          </w:p>
        </w:tc>
      </w:tr>
      <w:tr>
        <w:trPr>
          <w:trHeight w:val="27"/>
        </w:trPr>
        <w:tc>
          <w:tcPr>
            <w:tcW w:w="7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recognized accrued interest and penalties of approximately $952,000, $362,000 and $1.1 million for fiscal 2013, 2012, and 2011, respectively, related to the reserves for uncertain tax positions in the income tax provision. Included in the total reserve for uncertain tax positions are accrued penalties and interest of approximately $1.3 million and $387,000 at March 31, 2013 and 2012, respectively.</w:t>
      </w:r>
    </w:p>
    <w:p>
      <w:pPr>
        <w:spacing w:after="0" w:line="12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did not have any material settlement or lapse of statue of limitation during fiscal year 2013. The Company is subject to taxation in the United States and various states and foreign jurisdictions. As of March 31, 2013, the Company's tax years ended July 31, 2008 and forward are subject to examination by the tax authorities. Open examinations are not considered to be material or will be indemnified under the merger agreement. Additionally, no significant increases or decreases for uncertain tax positions are reasonably possible within the next twelve months.</w:t>
      </w:r>
    </w:p>
    <w:p>
      <w:pPr>
        <w:spacing w:after="0" w:line="167" w:lineRule="exact"/>
        <w:rPr>
          <w:sz w:val="20"/>
          <w:szCs w:val="20"/>
          <w:color w:val="auto"/>
        </w:rPr>
      </w:pPr>
    </w:p>
    <w:p>
      <w:pPr>
        <w:ind w:left="340" w:right="8640" w:hanging="332"/>
        <w:spacing w:after="0" w:line="346" w:lineRule="auto"/>
        <w:tabs>
          <w:tab w:leader="none" w:pos="286"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for fiscal 2013, 2012, and 2011was $237.1 million, $235.4 million, and $228.6 million, respectively, and the Company-paid contributions were $242.6 million, $242.5 million, and $223.7 million,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postretirement medical plan and a defined benefit retirement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w:t>
      </w:r>
    </w:p>
    <w:p>
      <w:pPr>
        <w:spacing w:after="0" w:line="13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the Company provides postretirement healthcare benefits to former Officers under a medical indemnity insurance plan, with premiums paid by the Company. This plan is referred to as the Officer Medical Plan.</w:t>
      </w:r>
    </w:p>
    <w:p>
      <w:pPr>
        <w:spacing w:after="0" w:line="11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935"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3,892</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2,569</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1,537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37"/>
        </w:trPr>
        <w:tc>
          <w:tcPr>
            <w:tcW w:w="3920" w:type="dxa"/>
            <w:vAlign w:val="bottom"/>
            <w:gridSpan w:val="2"/>
          </w:tcPr>
          <w:p>
            <w:pPr>
              <w:ind w:left="38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8,576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discount rate used to determine the year-end benefit obligations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23495</wp:posOffset>
            </wp:positionV>
            <wp:extent cx="312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2011</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Medical Plan</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Retired Officers’ Bonus Plan</w:t>
            </w: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5.75%</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healthcare cost trend rates for the Officer Medical Plan at March 31, 2013 and 2012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Pre-65 initial rate</w:t>
            </w: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2019</w:t>
            </w:r>
          </w:p>
        </w:tc>
      </w:tr>
      <w:tr>
        <w:trPr>
          <w:trHeight w:val="27"/>
        </w:trPr>
        <w:tc>
          <w:tcPr>
            <w:tcW w:w="7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one-percentage-point change in assumed healthcare cost trend rates calculated as of March 31, 2013 would have the following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1% Decrease</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1440" w:type="dxa"/>
            <w:vAlign w:val="bottom"/>
            <w:tcBorders>
              <w:bottom w:val="single" w:sz="8" w:color="CCEEFF"/>
            </w:tcBorders>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4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13,554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(10,885)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pension expense, consisting of service and interest, associated with the Retired Officers' Bonus Plan was $743,000, $868,000, and $864,000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2013, fiscal 2012, and fiscal 2011, respectively. Benefits paid associated with the Retired Officers’ Bonus Plan were $361,000, $1.2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$647,000 for fiscal 2013, fiscal 2012, and fiscal 2011, respectively. The end-of-period benefit obligation of $5.0 million and $4.6 million as of March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2013 and 2012 , respectively, is included in postretirement obligations within other long-term liabilities in the accompanying consolidated balance sheets.</w:t>
      </w:r>
    </w:p>
    <w:p>
      <w:pPr>
        <w:spacing w:after="0" w:line="20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Accumulated other comprehensive loss as of March 31, 2013 includes unrecognized net actuarial loss of $8.1 million, net of taxes of $3.3 million, that has not yet been recognized in net periodic pension cost for the Retired Officers’ Bonus Plan and the Officer Medical Plan. Accumulated other comprehensive loss as of March 31, 2012, includes unrecognized net actuarial loss of $5.5 million, net of taxes of $2.2 million, that has not yet been recognized in net periodic pension cost for the Retired Officers’ Bonus Plan and the Officer Medical Plan.</w:t>
      </w:r>
    </w:p>
    <w:p>
      <w:pPr>
        <w:spacing w:after="0" w:line="13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amounts in accumulated other comprehensive income expected to be recognized as components of net periodic cost in fiscal 2014 are $2.9 million of net loss, $0 of net prior service cost (credit), and $0 of net transition (asset) obligation.</w:t>
      </w:r>
    </w:p>
    <w:p>
      <w:pPr>
        <w:sectPr>
          <w:pgSz w:w="11900" w:h="16838" w:orient="portrait"/>
          <w:cols w:equalWidth="0" w:num="1">
            <w:col w:w="11400"/>
          </w:cols>
          <w:pgMar w:left="240" w:top="85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00"/>
          </w:cols>
          <w:pgMar w:left="240" w:top="854" w:right="259" w:bottom="1440" w:gutter="0" w:footer="0" w:header="0"/>
          <w:type w:val="continuous"/>
        </w:sectPr>
      </w:pPr>
    </w:p>
    <w:bookmarkStart w:id="85" w:name="page86"/>
    <w:bookmarkEnd w:id="85"/>
    <w:p>
      <w:pPr>
        <w:ind w:left="660"/>
        <w:spacing w:after="0"/>
        <w:rPr>
          <w:sz w:val="20"/>
          <w:szCs w:val="20"/>
          <w:color w:val="auto"/>
        </w:rPr>
      </w:pPr>
      <w:r>
        <w:rPr>
          <w:rFonts w:ascii="Arial" w:cs="Arial" w:eastAsia="Arial" w:hAnsi="Arial"/>
          <w:sz w:val="18"/>
          <w:szCs w:val="18"/>
          <w:color w:val="auto"/>
        </w:rPr>
        <w:t>The changes in the benefit obligation, plan assets, and funded status of the Officer Medical Plan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beginning of the year</w:t>
            </w: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63,585</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45,455</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3,363</w:t>
            </w: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Net actuarial loss</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3,053</w:t>
            </w: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Benefit obligation, end of the year</w:t>
            </w:r>
          </w:p>
        </w:tc>
        <w:tc>
          <w:tcPr>
            <w:tcW w:w="106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78,735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63,585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52,753</w:t>
            </w:r>
          </w:p>
        </w:tc>
      </w:tr>
      <w:tr>
        <w:trPr>
          <w:trHeight w:val="27"/>
        </w:trPr>
        <w:tc>
          <w:tcPr>
            <w:tcW w:w="6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Fair value of plan assets, beginning of the year</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Fair value of plan assets, end of the year</w:t>
            </w: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March 31, 2013 and 2012, the unfunded status of the Officer Medical Plan was $78.7 million and $63.6 million, respectively, which is included in other long-term liabilities in the accompanying consolidated balance sheets.</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Funded Status for Defined Benefit Plans</w:t>
      </w:r>
    </w:p>
    <w:p>
      <w:pPr>
        <w:spacing w:after="0" w:line="9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Generally, annual contributions are made at such times and in amounts as required by law and may, from time to time, exceed minimum funding requirements. The Retired Officers’ Bonus Plan is an unfunded plan and contributions are made as benefits are paid. As of March 31, 2013 and 2012, there were no plan assets for the Retired Officers’ Bonus Plan and therefore, the accumulated liability of $5.0 million and $4.6 million, respectively, is unfunded. The liability will be distributed in a lump-sum payment as each Officer retires.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expected future medical benefit payments and related contributions are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3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35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1,894</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2015</w:t>
            </w:r>
          </w:p>
        </w:tc>
        <w:tc>
          <w:tcPr>
            <w:tcW w:w="35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2,212</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5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2017</w:t>
            </w:r>
          </w:p>
        </w:tc>
        <w:tc>
          <w:tcPr>
            <w:tcW w:w="35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27"/>
        </w:trPr>
        <w:tc>
          <w:tcPr>
            <w:tcW w:w="50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5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2019-2023</w:t>
            </w:r>
          </w:p>
        </w:tc>
        <w:tc>
          <w:tcPr>
            <w:tcW w:w="35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24,505</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amounts recognized in accumulated other comprehensive loss, net of tax:</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Other comprehensive loss before reclassifications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5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854"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present the reclassifications out of accumulated other comprehensive loss to net income:</w:t>
      </w:r>
    </w:p>
    <w:p>
      <w:pPr>
        <w:spacing w:after="0" w:line="23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8220"/>
        <w:spacing w:after="0"/>
        <w:tabs>
          <w:tab w:leader="none" w:pos="9440" w:val="left"/>
          <w:tab w:leader="none" w:pos="107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ind w:left="200"/>
              <w:spacing w:after="0"/>
              <w:rPr>
                <w:sz w:val="20"/>
                <w:szCs w:val="20"/>
                <w:color w:val="auto"/>
              </w:rPr>
            </w:pPr>
            <w:r>
              <w:rPr>
                <w:rFonts w:ascii="Arial" w:cs="Arial" w:eastAsia="Arial" w:hAnsi="Arial"/>
                <w:sz w:val="18"/>
                <w:szCs w:val="18"/>
                <w:color w:val="auto"/>
              </w:rPr>
              <w:t>Amortization of net actuarial loss included in net periodic benefit cost (See Note 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7680" w:type="dxa"/>
            <w:vAlign w:val="bottom"/>
          </w:tcPr>
          <w:p>
            <w:pPr>
              <w:ind w:left="500"/>
              <w:spacing w:after="0"/>
              <w:rPr>
                <w:sz w:val="20"/>
                <w:szCs w:val="20"/>
                <w:color w:val="auto"/>
              </w:rPr>
            </w:pPr>
            <w:r>
              <w:rPr>
                <w:rFonts w:ascii="Arial" w:cs="Arial" w:eastAsia="Arial" w:hAnsi="Arial"/>
                <w:sz w:val="18"/>
                <w:szCs w:val="18"/>
                <w:color w:val="auto"/>
              </w:rPr>
              <w:t>Tax (expense) benefit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16. OTHER LONG-TERM LIABILITIES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80" w:type="dxa"/>
            <w:vAlign w:val="bottom"/>
          </w:tcPr>
          <w:p>
            <w:pPr>
              <w:ind w:left="440"/>
              <w:spacing w:after="0"/>
              <w:rPr>
                <w:sz w:val="20"/>
                <w:szCs w:val="20"/>
                <w:color w:val="auto"/>
              </w:rPr>
            </w:pPr>
            <w:r>
              <w:rPr>
                <w:rFonts w:ascii="Arial" w:cs="Arial" w:eastAsia="Arial" w:hAnsi="Arial"/>
                <w:sz w:val="18"/>
                <w:szCs w:val="18"/>
                <w:color w:val="auto"/>
              </w:rPr>
              <w:t>Other long-term liabilities consisted of the following: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49,716</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26,443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22,440</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27,721</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payment obligation</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61,473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63,138</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83,761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68,225</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5,713</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269,460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236,953</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fiscal 2013 and 2012, the Company recorded a stock-based compensation liability of $99.1 million and $36.7 million, respectively, including $48.5 million and $8.9 million, respectively, expected to be paid within one year, related to the reduction in stock option exercise price associated with special dividends paid in July and December 2009, May 2012 and August 2012, respectively. Options vested and not yet exercised that would have had an exercise price below zero as a result of the dividend were reduced to one cent, with the remaining reduction to be paid in cash upon exercise of the options. Refer to Note 18 for further discussion of the special dividends.</w:t>
      </w:r>
    </w:p>
    <w:p>
      <w:pPr>
        <w:spacing w:after="0" w:line="13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Company maintains a deferred compensation plan, or EPP, established in January 2009, for the benefit of certain employees. The EPP allows eligible participants to defer all or a portion of their annual performance bonus, reduced by amounts withheld for the payment of taxes or other deductions required by law. The Company makes no contributions to the EPP, but maintains participant accounts for deferred amounts and interest earned. The amounts deferred into the EPP will earn interest at a rate of return indexed to the results of the Company’s growth as defined by the EPP. In each subsequent year, interest will be compounded on the total deferred balance. Employees must leave the money in the EPP until 2014. The deferred balance generally will be paid within 180 days of the final determination of the interest to be accrued for 2014, upon retirement, or termination. As of March 31, 2013 and 2012, the Company’s liability associated with the EPP was $26.4 million and $22.4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Holders of Class A Common Stock, Class C Restricted Common Stock, and Class E Special Voting Common Stock are entitled to one vote for each share as a holder. The holders of the Voting Common Stock shall vote together as a single class. The holders of Class B Non-Voting Common Stock have no voting rights.</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When shares of Class B Non-Voting Common Stock or Class C Restricted Common Stock are sold on the open market, they become Class A Common Stock shares. During fiscal 2013, 1,035,525 and 308,701 shares of Class B Non-Voting Common Stock and Class C Restricted Common stock, respectively, were sold and converted to Class A Common Stock shares.</w:t>
      </w:r>
    </w:p>
    <w:p>
      <w:pPr>
        <w:spacing w:after="0" w:line="127"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Class C Restricted Common Stock is restricted in that a holder’s shares vest as set forth in the Rollover Plan. Refer to Note 18 for further discussion of the Rollover Plan.</w:t>
      </w:r>
    </w:p>
    <w:p>
      <w:pPr>
        <w:spacing w:after="0" w:line="11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Class E Special Voting Common Stock represents the voting rights that accompany the new options program. The new options program has a fixed vesting and exercise schedule to comply with IRS section 409(a). Upon exercise, the option 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368" w:right="239" w:bottom="1440" w:gutter="0" w:footer="0" w:header="0"/>
        </w:sectPr>
      </w:pPr>
    </w:p>
    <w:bookmarkStart w:id="87" w:name="page88"/>
    <w:bookmarkEnd w:id="87"/>
    <w:p>
      <w:pPr>
        <w:ind w:right="160"/>
        <w:spacing w:after="0" w:line="277" w:lineRule="auto"/>
        <w:rPr>
          <w:sz w:val="20"/>
          <w:szCs w:val="20"/>
          <w:color w:val="auto"/>
        </w:rPr>
      </w:pPr>
      <w:r>
        <w:rPr>
          <w:rFonts w:ascii="Arial" w:cs="Arial" w:eastAsia="Arial" w:hAnsi="Arial"/>
          <w:sz w:val="18"/>
          <w:szCs w:val="18"/>
          <w:color w:val="auto"/>
        </w:rPr>
        <w:t>convert to Class A Common Stock, and the corresponding Class E Special Voting Common Stock will be repurchased by the Company and retired. Refer to Note 18 for further discussion of the new options program.</w:t>
      </w:r>
    </w:p>
    <w:p>
      <w:pPr>
        <w:spacing w:after="0" w:line="116"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Each share of common stock, except for Class E Special Voting Common Stock, is entitled to participate equally in dividends,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shareholders is limited as a practical matter by restrictions in the credit agreements governing the Senior Credit Facilities.</w:t>
      </w:r>
    </w:p>
    <w:p>
      <w:pPr>
        <w:spacing w:after="0" w:line="100"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authorized and unissued Class A Common Stock shares are available for future issuance upon share option exercises, without additional stockholder approval.</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2013, 474,638 Class A Common Stock shares were purchased by employees under the ESPP. As of the program's inception, 1,018,541 shares have been purchased by employees.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March 31, 2013 no shares have been repurchased under the program.</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May 29, 2012, our Board of Directors authorized and declared a regular quarterly cash dividend in the amount of $0.09 per share. In addition, the Board of Directors declared a special cash dividend of $1.50 per share. Both the quarterly and special dividend were paid on June 29, 2012 to stockholders of record on June 11, 2012. The Board of Directors, as the Administrator of the Officers' Rollover Stock Plan and the Amended and Restated Equity Incentive Plan, or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June 29, 2012 or the vesting of the EIP option, whichever is later.</w:t>
      </w:r>
    </w:p>
    <w:p>
      <w:pPr>
        <w:spacing w:after="0" w:line="26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July 30, 2012, our Board of Directors authorized and declared a special cash dividend of $6.50 per share and a regular quarterly cash dividend in the amount of $0.09 per share. The dividends were accounted for on July 31, 2012, the declaration date, by reducing retained earnings to zero with the remainder being recorded as a reduction to additional paid-in capital. The dividends were paid on August 31, 2012 to stockholders of record on August 13, 2012 for the special cash dividend and August 14, 2012 for the regular quarterly cash dividend. The Board of Directors, as the Administrator of the Officers' Rollover Stock Plan and the EIP, made a determination to adjust the outstanding options under each plan. Additionally, the Company paid $9.0 million to holders of Rollover Options (described below in Note 18) and $28.7 million to holders of EIP Options (described below in Note 18).</w:t>
      </w:r>
    </w:p>
    <w:p>
      <w:pPr>
        <w:spacing w:after="0" w:line="16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October 29, 2012, our Board of Directors authorized and declared a regular quarterly cash dividend in the amount of $0.09 per share. The quarterly dividend was paid on November 30, 2012 to stockholders of record on November 13, 2012.</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January 29, 2013, our Board of Directors authorized and declared a regular quarterly cash dividend in the amount of $0.09 per share. The quarterly dividend was paid on February 28, 2013 to stockholders of record on February 11, 2013.</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total payout of the dividend and the dividend equivalents have been presented as a financing activity within the Consolidated Statement of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855"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18.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recognized in the consolidated statements of operations:</w:t>
      </w:r>
    </w:p>
    <w:p>
      <w:pPr>
        <w:spacing w:after="0" w:line="352"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Fiscal Year Ended March 31,</w:t>
            </w:r>
          </w:p>
        </w:tc>
        <w:tc>
          <w:tcPr>
            <w:tcW w:w="1080" w:type="dxa"/>
            <w:vAlign w:val="bottom"/>
            <w:tcBorders>
              <w:bottom w:val="single" w:sz="8" w:color="auto"/>
            </w:tcBorders>
          </w:tcPr>
          <w:p>
            <w:pPr>
              <w:spacing w:after="0"/>
              <w:rPr>
                <w:sz w:val="16"/>
                <w:szCs w:val="16"/>
                <w:color w:val="auto"/>
              </w:rPr>
            </w:pPr>
          </w:p>
        </w:tc>
      </w:tr>
      <w:tr>
        <w:trPr>
          <w:trHeight w:val="264"/>
        </w:trPr>
        <w:tc>
          <w:tcPr>
            <w:tcW w:w="4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34,605</w:t>
            </w:r>
          </w:p>
        </w:tc>
      </w:tr>
      <w:tr>
        <w:trPr>
          <w:trHeight w:val="27"/>
        </w:trPr>
        <w:tc>
          <w:tcPr>
            <w:tcW w:w="4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consolidated statements of operations by the following types of equity awards:</w:t>
      </w:r>
    </w:p>
    <w:p>
      <w:pPr>
        <w:spacing w:after="0" w:line="270"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C Restricted Stock</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Rollover Options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27,293</w:t>
            </w:r>
          </w:p>
        </w:tc>
      </w:tr>
      <w:tr>
        <w:trPr>
          <w:trHeight w:val="27"/>
        </w:trPr>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17,510</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24,841</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As of March 31, 2013 and 2012, there was $19.5 million and $26.6 million of total unrecognized compensation cost related to unvested stock-based compensation agreements. The unrecognized compensation cost as of March 31, 2013 is expected to be fully amortized over the next 4.25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8"/>
            <w:vMerge w:val="restart"/>
          </w:tcPr>
          <w:p>
            <w:pPr>
              <w:ind w:left="180"/>
              <w:spacing w:after="0"/>
              <w:rPr>
                <w:sz w:val="20"/>
                <w:szCs w:val="20"/>
                <w:color w:val="auto"/>
              </w:rPr>
            </w:pPr>
            <w:r>
              <w:rPr>
                <w:rFonts w:ascii="Arial" w:cs="Arial" w:eastAsia="Arial" w:hAnsi="Arial"/>
                <w:sz w:val="14"/>
                <w:szCs w:val="14"/>
                <w:b w:val="1"/>
                <w:bCs w:val="1"/>
                <w:color w:val="auto"/>
                <w:w w:val="98"/>
              </w:rPr>
              <w:t>Unrecognized Compensation 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10"/>
          </w:tcPr>
          <w:p>
            <w:pPr>
              <w:jc w:val="right"/>
              <w:spacing w:after="0"/>
              <w:rPr>
                <w:sz w:val="20"/>
                <w:szCs w:val="20"/>
                <w:color w:val="auto"/>
              </w:rPr>
            </w:pPr>
            <w:r>
              <w:rPr>
                <w:rFonts w:ascii="Arial" w:cs="Arial" w:eastAsia="Arial" w:hAnsi="Arial"/>
                <w:sz w:val="14"/>
                <w:szCs w:val="14"/>
                <w:b w:val="1"/>
                <w:bCs w:val="1"/>
                <w:color w:val="auto"/>
                <w:w w:val="92"/>
              </w:rPr>
              <w:t>Weighted Average Remaining Period to be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ind w:left="18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2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3"/>
          </w:tcPr>
          <w:p>
            <w:pPr>
              <w:jc w:val="right"/>
              <w:ind w:right="259"/>
              <w:spacing w:after="0" w:line="153" w:lineRule="exact"/>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6"/>
              </w:rPr>
              <w:t>2012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C Restricted Stock</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80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center"/>
              <w:ind w:right="50"/>
              <w:spacing w:after="0"/>
              <w:rPr>
                <w:sz w:val="20"/>
                <w:szCs w:val="20"/>
                <w:color w:val="auto"/>
              </w:rPr>
            </w:pPr>
            <w:r>
              <w:rPr>
                <w:rFonts w:ascii="Arial" w:cs="Arial" w:eastAsia="Arial" w:hAnsi="Arial"/>
                <w:sz w:val="18"/>
                <w:szCs w:val="18"/>
                <w:color w:val="auto"/>
                <w:w w:val="91"/>
              </w:rPr>
              <w:t>0.25</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right="199"/>
              <w:spacing w:after="0"/>
              <w:rPr>
                <w:sz w:val="20"/>
                <w:szCs w:val="20"/>
                <w:color w:val="auto"/>
              </w:rPr>
            </w:pPr>
            <w:r>
              <w:rPr>
                <w:rFonts w:ascii="Arial" w:cs="Arial" w:eastAsia="Arial" w:hAnsi="Arial"/>
                <w:sz w:val="18"/>
                <w:szCs w:val="18"/>
                <w:color w:val="auto"/>
                <w:w w:val="85"/>
              </w:rPr>
              <w:t>1.25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Rollover Options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0.25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3"/>
          </w:tcPr>
          <w:p>
            <w:pPr>
              <w:jc w:val="center"/>
              <w:ind w:right="199"/>
              <w:spacing w:after="0"/>
              <w:rPr>
                <w:sz w:val="20"/>
                <w:szCs w:val="20"/>
                <w:color w:val="auto"/>
              </w:rPr>
            </w:pPr>
            <w:r>
              <w:rPr>
                <w:rFonts w:ascii="Arial" w:cs="Arial" w:eastAsia="Arial" w:hAnsi="Arial"/>
                <w:sz w:val="18"/>
                <w:szCs w:val="18"/>
                <w:color w:val="auto"/>
                <w:w w:val="85"/>
              </w:rPr>
              <w:t>1.25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18,441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center"/>
              <w:ind w:right="50"/>
              <w:spacing w:after="0"/>
              <w:rPr>
                <w:sz w:val="20"/>
                <w:szCs w:val="20"/>
                <w:color w:val="auto"/>
              </w:rPr>
            </w:pPr>
            <w:r>
              <w:rPr>
                <w:rFonts w:ascii="Arial" w:cs="Arial" w:eastAsia="Arial" w:hAnsi="Arial"/>
                <w:sz w:val="18"/>
                <w:szCs w:val="18"/>
                <w:color w:val="auto"/>
                <w:w w:val="91"/>
              </w:rPr>
              <w:t>2.77</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right="199"/>
              <w:spacing w:after="0"/>
              <w:rPr>
                <w:sz w:val="20"/>
                <w:szCs w:val="20"/>
                <w:color w:val="auto"/>
              </w:rPr>
            </w:pPr>
            <w:r>
              <w:rPr>
                <w:rFonts w:ascii="Arial" w:cs="Arial" w:eastAsia="Arial" w:hAnsi="Arial"/>
                <w:sz w:val="18"/>
                <w:szCs w:val="18"/>
                <w:color w:val="auto"/>
                <w:w w:val="85"/>
              </w:rPr>
              <w:t>2.74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w w:val="95"/>
              </w:rPr>
              <w:t>Class A Restricted Common Stock</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w w:val="84"/>
              </w:rPr>
              <w:t>6,709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2.03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3"/>
          </w:tcPr>
          <w:p>
            <w:pPr>
              <w:jc w:val="center"/>
              <w:ind w:right="199"/>
              <w:spacing w:after="0"/>
              <w:rPr>
                <w:sz w:val="20"/>
                <w:szCs w:val="20"/>
                <w:color w:val="auto"/>
              </w:rPr>
            </w:pPr>
            <w:r>
              <w:rPr>
                <w:rFonts w:ascii="Arial" w:cs="Arial" w:eastAsia="Arial" w:hAnsi="Arial"/>
                <w:sz w:val="18"/>
                <w:szCs w:val="18"/>
                <w:color w:val="auto"/>
                <w:w w:val="85"/>
              </w:rPr>
              <w:t>1.25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400" w:type="dxa"/>
            <w:vAlign w:val="bottom"/>
            <w:vMerge w:val="restart"/>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0"/>
              <w:spacing w:after="0"/>
              <w:rPr>
                <w:sz w:val="20"/>
                <w:szCs w:val="20"/>
                <w:color w:val="auto"/>
              </w:rPr>
            </w:pPr>
            <w:r>
              <w:rPr>
                <w:rFonts w:ascii="Arial" w:cs="Arial" w:eastAsia="Arial" w:hAnsi="Arial"/>
                <w:sz w:val="18"/>
                <w:szCs w:val="18"/>
                <w:color w:val="auto"/>
              </w:rPr>
              <w:t>19,507</w:t>
            </w:r>
          </w:p>
        </w:tc>
        <w:tc>
          <w:tcPr>
            <w:tcW w:w="80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26,615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1"/>
          </w:tcPr>
          <w:p>
            <w:pPr>
              <w:jc w:val="right"/>
              <w:ind w:right="457"/>
              <w:spacing w:after="0"/>
              <w:rPr>
                <w:sz w:val="20"/>
                <w:szCs w:val="20"/>
                <w:color w:val="auto"/>
              </w:rPr>
            </w:pPr>
            <w:r>
              <w:rPr>
                <w:rFonts w:ascii="Arial" w:cs="Arial" w:eastAsia="Arial" w:hAnsi="Arial"/>
                <w:sz w:val="14"/>
                <w:szCs w:val="14"/>
                <w:b w:val="1"/>
                <w:bCs w:val="1"/>
                <w:color w:val="auto"/>
                <w:w w:val="96"/>
              </w:rPr>
              <w:t>Total Unrecognized Compensation Cost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83"/>
              </w:rPr>
              <w:t>2015</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Class C Restricted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79"/>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Rollover Options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Equity Incentive Plan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Class A Restricted Common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19,507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11,853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ind w:right="437"/>
              <w:spacing w:after="0"/>
              <w:rPr>
                <w:sz w:val="20"/>
                <w:szCs w:val="20"/>
                <w:color w:val="auto"/>
              </w:rPr>
            </w:pPr>
            <w:r>
              <w:rPr>
                <w:rFonts w:ascii="Arial" w:cs="Arial" w:eastAsia="Arial" w:hAnsi="Arial"/>
                <w:sz w:val="18"/>
                <w:szCs w:val="18"/>
                <w:color w:val="auto"/>
              </w:rPr>
              <w:t>F-25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Rollover Plan was adopted as a mechanism to enable Company Officers to exchange a portion of their previous equity interests in the Predecessor for equity interests in the Company. Among the equity interests that were eligible for exchange were common stock and stock rights, both vested and unvested.</w:t>
      </w:r>
    </w:p>
    <w:p>
      <w:pPr>
        <w:spacing w:after="0" w:line="12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Unvested stock rights that would have vested in 2008 were exchanged for 2,028,270 shares of new Class C Restricted Stock issued by the Company at an estimated fair value of $10.00 at August 1, 2008. The aggregate grant date fair value of the Class C Restricted Stock issued of $20.3 million is being recorded as expense over the vesting period. For the fiscal years ended March 31, 2013 and 2012, 136,200 and 1,755,870 cumulative shares of Class C Restricted Stock vested, respectively. At March 31, 2013 and 2012, 3,971,730 shares of Class C Restricted Stock were authorized but unissued under the Plan. Notwithstanding the foregoing, Class C Restricted Stock was intended to be issued only in connection with the exchange process described above.</w:t>
      </w:r>
    </w:p>
    <w:p>
      <w:pPr>
        <w:spacing w:after="0" w:line="104"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In addition to the conversion of the stock rights that would have vested in 2008 to Class C Restricted Stock, Options were issued in exchange for old stock rights held by the Predecessor’s U.S. government consulting partners. The Rollover Options were granted based on the retirement eligibility of the Officer. For the purposes of these options, there were two categories of Officers — retirement eligible and non-retirement eligible. Rollover Options granted to retirement eligible Officers vested equal annual installments on June 30, 2009, 2010, and 2011.</w:t>
      </w:r>
    </w:p>
    <w:p>
      <w:pPr>
        <w:spacing w:after="0" w:line="11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summarizes the exercise schedule for Officers who were deemed retirement eligible. Exercise schedules are based on original vesting dates applicable to the stock rights surrendered:</w:t>
      </w:r>
    </w:p>
    <w:p>
      <w:pPr>
        <w:spacing w:after="0" w:line="324"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Percentage of Rollover Options to be Exercised</w:t>
      </w:r>
    </w:p>
    <w:p>
      <w:pPr>
        <w:spacing w:after="0" w:line="4"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13335</wp:posOffset>
            </wp:positionV>
            <wp:extent cx="4485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Eligible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Original vesting date of June 30,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vesting date of June 30, 2010</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Original vesting date of June 30, 2011</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30%</w:t>
            </w:r>
          </w:p>
        </w:tc>
      </w:tr>
    </w:tbl>
    <w:p>
      <w:pPr>
        <w:spacing w:after="0" w:line="17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Those individuals who were considered retirement eligible also were given the opportunity to make a one-time election to be treated as non-retirement eligible. The determination of retirement eligibility was made as of a fixed period of time and could not be changed at a future date.</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Rollover Options granted to Officers who were categorized as non-retirement eligible vested 50% on June 30, 2011 and 25% on June 30, 2012, with the remaining 25% to vest on June 30, 2013.</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summarizes the exercise schedule for Officers who were deemed non-retirement eligible. Exercise schedules are based on original vesting dates applicable to the stock rights surrendered:</w:t>
      </w:r>
    </w:p>
    <w:p>
      <w:pPr>
        <w:spacing w:after="0" w:line="297"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Percentage of Rollover Options to be Exercised</w:t>
      </w:r>
    </w:p>
    <w:p>
      <w:pPr>
        <w:spacing w:after="0" w:line="4"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13335</wp:posOffset>
            </wp:positionV>
            <wp:extent cx="4262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Non-Retirement Eligible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Original vesting date of June 30, 2011</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20%</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vesting date of June 30, 2012</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Original vesting date of June 30, 2013</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34%</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grant date fair value of the Rollover Options issued of $127.1 million is being recorded as compensation expense over the vesting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New Options vested during fiscal 2013 and 2012 was $5.2 million and $26.4 million, respectively.</w:t>
      </w:r>
    </w:p>
    <w:p>
      <w:pPr>
        <w:spacing w:after="0" w:line="15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As permitted under the terms of the Rollover Plan, the Compensation Committee as Administrator of the Rollover Plan, authorized on June 3, 2011 the withholding of taxes not to exceed the minimum statutory withholding amount, through the surrender of shares of Class A common stock issuable upon the exercise of the Rollover Options. For those holders who elected to participate, the trade dates were July 2, 2012, February 28, 2013 and March 31, 2013 for the exercise of the Rollover Options. As a result of these transactions, the Company repurchased 55,546 shares at $15.28, 6,797 shares at $12.80, 9,725 shares at $13.44 and recorded them as treasury shares at a cost of $1.1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935" w:right="23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EIP was created in connection with the Merger Transaction for employees and directors of Holding. The Company created a pool of options, or EIP Options, to draw upon for future grants that would be governed by the EIP. All options under the EIP are exercisable, upon vesting, for shares of common stock of Holding.</w:t>
      </w:r>
    </w:p>
    <w:p>
      <w:pPr>
        <w:spacing w:after="0" w:line="12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Stock options are granted at the discretion of the Board of Directors or its Compensation Committee and expire ten years from the grant date. Options generally vest over a five-year period based upon required service and performance conditions. Starting on February 1, 2012, the Board of Directors or its Compensation Committee updated vesting conditions for stock options, whereby stock options only vest upon a required service condition. The Company calculates the pool of additional paid-in capital associated with excess tax benefits using the “simplified method.”</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aggregate grant date fair value of the EIP Options issued during fiscal 2013, fiscal 2012, and fiscal 2011, was $4.2 million, $18.5 million, and $15.3 million, respectively, and is being recorded as expense over the vesting period. The total fair value of EIP Options vested during fiscal 2013 and 2012 was $18.2 million and $18.8 million, respectively. As of March 31, 2013 and 2012, there were 10,319,906 and 11,616,000 options, respectively, available for future grant under the EIP.</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Annual Incentive Plan</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The portion to be paid in cash is accrued ratably during the fiscal year in which the employees provide service and paid out during the first quarter of the subsequent fiscal year.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June 29, 2012, the Board of Directors granted 674,456 shares of Class A Restricted Stock in conjunction with the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$10.3 million based on the stock price of $15.28 on the grant date. On August 2, 2012, the Board of Directors granted 24,251 shares of Class A Restricted Stock to certain members of the Board of Directors.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Methodology</w:t>
      </w:r>
    </w:p>
    <w:p>
      <w:pPr>
        <w:spacing w:after="0" w:line="90"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Company uses the Black-Scholes option-pricing model to determine the estimated fair value for stock-based awards. The fair value of the Company’s stock is based on the closing price on the New York Stock Exchange.</w:t>
      </w:r>
    </w:p>
    <w:p>
      <w:pPr>
        <w:spacing w:after="0" w:line="11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During fiscal year 2013, the Company’s Board of Directors authorized and declared a regular quarterly cash dividend of $0.09 per share. Therefore, an annualized dividend yield between 2% and 2.53% was used in the Black-Scholes option-pricing model for all grants issued during the fiscal year. Implied volatility is calculated as of each grant date based on our historical volatility along with an assessment of a peer group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w:t>
      </w:r>
    </w:p>
    <w:p>
      <w:pPr>
        <w:spacing w:after="0" w:line="11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risk-free interest rate is determined by reference to the U.S. Treasury yield curve rates with the remaining term equal to the expected life assumed at the date of grant. The average expected life was estimated based on internal qualitative and quantitative factors. Forfeitures were estimated based on the Company’s historical analysis of Officer attrition levels and actual forfeiture rates by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935" w:right="23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t>The weighted average assumptions used in the Black-Scholes option-pricing model for stock option awards were as follows: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440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Through Fiscal Year Ended March 31,</w:t>
            </w:r>
          </w:p>
        </w:tc>
      </w:tr>
      <w:tr>
        <w:trPr>
          <w:trHeight w:val="27"/>
        </w:trPr>
        <w:tc>
          <w:tcPr>
            <w:tcW w:w="48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33.12%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36.80%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39.80%</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3.07%</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7.00</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7.00</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7.00</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7.56</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6.23</w:t>
            </w:r>
          </w:p>
        </w:tc>
      </w:tr>
      <w:tr>
        <w:trPr>
          <w:trHeight w:val="27"/>
        </w:trPr>
        <w:tc>
          <w:tcPr>
            <w:tcW w:w="48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The Board of Directors, as the Administrator of the Officers' Rollover Stock Plan and the Amended and Restated Equity Incentive Plan have discretion in how to effect the required adjustment to keep option holders whole in the event of a distribution of dividends that trigger certain anti-dilution clauses within the respective plans. In the event the Board of Directors elect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 July and December 2009, the Board of Directors approved dividends of $1.087 and $4.642 per share, respectively. Liabilities related to these dividends are included in accrued long term liabilities and accrued compensation and benefits in the consolidated balance sheet.</w:t>
      </w:r>
    </w:p>
    <w:p>
      <w:pPr>
        <w:spacing w:after="0" w:line="22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May 29, 2012, our Board of Directors declared a special cash dividend of $1.50 per share that was paid on June 29, 2012 to stockholders of record on June 11, 2012. The Compensation Committee, as the Administrator of the Officers' Rollover Stock Plan and the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June 29, 2012 or the vesting of the EIP option, whichever is later.</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30, 2012, our Board of Directors authorized and declared a special cash dividend of $6.50 per share. The dividend was accounted for on July 31, 2012, the declaration date, by reducing retained earnings to zero with the remainder being recorded as a reduction to additional paid-in capital. The dividend was paid on August 31, 2012 to stockholders of record on August 13, 2012. The Board of Directors, as the Administrator of the Officers' Rollover Stock Plan and the EIP, made a determination to adjust the outstanding options under each plan.</w:t>
      </w:r>
    </w:p>
    <w:p>
      <w:pPr>
        <w:spacing w:after="0" w:line="26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Holders of the Rollover Options received a cash payment equal to the amount of the special dividend on the options' mandatory exercise date. On August 31, 2012 and December 31, 2012, Rollover Options holders received a dividend equivalent payment of $9.0 million and $12.0 million, respectively, related to the special dividends. Payment of the special dividends to EIP option holders was linked to vesting. On June 29, 2012 vested outstanding EIP options received a dividend equivalent payment of $9.7 million related to the May 2012 special dividend. Holders of EIP options with a pre-dividend exercise price less than $11.00 per share received a dividend equivalent equal to the amount of the July 2012 special dividend payable on August 31, 2012 or the vesting of the EIP option, whichever is later. On August 31, 2012, vested outstanding EIP options received a dividend equivalent payment of $28.7 million related to the special dividend. All other EIP options were adjusted, based on authorization from the Board of Directors, by reducing the exercise price by $6.36 which is equal to the difference between the pre-dividend closing fair market value of our Class A Common Stock and the post-dividend opening fair market value of our Class A Common Stock as noted on the New York Stock Exchange. Payment of the dividend equivalents and adjustments to option exercise prices were accounted for as modifications resulting in incremental benefit to the option holders resulting in additional compensation expense of $3.8 million. Total compensation expense recorded in conjunction with the payment of the dividend equivalent to holders of unvested EIP options for the fiscal year ended March 31, 2013 was $2.4 million. Future compensation cost related to payment of the dividend equivalents to holders of EIP options not yet recognized in the statement of operations is $1.4 million and is expected to be recognized over 4.25 years.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854" w:right="259" w:bottom="1440" w:gutter="0" w:footer="0" w:header="0"/>
        </w:sectPr>
      </w:pPr>
    </w:p>
    <w:bookmarkStart w:id="92" w:name="page93"/>
    <w:bookmarkEnd w:id="92"/>
    <w:p>
      <w:pPr>
        <w:ind w:right="260" w:firstLine="648"/>
        <w:spacing w:after="0" w:line="342" w:lineRule="auto"/>
        <w:rPr>
          <w:sz w:val="20"/>
          <w:szCs w:val="20"/>
          <w:color w:val="auto"/>
        </w:rPr>
      </w:pPr>
      <w:r>
        <w:rPr>
          <w:rFonts w:ascii="Arial" w:cs="Arial" w:eastAsia="Arial" w:hAnsi="Arial"/>
          <w:sz w:val="16"/>
          <w:szCs w:val="16"/>
          <w:color w:val="auto"/>
        </w:rPr>
        <w:t>As of March 31, 2013 and March 31, 2012, the Company calculated a total recorded and unrecorded stock-based compensation liability of $106.4 million and $38.3 million, respectively, related to the special dividends paid in July 2009, December 2009, June 2012, and August 2012, as follows: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March 31, 2013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Rollover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Rollover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EIP Options</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Options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9).</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Included in other long-term liabilities.</w:t>
      </w:r>
    </w:p>
    <w:p>
      <w:pPr>
        <w:spacing w:after="0" w:line="29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March 31, 2013, $2.8 million related to Rollover Options and $4.5 million related to EIP Options will be recorded as liabilities as the related compensation expense is recognized over the three month period ending June 30, 2013 for Rollover Options and 4.25 years for EIP Options. As of March 31, 2012, there was a similar unrecognized liability of $1.6 million related to Rollover Options.</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periods presented: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6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Exercise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Officers’ Rollover Stock Plan Options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Retirement Eligible:</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2012</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2,671,328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971,389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March 31, 2013</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1,699,939</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Non-Retirement Eligible: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Options outstanding at March 31, 2012</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6,765,750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1,221,594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2013</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5,544,156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2012</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11,341,282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895,000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11.10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54,956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7.69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Options outstanding at March 31, 2013</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8,975,930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7.41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8"/>
        <w:spacing w:after="0" w:line="528" w:lineRule="auto"/>
        <w:tabs>
          <w:tab w:leader="none" w:pos="1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adjustments for $4.642 dividend issued December 11, 2009, $1.087 dividend issued July 27, 2009, and $1.50 dividend issued May 29, 2012. ** Reflects exercise price adjustment of $6.36 per grant for the $6.50 dividend per share issued in July 2012.</w:t>
      </w:r>
    </w:p>
    <w:p>
      <w:pPr>
        <w:sectPr>
          <w:pgSz w:w="11900" w:h="16838" w:orient="portrait"/>
          <w:cols w:equalWidth="0" w:num="1">
            <w:col w:w="11420"/>
          </w:cols>
          <w:pgMar w:left="240" w:top="77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773" w:right="239" w:bottom="1440" w:gutter="0" w:footer="0" w:header="0"/>
          <w:type w:val="continuous"/>
        </w:sectPr>
      </w:pPr>
    </w:p>
    <w:bookmarkStart w:id="93" w:name="page94"/>
    <w:bookmarkEnd w:id="93"/>
    <w:p>
      <w:pPr>
        <w:ind w:left="660"/>
        <w:spacing w:after="0"/>
        <w:rPr>
          <w:sz w:val="20"/>
          <w:szCs w:val="20"/>
          <w:color w:val="auto"/>
        </w:rPr>
      </w:pPr>
      <w:r>
        <w:rPr>
          <w:rFonts w:ascii="Arial" w:cs="Arial" w:eastAsia="Arial" w:hAnsi="Arial"/>
          <w:sz w:val="18"/>
          <w:szCs w:val="18"/>
          <w:color w:val="auto"/>
        </w:rPr>
        <w:t>The following table summarizes unvested stock options for the periods presented: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9"/>
              </w:rPr>
              <w:t>Intrinsic</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Value on</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7"/>
              </w:rPr>
              <w:t>Grant Date</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Officers’ Rollover Stock Plan Options</w:t>
            </w: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Non-Retirement Eligible:</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2012</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3,758,750</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46,504</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1,879,375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2013</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1,879,375</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41,290</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2012</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7,816,860</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895,000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3,023,235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193,228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March 31, 2013</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5,495,397</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520" w:hanging="432"/>
        <w:spacing w:after="0" w:line="465" w:lineRule="auto"/>
        <w:tabs>
          <w:tab w:leader="none" w:pos="1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Reflects adjustments for $4.642 dividend issued December 11, 2009, $1.087 dividend issued July 27, 2009 and $1.50 dividend issued May 29, 2012. The following table summarizes stock options outstanding at March 31,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2"/>
        </w:trPr>
        <w:tc>
          <w:tcPr>
            <w:tcW w:w="214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5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Officers’ Rollover Stock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Plan</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tcPr>
          <w:p>
            <w:pPr>
              <w:jc w:val="right"/>
              <w:ind w:right="653"/>
              <w:spacing w:after="0"/>
              <w:rPr>
                <w:sz w:val="20"/>
                <w:szCs w:val="20"/>
                <w:color w:val="auto"/>
              </w:rPr>
            </w:pPr>
            <w:r>
              <w:rPr>
                <w:rFonts w:ascii="Arial" w:cs="Arial" w:eastAsia="Arial" w:hAnsi="Arial"/>
                <w:sz w:val="18"/>
                <w:szCs w:val="18"/>
                <w:color w:val="auto"/>
              </w:rPr>
              <w:t>$0.01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7,244,095</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1.12</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5,364,710</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0.72</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Pr>
          <w:p>
            <w:pPr>
              <w:jc w:val="right"/>
              <w:ind w:right="333"/>
              <w:spacing w:after="0"/>
              <w:rPr>
                <w:sz w:val="20"/>
                <w:szCs w:val="20"/>
                <w:color w:val="auto"/>
              </w:rPr>
            </w:pPr>
            <w:r>
              <w:rPr>
                <w:rFonts w:ascii="Arial" w:cs="Arial" w:eastAsia="Arial" w:hAnsi="Arial"/>
                <w:sz w:val="18"/>
                <w:szCs w:val="18"/>
                <w:color w:val="auto"/>
              </w:rPr>
              <w:t>$4.27 - $14.21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8,975,930</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$7.41</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6.95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3,489,770</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$5.97</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6.30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Reflects adjustments for $ 4.642 dividend issued December 11, 2009, $1.087 dividend issued July 27, 2009, and $1.50 dividend issued May 29,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Reflects exercise price adjustment of $6.36 per grant for the $6.50 dividend per share issued in July 2012.</w:t>
      </w:r>
    </w:p>
    <w:p>
      <w:pPr>
        <w:spacing w:after="0" w:line="171" w:lineRule="exact"/>
        <w:rPr>
          <w:sz w:val="20"/>
          <w:szCs w:val="20"/>
          <w:color w:val="auto"/>
        </w:rPr>
      </w:pPr>
    </w:p>
    <w:p>
      <w:pPr>
        <w:jc w:val="both"/>
        <w:ind w:right="180" w:firstLine="432"/>
        <w:spacing w:after="0" w:line="277" w:lineRule="auto"/>
        <w:rPr>
          <w:sz w:val="20"/>
          <w:szCs w:val="20"/>
          <w:color w:val="auto"/>
        </w:rPr>
      </w:pPr>
      <w:r>
        <w:rPr>
          <w:rFonts w:ascii="Arial" w:cs="Arial" w:eastAsia="Arial" w:hAnsi="Arial"/>
          <w:sz w:val="18"/>
          <w:szCs w:val="18"/>
          <w:color w:val="auto"/>
        </w:rPr>
        <w:t>The grant date aggregate intrinsic value for Rollover Options outstanding and Rollover Options exercisable at March 31, 2013 was $20.1 million and $14.9 million,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RELATED-PARTY TRANSACTIONS</w:t>
      </w:r>
    </w:p>
    <w:p>
      <w:pPr>
        <w:spacing w:after="0" w:line="9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Carlyle Group is the majority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fiscal 2013 were $739,000 and $657,000, respectively. Revenue and cost associated with these related parties for fiscal 2012 were $1.5 million and $1.4 million, respectively. Revenue and cost associated with these related party transactions for fiscal 2011 were $6.3 million and $5.3 million, respectively.</w:t>
      </w:r>
    </w:p>
    <w:p>
      <w:pPr>
        <w:spacing w:after="0" w:line="5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692" w:right="299" w:bottom="1440" w:gutter="0" w:footer="0" w:header="0"/>
        </w:sectPr>
      </w:pPr>
    </w:p>
    <w:bookmarkStart w:id="94" w:name="page95"/>
    <w:bookmarkEnd w:id="94"/>
    <w:p>
      <w:pPr>
        <w:ind w:right="160"/>
        <w:spacing w:after="0" w:line="264" w:lineRule="auto"/>
        <w:rPr>
          <w:sz w:val="20"/>
          <w:szCs w:val="20"/>
          <w:color w:val="auto"/>
        </w:rPr>
      </w:pPr>
      <w:r>
        <w:rPr>
          <w:rFonts w:ascii="Arial" w:cs="Arial" w:eastAsia="Arial" w:hAnsi="Arial"/>
          <w:sz w:val="18"/>
          <w:szCs w:val="18"/>
          <w:color w:val="auto"/>
        </w:rPr>
        <w:t>of $1.0 million plus expenses. In addition, the Company made a one-time payment to TC Group of $20.0 million for investment banking, financial advisory and other services provided to the Company in connection with the Acquisition of our Company by The Carlyle Group (the Acquisition). For fiscal 2013, fiscal 2012, and fiscal 2011, the Company incurred $1.0 million per year in advisory fees.</w:t>
      </w:r>
    </w:p>
    <w:p>
      <w:pPr>
        <w:spacing w:after="0" w:line="177" w:lineRule="exact"/>
        <w:rPr>
          <w:sz w:val="20"/>
          <w:szCs w:val="20"/>
          <w:color w:val="auto"/>
        </w:rPr>
      </w:pPr>
    </w:p>
    <w:p>
      <w:pPr>
        <w:ind w:left="340" w:right="7680" w:hanging="332"/>
        <w:spacing w:after="0" w:line="346" w:lineRule="auto"/>
        <w:tabs>
          <w:tab w:leader="none" w:pos="286"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leases office space under noncancelable operating leases that expire at various dates through 2022. The terms for the facility leases generally provide for rental payments on a graduated scale, which are recognized on a straight-line basis over the terms of the leases, including reasonably assured renewal periods, from the time the Company controls the leased property. Lease incentives are recorded as a deferred credit and recognized as a reduction to rent expense on a straight-line basis over the lease term. Rent expense was approximately $105.9 million, net of $5.5 million of sublease income, $113.9 million, net of $5.7 million of sublease income, and $118.4 million, net of $5.8 million of sublease income, for fiscal 2013, fiscal 2012, and fiscal 2011, respectively.</w:t>
      </w:r>
    </w:p>
    <w:p>
      <w:pPr>
        <w:spacing w:after="0" w:line="13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Future minimum operating lease payments for noncancelable operating leases and future minimum noncancelable sublease rentals are summarized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49"/>
        </w:trPr>
        <w:tc>
          <w:tcPr>
            <w:tcW w:w="8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Lease</w:t>
            </w:r>
          </w:p>
        </w:tc>
        <w:tc>
          <w:tcPr>
            <w:tcW w:w="20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58"/>
        </w:trPr>
        <w:tc>
          <w:tcPr>
            <w:tcW w:w="84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Payments</w:t>
            </w:r>
          </w:p>
        </w:tc>
        <w:tc>
          <w:tcPr>
            <w:tcW w:w="200" w:type="dxa"/>
            <w:vAlign w:val="bottom"/>
          </w:tcPr>
          <w:p>
            <w:pPr>
              <w:spacing w:after="0"/>
              <w:rPr>
                <w:sz w:val="13"/>
                <w:szCs w:val="13"/>
                <w:color w:val="auto"/>
              </w:rPr>
            </w:pPr>
          </w:p>
        </w:tc>
        <w:tc>
          <w:tcPr>
            <w:tcW w:w="100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32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6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6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76,940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6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29,071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42,689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314,895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Merger Transaction, the Company assigned a total of nine leases to Booz &amp; Co. The facilities are located in New York, New York; Troy, Michigan; Florham Park, New Jersey; Parsippany, New Jersey; Houston, Texas; Chicago, Illinois; Cleveland, Ohio; Dallas, Texas; and London, England. Except for the Parsippany, Troy, Houston, Cleveland and Dallas leases, which expired, the Company remains liable under the terms of the original leases should Booz &amp; Co. default on its obligations. There were no events of default under these leases as of March 31, 2013 or March 31, 2012. The maximum potential amount of undiscounted future payments is $24.5 million, and the leases expire at different dates between September 2013 and March 2017. Based on the Company’s assessment of the likelihood of future payment, no amounts have been recorded related to the Company’s contingent liability on such leases.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fiscal 2013, fiscal 2012, and fiscal 2011, approximately 99%, 98%, and 97%, respectively,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March 31, 2013 and 2012, the Company has recorded a liability of approximately $156.2 million and $127.2</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773" w:right="259" w:bottom="1440" w:gutter="0" w:footer="0" w:header="0"/>
        </w:sectPr>
      </w:pPr>
    </w:p>
    <w:bookmarkStart w:id="95" w:name="page96"/>
    <w:bookmarkEnd w:id="95"/>
    <w:p>
      <w:pPr>
        <w:ind w:right="300"/>
        <w:spacing w:after="0" w:line="277" w:lineRule="auto"/>
        <w:rPr>
          <w:sz w:val="20"/>
          <w:szCs w:val="20"/>
          <w:color w:val="auto"/>
        </w:rPr>
      </w:pPr>
      <w:r>
        <w:rPr>
          <w:rFonts w:ascii="Arial" w:cs="Arial" w:eastAsia="Arial" w:hAnsi="Arial"/>
          <w:sz w:val="18"/>
          <w:szCs w:val="18"/>
          <w:color w:val="auto"/>
        </w:rPr>
        <w:t>million, respectively, for its current best estimate of amounts to be refunded to customers for potential adjustments from such audits or reviews of contract costs incurred subsequent to fiscal year 2006.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2013 and 2012, there are no material amounts accrued in the consolidated financial statements related to these proceedings.</w:t>
      </w:r>
    </w:p>
    <w:p>
      <w:pPr>
        <w:spacing w:after="0" w:line="11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March 31, 2013 and 2012,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UNAUDITED QUARTERLY FINANCIAL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2013 Quarters</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Fourth</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1,432,424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1,392,695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1,545,290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114,736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102,029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116,596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112,873</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61,945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46,116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56,184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54,813</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0.40</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r>
      <w:tr>
        <w:trPr>
          <w:trHeight w:val="459"/>
        </w:trPr>
        <w:tc>
          <w:tcPr>
            <w:tcW w:w="4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F-32</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96" w:name="page97"/>
    <w:bookmarkEnd w:id="96"/>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 Quarters</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3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2"/>
                <w:szCs w:val="22"/>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Fourth</w:t>
            </w:r>
          </w:p>
        </w:tc>
      </w:tr>
      <w:tr>
        <w:trPr>
          <w:trHeight w:val="250"/>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1,540,620</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97,457</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86,575</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50,627</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60"/>
              <w:spacing w:after="0"/>
              <w:rPr>
                <w:sz w:val="20"/>
                <w:szCs w:val="20"/>
                <w:color w:val="auto"/>
              </w:rPr>
            </w:pPr>
            <w:r>
              <w:rPr>
                <w:rFonts w:ascii="Arial" w:cs="Arial" w:eastAsia="Arial" w:hAnsi="Arial"/>
                <w:sz w:val="18"/>
                <w:szCs w:val="18"/>
                <w:color w:val="auto"/>
              </w:rPr>
              <w:t>Basic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3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Out of period adjustments - </w:t>
      </w:r>
      <w:r>
        <w:rPr>
          <w:rFonts w:ascii="Arial" w:cs="Arial" w:eastAsia="Arial" w:hAnsi="Arial"/>
          <w:sz w:val="18"/>
          <w:szCs w:val="18"/>
          <w:color w:val="auto"/>
        </w:rPr>
        <w:t>During the fourth quarter of fiscal 2012, the Company recorded an adjustment to revenue associated with the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allowable state income tax expense that in the aggregate increased revenue and operating income by approximately $10.1 million ($6.1 million net of taxes), which should have been allocated to the prior quarters of fiscal 2012 in which the expense was incurred. This operating income figure does not take into account a partially offsetting effect related to incentive compensation expense. The amount of the adjustment allocable to each prior quarter is not material to any of those prior quarters’ financial statements, and the aggregate adjustment is not material to the fourth quarter, therefore the Company recorded the correction of this error in the fourth quarter of fiscal 2012.</w:t>
      </w:r>
    </w:p>
    <w:p>
      <w:pPr>
        <w:spacing w:after="0" w:line="13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Change in estimate adjustment - </w:t>
      </w:r>
      <w:r>
        <w:rPr>
          <w:rFonts w:ascii="Arial" w:cs="Arial" w:eastAsia="Arial" w:hAnsi="Arial"/>
          <w:sz w:val="17"/>
          <w:szCs w:val="17"/>
          <w:color w:val="auto"/>
        </w:rPr>
        <w:t>During the fourth quarter of fiscal 2013, the Company recorded a change in estimate to revenue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of allowable indirect expenses that in the aggregate increased both quarter and year-to-date revenue and operating income by approximately $29.5 million ($17.5 million net of taxes). The change in estimate reflects managements' revised best estimate of allowable indirect expenses using new information received in the fourth quarter of fiscal 2013. This change in estimate excludes the effects of an offsetting decrease to operating income associated with a discretionary increase to incentive compensation recorded during the fourth quarter of fiscal 2013.</w:t>
      </w:r>
    </w:p>
    <w:p>
      <w:pPr>
        <w:spacing w:after="0" w:line="119" w:lineRule="exact"/>
        <w:rPr>
          <w:sz w:val="20"/>
          <w:szCs w:val="20"/>
          <w:color w:val="auto"/>
        </w:rPr>
      </w:pPr>
    </w:p>
    <w:p>
      <w:pPr>
        <w:ind w:left="320" w:hanging="258"/>
        <w:spacing w:after="0"/>
        <w:tabs>
          <w:tab w:leader="none" w:pos="3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ind w:left="280" w:hanging="272"/>
        <w:spacing w:after="0"/>
        <w:tabs>
          <w:tab w:leader="none" w:pos="2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Fiscal 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2,127</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Allowance for doubtful accounts from acquisitions</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against allowance</w:t>
            </w:r>
          </w:p>
        </w:tc>
        <w:tc>
          <w:tcPr>
            <w:tcW w:w="1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7"/>
        </w:trPr>
        <w:tc>
          <w:tcPr>
            <w:tcW w:w="4800" w:type="dxa"/>
            <w:vAlign w:val="bottom"/>
          </w:tcPr>
          <w:p>
            <w:pPr>
              <w:ind w:left="720"/>
              <w:spacing w:after="0"/>
              <w:rPr>
                <w:sz w:val="20"/>
                <w:szCs w:val="20"/>
                <w:color w:val="auto"/>
              </w:rPr>
            </w:pPr>
            <w:r>
              <w:rPr>
                <w:rFonts w:ascii="Arial" w:cs="Arial" w:eastAsia="Arial" w:hAnsi="Arial"/>
                <w:sz w:val="18"/>
                <w:szCs w:val="18"/>
                <w:color w:val="auto"/>
              </w:rPr>
              <w:t>Ending balance</w:t>
            </w:r>
          </w:p>
        </w:tc>
        <w:tc>
          <w:tcPr>
            <w:tcW w:w="16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1,348</w:t>
            </w:r>
          </w:p>
        </w:tc>
      </w:tr>
      <w:tr>
        <w:trPr>
          <w:trHeight w:val="67"/>
        </w:trPr>
        <w:tc>
          <w:tcPr>
            <w:tcW w:w="480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Tax valuation allowance:</w:t>
            </w:r>
          </w:p>
        </w:tc>
        <w:tc>
          <w:tcPr>
            <w:tcW w:w="1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0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36,335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42,379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42,379</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 and other adjustments</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Sale of capital assets</w:t>
            </w: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20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42,379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800" w:type="dxa"/>
            <w:vAlign w:val="bottom"/>
          </w:tcPr>
          <w:p>
            <w:pPr>
              <w:spacing w:after="0"/>
              <w:rPr>
                <w:sz w:val="24"/>
                <w:szCs w:val="24"/>
                <w:color w:val="auto"/>
              </w:rPr>
            </w:pPr>
          </w:p>
        </w:tc>
        <w:tc>
          <w:tcPr>
            <w:tcW w:w="2000" w:type="dxa"/>
            <w:vAlign w:val="bottom"/>
            <w:gridSpan w:val="2"/>
          </w:tcPr>
          <w:p>
            <w:pPr>
              <w:jc w:val="right"/>
              <w:ind w:right="830"/>
              <w:spacing w:after="0"/>
              <w:rPr>
                <w:sz w:val="20"/>
                <w:szCs w:val="20"/>
                <w:color w:val="auto"/>
              </w:rPr>
            </w:pPr>
            <w:r>
              <w:rPr>
                <w:rFonts w:ascii="Arial" w:cs="Arial" w:eastAsia="Arial" w:hAnsi="Arial"/>
                <w:sz w:val="18"/>
                <w:szCs w:val="18"/>
                <w:color w:val="auto"/>
              </w:rPr>
              <w:t>F-33</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52" w:right="239" w:bottom="1440" w:gutter="0" w:footer="0" w:header="0"/>
        </w:sectPr>
      </w:pPr>
    </w:p>
    <w:bookmarkStart w:id="97" w:name="page98"/>
    <w:bookmarkEnd w:id="97"/>
    <w:p>
      <w:pPr>
        <w:spacing w:after="0"/>
        <w:tabs>
          <w:tab w:leader="none" w:pos="96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106"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financial statements for external purposes.</w:t>
      </w:r>
    </w:p>
    <w:p>
      <w:pPr>
        <w:spacing w:after="0" w:line="127"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 xml:space="preserve">Our management conducted an assessment of the effectiveness of our internal control over financial reporting as of March 31, 2013. This assessment was based on the criteria set forth by the Committee of Sponsoring Organizations of the Treadway Commission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Based on this assessment, management has concluded that, as of March 31, 2013, our internal control over financial reporting was effective.</w:t>
      </w:r>
    </w:p>
    <w:p>
      <w:pPr>
        <w:spacing w:after="0" w:line="93"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On November 30, 2012, the Company acquired the Defense Systems Engineering and Support, or DSES, division of ARINC Incorporated by acquiring 100% of the membership interests of the entity that owns DSES. DSES represents approximately 2.6% of total assets as of March 31, 2013 and</w:t>
      </w:r>
    </w:p>
    <w:p>
      <w:pPr>
        <w:jc w:val="both"/>
        <w:ind w:right="160"/>
        <w:spacing w:after="0" w:line="255" w:lineRule="auto"/>
        <w:rPr>
          <w:sz w:val="20"/>
          <w:szCs w:val="20"/>
          <w:color w:val="auto"/>
        </w:rPr>
      </w:pPr>
      <w:r>
        <w:rPr>
          <w:rFonts w:ascii="Arial" w:cs="Arial" w:eastAsia="Arial" w:hAnsi="Arial"/>
          <w:sz w:val="18"/>
          <w:szCs w:val="18"/>
          <w:color w:val="auto"/>
        </w:rPr>
        <w:t>1.7% and 0.8% of revenues and net income, respectively, for the year then ended . On December 31, 2012 the Company closed an immaterial acquisition of an engineering services company. As permitted by the SEC, management excluded both acquired companies from its assessment of the effectiveness of the Company's internal control over financial reporting as of March 31, 2013.</w:t>
      </w:r>
    </w:p>
    <w:p>
      <w:pPr>
        <w:spacing w:after="0" w:line="31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Our independent registered public accounting firm has issued a report on the effectiveness of our internal control over financial reporting, which is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688" w:right="27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7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audited Booz Allen Hamilton Holding Corporation’s internal control over financial reporting as of March 31, 2013, based on criteria established in Internal Control — Integrated Framework issued by the Committee of Sponsoring Organizations of the Treadway Commission (the COSO criteria). Booz Allen Hamilton Holding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the Defense Systems Engineering and Support business acquired from ARINC Incorporated on November 30, 2012, which is included in the March 31, 2013 consolidated financial statements of Booz Allen Hamilton Holding Corporation and constituted 2.6% of total assets as of March 31, 2013 and 1.7% and 0.8% of revenues and net income, respectively, for the year then ended. Our audit of internal control over financial reporting of Booz Allen Hamilton Holding Corporation also did not include an evaluation of the internal control over financial reporting of the Defense Systems Engineering and Support business.</w:t>
      </w:r>
    </w:p>
    <w:p>
      <w:pPr>
        <w:spacing w:after="0" w:line="12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our opinion, Booz Allen Hamilton Holding Corporation maintained, in all material respects, effective internal control over financial reporting as of March 31, 2013, based on the COSO criteria.</w:t>
      </w:r>
    </w:p>
    <w:p>
      <w:pPr>
        <w:spacing w:after="0" w:line="11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Booz Allen Hamilton Holding Corporation as of March 31, 2013 and 2012, and the related consolidated statements of operations, comprehensive income, stockholders’ equity, and cash flows for each of the three years in the period ended March 31, 2013 of Booz Allen Hamilton Holding Corporation and our report dated May 23, 2013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2013</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88" w:right="259" w:bottom="1440" w:gutter="0" w:footer="0" w:header="0"/>
        </w:sectPr>
      </w:pPr>
    </w:p>
    <w:bookmarkStart w:id="99" w:name="page100"/>
    <w:bookmarkEnd w:id="99"/>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Under Section 13(r) of the Securities Exchange Act of 1934, as amended, or the Exchange Act, as added by the Iran Threat Reduction and Syrian Human Rights Act of 2012, or the Act, we are required to include certain disclosures in our periodic reports if we or any of our “affiliates” (as defined in Rule 12b-2 under the Exchange Act) knowingly engage in certain specified activities during the period covered by the report. Because the Securities and Exchange Commission, or the SEC, defines the term “affiliate” broadly, our affiliates include any entity controlled by us as well as any person or entity that controls us or is under common control with us (“control” is also construed broadly by the SEC). The Carlyle Group L.P., or Carlyle, an entity that may be considered to be affiliated with us, has informed us that it has included disclosure, or the Applus Disclosure, the text of which is reproduced below, relating to certain activities of Applus Servicios Technologicos S.L.U., or Applus, (a European company which may be considered an affiliate of Carlyle) in its Quarterly Report on Form 10-Q as filed with the SEC on May14, 2013 as required by Section 219 of the Act and Section 13(r) of the Exchange Act. Applus may be deemed to be under common control with us, but this statement is not meant to be an admission that common control exists. We have no involvement in, or control over, the activities of Carlyle or Applus, any of their subsidiaries or any of their affiliated entities, and we have not independently verified or participated in the preparation of the Applus Disclosure. The Applus Disclosure does not relate to any activities conducted by us and does not involve us or our management.</w:t>
      </w:r>
    </w:p>
    <w:p>
      <w:pPr>
        <w:spacing w:after="0" w:line="119"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“We [Carlyle] have been advised by Applus Servicios Technologicos S.L.U. (“Applus”), a European company in which our private equity funds have invested and which may be considered our affiliate, that during the period January 1, 2013 until March 31, 2013, a subsidiary of Applus provided certain services to customers that could be affiliated with the Industrial Development and Renovation Organization (IDRO), which has been designated as an agency of the Government of Iran. For this period, gross revenue attributable to such sales was €86,633 with estimated net profits to Applus of approximately €15,593. At this time, we are unable to determine whether the IDRO, directly or indirectly, controls these customers. Although these activities were not prohibited by U.S. law at the time they were conducted, Applus has advised us that its subsidiary has discontinued its dealings with such customers, and that it does not otherwise intend to continue or enter into any Iran-related activity. All such dealings (including limited wind-down activities) were discontinued prior to March 8, 2013, in accordance with the requirements of Section 218 of the Iran Threat Reduction and Syria Human Rights Act of 2012, as amended.”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Information related to our directors is set forth under the caption “Election of Directors” of our Proxy Statement for our Annual Meeting of Stockholders scheduled for August 1, 2013. Such information is incorporated herein by reference.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relating to our Executive Officers is included in Part I of this Annual Report under the caption “Executive Officers of the Registrant.”</w:t>
      </w:r>
    </w:p>
    <w:p>
      <w:pPr>
        <w:spacing w:after="0" w:line="183"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Information relating to compliance with Section 16(a) of the Exchange Act is set forth under the caption “Section 16(a) Beneficial Ownership Reporting Compliance” of our 2013 Proxy Statement. Such information is incorporated herein by reference.</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Information related to our code of ethics is set forth under the caption “Corporate Governance and General Information Concerning the Board of Directors and its Committees” of our 2013 Proxy Statement. Such information is incorporated herein by reference.</w:t>
      </w:r>
    </w:p>
    <w:p>
      <w:pPr>
        <w:spacing w:after="0" w:line="116"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2013 Proxy Statement. Such information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“Executive Compensation,” “Director Compensation,” “Compensation Committee Interlocks and Insider Participation” and “Compensation Committee Report on Executive Compensation” of our 2013 Proxy Statement. Such information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Information relating to this item is set forth in this Annual Report under the caption “Item 5. Market for Registrant’s Common Equity, Related Stockholder Matters and Issuer Purchases of Equity Securities — Equity Compensation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88" w:right="239" w:bottom="1440" w:gutter="0" w:footer="0" w:header="0"/>
        </w:sectPr>
      </w:pPr>
    </w:p>
    <w:bookmarkStart w:id="100" w:name="page101"/>
    <w:bookmarkEnd w:id="100"/>
    <w:p>
      <w:pPr>
        <w:ind w:right="100"/>
        <w:spacing w:after="0" w:line="277" w:lineRule="auto"/>
        <w:rPr>
          <w:sz w:val="20"/>
          <w:szCs w:val="20"/>
          <w:color w:val="auto"/>
        </w:rPr>
      </w:pPr>
      <w:r>
        <w:rPr>
          <w:rFonts w:ascii="Arial" w:cs="Arial" w:eastAsia="Arial" w:hAnsi="Arial"/>
          <w:sz w:val="18"/>
          <w:szCs w:val="18"/>
          <w:color w:val="auto"/>
        </w:rPr>
        <w:t>Information” and under the caption “Security Ownership of Certain Beneficial Owners and Management” of our 2013 Proxy Statement. Such information is incorporated herein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“Certain Relationships and Related Party Transactions” and “Corporate Governance and General Information Concerning the Board of Directors and its Committees” of our 2013 Proxy Statement. Such information is incorporated herein by reference.</w:t>
      </w: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this item is set forth under the caption “Independent Registered Public Accounting Firm Fees” of our 2013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Our financial statements filed herewith are set forth in Item 8 of this Annual Report.</w:t>
      </w:r>
    </w:p>
    <w:p>
      <w:pPr>
        <w:spacing w:after="0" w:line="117" w:lineRule="exact"/>
        <w:rPr>
          <w:rFonts w:ascii="Arial" w:cs="Arial" w:eastAsia="Arial" w:hAnsi="Arial"/>
          <w:sz w:val="18"/>
          <w:szCs w:val="18"/>
          <w:color w:val="auto"/>
        </w:rPr>
      </w:pPr>
    </w:p>
    <w:p>
      <w:pPr>
        <w:ind w:left="1460" w:right="380" w:hanging="480"/>
        <w:spacing w:after="0" w:line="277"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either they are not applicable or the required information is included in the financial statements or the notes thereto.</w:t>
      </w:r>
    </w:p>
    <w:p>
      <w:pPr>
        <w:spacing w:after="0" w:line="62" w:lineRule="exact"/>
        <w:rPr>
          <w:rFonts w:ascii="Arial" w:cs="Arial" w:eastAsia="Arial" w:hAnsi="Arial"/>
          <w:sz w:val="18"/>
          <w:szCs w:val="18"/>
          <w:color w:val="auto"/>
        </w:rPr>
      </w:pPr>
    </w:p>
    <w:p>
      <w:pPr>
        <w:ind w:left="1460" w:hanging="480"/>
        <w:spacing w:after="0" w:line="277"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attached list of exhibits in the “Exhibit Index” immediately following the signature pages to this Annual Report is filed as part of this Annual Report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49" w:right="279" w:bottom="1440" w:gutter="0" w:footer="0" w:header="0"/>
        </w:sectPr>
      </w:pPr>
    </w:p>
    <w:bookmarkStart w:id="101" w:name="page102"/>
    <w:bookmarkEnd w:id="101"/>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Washington, DC, on this 23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May, 2013.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BOOZ ALLEN HAMILTON HOLDING CORPORATION</w:t>
      </w:r>
    </w:p>
    <w:p>
      <w:pPr>
        <w:spacing w:after="0" w:line="23"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58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Ralph W. Shrader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President, Chief Executive Officer and</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Director</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jc w:val="center"/>
              <w:ind w:left="43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65"/>
        </w:trPr>
        <w:tc>
          <w:tcPr>
            <w:tcW w:w="4240" w:type="dxa"/>
            <w:vAlign w:val="bottom"/>
          </w:tcPr>
          <w:p>
            <w:pPr>
              <w:ind w:left="40"/>
              <w:spacing w:after="0"/>
              <w:rPr>
                <w:sz w:val="20"/>
                <w:szCs w:val="20"/>
                <w:color w:val="auto"/>
              </w:rPr>
            </w:pPr>
            <w:r>
              <w:rPr>
                <w:rFonts w:ascii="Arial" w:cs="Arial" w:eastAsia="Arial" w:hAnsi="Arial"/>
                <w:sz w:val="18"/>
                <w:szCs w:val="18"/>
                <w:color w:val="auto"/>
              </w:rPr>
              <w:t>/s/ Ralph W. Shrader</w:t>
            </w: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1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Ralph W. Shrader</w:t>
            </w:r>
          </w:p>
        </w:tc>
        <w:tc>
          <w:tcPr>
            <w:tcW w:w="512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Samuel R. Strickland</w:t>
            </w:r>
          </w:p>
        </w:tc>
        <w:tc>
          <w:tcPr>
            <w:tcW w:w="512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 Chief</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109"/>
        </w:trPr>
        <w:tc>
          <w:tcPr>
            <w:tcW w:w="4240" w:type="dxa"/>
            <w:vAlign w:val="bottom"/>
            <w:tcBorders>
              <w:bottom w:val="single" w:sz="8" w:color="auto"/>
            </w:tcBorders>
          </w:tcPr>
          <w:p>
            <w:pPr>
              <w:spacing w:after="0"/>
              <w:rPr>
                <w:sz w:val="9"/>
                <w:szCs w:val="9"/>
                <w:color w:val="auto"/>
              </w:rPr>
            </w:pPr>
          </w:p>
        </w:tc>
        <w:tc>
          <w:tcPr>
            <w:tcW w:w="5120" w:type="dxa"/>
            <w:vAlign w:val="bottom"/>
            <w:vMerge w:val="restart"/>
          </w:tcPr>
          <w:p>
            <w:pPr>
              <w:jc w:val="center"/>
              <w:spacing w:after="0"/>
              <w:rPr>
                <w:sz w:val="20"/>
                <w:szCs w:val="20"/>
                <w:color w:val="auto"/>
              </w:rPr>
            </w:pPr>
            <w:r>
              <w:rPr>
                <w:rFonts w:ascii="Arial" w:cs="Arial" w:eastAsia="Arial" w:hAnsi="Arial"/>
                <w:sz w:val="18"/>
                <w:szCs w:val="18"/>
                <w:color w:val="auto"/>
                <w:w w:val="94"/>
              </w:rPr>
              <w:t>Administrative Officer and Director (Principal Financial</w:t>
            </w: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Samuel R. Strickland</w:t>
            </w:r>
          </w:p>
        </w:tc>
        <w:tc>
          <w:tcPr>
            <w:tcW w:w="512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5120" w:type="dxa"/>
            <w:vAlign w:val="bottom"/>
            <w:vMerge w:val="restart"/>
          </w:tcPr>
          <w:p>
            <w:pPr>
              <w:jc w:val="center"/>
              <w:spacing w:after="0"/>
              <w:rPr>
                <w:sz w:val="20"/>
                <w:szCs w:val="20"/>
                <w:color w:val="auto"/>
              </w:rPr>
            </w:pPr>
            <w:r>
              <w:rPr>
                <w:rFonts w:ascii="Arial" w:cs="Arial" w:eastAsia="Arial" w:hAnsi="Arial"/>
                <w:sz w:val="18"/>
                <w:szCs w:val="18"/>
                <w:color w:val="auto"/>
                <w:w w:val="94"/>
              </w:rPr>
              <w:t>and Accounting Officer)</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512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Joan Lordi C. Amble</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Joan Lordi C. Amble</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Peter Clare</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Peter Clare</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Ian Fujiyama</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Ian Fujiyama</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Mark Gaumond</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Mark Gaumond</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Allan M. Holt</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Allan M. Holt</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Arthur E. Johnson</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Arthur E. Johnson</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Philip A. Odeen</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Philip A. Odeen</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Charles O. Rossotti</w:t>
            </w:r>
          </w:p>
        </w:tc>
        <w:tc>
          <w:tcPr>
            <w:tcW w:w="51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ind w:left="452"/>
              <w:spacing w:after="0"/>
              <w:rPr>
                <w:sz w:val="20"/>
                <w:szCs w:val="20"/>
                <w:color w:val="auto"/>
              </w:rPr>
            </w:pPr>
            <w:r>
              <w:rPr>
                <w:rFonts w:ascii="Arial" w:cs="Arial" w:eastAsia="Arial" w:hAnsi="Arial"/>
                <w:sz w:val="18"/>
                <w:szCs w:val="18"/>
                <w:color w:val="auto"/>
                <w:w w:val="91"/>
              </w:rPr>
              <w:t>May 23, 2013</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tcPr>
          <w:p>
            <w:pPr>
              <w:spacing w:after="0"/>
              <w:rPr>
                <w:sz w:val="21"/>
                <w:szCs w:val="21"/>
                <w:color w:val="auto"/>
              </w:rPr>
            </w:pPr>
          </w:p>
        </w:tc>
        <w:tc>
          <w:tcPr>
            <w:tcW w:w="5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Charles O. Rossotti</w:t>
            </w:r>
          </w:p>
        </w:tc>
        <w:tc>
          <w:tcPr>
            <w:tcW w:w="5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688"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00"/>
          </w:cols>
          <w:pgMar w:left="240" w:top="688" w:right="45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00" w:type="dxa"/>
            <w:vAlign w:val="bottom"/>
            <w:gridSpan w:val="3"/>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Stockholders Agreement (Incorporated by reference to Exhibit 4.3 to the Company’s Quarterly Report for the period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80" w:top="1337" w:right="29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20"/>
          </w:cols>
          <w:pgMar w:left="280" w:top="1337" w:right="29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2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10680" w:type="dxa"/>
            <w:vAlign w:val="bottom"/>
          </w:tcPr>
          <w:p>
            <w:pPr>
              <w:ind w:left="26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854"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40"/>
          </w:cols>
          <w:pgMar w:left="280" w:top="854" w:right="279" w:bottom="1440" w:gutter="0" w:footer="0" w:header="0"/>
          <w:type w:val="continuous"/>
        </w:sectPr>
      </w:pPr>
    </w:p>
    <w:bookmarkStart w:id="104" w:name="page105"/>
    <w:bookmarkEnd w:id="104"/>
    <w:tbl>
      <w:tblPr>
        <w:tblLayout w:type="fixed"/>
        <w:tblInd w:w="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Certification of the Chief Executive Officer required by Rule 13a-14(b) or Rule 15d-14(b) and Section 1350 of Chapter 63 of Title 18 of the</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Certification of the Chief Financial Officer required by Rule 13a-14(b) or Rule 15d-14(b) and Section 1350 of Chapter 63 of Title 18 of the</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160" w:hanging="925"/>
        <w:spacing w:after="0" w:line="270" w:lineRule="auto"/>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2013, formatted in XBRL (eXtensible Business Reporting Language): (i) Consolidated Balance Sheets as of March 31, 2013 and 2012; (ii) Consolidated Statements of Operations for the fiscal years ended March 31, 2013, 2012 and 2011; (iii) Consolidated Statements of Comprehensive Income for the fiscal years ended March 31, 2013, 2012 and 2011; (iv) Consolidated Statements of Cash Flows for the fiscal years ended March 31, 2013, 2012 and 2011; (v) Consolidated Statements of Stockholders' Equity for the fiscal years ended March 31, 2013, 2012 and 2011; and (vi) 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hanging="652"/>
        <w:spacing w:after="0" w:line="277"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80"/>
          </w:cols>
          <w:pgMar w:left="240" w:top="854" w:right="379" w:bottom="1440" w:gutter="0" w:footer="0" w:header="0"/>
        </w:sectPr>
      </w:pPr>
    </w:p>
    <w:bookmarkStart w:id="105" w:name="page106"/>
    <w:bookmarkEnd w:id="105"/>
    <w:p>
      <w:pPr>
        <w:jc w:val="center"/>
        <w:ind w:right="-479"/>
        <w:spacing w:after="0"/>
        <w:rPr>
          <w:sz w:val="20"/>
          <w:szCs w:val="20"/>
          <w:color w:val="auto"/>
        </w:rPr>
      </w:pPr>
      <w:r>
        <w:rPr>
          <w:rFonts w:ascii="Arial" w:cs="Arial" w:eastAsia="Arial" w:hAnsi="Arial"/>
          <w:sz w:val="22"/>
          <w:szCs w:val="22"/>
          <w:b w:val="1"/>
          <w:bCs w:val="1"/>
          <w:color w:val="auto"/>
        </w:rPr>
        <w:t>Consent of Ernst &amp; Young LLP,</w:t>
      </w:r>
    </w:p>
    <w:p>
      <w:pPr>
        <w:spacing w:after="0" w:line="28"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We consent to the incorporation by reference in the Registration Statement (Form S-8 No 333-171286) pertaining to the:</w:t>
      </w:r>
    </w:p>
    <w:p>
      <w:pPr>
        <w:spacing w:after="0" w:line="308"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Amended and Restated Equity Incentive Plan of Booz Allen Hamilton Holding Corporation</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Booz Allen Hamilton Holding Corporation Officers’ Rollover Stock Plan, and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Booz Allen Hamilton Holding Corporation Employee Stock Purchase Plan</w:t>
      </w:r>
    </w:p>
    <w:p>
      <w:pPr>
        <w:spacing w:after="0" w:line="287"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of our reports dated May 23, 2013,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2013.</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McLean, Virginia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May 23, 2013</w:t>
      </w:r>
    </w:p>
    <w:p>
      <w:pPr>
        <w:sectPr>
          <w:pgSz w:w="11900" w:h="16838" w:orient="portrait"/>
          <w:cols w:equalWidth="0" w:num="1">
            <w:col w:w="10940"/>
          </w:cols>
          <w:pgMar w:left="240" w:top="369" w:right="7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May 23,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May 23,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2013,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May 23, 2013</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2013,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23, 2013</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upperLetter"/>
      <w:start w:val="11"/>
    </w:lvl>
  </w:abstractNum>
  <w:abstractNum w:abstractNumId="3">
    <w:nsid w:val="70A64E2A"/>
    <w:multiLevelType w:val="hybridMultilevel"/>
    <w:lvl w:ilvl="0">
      <w:lvlJc w:val="left"/>
      <w:lvlText w:val="(%1)"/>
      <w:numFmt w:val="lowerRoman"/>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lvl w:ilvl="1">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lowerRoman"/>
      <w:start w:val="3"/>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lowerLetter"/>
      <w:start w:val="1"/>
    </w:lvl>
    <w:lvl w:ilvl="1">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1"/>
    </w:lvl>
    <w:lvl w:ilvl="1">
      <w:lvlJc w:val="left"/>
      <w:lvlText w:val="(%2)"/>
      <w:numFmt w:val="lowerLetter"/>
      <w:start w:val="5"/>
    </w:lvl>
  </w:abstractNum>
  <w:abstractNum w:abstractNumId="41">
    <w:nsid w:val="10233C99"/>
    <w:multiLevelType w:val="hybridMultilevel"/>
    <w:lvl w:ilvl="0">
      <w:lvlJc w:val="left"/>
      <w:lvlText w:val="(%1)"/>
      <w:numFmt w:val="decimal"/>
      <w:start w:val="2"/>
    </w:lvl>
    <w:lvl w:ilvl="1">
      <w:lvlJc w:val="left"/>
      <w:lvlText w:val="%2"/>
      <w:numFmt w:val="lowerLetter"/>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Letter"/>
      <w:start w:val="5"/>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decimal"/>
      <w:start w:val="5"/>
    </w:lvl>
  </w:abstractNum>
  <w:abstractNum w:abstractNumId="56">
    <w:nsid w:val="100F8FCA"/>
    <w:multiLevelType w:val="hybridMultilevel"/>
    <w:lvl w:ilvl="0">
      <w:lvlJc w:val="left"/>
      <w:lvlText w:val="%1."/>
      <w:numFmt w:val="decimal"/>
      <w:start w:val="8"/>
    </w:lvl>
  </w:abstractNum>
  <w:abstractNum w:abstractNumId="57">
    <w:nsid w:val="6590700B"/>
    <w:multiLevelType w:val="hybridMultilevel"/>
    <w:lvl w:ilvl="0">
      <w:lvlJc w:val="left"/>
      <w:lvlText w:val="1"/>
      <w:numFmt w:val="bullet"/>
      <w:start w:val="1"/>
    </w:lvl>
  </w:abstractNum>
  <w:abstractNum w:abstractNumId="58">
    <w:nsid w:val="15014ACB"/>
    <w:multiLevelType w:val="hybridMultilevel"/>
    <w:lvl w:ilvl="0">
      <w:lvlJc w:val="left"/>
      <w:lvlText w:val="%1."/>
      <w:numFmt w:val="decimal"/>
      <w:start w:val="14"/>
    </w:lvl>
  </w:abstractNum>
  <w:abstractNum w:abstractNumId="59">
    <w:nsid w:val="5F5E7FD0"/>
    <w:multiLevelType w:val="hybridMultilevel"/>
    <w:lvl w:ilvl="0">
      <w:lvlJc w:val="left"/>
      <w:lvlText w:val="1"/>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20"/>
    </w:lvl>
  </w:abstractNum>
  <w:abstractNum w:abstractNumId="63">
    <w:nsid w:val="42C296BD"/>
    <w:multiLevelType w:val="hybridMultilevel"/>
    <w:lvl w:ilvl="0">
      <w:lvlJc w:val="left"/>
      <w:lvlText w:val="%1"/>
      <w:numFmt w:val="decimal"/>
      <w:start w:val="1"/>
    </w:lvl>
    <w:lvl w:ilvl="1">
      <w:lvlJc w:val="left"/>
      <w:lvlText w:val="(%2)"/>
      <w:numFmt w:val="decimal"/>
      <w:start w:val="1"/>
    </w:lvl>
  </w:abstractNum>
  <w:abstractNum w:abstractNumId="64">
    <w:nsid w:val="168E121F"/>
    <w:multiLevelType w:val="hybridMultilevel"/>
    <w:lvl w:ilvl="0">
      <w:lvlJc w:val="left"/>
      <w:lvlText w:val="%1."/>
      <w:numFmt w:val="decimal"/>
      <w:start w:val="23"/>
    </w:lvl>
    <w:lvl w:ilvl="1">
      <w:lvlJc w:val="left"/>
      <w:lvlText w:val="%2"/>
      <w:numFmt w:val="decimal"/>
      <w:start w:val="1"/>
    </w:lvl>
  </w:abstractNum>
  <w:abstractNum w:abstractNumId="65">
    <w:nsid w:val="1EBA5D23"/>
    <w:multiLevelType w:val="hybridMultilevel"/>
    <w:lvl w:ilvl="0">
      <w:lvlJc w:val="left"/>
      <w:lvlText w:val="(%1)"/>
      <w:numFmt w:val="lowerLetter"/>
      <w:start w:val="1"/>
    </w:lvl>
    <w:lvl w:ilvl="1">
      <w:lvlJc w:val="left"/>
      <w:lvlText w:val="(%2)"/>
      <w:numFmt w:val="decimal"/>
      <w:start w:val="1"/>
    </w:lvl>
  </w:abstractNum>
  <w:abstractNum w:abstractNumId="66">
    <w:nsid w:val="661E3F1E"/>
    <w:multiLevelType w:val="hybridMultilevel"/>
    <w:lvl w:ilvl="0">
      <w:lvlJc w:val="left"/>
      <w:lvlText w:val="%1"/>
      <w:numFmt w:val="decimal"/>
      <w:start w:val="10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2019-12-07T19:29:44Z</dcterms:created>
  <dcterms:modified xsi:type="dcterms:W3CDTF">2019-12-07T19:29:44Z</dcterms:modified>
</cp:coreProperties>
</file>